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png" ContentType="image/png"/>
  <Override PartName="/word/media/image13.png" ContentType="image/png"/>
  <Override PartName="/word/media/image15.png" ContentType="image/png"/>
  <Override PartName="/word/media/image14.png" ContentType="image/png"/>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10.png" ContentType="image/png"/>
  <Override PartName="/word/media/image6.png" ContentType="image/png"/>
  <Override PartName="/word/media/image11.png" ContentType="image/png"/>
  <Override PartName="/word/media/image7.png" ContentType="image/png"/>
  <Override PartName="/word/media/image12.png" ContentType="image/png"/>
  <Override PartName="/word/media/image8.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16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August 4, 2024 </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7373 Gateway Boulevard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6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88" w:before="200" w:after="283"/>
        <w:jc w:val="both"/>
        <w:rPr/>
      </w:pPr>
      <w:r>
        <w:rPr>
          <w:rFonts w:ascii="Times New Roman;sans-serif" w:hAnsi="Times New Roman;sans-serif"/>
          <w:b/>
          <w:i/>
          <w:color w:val="000000"/>
          <w:sz w:val="20"/>
        </w:rPr>
        <w:t>Private</w:t>
      </w:r>
      <w:r>
        <w:rPr>
          <w:color w:val="000000"/>
        </w:rPr>
        <w:t xml:space="preserve"> </w:t>
      </w:r>
      <w:r>
        <w:rPr>
          <w:rFonts w:ascii="Times New Roman;sans-serif" w:hAnsi="Times New Roman;sans-serif"/>
          <w:b/>
          <w:i/>
          <w:color w:val="000000"/>
          <w:sz w:val="20"/>
        </w:rPr>
        <w:t>Placement</w:t>
      </w:r>
    </w:p>
    <w:p>
      <w:pPr>
        <w:pStyle w:val="TextBody"/>
        <w:bidi w:val="0"/>
        <w:spacing w:lineRule="auto" w:line="288" w:before="200" w:after="283"/>
        <w:jc w:val="both"/>
        <w:rPr/>
      </w:pPr>
      <w:r>
        <w:rPr>
          <w:rFonts w:ascii="Times New Roman;sans-serif" w:hAnsi="Times New Roman;sans-serif"/>
          <w:b w:val="false"/>
          <w:color w:val="000000"/>
          <w:sz w:val="20"/>
        </w:rPr>
        <w:t>On August 4, 2024, Lucid Group, Inc. (the “Company”) entered into a subscription agreement (the “Subscription Agreement”) between the Company and Ayar Third Investment Company, a single shareholder limited liability company organized under the laws of the Kingdom of Saudi Arabia (“Ayar”), an affiliate of the Public Investment Fund (“PIF”) and the Company’s majority shareholder. Pursuant to the Subscription Agreement, Ayar agreed to purchase from the Company 75,000 shares of its Series B Convertible Preferred Stock, par value $0.0001 per share (the “Convertible Preferred Stock”), for an aggregate purchase price of $750,000,000 in a private placement (the “Private Placement”). The Private Placement is expected to close no later than the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business day following the date of the Subscription Agreement and is subject to customary closing conditions. The Convertible Preferred Stock will be convertible into the Company’s Class A common stock, par value $0.0001 per share (“Common Stock”), and initially convertible into approximately 171.24 million shares of Common Stock in the aggregate (approximately 7% of the Company’s issued and outstanding Common Stock), at an initial conversion price of $4.3799 per share (the “Conversion Price”). The Conversion Price is subject to customary anti-dilution adjustments, including in the event of any stock split, stock dividend, recapitalization or similar events.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Convertible Preferred Stock sold to Ayar pursuant to the Subscription Agreement will be issued pursuant to a Certificate of Designations to be filed with the Secretary of State of the State of Delaware on or before the closing of the Private Placement and will be sold in reliance on the exemption from registration provided in Section 4(a)(2) of the Securities Act of 1933, as amended (the “Securities Act”). The shares of Convertible Preferred Stock and the shares of Common Stock issuable upon conversion thereof will be subject to the Investor Rights Agreement, dated as of February 22, 2021, by and among the Company, Ayar, and the other parties thereto, as amended from time to time (the “Investor Rights Agreement”), which governs the registration for resale of such shares of Convertible Preferred Stock and Common Stock.</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Transfer Restrictions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Subscription Agreement, Ayar has agreed, with certain exceptions, that without prior written consent of the Company, it will not, for 12 months after the date of the closing of the Private Placement: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directly or indirectly offer, pledge, sell, contract to sell, sell any option or contract to purchase, purchase any option or contract to sell, grant any option, right or warrant to purchase or otherwise transfer or dispose of any shares of Convertible Preferred Stock or any shares of Common Stock issued pursuant to the terms thereof;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enter into any swap or any other agreement or any transaction that transfers, in whole or in part, directly or indirectly, the economic consequence of ownership of the Convertible Preferred Stock or any shares of Common Stock issued pursuant to the terms thereof, whether any such swap or transaction is to be settled by delivery of Convertible Preferred Stock, Common Stock or other securities, in cash or otherwise; or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make any short sale of, grant any option for the purchase of, or enter into any hedging or similar transaction with the same economic effect as a short sale of or the purpose of which is to offset the loss that results from a decline in the market price of Convertible Preferred Stock or the shares of Common Stock issued pursuant to the terms thereof.</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conditions, these restrictions do not apply to transfers: made as a bona fide gift or gifts, including to charitable organizations; to any person or entity controlling, controlled by, or under common control with Ayar; to a nominee or custodian of any person or entity to whom a transfer would be permissible under any of the preceding exceptions set forth in this sentence; and pursuant to a bona fide third-party tender offer, merger, consolidation or other similar transaction that is approved by the Company’s board of directors (the “Board”) and made to all holders of shares of the Company’s capital stock involving a change of control.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description of the Subscription Agreement does not purport to be complete and is qualified in its entirety by reference to the full text of the Subscription Agreement, which is included as Exhibit 10.1 to this Current Report on Form 8-K and incorporated herein by reference.</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 to Investor Rights Agreement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Private Placement, the Company will enter into an amendment to the Investor Rights Agreement (the “Fourth IRA Amendment”). Pursuant to the Fourth IRA Amendment, Ayar will be entitled to certain registration rights, including piggy-back and shelf registration rights, with respect to the shares of Convertible Preferred Stock and any shares of Common Stock issuable upon conversion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description of the Fourth IRA Amendment does not purport to be complete and is qualified in its entirety by reference to the form of Fourth IRA Amendment, which is included in the Subscription Agreement that is filed as Exhibit 10.1 to this Current Report on Form 8-K and incorporated herein by reference, and to the final Fourth IRA Amendment which will be filed with a subsequent Current Report on Form 8-K.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Designation of the Convertible Preferred Stock</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Ranking and Dividend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Preferred Stock will rank senior to the Common Stock with respect to dividends and distributions of assets upon the Company’s liquidation, dissolution or winding up. The Convertible Preferred Stock will have an initial value of $10,000 per share (the “Initial Value”). Dividends on the Convertible Preferred Stock will be payable in the form of compounded dividends upon each share of Convertible Preferred Stock (such payment in kind, “Compounded Returns”). Dividends will accrue on the Initial Value (as increased for any Compounded Dividends previously compounded thereon) of each share of Convertible Preferred Stock at a rate of 9% per annum and will compound on the basis of quarterly dividend payment dates on each March 31, June 30, September 30 and December 31 of each year, commencing September 30, 2024.</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 Preference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a liquidation, dissolution or winding up of the Company, each holder of shares of Convertible Preferred Stock (“Holder”) will be entitled to receive, with respect to each share of then-outstanding Convertible Preferred Stock, out of the assets of the Company available for distribution to its stockholders (pari passu with the holders of any liquidation parity securities) an amount in cash equal to the greater of (a) an amount per share of Convertible Preferred 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Certificate of Designations of Series B Convertible Preferred Stock of the Company (the “Certificate of Designations”)) multiplied by (ii) the relevant percentage (as defined in the Certificate of Designations) (the product of (i) and (ii), the “Minimum Consideration”); and (b) the amount that such Holder would have received with respect to such share of Convertible Preferred Stock based on its Accrued Value if all shares of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Convertible Preferred Stock will be convertible, at the option of the respective Holder, from time to time after the initial issue date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provided in the Certificate of Designations or by applicable law or the rules of any stock exchange on which the Company’s securities are listed, on any matter presented to the stockholders of the Company for their action or consideration at any meeting of stockholders and on which matter holders of the Common Stock shall be entitled to vote, each Holder will be entitled to the number of votes equal to the number of whole shares of Common Stock into which the aggregate shares of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will be entitled to notice of any meeting of stockholders and, except as otherwise provided in the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$3.120 (the “Minimum Price” as calculated in accordance with the Nasdaq Listing Rules) (the “Voting Cap”).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long as at least 10% of the aggregate number of shares of the Convertible Preferred Stock issued on the Initial Issue Date remain outstanding, and subject to certain other conditions, Holders will be entitled to a separate class vote with respect to, among other things, amendments to the Company’s organizational documents that have an adverse effect on the Convertible Preferred Stock, authorizations or issuances by the Company of capital stock of the Company that ranks senior or equal to the Convertible Preferred Stock with respect to dividends or distributions on liquidation or the terms of which provide for cash dividends (other than the Common Stock), winding-up and dissolution, and decreases in the number of authorized shares of Convertible Preferred Stock. The Company also agreed that as long as Ayar owns at least 50% of the Convertible Preferred Stock issued on the Initial Issue Date, the Company will comply with certain debt incurrence covenants in its Credit Agreement, dated as of June 9, 2022, by and among the Company, as the Borrower Representative, the other Borrowers party thereto from time to time, the Lenders and Issuing Banks from time to time party thereto and Bank of America, N.A., as Administrative Agent, as amended, which agreement may be waived with the sole consent of Ayar.</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Junior and Parity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exceptions, unless all accumulated and unpaid dividends on the Convertible Preferred Stock for all preceding quarterly dividend payment periods have been declared upon all outstanding shares of Convertible Preferred Stock through the most recently completed dividend period, the Company (1) may not repurchase, redeem or otherwise acquire shares of any parity stock or any junior stock (which includes the Common Stock), (2) may not declare or pay dividends on any junior stock (which includes the Common Stock) and (3) may not declare or pay dividends on any parity stock, unless the respective amounts of dividends declared on the Convertible Preferred Stock and each such other class or series of dividend parity stock bear the same ratio to each other as all accumulated and unpaid dividends per share of the Convertible Preferred Stock and such class or series of parity stock (subject to their having been declared by the Board out of legally available funds) bear to each other, in proportion to their respective liquidation preferences at the time of declaration.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Mandatory Conversion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the third anniversary of the Initial Issue Date, if at any time (i) the daily VWAP (as defined in the Certificate of Designations) of the Common Stock has been at least 200% of the Conversion Price for at least twenty (20) trading days (whether or not consecutive) during any thirty (30) consecutive trading days (including the last day of such period) and (ii) certain Common Stock liquidity conditions (as defined in the Certificate of Designations) are satisfied, the Company will have the right, exercisable at its election within fifteen (15) business days following completion of the applicable thirty (30) trading day period, to cause all or any portion of the Convertible Preferred Stock to convert into Common Stock. The Company will be required to pay an additional amount per share of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Fundamental Change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a “fundamental change” (as defined in the Certificate of Designations), the Holders will be entitled, on the fundamental change repurchase date specified by the Company, to receive an amount equal to the greater of (a) the Minimum Consideration and (b) an amount equal to the value that such Holder would have received if it had converted its shares of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Certificate of Designations) are not satisfied.</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Optional Redemption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the fifth anniversary of the Initial Issue Date, the Company may redeem all or any portion of the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Certificate of Designations) are not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Nasdaq Rules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will provide that the number of shares of Common Stock deliverable upon conversion, redemption or repurchase of the Convertible Preferred Stock will be limited as required by applicable Nasdaq listing rules, unless the Company shall have obtained any required stockholder approval. Lucid and Ayar have agreed to cooperate reasonably to obtain, and Ayar has agreed to consent in respect of such stockholder approval no later than 18 months following the closing of the Private Placement. The Convertible Preferred Stock will be initially convertible into approximately 171.24 million shares of Common Stock.</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Remedies for Nonpayment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will provide that the dividend rate described above will be increased to a rate not exceeding 15% per annum upon certain events of noncompliance relating to a failure by the Company to deliver consideration due in connection with a fundamental change or optional redemption.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form of Certificate of Designations of the Company’s Series B Convertible Preferred Stock does not purport to be complete and is qualified in its entirety by reference to the form of Certificate of Designations, which is included in the Subscription Agreement that is filed as Exhibit 10.1 to this Current Report on Form 8-K and incorporated herein by reference, and to the final Certificate of Designations of the Company’s Series B Convertible Preferred Stock, which will be filed with a subsequent Current Report on Form 8-K.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2024 (the “Closing Date”), the Company entered into a delayed draw term loan credit agreement (the “Term Loan Agreement”) providing for an unsecured delayed draw term loan facility in an aggregate principal amount of $750,000,000 with Ayar Third Investment Company, an affiliate of PIF, as the sole lender, and as administrative agent thereunder.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Agreement provides for a $750,000,000 unsecured delayed draw term loan facility with a stated maturity date of August 4, 2029. As of the date hereof, the Company has not requested any draws under the Term Loan Agreement. The obligations under the Term Loan Agreement are guaranteed by the Company and certain other domestic subsidiaries of the Company. The proceeds of the delayed draw term loans may be used by the Company to provide for working capital and general corporate requirements of the Company and its restricted subsidiaries. The Term Loan Agreement contains customary representations, covenants and events of default, substantially similar to the Company’s outstanding asset-based revolving credit facility, including, without limitation, certain covenants that limit the ability of the Company and its restricted subsidiaries to, among other things, pay dividends, incur debt, create liens and encumbrances, redeem or repurchase stock, dispose of assets (including dispositions of material intellectual property), consummate acquisitions or other investments, prepay certain debt, engage in sale and leaseback transactions, consummate mergers and other fundamental changes, enter in to restrictive agreements or modify their organizational documents. The Company is also required to maintain compliance with a minimum liquidity financial covenant of $1,000,000,000. Interest due in respect of delayed draw term loans under the Term Loan Agreement is payable in cash or in kind, at the option of the Company. Generally, interest under the Term Loan Agreement is calculated using either (i) three-month adjusted Term SOFR plus an interest rate margin of 5.75% or (ii) the “alternate base rate” plus an interest rate margin of 4.75%. In addition to paying interest on the outstanding principal under the Term Loan Agreement, the Company is required to pay a quarterly undrawn fee at a rate equal to 0.50% per annum on the total amount of the unused commitments of the delayed draw term loan facility. The final maturity date of the Term Loan Agreement is August 4, 2029.</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terms of the Term Loan Agreement is not a complete description thereof and is qualified in its entirety by the full text of such agreement, which is filed as Exhibit 10.2 hereto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3.02 Unregistered Sales of Equity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Item 1.01 above, pursuant to the Subscription Agreement, the Company has agreed to sell an aggregate of 75,000 shares of Convertible Preferred Stock. The offer and sale of the shares of Convertible Preferred Stock will be made in reliance on an exemption from registration under the Securities Act pursuant to Section 4(a)(2) thereof. The Company will rely on this exemption from registration based in part on representations made by Ayar in the Subscription Agreement. The shares of Common Stock issuable upon conversion of shares of the Convertible Preferred Stock will be issued in reliance upon the exemption from registration in Section 3(a)(9) of the Securities Act. The disclosure set forth in Item 1.01 under the caption “Private Placement” above is incorporated by reference into this Item 3.02.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3.03 Material Modification to Rights of Security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1.01 of this Current Report is incorporated by reference into this Item 3.03.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01"/>
        <w:gridCol w:w="2624"/>
        <w:gridCol w:w="374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2fy24form8-kxex101.htm">
              <w:r>
                <w:rPr>
                  <w:rStyle w:val="InternetLink"/>
                  <w:rFonts w:ascii="Times New Roman;sans-serif" w:hAnsi="Times New Roman;sans-serif"/>
                  <w:b w:val="false"/>
                  <w:color w:val="000080"/>
                  <w:sz w:val="20"/>
                  <w:u w:val="single"/>
                </w:rPr>
                <w:t xml:space="preserve">Subscription Agreement, dated </w:t>
              </w:r>
            </w:hyperlink>
            <w:hyperlink w:anchor="q2fy24form8-kxex101.htm">
              <w:r>
                <w:rPr>
                  <w:rStyle w:val="InternetLink"/>
                  <w:rFonts w:ascii="Times New Roman;sans-serif" w:hAnsi="Times New Roman;sans-serif"/>
                  <w:b w:val="false"/>
                  <w:color w:val="000080"/>
                  <w:sz w:val="20"/>
                  <w:u w:val="single"/>
                </w:rPr>
                <w:t>August 4, 2024</w:t>
              </w:r>
            </w:hyperlink>
            <w:hyperlink w:anchor="q2fy24form8-kxex101.htm">
              <w:r>
                <w:rPr>
                  <w:rStyle w:val="InternetLink"/>
                  <w:rFonts w:ascii="Times New Roman;sans-serif" w:hAnsi="Times New Roman;sans-serif"/>
                  <w:b w:val="false"/>
                  <w:color w:val="000080"/>
                  <w:sz w:val="20"/>
                  <w:u w:val="single"/>
                </w:rPr>
                <w:t>, between Lucid Group, Inc. and Ayar Third Investment Company (including form of Certificate of Designations related to the Series B Convertible Preferred Stock and form of Amendment No. 4 to the Investor Rights Agreement by and among Lucid Group, Inc., Ayar Third Investment Company, and the other parties thereto).</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2fy24form8-kxex102.htm">
              <w:r>
                <w:rPr>
                  <w:rStyle w:val="InternetLink"/>
                  <w:rFonts w:ascii="Times New Roman;sans-serif" w:hAnsi="Times New Roman;sans-serif"/>
                  <w:b w:val="false"/>
                  <w:color w:val="000080"/>
                  <w:sz w:val="20"/>
                  <w:u w:val="single"/>
                </w:rPr>
                <w:t xml:space="preserve">Credit Agreement, dated as of </w:t>
              </w:r>
            </w:hyperlink>
            <w:hyperlink w:anchor="q2fy24form8-kxex102.htm">
              <w:r>
                <w:rPr>
                  <w:rStyle w:val="InternetLink"/>
                  <w:rFonts w:ascii="Times New Roman;sans-serif" w:hAnsi="Times New Roman;sans-serif"/>
                  <w:b w:val="false"/>
                  <w:color w:val="000080"/>
                  <w:sz w:val="20"/>
                  <w:u w:val="single"/>
                </w:rPr>
                <w:t>August 4, 2024</w:t>
              </w:r>
            </w:hyperlink>
            <w:hyperlink w:anchor="q2fy24form8-kxex102.htm">
              <w:r>
                <w:rPr>
                  <w:rStyle w:val="InternetLink"/>
                  <w:rFonts w:ascii="Times New Roman;sans-serif" w:hAnsi="Times New Roman;sans-serif"/>
                  <w:b w:val="false"/>
                  <w:color w:val="000080"/>
                  <w:sz w:val="20"/>
                  <w:u w:val="single"/>
                </w:rPr>
                <w:t>, among Lucid Group, Inc., and Ayar Third Investment Company, as the sole lender and administrative agent.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323" w:type="dxa"/>
        <w:jc w:val="left"/>
        <w:tblInd w:w="0" w:type="dxa"/>
        <w:tblLayout w:type="fixed"/>
        <w:tblCellMar>
          <w:top w:w="28" w:type="dxa"/>
          <w:left w:w="28" w:type="dxa"/>
          <w:bottom w:w="28" w:type="dxa"/>
          <w:right w:w="28" w:type="dxa"/>
        </w:tblCellMar>
      </w:tblPr>
      <w:tblGrid>
        <w:gridCol w:w="705"/>
        <w:gridCol w:w="619"/>
        <w:gridCol w:w="625"/>
        <w:gridCol w:w="245"/>
        <w:gridCol w:w="245"/>
        <w:gridCol w:w="245"/>
        <w:gridCol w:w="771"/>
        <w:gridCol w:w="771"/>
        <w:gridCol w:w="109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August 5, 2024</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w:t>
      </w:r>
    </w:p>
    <w:p>
      <w:pPr>
        <w:pStyle w:val="TextBody"/>
        <w:bidi w:val="0"/>
        <w:spacing w:before="3000" w:after="240"/>
        <w:jc w:val="center"/>
        <w:rPr/>
      </w:pPr>
      <w:r>
        <w:rPr/>
      </w:r>
    </w:p>
    <w:p>
      <w:pPr>
        <w:pStyle w:val="TextBody"/>
        <w:bidi w:val="0"/>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SUBSCRIPTION AGREEMENT</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by and between</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LUCID GROUP, INC.</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INVESTOR</w:t>
      </w:r>
    </w:p>
    <w:p>
      <w:pPr>
        <w:pStyle w:val="TextBody"/>
        <w:bidi w:val="0"/>
        <w:spacing w:lineRule="auto" w:line="288" w:before="240" w:after="300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August 4,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28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0"/>
        <w:gridCol w:w="180"/>
        <w:gridCol w:w="2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Page</w:t>
            </w:r>
          </w:p>
        </w:tc>
      </w:tr>
    </w:tbl>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1</w:t>
        <w:br/>
        <w:br/>
        <w:t>Definitions</w:t>
      </w:r>
    </w:p>
    <w:tbl>
      <w:tblPr>
        <w:tblW w:w="2893" w:type="dxa"/>
        <w:jc w:val="left"/>
        <w:tblInd w:w="0" w:type="dxa"/>
        <w:tblLayout w:type="fixed"/>
        <w:tblCellMar>
          <w:top w:w="28" w:type="dxa"/>
          <w:left w:w="28" w:type="dxa"/>
          <w:bottom w:w="28" w:type="dxa"/>
          <w:right w:w="28" w:type="dxa"/>
        </w:tblCellMar>
      </w:tblPr>
      <w:tblGrid>
        <w:gridCol w:w="494"/>
        <w:gridCol w:w="435"/>
        <w:gridCol w:w="436"/>
        <w:gridCol w:w="385"/>
        <w:gridCol w:w="385"/>
        <w:gridCol w:w="386"/>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2</w:t>
        <w:br/>
        <w:br/>
        <w:t>Purchase and Sale</w:t>
      </w:r>
    </w:p>
    <w:tbl>
      <w:tblPr>
        <w:tblW w:w="3566" w:type="dxa"/>
        <w:jc w:val="left"/>
        <w:tblInd w:w="0" w:type="dxa"/>
        <w:tblLayout w:type="fixed"/>
        <w:tblCellMar>
          <w:top w:w="28" w:type="dxa"/>
          <w:left w:w="28" w:type="dxa"/>
          <w:bottom w:w="28" w:type="dxa"/>
          <w:right w:w="28" w:type="dxa"/>
        </w:tblCellMar>
      </w:tblPr>
      <w:tblGrid>
        <w:gridCol w:w="494"/>
        <w:gridCol w:w="435"/>
        <w:gridCol w:w="436"/>
        <w:gridCol w:w="609"/>
        <w:gridCol w:w="609"/>
        <w:gridCol w:w="611"/>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2.01.</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Purchase and Sale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2.02.</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Closing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0"/>
        <w:ind w:left="0" w:right="0" w:hanging="1440"/>
        <w:jc w:val="both"/>
        <w:rPr/>
      </w:pPr>
      <w:r>
        <w:rPr/>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3</w:t>
        <w:br/>
        <w:br/>
        <w:t>Representations and Warranties of the Company</w:t>
      </w:r>
    </w:p>
    <w:tbl>
      <w:tblPr>
        <w:tblW w:w="6627" w:type="dxa"/>
        <w:jc w:val="left"/>
        <w:tblInd w:w="0" w:type="dxa"/>
        <w:tblLayout w:type="fixed"/>
        <w:tblCellMar>
          <w:top w:w="28" w:type="dxa"/>
          <w:left w:w="28" w:type="dxa"/>
          <w:bottom w:w="28" w:type="dxa"/>
          <w:right w:w="28" w:type="dxa"/>
        </w:tblCellMar>
      </w:tblPr>
      <w:tblGrid>
        <w:gridCol w:w="494"/>
        <w:gridCol w:w="435"/>
        <w:gridCol w:w="436"/>
        <w:gridCol w:w="1629"/>
        <w:gridCol w:w="1629"/>
        <w:gridCol w:w="1632"/>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3.01.</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Organization; Good Standing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3.02.</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Description of Capital Stock; Valid Issuance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3.03.</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Authority; Noncontravention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3.04.</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Governmental Approvals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3.05.</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Sale of Securities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3.06.</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Investment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3.07.</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Price Stabilization of Common 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3.08.</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 Documents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3.09.</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Brokers and Other Advisors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3.10.</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Other Investor Representations or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3.11.</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Other Company Representations or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lineRule="auto" w:line="288"/>
        <w:ind w:left="0" w:right="0" w:hanging="1440"/>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i</w:t>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4</w:t>
        <w:br/>
        <w:br/>
        <w:t>Representations and Warranties of the Investor</w:t>
      </w:r>
    </w:p>
    <w:tbl>
      <w:tblPr>
        <w:tblW w:w="10205" w:type="dxa"/>
        <w:jc w:val="left"/>
        <w:tblInd w:w="0" w:type="dxa"/>
        <w:tblLayout w:type="fixed"/>
        <w:tblCellMar>
          <w:top w:w="28" w:type="dxa"/>
          <w:left w:w="28" w:type="dxa"/>
          <w:bottom w:w="28" w:type="dxa"/>
          <w:right w:w="28" w:type="dxa"/>
        </w:tblCellMar>
      </w:tblPr>
      <w:tblGrid>
        <w:gridCol w:w="489"/>
        <w:gridCol w:w="430"/>
        <w:gridCol w:w="431"/>
        <w:gridCol w:w="2852"/>
        <w:gridCol w:w="2802"/>
        <w:gridCol w:w="2808"/>
        <w:gridCol w:w="114"/>
        <w:gridCol w:w="114"/>
        <w:gridCol w:w="165"/>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4.01.</w:t>
            </w:r>
          </w:p>
        </w:tc>
        <w:tc>
          <w:tcPr>
            <w:tcW w:w="8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Organization; Standing</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4.02.</w:t>
            </w:r>
          </w:p>
        </w:tc>
        <w:tc>
          <w:tcPr>
            <w:tcW w:w="8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Authority; Noncontravention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4.03.</w:t>
            </w:r>
          </w:p>
        </w:tc>
        <w:tc>
          <w:tcPr>
            <w:tcW w:w="8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Governmental Approvals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w:t>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4.04.</w:t>
            </w:r>
          </w:p>
        </w:tc>
        <w:tc>
          <w:tcPr>
            <w:tcW w:w="8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Brokers and Other Advisors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w:t>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4.05.</w:t>
            </w:r>
          </w:p>
        </w:tc>
        <w:tc>
          <w:tcPr>
            <w:tcW w:w="8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Private Placement Matters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w:t>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4.06.</w:t>
            </w:r>
          </w:p>
        </w:tc>
        <w:tc>
          <w:tcPr>
            <w:tcW w:w="8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Non-Reliance an Company Estimates, Projections, Forecasts, Forward-Looking Statements and Business Plans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4.07.</w:t>
            </w:r>
          </w:p>
        </w:tc>
        <w:tc>
          <w:tcPr>
            <w:tcW w:w="8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Other Company Representations or Warranties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4.08.</w:t>
            </w:r>
          </w:p>
        </w:tc>
        <w:tc>
          <w:tcPr>
            <w:tcW w:w="8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Other Investor Representations or Warranties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0"/>
        <w:ind w:left="0" w:right="0" w:hanging="1440"/>
        <w:jc w:val="both"/>
        <w:rPr/>
      </w:pPr>
      <w:r>
        <w:rPr/>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5</w:t>
        <w:br/>
        <w:br/>
        <w:t>Additional Agreements</w:t>
      </w:r>
    </w:p>
    <w:tbl>
      <w:tblPr>
        <w:tblW w:w="7335" w:type="dxa"/>
        <w:jc w:val="left"/>
        <w:tblInd w:w="0" w:type="dxa"/>
        <w:tblLayout w:type="fixed"/>
        <w:tblCellMar>
          <w:top w:w="28" w:type="dxa"/>
          <w:left w:w="28" w:type="dxa"/>
          <w:bottom w:w="28" w:type="dxa"/>
          <w:right w:w="28" w:type="dxa"/>
        </w:tblCellMar>
      </w:tblPr>
      <w:tblGrid>
        <w:gridCol w:w="494"/>
        <w:gridCol w:w="435"/>
        <w:gridCol w:w="436"/>
        <w:gridCol w:w="1858"/>
        <w:gridCol w:w="1858"/>
        <w:gridCol w:w="1863"/>
        <w:gridCol w:w="114"/>
        <w:gridCol w:w="114"/>
        <w:gridCol w:w="163"/>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5.01.</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Action; Commercially Reasonable Efforts; Filings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5.02.</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Public Disclosure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5.03.</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5.04.</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5.05.</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Delivery of Placement Shares After the Closing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5.06.</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Transfer and Hedging Restrictions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5.07.</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Nasdaq Listing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5.08.</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Conversion Shares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5.09.</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Stockholder Consent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5.10.</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16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0"/>
        <w:ind w:left="0" w:right="0" w:hanging="1440"/>
        <w:jc w:val="both"/>
        <w:rPr/>
      </w:pPr>
      <w:r>
        <w:rPr/>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6</w:t>
        <w:br/>
        <w:br/>
        <w:t>Conditions to Closing</w:t>
      </w:r>
    </w:p>
    <w:tbl>
      <w:tblPr>
        <w:tblW w:w="7710" w:type="dxa"/>
        <w:jc w:val="left"/>
        <w:tblInd w:w="0" w:type="dxa"/>
        <w:tblLayout w:type="fixed"/>
        <w:tblCellMar>
          <w:top w:w="28" w:type="dxa"/>
          <w:left w:w="28" w:type="dxa"/>
          <w:bottom w:w="28" w:type="dxa"/>
          <w:right w:w="28" w:type="dxa"/>
        </w:tblCellMar>
      </w:tblPr>
      <w:tblGrid>
        <w:gridCol w:w="494"/>
        <w:gridCol w:w="435"/>
        <w:gridCol w:w="436"/>
        <w:gridCol w:w="1983"/>
        <w:gridCol w:w="1983"/>
        <w:gridCol w:w="1988"/>
        <w:gridCol w:w="114"/>
        <w:gridCol w:w="114"/>
        <w:gridCol w:w="163"/>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6.01.</w:t>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 to the Obligations of the Company and the Investor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6.02.</w:t>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to the Obligations of the Company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6.03.</w:t>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to the Obligations of the Investor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ind w:left="0" w:right="0" w:hanging="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ii</w:t>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7</w:t>
        <w:br/>
        <w:br/>
        <w:t>Termination; Survival</w:t>
      </w:r>
    </w:p>
    <w:tbl>
      <w:tblPr>
        <w:tblW w:w="3900" w:type="dxa"/>
        <w:jc w:val="left"/>
        <w:tblInd w:w="0" w:type="dxa"/>
        <w:tblLayout w:type="fixed"/>
        <w:tblCellMar>
          <w:top w:w="28" w:type="dxa"/>
          <w:left w:w="28" w:type="dxa"/>
          <w:bottom w:w="28" w:type="dxa"/>
          <w:right w:w="28" w:type="dxa"/>
        </w:tblCellMar>
      </w:tblPr>
      <w:tblGrid>
        <w:gridCol w:w="494"/>
        <w:gridCol w:w="435"/>
        <w:gridCol w:w="436"/>
        <w:gridCol w:w="714"/>
        <w:gridCol w:w="714"/>
        <w:gridCol w:w="716"/>
        <w:gridCol w:w="114"/>
        <w:gridCol w:w="114"/>
        <w:gridCol w:w="163"/>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7.01.</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7.02.</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Effect of 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7.03.</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Survival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0"/>
        <w:ind w:left="0" w:right="0" w:hanging="1440"/>
        <w:jc w:val="both"/>
        <w:rPr/>
      </w:pPr>
      <w:r>
        <w:rPr/>
      </w:r>
    </w:p>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8</w:t>
        <w:br/>
        <w:br/>
        <w:t>Miscellaneous</w:t>
      </w:r>
    </w:p>
    <w:tbl>
      <w:tblPr>
        <w:tblW w:w="6405" w:type="dxa"/>
        <w:jc w:val="left"/>
        <w:tblInd w:w="0" w:type="dxa"/>
        <w:tblLayout w:type="fixed"/>
        <w:tblCellMar>
          <w:top w:w="28" w:type="dxa"/>
          <w:left w:w="28" w:type="dxa"/>
          <w:bottom w:w="28" w:type="dxa"/>
          <w:right w:w="28" w:type="dxa"/>
        </w:tblCellMar>
      </w:tblPr>
      <w:tblGrid>
        <w:gridCol w:w="494"/>
        <w:gridCol w:w="435"/>
        <w:gridCol w:w="436"/>
        <w:gridCol w:w="1548"/>
        <w:gridCol w:w="1548"/>
        <w:gridCol w:w="1553"/>
        <w:gridCol w:w="114"/>
        <w:gridCol w:w="114"/>
        <w:gridCol w:w="163"/>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8.01.</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Amendments; Waivers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8.02.</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Extension of Time, Waiver,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8.03.</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Assignment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8.04.</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8.05.</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Entire Agreement; No Third-Party Beneficiaries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8.06.</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 Jurisdiction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8.07.</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Specific Enforcement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8.08.</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JURY TRIAL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8.09.</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8.10.</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8.11.</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Expenses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8.12.</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Interpretation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lineRule="auto" w:line="288" w:before="48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Exhibits</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Exhibit A: Form of Series B Convertible Preferred Stock Certificate of Designations </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Exhibit B: Form of Amendment to Investor Rights Agreement</w:t>
      </w:r>
    </w:p>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iii</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color w:val="000000"/>
          <w:sz w:val="22"/>
        </w:rPr>
        <w:t xml:space="preserve">SUBSCRIPTION AGREEMENT, </w:t>
      </w:r>
      <w:r>
        <w:rPr>
          <w:rFonts w:ascii="Times New Roman;sans-serif" w:hAnsi="Times New Roman;sans-serif"/>
          <w:b w:val="false"/>
          <w:color w:val="000000"/>
          <w:sz w:val="22"/>
        </w:rPr>
        <w:t>dated as of August 4, 2024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by and between Lucid Group, Inc., a Delaware corporation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and the investor(s) on the signature page hereto (the “</w:t>
      </w:r>
      <w:r>
        <w:rPr>
          <w:rFonts w:ascii="Times New Roman;sans-serif" w:hAnsi="Times New Roman;sans-serif"/>
          <w:b/>
          <w:color w:val="000000"/>
          <w:sz w:val="22"/>
        </w:rPr>
        <w:t>Investor</w:t>
      </w:r>
      <w:r>
        <w:rPr>
          <w:color w:val="000000"/>
        </w:rPr>
        <w:t>”</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WHEREAS, subject to the terms and conditions set forth herein, the Company desires to issue, sell and deliver to the Investor, and the Investor desires to purchase and acquire from the Company, the number of shares specified on Investor’s signature page (the “</w:t>
      </w:r>
      <w:r>
        <w:rPr>
          <w:rFonts w:ascii="Times New Roman;sans-serif" w:hAnsi="Times New Roman;sans-serif"/>
          <w:b/>
          <w:color w:val="000000"/>
          <w:sz w:val="22"/>
        </w:rPr>
        <w:t>Purchased Shares</w:t>
      </w:r>
      <w:r>
        <w:rPr>
          <w:color w:val="000000"/>
        </w:rPr>
        <w:t>”</w:t>
      </w:r>
      <w:r>
        <w:rPr>
          <w:rFonts w:ascii="Times New Roman;sans-serif" w:hAnsi="Times New Roman;sans-serif"/>
          <w:b w:val="false"/>
          <w:color w:val="000000"/>
          <w:sz w:val="22"/>
        </w:rPr>
        <w:t>) of Series B Convertible Preferred Stock, par value $0.0001 per share (the “</w:t>
      </w:r>
      <w:r>
        <w:rPr>
          <w:rFonts w:ascii="Times New Roman;sans-serif" w:hAnsi="Times New Roman;sans-serif"/>
          <w:b/>
          <w:color w:val="000000"/>
          <w:sz w:val="22"/>
        </w:rPr>
        <w:t>Convertible Preferred Stock</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and such purchase and sale, the “</w:t>
      </w:r>
      <w:r>
        <w:rPr>
          <w:rFonts w:ascii="Times New Roman;sans-serif" w:hAnsi="Times New Roman;sans-serif"/>
          <w:b/>
          <w:color w:val="000000"/>
          <w:sz w:val="22"/>
        </w:rPr>
        <w:t>Placement</w:t>
      </w:r>
      <w:r>
        <w:rPr>
          <w:color w:val="000000"/>
        </w:rPr>
        <w:t>”</w:t>
      </w:r>
      <w:r>
        <w:rPr>
          <w:rFonts w:ascii="Times New Roman;sans-serif" w:hAnsi="Times New Roman;sans-serif"/>
          <w:b w:val="false"/>
          <w:color w:val="000000"/>
          <w:sz w:val="22"/>
        </w:rPr>
        <w:t xml:space="preserve">), having the designation, preferences, rights (including with respect to conversion), privileges, powers, and terms and conditions, as specified in the form of the Series B Convertible Preferred Stock Certificate of Designations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Certificate of Designations</w:t>
      </w:r>
      <w:r>
        <w:rPr>
          <w:color w:val="000000"/>
        </w:rPr>
        <w:t>”</w:t>
      </w:r>
      <w:r>
        <w:rPr>
          <w:rFonts w:ascii="Times New Roman;sans-serif" w:hAnsi="Times New Roman;sans-serif"/>
          <w:b w:val="false"/>
          <w:color w:val="000000"/>
          <w:sz w:val="22"/>
        </w:rPr>
        <w:t>). The Convertible Preferred Stock will be convertible into shares of the Company’s Class A Common Stock, par value $0.0001 per share (the “</w:t>
      </w:r>
      <w:r>
        <w:rPr>
          <w:rFonts w:ascii="Times New Roman;sans-serif" w:hAnsi="Times New Roman;sans-serif"/>
          <w:b/>
          <w:color w:val="000000"/>
          <w:sz w:val="22"/>
        </w:rPr>
        <w:t>Common Stock</w:t>
      </w:r>
      <w:r>
        <w:rPr>
          <w:color w:val="000000"/>
        </w:rPr>
        <w:t>”</w:t>
      </w:r>
      <w:r>
        <w:rPr>
          <w:rFonts w:ascii="Times New Roman;sans-serif" w:hAnsi="Times New Roman;sans-serif"/>
          <w:b w:val="false"/>
          <w:color w:val="000000"/>
          <w:sz w:val="22"/>
        </w:rPr>
        <w:t>) on the terms and subject to the conditions set forth in the Certificate of Designations, and any shares of Common Stock issuable upon conversion of the Purchased Shares are referred to herein as the “</w:t>
      </w:r>
      <w:r>
        <w:rPr>
          <w:rFonts w:ascii="Times New Roman;sans-serif" w:hAnsi="Times New Roman;sans-serif"/>
          <w:b/>
          <w:color w:val="000000"/>
          <w:sz w:val="22"/>
        </w:rPr>
        <w:t>Underlying Shares</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execution by the Investor of this Agreement shall satisfy the consent requirements of Section 6.3 of the certificate of designations of Series A convertible preferred stock of the Company. </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representations, warranties, covenants and agreements contained in this Agreement, the receipt and sufficiency of which are hereby acknowledged, the parties to this Agreement hereby agree as follows:</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1</w:t>
        <w:br/>
        <w:br/>
        <w:t>Definitions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    </w:t>
      </w:r>
      <w:r>
        <w:rPr>
          <w:rFonts w:ascii="Times New Roman;sans-serif" w:hAnsi="Times New Roman;sans-serif"/>
          <w:b w:val="false"/>
          <w:i/>
          <w:color w:val="000000"/>
          <w:sz w:val="22"/>
        </w:rPr>
        <w:t>Definitions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As used in this Agreement (including the recitals hereto), the following terms shall have the following meanings: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 xml:space="preserve">means, with respect to any Person, any other Person that, directly or indirectly, through one or more intermediaries, controls, is controlled by, or is under common control with, such Person;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that, for purposes of this Agreement only, the Company shall not be deemed an Affiliate of the Investor or any of the Investor’s Affiliates. The term “</w:t>
      </w:r>
      <w:r>
        <w:rPr>
          <w:rFonts w:ascii="Times New Roman;sans-serif" w:hAnsi="Times New Roman;sans-serif"/>
          <w:b/>
          <w:color w:val="000000"/>
          <w:sz w:val="22"/>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w:t>
      </w:r>
      <w:r>
        <w:rPr>
          <w:rFonts w:ascii="Times New Roman;sans-serif" w:hAnsi="Times New Roman;sans-serif"/>
          <w:b/>
          <w:color w:val="000000"/>
          <w:sz w:val="22"/>
        </w:rPr>
        <w:t>controlled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controlling</w:t>
      </w:r>
      <w:r>
        <w:rPr>
          <w:color w:val="000000"/>
        </w:rPr>
        <w:t xml:space="preserve">” </w:t>
      </w:r>
      <w:r>
        <w:rPr>
          <w:rFonts w:ascii="Times New Roman;sans-serif" w:hAnsi="Times New Roman;sans-serif"/>
          <w:b w:val="false"/>
          <w:color w:val="000000"/>
          <w:sz w:val="22"/>
        </w:rPr>
        <w:t>have correlative meanings. Notwithstanding the foregoing, no governmental entity (other than a commercial entity acting in a commercial capacity) and no sovereign or political subdivision of The Kingdom of Saudi Arabia shall be considered an Affiliate of the Investor.</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Aggregate Purchase Price</w:t>
      </w:r>
      <w:r>
        <w:rPr>
          <w:color w:val="000000"/>
        </w:rPr>
        <w:t xml:space="preserve">” </w:t>
      </w:r>
      <w:r>
        <w:rPr>
          <w:rFonts w:ascii="Times New Roman;sans-serif" w:hAnsi="Times New Roman;sans-serif"/>
          <w:b w:val="false"/>
          <w:color w:val="000000"/>
          <w:sz w:val="22"/>
        </w:rPr>
        <w:t>means the aggregate Purchase Price for the Purchased Shares to be purchased by the Investor hereunder and delivered at the Closing (as defined below).</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Appointed Director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5.10</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Bankruptcy and Equity Exception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3.03(a)</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Business Day</w:t>
      </w:r>
      <w:r>
        <w:rPr>
          <w:color w:val="000000"/>
        </w:rPr>
        <w:t xml:space="preserve">” </w:t>
      </w:r>
      <w:r>
        <w:rPr>
          <w:rFonts w:ascii="Times New Roman;sans-serif" w:hAnsi="Times New Roman;sans-serif"/>
          <w:b w:val="false"/>
          <w:color w:val="000000"/>
          <w:sz w:val="22"/>
        </w:rPr>
        <w:t>means any day except a Saturday, a Sunday or other day on which the SEC or banks in the City of New York are authorized or required by Law to be closed.</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Change of Control</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means the United States Internal Revenue Code of 1986, as amended.</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Company Organizational Documents</w:t>
      </w:r>
      <w:r>
        <w:rPr>
          <w:color w:val="000000"/>
        </w:rPr>
        <w:t xml:space="preserve">” </w:t>
      </w:r>
      <w:r>
        <w:rPr>
          <w:rFonts w:ascii="Times New Roman;sans-serif" w:hAnsi="Times New Roman;sans-serif"/>
          <w:b w:val="false"/>
          <w:color w:val="000000"/>
          <w:sz w:val="22"/>
        </w:rPr>
        <w:t>means the Company’s (i) Third Amended and Restated Certificate of Incorporation and (ii) Second Amended and Restated Bylaws, each as amended and/or restated from time to time.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Contract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E&amp;P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5.04(c)</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Exchange Act</w:t>
      </w:r>
      <w:r>
        <w:rPr>
          <w:color w:val="000000"/>
        </w:rPr>
        <w:t xml:space="preserve">” </w:t>
      </w:r>
      <w:r>
        <w:rPr>
          <w:rFonts w:ascii="Times New Roman;sans-serif" w:hAnsi="Times New Roman;sans-serif"/>
          <w:b w:val="false"/>
          <w:color w:val="000000"/>
          <w:sz w:val="22"/>
        </w:rPr>
        <w:t>means the Securities Exchange Act of 1934,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Form 10-K</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Fraud</w:t>
      </w:r>
      <w:r>
        <w:rPr>
          <w:color w:val="000000"/>
        </w:rPr>
        <w:t xml:space="preserve">” </w:t>
      </w:r>
      <w:r>
        <w:rPr>
          <w:rFonts w:ascii="Times New Roman;sans-serif" w:hAnsi="Times New Roman;sans-serif"/>
          <w:b w:val="false"/>
          <w:color w:val="000000"/>
          <w:sz w:val="22"/>
        </w:rPr>
        <w:t>means actual, not constructive, common law fraud (under the laws of the State of New York).</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GAAP</w:t>
      </w:r>
      <w:r>
        <w:rPr>
          <w:color w:val="000000"/>
        </w:rPr>
        <w:t xml:space="preserve">” </w:t>
      </w:r>
      <w:r>
        <w:rPr>
          <w:rFonts w:ascii="Times New Roman;sans-serif" w:hAnsi="Times New Roman;sans-serif"/>
          <w:b w:val="false"/>
          <w:color w:val="000000"/>
          <w:sz w:val="22"/>
        </w:rPr>
        <w:t>means generally accepted accounting principles in the United States.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Governmental Authority</w:t>
      </w:r>
      <w:r>
        <w:rPr>
          <w:color w:val="000000"/>
        </w:rPr>
        <w:t xml:space="preserve">” </w:t>
      </w:r>
      <w:r>
        <w:rPr>
          <w:rFonts w:ascii="Times New Roman;sans-serif" w:hAnsi="Times New Roman;sans-serif"/>
          <w:b w:val="false"/>
          <w:color w:val="000000"/>
          <w:sz w:val="22"/>
        </w:rPr>
        <w:t>means any government, court, regulatory or administrative agency, arbitrator (public or private), commission or authority, stock exchange or other legislative, executive or judicial governmental entity (in each case including any self-regulatory organization), whether federal, state or local, domestic, foreign or multinational. For the avoidance of doubt, Investor shall not be deemed to be a Governmental Authority for any purpose under this Agreement.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Investor Material Adverse Effect</w:t>
      </w:r>
      <w:r>
        <w:rPr>
          <w:color w:val="000000"/>
        </w:rPr>
        <w:t xml:space="preserve">” </w:t>
      </w:r>
      <w:r>
        <w:rPr>
          <w:rFonts w:ascii="Times New Roman;sans-serif" w:hAnsi="Times New Roman;sans-serif"/>
          <w:b w:val="false"/>
          <w:color w:val="000000"/>
          <w:sz w:val="22"/>
        </w:rPr>
        <w:t>means any effect, change, event or occurrence that would prevent or materially delay, interfere with, hinder or impair the compliance by the Investor with its obligations under this Agreement.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Investor Rights Agreement</w:t>
      </w:r>
      <w:r>
        <w:rPr>
          <w:color w:val="000000"/>
        </w:rPr>
        <w:t xml:space="preserve">” </w:t>
      </w:r>
      <w:r>
        <w:rPr>
          <w:rFonts w:ascii="Times New Roman;sans-serif" w:hAnsi="Times New Roman;sans-serif"/>
          <w:b w:val="false"/>
          <w:color w:val="000000"/>
          <w:sz w:val="22"/>
        </w:rPr>
        <w:t>means the Investor Rights Agreement, dated as of February 22, 2021, by and among the Company, the Investor and certain other parties thereto, as amended and/or restated from time to time.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Judgment</w:t>
      </w:r>
      <w:r>
        <w:rPr>
          <w:color w:val="000000"/>
        </w:rPr>
        <w:t xml:space="preserve">” </w:t>
      </w:r>
      <w:r>
        <w:rPr>
          <w:rFonts w:ascii="Times New Roman;sans-serif" w:hAnsi="Times New Roman;sans-serif"/>
          <w:b w:val="false"/>
          <w:color w:val="000000"/>
          <w:sz w:val="22"/>
        </w:rPr>
        <w:t>means any order, judgment, injunction, ruling, writ or decree of any Governmental Authority.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Laws</w:t>
      </w:r>
      <w:r>
        <w:rPr>
          <w:color w:val="000000"/>
        </w:rPr>
        <w:t xml:space="preserve">” </w:t>
      </w:r>
      <w:r>
        <w:rPr>
          <w:rFonts w:ascii="Times New Roman;sans-serif" w:hAnsi="Times New Roman;sans-serif"/>
          <w:b w:val="false"/>
          <w:color w:val="000000"/>
          <w:sz w:val="22"/>
        </w:rPr>
        <w:t>means all local, state or federal laws, common law, statutes, ordinances, codes, rules or regulations, orders, executive orders, judgements, injunctions, governmental guidelines or interpretations thereof that have the force of law, Permits, decrees, or other similar requirements enacted, adopted, promulgated or applied by any Governmental Authority.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Lock-Up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Lock-Up Securities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7660"/>
                <wp:effectExtent l="0" t="0" r="0" b="0"/>
                <wp:wrapNone/>
                <wp:docPr id="13" name="Frame1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Material Adverse Effect</w:t>
      </w:r>
      <w:r>
        <w:rPr>
          <w:color w:val="000000"/>
        </w:rPr>
        <w:t xml:space="preserve">” </w:t>
      </w:r>
      <w:r>
        <w:rPr>
          <w:rFonts w:ascii="Times New Roman;sans-serif" w:hAnsi="Times New Roman;sans-serif"/>
          <w:b w:val="false"/>
          <w:color w:val="000000"/>
          <w:sz w:val="22"/>
        </w:rPr>
        <w:t>means any material adverse change or any development involving a prospective material adverse change in the condition, financial or otherwise, or in the earnings, business or management of the Company and its subsidiaries considered as one enterprise.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Nasdaq</w:t>
      </w:r>
      <w:r>
        <w:rPr>
          <w:color w:val="000000"/>
        </w:rPr>
        <w:t xml:space="preserve">” </w:t>
      </w:r>
      <w:r>
        <w:rPr>
          <w:rFonts w:ascii="Times New Roman;sans-serif" w:hAnsi="Times New Roman;sans-serif"/>
          <w:b w:val="false"/>
          <w:color w:val="000000"/>
          <w:sz w:val="22"/>
        </w:rPr>
        <w:t>means the Nasdaq Global Select Market or any other principal trading exchange or market for Common Stock from time to time.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means an individual, corporation, limited liability company, partnership, joint venture, association, trust, unincorporated organization or any other entity, including a Governmental Authority.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Permitted Transferee</w:t>
      </w:r>
      <w:r>
        <w:rPr>
          <w:color w:val="000000"/>
        </w:rPr>
        <w:t xml:space="preserve">” </w:t>
      </w:r>
      <w:r>
        <w:rPr>
          <w:rFonts w:ascii="Times New Roman;sans-serif" w:hAnsi="Times New Roman;sans-serif"/>
          <w:b w:val="false"/>
          <w:color w:val="000000"/>
          <w:sz w:val="22"/>
        </w:rPr>
        <w:t xml:space="preserve">means the Investor and any of its Affiliates.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Purchase Price</w:t>
      </w:r>
      <w:r>
        <w:rPr>
          <w:color w:val="000000"/>
        </w:rPr>
        <w:t xml:space="preserve">” </w:t>
      </w:r>
      <w:r>
        <w:rPr>
          <w:rFonts w:ascii="Times New Roman;sans-serif" w:hAnsi="Times New Roman;sans-serif"/>
          <w:b w:val="false"/>
          <w:color w:val="000000"/>
          <w:sz w:val="22"/>
        </w:rPr>
        <w:t>means $10,000 per Preferred Share.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Registration Rights Agreement</w:t>
      </w:r>
      <w:r>
        <w:rPr>
          <w:color w:val="000000"/>
        </w:rPr>
        <w:t xml:space="preserve">” </w:t>
      </w:r>
      <w:r>
        <w:rPr>
          <w:rFonts w:ascii="Times New Roman;sans-serif" w:hAnsi="Times New Roman;sans-serif"/>
          <w:b w:val="false"/>
          <w:color w:val="000000"/>
          <w:sz w:val="22"/>
        </w:rPr>
        <w:t xml:space="preserve">means that certain Amendment to the Investor Rights Agreement to be entered into by the Company and the Investor, the form of which is set forth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hereto.</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Representatives</w:t>
      </w:r>
      <w:r>
        <w:rPr>
          <w:color w:val="000000"/>
        </w:rPr>
        <w:t xml:space="preserve">” </w:t>
      </w:r>
      <w:r>
        <w:rPr>
          <w:rFonts w:ascii="Times New Roman;sans-serif" w:hAnsi="Times New Roman;sans-serif"/>
          <w:b w:val="false"/>
          <w:color w:val="000000"/>
          <w:sz w:val="22"/>
        </w:rPr>
        <w:t>means, with respect to any Person, its officers, directors, principals, partners, managers, members, employees, consultants, agents, financial advisors, investment bankers, attorneys, accountants, other advisors, and other representatives.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Restraints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 xml:space="preserve">means the Securities and Exchange Commission.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SEC Documents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3.08</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Securities Act</w:t>
      </w:r>
      <w:r>
        <w:rPr>
          <w:color w:val="000000"/>
        </w:rPr>
        <w:t xml:space="preserve">” </w:t>
      </w:r>
      <w:r>
        <w:rPr>
          <w:rFonts w:ascii="Times New Roman;sans-serif" w:hAnsi="Times New Roman;sans-serif"/>
          <w:b w:val="false"/>
          <w:color w:val="000000"/>
          <w:sz w:val="22"/>
        </w:rPr>
        <w:t>means the Securities Act of 1933,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Tax</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5.04(a)</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Transaction Documents</w:t>
      </w:r>
      <w:r>
        <w:rPr>
          <w:color w:val="000000"/>
        </w:rPr>
        <w:t xml:space="preserve">” </w:t>
      </w:r>
      <w:r>
        <w:rPr>
          <w:rFonts w:ascii="Times New Roman;sans-serif" w:hAnsi="Times New Roman;sans-serif"/>
          <w:b w:val="false"/>
          <w:color w:val="000000"/>
          <w:sz w:val="22"/>
        </w:rPr>
        <w:t>means this Agreement, the Registration Rights Agreement and all other documents, certificates or agreements executed in connection with the Transactions contemplated by this Agreement, the Certificate of Designations, and the Registration Rights Agreement.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Transactions</w:t>
      </w:r>
      <w:r>
        <w:rPr>
          <w:color w:val="000000"/>
        </w:rPr>
        <w:t xml:space="preserve">” </w:t>
      </w:r>
      <w:r>
        <w:rPr>
          <w:rFonts w:ascii="Times New Roman;sans-serif" w:hAnsi="Times New Roman;sans-serif"/>
          <w:b w:val="false"/>
          <w:color w:val="000000"/>
          <w:sz w:val="22"/>
        </w:rPr>
        <w:t>means the transactions expressly contemplated by this</w:t>
      </w:r>
      <w:r>
        <w:rPr>
          <w:color w:val="000000"/>
        </w:rPr>
        <w:t xml:space="preserve"> </w:t>
      </w:r>
      <w:r>
        <w:rPr>
          <w:rFonts w:ascii="Times New Roman;sans-serif" w:hAnsi="Times New Roman;sans-serif"/>
          <w:b w:val="false"/>
          <w:color w:val="000000"/>
          <w:sz w:val="22"/>
        </w:rPr>
        <w:t>Agreement and the other Transaction Documents, including the issuance of the Purchased Shares to the Investor and the issuance of Underlying Shares upon conversion thereof.</w:t>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7660"/>
                <wp:effectExtent l="0" t="0" r="0" b="0"/>
                <wp:wrapNone/>
                <wp:docPr id="14" name="Frame1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2</w:t>
        <w:br/>
        <w:br/>
        <w:t>Purchase and Sale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2.01.    </w:t>
      </w:r>
      <w:r>
        <w:rPr>
          <w:rFonts w:ascii="Times New Roman;sans-serif" w:hAnsi="Times New Roman;sans-serif"/>
          <w:b w:val="false"/>
          <w:i/>
          <w:color w:val="000000"/>
          <w:sz w:val="22"/>
        </w:rPr>
        <w:t>Purchase and Sale</w:t>
      </w:r>
      <w:r>
        <w:rPr>
          <w:rFonts w:ascii="Times New Roman;sans-serif" w:hAnsi="Times New Roman;sans-serif"/>
          <w:b w:val="false"/>
          <w:color w:val="000000"/>
          <w:sz w:val="22"/>
        </w:rPr>
        <w:t xml:space="preserve">. (a) On the terms of this Agreement and subject to the satisfaction (or, to the extent permitted by applicable Law, waiver by the party entitled to the benefit thereof) of the conditions set forth in </w:t>
      </w:r>
      <w:r>
        <w:rPr>
          <w:rFonts w:ascii="Times New Roman;sans-serif" w:hAnsi="Times New Roman;sans-serif"/>
          <w:b w:val="false"/>
          <w:color w:val="000000"/>
          <w:sz w:val="22"/>
          <w:u w:val="single"/>
        </w:rPr>
        <w:t>Article 6</w:t>
      </w:r>
      <w:r>
        <w:rPr>
          <w:rFonts w:ascii="Times New Roman;sans-serif" w:hAnsi="Times New Roman;sans-serif"/>
          <w:b w:val="false"/>
          <w:color w:val="000000"/>
          <w:sz w:val="22"/>
        </w:rPr>
        <w:t>, the Investor shall purchase and acquire from the Company, and the Company shall issue, sell and deliver to the Investor, the Purchased Shares at the Aggregate Purchase Price.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2.02.    </w:t>
      </w:r>
      <w:r>
        <w:rPr>
          <w:rFonts w:ascii="Times New Roman;sans-serif" w:hAnsi="Times New Roman;sans-serif"/>
          <w:b w:val="false"/>
          <w:i/>
          <w:color w:val="000000"/>
          <w:sz w:val="22"/>
        </w:rPr>
        <w:t>Closing</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Subject to the terms of this Agreement, the closing of the Placement shall occur electronically (the “</w:t>
      </w:r>
      <w:r>
        <w:rPr>
          <w:rFonts w:ascii="Times New Roman;sans-serif" w:hAnsi="Times New Roman;sans-serif"/>
          <w:b/>
          <w:color w:val="000000"/>
          <w:sz w:val="22"/>
        </w:rPr>
        <w:t>Closing</w:t>
      </w:r>
      <w:r>
        <w:rPr>
          <w:color w:val="000000"/>
        </w:rPr>
        <w:t>”</w:t>
      </w:r>
      <w:r>
        <w:rPr>
          <w:rFonts w:ascii="Times New Roman;sans-serif" w:hAnsi="Times New Roman;sans-serif"/>
          <w:b w:val="false"/>
          <w:color w:val="000000"/>
          <w:sz w:val="22"/>
        </w:rPr>
        <w:t>) on or about 10:00 a.m., New York City Time, no later than the tenth (10th) Business Day following the date of this Agreement, or at such other place, time or date as shall be agreed between the Company and the Investor (the “</w:t>
      </w:r>
      <w:r>
        <w:rPr>
          <w:rFonts w:ascii="Times New Roman;sans-serif" w:hAnsi="Times New Roman;sans-serif"/>
          <w:b/>
          <w:color w:val="000000"/>
          <w:sz w:val="22"/>
        </w:rPr>
        <w:t>Closing Date</w:t>
      </w:r>
      <w:r>
        <w:rPr>
          <w:color w:val="000000"/>
        </w:rPr>
        <w:t>”</w:t>
      </w:r>
      <w:r>
        <w:rPr>
          <w:rFonts w:ascii="Times New Roman;sans-serif" w:hAnsi="Times New Roman;sans-serif"/>
          <w:b w:val="false"/>
          <w:color w:val="000000"/>
          <w:sz w:val="22"/>
        </w:rPr>
        <w:t>).</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At the Closing:</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the Company shall deliver to the Investor (1) the Purchased Shares in book-entry form and (2) the Registration Rights Agreement, duly executed by the Company; and</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the Investor shall (1) pay the Aggregate Purchase Price by wire transfer in immediately available U.S. federal funds, to the account designated by the Company in writing and (2) deliver to the Company the Registration Rights Agreement, duly executed by the Investor.</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3</w:t>
        <w:br/>
        <w:br/>
        <w:t>Representations and Warranties of the Company</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represents and warrants to the Investor, as of the date hereof and as of the Closing Date (except to the extent made only as of a specified date, in which case such representation and warranty is made as of such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3.01.    </w:t>
      </w:r>
      <w:r>
        <w:rPr>
          <w:rFonts w:ascii="Times New Roman;sans-serif" w:hAnsi="Times New Roman;sans-serif"/>
          <w:b w:val="false"/>
          <w:i/>
          <w:color w:val="000000"/>
          <w:sz w:val="22"/>
        </w:rPr>
        <w:t>Organization; Good Standing</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The Company is duly organized and is validly existing as a corporation in good standing under the laws of the State of Delaware and has corporate power and authority to own, lease and operate its properties and to conduct its business as described in the Company’s most recent Annual Report on Form 10-K (the “</w:t>
      </w:r>
      <w:r>
        <w:rPr>
          <w:rFonts w:ascii="Times New Roman;sans-serif" w:hAnsi="Times New Roman;sans-serif"/>
          <w:b/>
          <w:color w:val="000000"/>
          <w:sz w:val="22"/>
        </w:rPr>
        <w:t>Form 10-K</w:t>
      </w:r>
      <w:r>
        <w:rPr>
          <w:color w:val="000000"/>
        </w:rPr>
        <w:t>”</w:t>
      </w:r>
      <w:r>
        <w:rPr>
          <w:rFonts w:ascii="Times New Roman;sans-serif" w:hAnsi="Times New Roman;sans-serif"/>
          <w:b w:val="false"/>
          <w:color w:val="000000"/>
          <w:sz w:val="22"/>
        </w:rPr>
        <w:t>)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so to qualify or to be in good standing would not reasonably be expected to have a Material Adverse Effect.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Subsidiaries</w:t>
      </w:r>
      <w:r>
        <w:rPr>
          <w:rFonts w:ascii="Times New Roman;sans-serif" w:hAnsi="Times New Roman;sans-serif"/>
          <w:b w:val="false"/>
          <w:color w:val="000000"/>
          <w:sz w:val="22"/>
        </w:rPr>
        <w:t xml:space="preserve">. Each of the Company’s subsidiaries is duly organized and is validly existing in good standing under the laws of the jurisdiction of its incorporation or organization (to the extent such concept or functional equivalent is applicable in such jurisdiction), has corporate or similar power and authority to own, lease and operate its properties and to conduct its business as described in the Form 10-K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7660"/>
                <wp:effectExtent l="0" t="0" r="0" b="0"/>
                <wp:wrapNone/>
                <wp:docPr id="15" name="Frame1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conduct of business, except where the failure to so qualify or to be in good standing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3.02.    </w:t>
      </w:r>
      <w:r>
        <w:rPr>
          <w:rFonts w:ascii="Times New Roman;sans-serif" w:hAnsi="Times New Roman;sans-serif"/>
          <w:b w:val="false"/>
          <w:i/>
          <w:color w:val="000000"/>
          <w:sz w:val="22"/>
        </w:rPr>
        <w:t>Description of Capital Stock; Valid Issuance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(a) As of August 2, 2024, the authorized capital stock of the Company consisted of: 15,000,000,000 authorized shares of Common Stock, of which 2,319,765,351 shares were issued and 2,318,907,526 shares were outstanding, and 10,000,000 authorized shares of convertible preferred stock of which 100,000 were issued and outstanding.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(b)    The Convertible Preferred Stock and the shares of Common Stock issuable upon conversion of the Convertible Preferred Stock will be, when issued, duly authorized and validly issued, fully paid and non-assessable and issued in compliance with all applicable federal and state securities Laws, and such shares will not be issued in violation of any purchase option, call option, preemptive right, resale right, subscription right, right of first refusal or similar right, and will be free and clear of all liens, except restrictions imposed by the Securities Act and any applicable foreign and state securities Laws, and transfer restrictions expressly set forth in the Transaction Documents (including </w:t>
      </w:r>
      <w:r>
        <w:rPr>
          <w:rFonts w:ascii="Times New Roman;sans-serif" w:hAnsi="Times New Roman;sans-serif"/>
          <w:b w:val="false"/>
          <w:color w:val="000000"/>
          <w:sz w:val="22"/>
          <w:u w:val="single"/>
        </w:rPr>
        <w:t>Section 5.06</w:t>
      </w:r>
      <w:r>
        <w:rPr>
          <w:color w:val="000000"/>
        </w:rPr>
        <w:t xml:space="preserve"> </w:t>
      </w:r>
      <w:r>
        <w:rPr>
          <w:rFonts w:ascii="Times New Roman;sans-serif" w:hAnsi="Times New Roman;sans-serif"/>
          <w:b w:val="false"/>
          <w:color w:val="000000"/>
          <w:sz w:val="22"/>
        </w:rPr>
        <w:t>hereof). The Convertible Preferred Stock, when issued, and the shares of Common Stock issuable upon conversion of the Convertible Preferred Stock, if and when issued, will have the terms and conditions and entitle the holders thereof to the rights set forth in the Company Organizational Documents, as amended by the Certificate of Designations. The maximum number of Underlying Shares initially issuable upon conversion of the Convertible Preferred Stock have been duly reserved for such issuance.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3.03.    </w:t>
      </w:r>
      <w:r>
        <w:rPr>
          <w:rFonts w:ascii="Times New Roman;sans-serif" w:hAnsi="Times New Roman;sans-serif"/>
          <w:b w:val="false"/>
          <w:i/>
          <w:color w:val="000000"/>
          <w:sz w:val="22"/>
        </w:rPr>
        <w:t>Authority; Noncontravention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The execution, delivery and performance by the Company of each of the Transaction Documents has been duly authorized by the Company. Each Transaction Document, assuming due authorization, execution and delivery by the Investor, shall constitute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sans-serif" w:hAnsi="Times New Roman;sans-serif"/>
          <w:b/>
          <w:color w:val="000000"/>
          <w:sz w:val="22"/>
        </w:rPr>
        <w:t>Bankruptcy and Equity Exception</w:t>
      </w:r>
      <w:r>
        <w:rPr>
          <w:color w:val="000000"/>
        </w:rPr>
        <w:t>”</w:t>
      </w:r>
      <w:r>
        <w:rPr>
          <w:rFonts w:ascii="Times New Roman;sans-serif" w:hAnsi="Times New Roman;sans-serif"/>
          <w:b w:val="false"/>
          <w:color w:val="000000"/>
          <w:sz w:val="22"/>
        </w:rPr>
        <w:t>). Pursuant to resolutions in form and substance previously approved by the Investor, the Board of Directors or a duly authorized committee thereof has approved, and at the request of the Investor will approve in advance of the Closing, for the express purpose of exempting each such transaction from Section 16(b) of the Exchange Act, pursuant to Rule 16b-3 thereunder to the extent applicable and the transactions contemplated by the Transaction Agreements, including the acquisition of the Purchased Shares, any disposition of such Purchased Shares, any acquisition of Common Stock upon conversion of the Purchased Shares, any deemed acquisition or disposition in connection therewith, and all transactions with the Company related thereto.</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(b)    Neither the execution and delivery of this Agreement, the other Transaction Documents by the Company, nor the consummation by the Company of the Transactions, nor performance or compliance by the Company with any of the terms or provisions hereof or thereof, will (i) conflict with or violate any provision of the Company Organizational Documents, or (ii) (x) violate any Law or Judgment applicable to the Company or (y) violate or constitute a default (or constitute an event which, with notice or lapse of time or both, would violate or constitute a default) under any of the terms, conditions or provisions of any loan or credit agreement, indenture, debenture, note, bond, mortgage, deed of trust, lease, sublease, license, contract or other agreement (each, a “</w:t>
      </w:r>
      <w:r>
        <w:rPr>
          <w:rFonts w:ascii="Times New Roman;sans-serif" w:hAnsi="Times New Roman;sans-serif"/>
          <w:b/>
          <w:color w:val="000000"/>
          <w:sz w:val="22"/>
        </w:rPr>
        <w:t>Contract</w:t>
      </w:r>
      <w:r>
        <w:rPr>
          <w:color w:val="000000"/>
        </w:rPr>
        <w:t>”</w:t>
      </w:r>
      <w:r>
        <w:rPr>
          <w:rFonts w:ascii="Times New Roman;sans-serif" w:hAnsi="Times New Roman;sans-serif"/>
          <w:b w:val="false"/>
          <w:color w:val="000000"/>
          <w:sz w:val="22"/>
        </w:rPr>
        <w:t xml:space="preserve">) to which the Company or any of its subsidiaries, as applicable, is a party or accelerate the Company’s or, if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7660"/>
                <wp:effectExtent l="0" t="0" r="0" b="0"/>
                <wp:wrapNone/>
                <wp:docPr id="16" name="Frame1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applicable, any of its subsidiaries’ obligations under any such Contract, except in the case of clause (ii), as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3.04.    </w:t>
      </w:r>
      <w:r>
        <w:rPr>
          <w:rFonts w:ascii="Times New Roman;sans-serif" w:hAnsi="Times New Roman;sans-serif"/>
          <w:b w:val="false"/>
          <w:i/>
          <w:color w:val="000000"/>
          <w:sz w:val="22"/>
        </w:rPr>
        <w:t>Governmental Approvals</w:t>
      </w:r>
      <w:r>
        <w:rPr>
          <w:rFonts w:ascii="Times New Roman;sans-serif" w:hAnsi="Times New Roman;sans-serif"/>
          <w:b w:val="false"/>
          <w:color w:val="000000"/>
          <w:sz w:val="22"/>
        </w:rPr>
        <w:t>. Except for (a) filings required under, and compliance with other applicable requirements of, the Securities Act and the Exchange Act, (b) compliance with the rules and regulations of the Nasdaq and (c) compliance with any applicable state securities or “Blue Sky” laws, no consent or approval of, or filing, license, permit or authorization, declaration or registration with, any Governmental Authority is necessary for the execution and delivery of this Agreement, the other Transaction Documents by the Company, the performance by the Company of its obligations hereunder and thereunder, other than such other consents, approvals, filings, licenses, permits or authorizations, declarations or registrations that, if not obtained, made or given,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3.05.    </w:t>
      </w:r>
      <w:r>
        <w:rPr>
          <w:rFonts w:ascii="Times New Roman;sans-serif" w:hAnsi="Times New Roman;sans-serif"/>
          <w:b w:val="false"/>
          <w:i/>
          <w:color w:val="000000"/>
          <w:sz w:val="22"/>
        </w:rPr>
        <w:t>Sale of Securities</w:t>
      </w:r>
      <w:r>
        <w:rPr>
          <w:rFonts w:ascii="Times New Roman;sans-serif" w:hAnsi="Times New Roman;sans-serif"/>
          <w:b w:val="false"/>
          <w:color w:val="000000"/>
          <w:sz w:val="22"/>
        </w:rPr>
        <w:t xml:space="preserve">. Assuming the accuracy of the representations and warranties of the Investor set forth in </w:t>
      </w:r>
      <w:r>
        <w:rPr>
          <w:rFonts w:ascii="Times New Roman;sans-serif" w:hAnsi="Times New Roman;sans-serif"/>
          <w:b w:val="false"/>
          <w:color w:val="000000"/>
          <w:sz w:val="22"/>
          <w:u w:val="single"/>
        </w:rPr>
        <w:t>Section 4.05</w:t>
      </w:r>
      <w:r>
        <w:rPr>
          <w:rFonts w:ascii="Times New Roman;sans-serif" w:hAnsi="Times New Roman;sans-serif"/>
          <w:b w:val="false"/>
          <w:color w:val="000000"/>
          <w:sz w:val="22"/>
        </w:rPr>
        <w:t>, the sale and issuance of the Purchased Shares pursuant to this Agreement are exempt from the registration and prospectus delivery requirements of the Securities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3.06.    </w:t>
      </w:r>
      <w:r>
        <w:rPr>
          <w:rFonts w:ascii="Times New Roman;sans-serif" w:hAnsi="Times New Roman;sans-serif"/>
          <w:b w:val="false"/>
          <w:i/>
          <w:color w:val="000000"/>
          <w:sz w:val="22"/>
        </w:rPr>
        <w:t>Investment Company</w:t>
      </w:r>
      <w:r>
        <w:rPr>
          <w:rFonts w:ascii="Times New Roman;sans-serif" w:hAnsi="Times New Roman;sans-serif"/>
          <w:b w:val="false"/>
          <w:color w:val="000000"/>
          <w:sz w:val="22"/>
        </w:rPr>
        <w:t>. The Company is not, and will not be, after giving effect to the offer and sale of the Purchased Shares, required to register as an “investment company” within the meaning of the Investment Company Act of 1940, as amended.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3.07.    </w:t>
      </w:r>
      <w:r>
        <w:rPr>
          <w:rFonts w:ascii="Times New Roman;sans-serif" w:hAnsi="Times New Roman;sans-serif"/>
          <w:b w:val="false"/>
          <w:i/>
          <w:color w:val="000000"/>
          <w:sz w:val="22"/>
        </w:rPr>
        <w:t>Price Stabilization of Common Stock</w:t>
      </w:r>
      <w:r>
        <w:rPr>
          <w:rFonts w:ascii="Times New Roman;sans-serif" w:hAnsi="Times New Roman;sans-serif"/>
          <w:b w:val="false"/>
          <w:color w:val="000000"/>
          <w:sz w:val="22"/>
        </w:rPr>
        <w:t>. The Company has not taken, nor will it take, directly or indirectly, any action designed to stabilize or manipulate the price of the Common Stock to facilitate the sale or resale of the Purchased Shares.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3.08.    </w:t>
      </w:r>
      <w:r>
        <w:rPr>
          <w:rFonts w:ascii="Times New Roman;sans-serif" w:hAnsi="Times New Roman;sans-serif"/>
          <w:b w:val="false"/>
          <w:i/>
          <w:color w:val="000000"/>
          <w:sz w:val="22"/>
        </w:rPr>
        <w:t>SEC Documents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From January 1, 2023 to the date of this Agreement, the Company has timely filed all reports, schedules, forms, statements and other documents required to be filed by it with the SEC pursuant to the Exchange Act (including pursuant to any timely filed notifications of late filings) for any of the foregoing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sans-serif" w:hAnsi="Times New Roman;sans-serif"/>
          <w:b/>
          <w:color w:val="000000"/>
          <w:sz w:val="22"/>
        </w:rPr>
        <w:t>SEC Documents</w:t>
      </w:r>
      <w:r>
        <w:rPr>
          <w:color w:val="000000"/>
        </w:rPr>
        <w:t>”</w:t>
      </w:r>
      <w:r>
        <w:rPr>
          <w:rFonts w:ascii="Times New Roman;sans-serif" w:hAnsi="Times New Roman;sans-serif"/>
          <w:b w:val="false"/>
          <w:color w:val="000000"/>
          <w:sz w:val="22"/>
        </w:rPr>
        <w:t>). As of their respective SEC filing dates, the SEC Documents complied in all material respects with the requirements of the Securities Act, the Exchange Act or the Sarbanes-Oxley Act of 2002 (and the regulations promulgated thereunder), as the case may be, applicable to such SEC Documents, and none of the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 As of the date hereof, (i) the Company is eligible to file a registration statement on Form S-3, (ii) none of the Company’s subsidiaries is required to file any documents with the SEC, (iii) there are no outstanding or unresolved comments in comment letters from the SEC staff with respect to any of the Company SEC Documents and (iv) to the knowledge of the Company, none of the Company SEC Documents is the subject of ongoing SEC review, outstanding SEC comment or outstanding SEC investigation.</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consolidated financial statements of the Company (including all related notes or schedules) included or incorporated by reference in the Company SEC Documents (i) complied as to form, as of their respective dates of filing with the SEC in all material respects with the published rules and regulations of the SEC with respect thereto, (ii) have been prepared in accordance with GAAP (except, in the case of unaudited quarterly statements, as permitted by Form 10-Q of the SEC or other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7660"/>
                <wp:effectExtent l="0" t="0" r="0" b="0"/>
                <wp:wrapNone/>
                <wp:docPr id="17" name="Frame1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rules and regulations of the SEC) applied on a consistent basis during the periods involved (except (x) as may be indicated in the notes thereto or (y) as permitted by Regulation S-X), and (iii) fairly present in all material respects the consolidated financial position of the Company and its subsidiaries as of the dates thereof and the consolidated results of their operations and cash flows for the periods shown (subject, in the case of unaudited quarterly financial statements, to normal year-end adjustments).</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Company has established and maintains disclosure controls and procedures and a system of internal controls over financial reporting (as such terms are defined in paragraphs (e) and (f), respectively, of Rule 13a-15 under the Exchange Act) as required by Rule 13a-15 under the Exchange Act. Since the end of the Company’s most recent audited fiscal year, neither the Company nor, to the knowledge of the Company, the Company’s independent registered public accounting firm has identified or been made aware of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in each case which has not been subsequently remediated. As of the date hereof, the Company is in compliance in all material respects with the applicable listing requirements and corporate governance rules and regulations of Nasdaq.</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3.09.    </w:t>
      </w:r>
      <w:r>
        <w:rPr>
          <w:rFonts w:ascii="Times New Roman;sans-serif" w:hAnsi="Times New Roman;sans-serif"/>
          <w:b w:val="false"/>
          <w:i/>
          <w:color w:val="000000"/>
          <w:sz w:val="22"/>
        </w:rPr>
        <w:t>Brokers and Other Advisors</w:t>
      </w:r>
      <w:r>
        <w:rPr>
          <w:rFonts w:ascii="Times New Roman;sans-serif" w:hAnsi="Times New Roman;sans-serif"/>
          <w:b w:val="false"/>
          <w:color w:val="000000"/>
          <w:sz w:val="22"/>
        </w:rPr>
        <w:t xml:space="preserve">. Except as disclosed in </w:t>
      </w:r>
      <w:r>
        <w:rPr>
          <w:rFonts w:ascii="Times New Roman;sans-serif" w:hAnsi="Times New Roman;sans-serif"/>
          <w:b w:val="false"/>
          <w:color w:val="000000"/>
          <w:sz w:val="22"/>
          <w:u w:val="single"/>
        </w:rPr>
        <w:t xml:space="preserve">Schedule 1 </w:t>
      </w:r>
      <w:r>
        <w:rPr>
          <w:rFonts w:ascii="Times New Roman;sans-serif" w:hAnsi="Times New Roman;sans-serif"/>
          <w:b w:val="false"/>
          <w:color w:val="000000"/>
          <w:sz w:val="22"/>
        </w:rPr>
        <w:t>hereto, no broker, investment banker, financial advisor or other Person is entitled to any broker’s, finder’s, financial advisor’s or other similar fee or commission, or the reimbursement of expenses in connection with the Transactions, based upon arrangements made by or on behalf of the Company or any of its Affiliates.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3.10.    </w:t>
      </w:r>
      <w:r>
        <w:rPr>
          <w:rFonts w:ascii="Times New Roman;sans-serif" w:hAnsi="Times New Roman;sans-serif"/>
          <w:b w:val="false"/>
          <w:i/>
          <w:color w:val="000000"/>
          <w:sz w:val="22"/>
        </w:rPr>
        <w:t>No Other Investor Representations or Warranties</w:t>
      </w:r>
      <w:r>
        <w:rPr>
          <w:rFonts w:ascii="Times New Roman;sans-serif" w:hAnsi="Times New Roman;sans-serif"/>
          <w:b w:val="false"/>
          <w:color w:val="000000"/>
          <w:sz w:val="22"/>
        </w:rPr>
        <w:t xml:space="preserve">. Except for the representations and warranties expressly set forth in </w:t>
      </w:r>
      <w:r>
        <w:rPr>
          <w:rFonts w:ascii="Times New Roman;sans-serif" w:hAnsi="Times New Roman;sans-serif"/>
          <w:b w:val="false"/>
          <w:color w:val="000000"/>
          <w:sz w:val="22"/>
          <w:u w:val="single"/>
        </w:rPr>
        <w:t>Article 4</w:t>
      </w:r>
      <w:r>
        <w:rPr>
          <w:color w:val="000000"/>
        </w:rPr>
        <w:t xml:space="preserve"> </w:t>
      </w:r>
      <w:r>
        <w:rPr>
          <w:rFonts w:ascii="Times New Roman;sans-serif" w:hAnsi="Times New Roman;sans-serif"/>
          <w:b w:val="false"/>
          <w:color w:val="000000"/>
          <w:sz w:val="22"/>
        </w:rPr>
        <w:t>hereof, the Investor hereby acknowledges that neither the Investor nor any of its Affiliates or Representatives, nor any other Person, has made or is making any other express or implied representation or warranty with respect to the Investor.</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7660"/>
                <wp:effectExtent l="0" t="0" r="0" b="0"/>
                <wp:wrapNone/>
                <wp:docPr id="18" name="Frame1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3.11.    </w:t>
      </w:r>
      <w:r>
        <w:rPr>
          <w:rFonts w:ascii="Times New Roman;sans-serif" w:hAnsi="Times New Roman;sans-serif"/>
          <w:b w:val="false"/>
          <w:i/>
          <w:color w:val="000000"/>
          <w:sz w:val="22"/>
        </w:rPr>
        <w:t>No Other Company Representations or Warranties</w:t>
      </w:r>
      <w:r>
        <w:rPr>
          <w:rFonts w:ascii="Times New Roman;sans-serif" w:hAnsi="Times New Roman;sans-serif"/>
          <w:b w:val="false"/>
          <w:color w:val="000000"/>
          <w:sz w:val="22"/>
        </w:rPr>
        <w:t xml:space="preserve">. Except for the representations and warranties made by the Company in this </w:t>
      </w:r>
      <w:r>
        <w:rPr>
          <w:rFonts w:ascii="Times New Roman;sans-serif" w:hAnsi="Times New Roman;sans-serif"/>
          <w:b w:val="false"/>
          <w:color w:val="000000"/>
          <w:sz w:val="22"/>
          <w:u w:val="single"/>
        </w:rPr>
        <w:t>Article 3</w:t>
      </w:r>
      <w:r>
        <w:rPr>
          <w:rFonts w:ascii="Times New Roman;sans-serif" w:hAnsi="Times New Roman;sans-serif"/>
          <w:b w:val="false"/>
          <w:color w:val="000000"/>
          <w:sz w:val="22"/>
        </w:rPr>
        <w:t>, neither the Company, any of its Affiliates nor any other Person acting on its behalf makes any other express or implied representation or warranty with respect to its capital stock, the Company or any of its subsidiaries or their respective businesses, operations, properties, assets, liabilities, condition (financial or otherwise) or prospects, and the Investor acknowledges the foregoing.</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4</w:t>
        <w:br/>
        <w:br/>
        <w:t>Representations and Warranties of the Investor</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Investor represents and warrants to the Company, as of the date hereof and as of the Closing Date (except to the extent made only as of a specified date, in which case such representation and warranty is made as of such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4.01.    </w:t>
      </w:r>
      <w:r>
        <w:rPr>
          <w:rFonts w:ascii="Times New Roman;sans-serif" w:hAnsi="Times New Roman;sans-serif"/>
          <w:b w:val="false"/>
          <w:i/>
          <w:color w:val="000000"/>
          <w:sz w:val="22"/>
        </w:rPr>
        <w:t>Organization; Standing</w:t>
      </w:r>
      <w:r>
        <w:rPr>
          <w:rFonts w:ascii="Times New Roman;sans-serif" w:hAnsi="Times New Roman;sans-serif"/>
          <w:b w:val="false"/>
          <w:color w:val="000000"/>
          <w:sz w:val="22"/>
        </w:rPr>
        <w:t>. The Investor is a single shareholder liability company organized under the laws of the Kingdom of Saudi Arabia and has all requisite power and authority necessary to enter into and perform its obligations under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4.02.    </w:t>
      </w:r>
      <w:r>
        <w:rPr>
          <w:rFonts w:ascii="Times New Roman;sans-serif" w:hAnsi="Times New Roman;sans-serif"/>
          <w:b w:val="false"/>
          <w:i/>
          <w:color w:val="000000"/>
          <w:sz w:val="22"/>
        </w:rPr>
        <w:t>Authority; Noncontravention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The Investor has all necessary power and authority to execute and deliver this Agreement and the Registration Rights Agreement and to perform its obligations hereunder and thereunder and to consummate the Transactions. The execution, delivery and performance by the Investor of this Agreement and the Registration Rights Agreement and the consummation by the Investor of the Transactions have been duly authorized and approved by all necessary action on the part of the Investor, and no further action, approval or authorization by any of its stockholders, partners, members or other equity owners, as the case may be, is necessary to authorize the execution, delivery and performance by the Investor of this Agreement and the Registration Rights Agreement and the consummation by the Investor of the Transactions. This Agreement has been duly executed and delivered by the Investor and, assuming due authorization, execution and delivery hereof by the Company, constitutes a legal, valid and binding obligation of the Investor, enforceable against the Investor in accordance with its terms, except as such enforceability may be limited by the Bankruptcy and Equity Exception.</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Neither the execution and delivery of this Agreement or the Registration Rights Agreement by the Investor to which it is a party, nor the consummation of the Transactions by the Investor, nor the performance or compliance by the Investor with any of the terms or provisions hereof or thereof, will (i) conflict with or violate any provision of the certificate of formation, operating agreement or other comparable charter or organizational documents of the Investor, or (ii) (x) violate any Law or Judgment applicable to the Investor or any of its subsidiaries, or (y) violate or constitute a default (or constitute an event which, with notice or lapse of time or both, would violate or constitute a default) under any of the terms, conditions or provisions of any Contract to which the Investor or any of its subsidiaries is a party or accelerate the Investor’s or, if applicable, any of its subsidiaries’, obligations under any such Contract, except, in the case of clause (ii), as would not, individually or in the aggregate, reasonably be expected to have an Investor Material Adverse Effect.</w:t>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7660"/>
                <wp:effectExtent l="0" t="0" r="0" b="0"/>
                <wp:wrapNone/>
                <wp:docPr id="19" name="Frame1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4.03.    </w:t>
      </w:r>
      <w:r>
        <w:rPr>
          <w:rFonts w:ascii="Times New Roman;sans-serif" w:hAnsi="Times New Roman;sans-serif"/>
          <w:b w:val="false"/>
          <w:i/>
          <w:color w:val="000000"/>
          <w:sz w:val="22"/>
        </w:rPr>
        <w:t>Governmental Approvals</w:t>
      </w:r>
      <w:r>
        <w:rPr>
          <w:rFonts w:ascii="Times New Roman;sans-serif" w:hAnsi="Times New Roman;sans-serif"/>
          <w:b w:val="false"/>
          <w:color w:val="000000"/>
          <w:sz w:val="22"/>
        </w:rPr>
        <w:t>. No consent or approval of, or filing, license, permit or authorization, declaration or registration with, any Governmental Authority that would be required to be obtained or made by or on behalf of the Investor is necessary for the execution and delivery of this Agreement and the Registration Rights Agreement by the Investor, the performance by the Investor of its obligations hereunder and thereunder and the consummation by the Investor of the Transactions, other than such other consents, approvals, filings, licenses, permits, authorizations, declarations or registrations that, if not obtained, made or given, would not, individually or in the aggregate, reasonably be expected to have an Investor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4.04.    </w:t>
      </w:r>
      <w:r>
        <w:rPr>
          <w:rFonts w:ascii="Times New Roman;sans-serif" w:hAnsi="Times New Roman;sans-serif"/>
          <w:b w:val="false"/>
          <w:i/>
          <w:color w:val="000000"/>
          <w:sz w:val="22"/>
        </w:rPr>
        <w:t>Brokers and Other Advisors</w:t>
      </w:r>
      <w:r>
        <w:rPr>
          <w:rFonts w:ascii="Times New Roman;sans-serif" w:hAnsi="Times New Roman;sans-serif"/>
          <w:b w:val="false"/>
          <w:color w:val="000000"/>
          <w:sz w:val="22"/>
        </w:rPr>
        <w:t>. No broker, investment banker, financial advisor or other Person is entitled to any broker’s, finder’s, financial advisor’s or other similar fee or commission, or the reimbursement of expenses in connection with the Transactions, based upon arrangements made by or on behalf of the Investor or any of its Affiliates.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4.05.    </w:t>
      </w:r>
      <w:r>
        <w:rPr>
          <w:rFonts w:ascii="Times New Roman;sans-serif" w:hAnsi="Times New Roman;sans-serif"/>
          <w:b w:val="false"/>
          <w:i/>
          <w:color w:val="000000"/>
          <w:sz w:val="22"/>
        </w:rPr>
        <w:t>Private Placement Matters</w:t>
      </w:r>
      <w:r>
        <w:rPr>
          <w:rFonts w:ascii="Times New Roman;sans-serif" w:hAnsi="Times New Roman;sans-serif"/>
          <w:b w:val="false"/>
          <w:color w:val="000000"/>
          <w:sz w:val="22"/>
        </w:rPr>
        <w:t>. The Investor acknowledges that the offer and sale of the Purchased Shares and the Underlying Shares have not been registered under the Securities Act or under any state or other applicable securities Laws. The Investor (a) acknowledges that it is acquiring the Purchased Shares and any Underlying Shares pursuant to an exemption from registration under the Securities Act solely for investment with no intention to distribute any of the foregoing to any Person, (b) will not sell, transfer, or otherwise dispose of any Purchased Shares or Underlying Shares, except in compliance with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Purchased Shares and any Underlying Shares and of making an informed investment decision, (d) is an institutional “accredited investor” (as that term is defined by Rule 501 of the Securities Act), (e) (1) has been furnished with or has had access to all the information that it considers necessary or appropriate to make an informed investment decision with respect to the Purchased Shares and Underlying Shares, (2) has had an opportunity to discuss (including by asking questions) with the Company and its Representatives the intended business and financial affairs of the Company and to obtain information necessary to verify any information furnished to it or to which it had access and (3) can bear the economic risk of (i) an investment in the Purchased Shares and any Underlying Shares indefinitely and (ii) a total loss in respect of such investment. The Investor has such knowledge and experience in business and financial matters so as to enable it to understand and evaluate the risks of, and form an investment decision with respect to its investment in, the Purchased Shares and Underlying Shares and to protect its own interest in connection with such investment. The Investor further acknowledges that each Purchased Security will initially constitute a “control security” and a “restricted security” under U.S. securities laws and will contain (and any Underlying Share issued upon conversion of a Purchased Security that is such a control security and restricted security will contain) a legend to that effect in substantially the following form:</w: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2"/>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7660"/>
                <wp:effectExtent l="0" t="0" r="0" b="0"/>
                <wp:wrapNone/>
                <wp:docPr id="20" name="Frame2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THESE SECURITIES ARE HELD BY A PERSON WHO IS CONSIDERED AN AFFILIATE FOR PURPOSES OF RULE 144 UNDER THE SECURITIES ACT OF 1933 (THE “ACT”). NO TRANSFER OF THESE SECURITIES OR ANY INTEREST THEREIN MAY BE MADE UNLESS THE ISSUER HAS RECEIVED AN OPINION OF COUNSEL SATISFACTORY TO IT THAT THESE SECURITIES MAY BE SOLD PURSUANT TO RULE 144 OR ANOTHER AVAILABLE EXEMPTION UNDER THE ACT AND THE RULES AND REGULATIONS THEREUNDER.”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4.06.    </w:t>
      </w:r>
      <w:r>
        <w:rPr>
          <w:rFonts w:ascii="Times New Roman;sans-serif" w:hAnsi="Times New Roman;sans-serif"/>
          <w:b w:val="false"/>
          <w:i/>
          <w:color w:val="000000"/>
          <w:sz w:val="22"/>
        </w:rPr>
        <w:t>Non-Reliance on Company Estimates, Projections, Forecasts, Forward-Looking Statements and Business Plans</w:t>
      </w:r>
      <w:r>
        <w:rPr>
          <w:rFonts w:ascii="Times New Roman;sans-serif" w:hAnsi="Times New Roman;sans-serif"/>
          <w:b w:val="false"/>
          <w:color w:val="000000"/>
          <w:sz w:val="22"/>
        </w:rPr>
        <w:t>. In connection with the due diligence investigation of the Company by the Investor and its respective Representatives, the Investor and its respective Representatives have received and may continue to receive from the Company and its Representatives certain estimates, projections, forecasts and other forward-looking information, as well as certain business plan information, in each case containing forward-looking information, regarding the Company and its subsidiaries and their respective businesses and operations. The Investor hereby acknowledges that there are uncertainties inherent in attempting to make such estimates, projections, forecasts and other forward-looking statements, as well as in such business plans to the extent each of them contain forward-looking information, with which the Investor is familiar, that the Investor is making its own evaluation of the adequacy and accuracy of such forward-looking information so furnished to the Investor (including the reasonableness of the assumptions underlying such forward-looking information), and that, other than for Fraud, gross negligence and/or wilful misconduct the Investor will have no claim against the Company or any of its subsidiaries, or any of their respective Representatives, with respect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4.07.    </w:t>
      </w:r>
      <w:r>
        <w:rPr>
          <w:rFonts w:ascii="Times New Roman;sans-serif" w:hAnsi="Times New Roman;sans-serif"/>
          <w:b w:val="false"/>
          <w:i/>
          <w:color w:val="000000"/>
          <w:sz w:val="22"/>
        </w:rPr>
        <w:t>No Other Company Representations or Warranties</w:t>
      </w:r>
      <w:r>
        <w:rPr>
          <w:rFonts w:ascii="Times New Roman;sans-serif" w:hAnsi="Times New Roman;sans-serif"/>
          <w:b w:val="false"/>
          <w:color w:val="000000"/>
          <w:sz w:val="22"/>
        </w:rPr>
        <w:t xml:space="preserve">. Except for the representations and warranties expressly set forth in </w:t>
      </w:r>
      <w:r>
        <w:rPr>
          <w:rFonts w:ascii="Times New Roman;sans-serif" w:hAnsi="Times New Roman;sans-serif"/>
          <w:b w:val="false"/>
          <w:color w:val="000000"/>
          <w:sz w:val="22"/>
          <w:u w:val="single"/>
        </w:rPr>
        <w:t>Article 3</w:t>
      </w:r>
      <w:r>
        <w:rPr>
          <w:color w:val="000000"/>
        </w:rPr>
        <w:t xml:space="preserve"> </w:t>
      </w:r>
      <w:r>
        <w:rPr>
          <w:rFonts w:ascii="Times New Roman;sans-serif" w:hAnsi="Times New Roman;sans-serif"/>
          <w:b w:val="false"/>
          <w:color w:val="000000"/>
          <w:sz w:val="22"/>
        </w:rPr>
        <w:t>hereof, the Investor hereby acknowledges that neither the Company nor any of its Affiliates or Representatives, nor any other Person, has made or is making any other express or implied representation or warranty with respect to the Company or any of its subsidiaries or their respective businesses, operations, assets, liabilities, condition (financial or otherwise) or prospects. The Investor hereby acknowledges (for itself and on behalf of its Affiliates and Representatives) that it has conducted, to its satisfaction, its own independent investigation of the business, operations, assets and financial condition of the Company and its subsidiaries and, in making its determination to proceed with the transactions contemplated by this Agreement, the Investor has relied on the results of their own independent investigation.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4.08.    </w:t>
      </w:r>
      <w:r>
        <w:rPr>
          <w:rFonts w:ascii="Times New Roman;sans-serif" w:hAnsi="Times New Roman;sans-serif"/>
          <w:b w:val="false"/>
          <w:i/>
          <w:color w:val="000000"/>
          <w:sz w:val="22"/>
        </w:rPr>
        <w:t>No Other Investor Representations or Warranties</w:t>
      </w:r>
      <w:r>
        <w:rPr>
          <w:rFonts w:ascii="Times New Roman;sans-serif" w:hAnsi="Times New Roman;sans-serif"/>
          <w:b w:val="false"/>
          <w:color w:val="000000"/>
          <w:sz w:val="22"/>
        </w:rPr>
        <w:t xml:space="preserve">. Except for the representations and warranties expressly set forth in this </w:t>
      </w:r>
      <w:r>
        <w:rPr>
          <w:rFonts w:ascii="Times New Roman;sans-serif" w:hAnsi="Times New Roman;sans-serif"/>
          <w:b w:val="false"/>
          <w:color w:val="000000"/>
          <w:sz w:val="22"/>
          <w:u w:val="single"/>
        </w:rPr>
        <w:t>Article 4</w:t>
      </w:r>
      <w:r>
        <w:rPr>
          <w:rFonts w:ascii="Times New Roman;sans-serif" w:hAnsi="Times New Roman;sans-serif"/>
          <w:b w:val="false"/>
          <w:color w:val="000000"/>
          <w:sz w:val="22"/>
        </w:rPr>
        <w:t>, neither the Investor nor any other Person on its behalf has made or is making any other express or implied representation or warranty.</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7660"/>
                <wp:effectExtent l="0" t="0" r="0" b="0"/>
                <wp:wrapNone/>
                <wp:docPr id="21" name="Frame2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5</w:t>
        <w:br/>
        <w:br/>
        <w:t>Additional Agreements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5.01.    </w:t>
      </w:r>
      <w:r>
        <w:rPr>
          <w:rFonts w:ascii="Times New Roman;sans-serif" w:hAnsi="Times New Roman;sans-serif"/>
          <w:b w:val="false"/>
          <w:i/>
          <w:color w:val="000000"/>
          <w:sz w:val="22"/>
        </w:rPr>
        <w:t>Further Action; Commercially Reasonable Efforts; Filings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Subject to the terms and conditions of this Agreement, each party shall use commercially reasonable efforts to take, or cause to be taken, all actions and to do, or cause to be done, and to assist and cooperate with the other parties in doing, all things reasonably necessary, proper or advisable under applicable Law to consummate this Agreement and the Transactions in accordance with the terms and conditions hereof and of the Transaction Documents to which it is a party, including (i) the obtaining of all necessary actions, waivers, registrations, permits, authorizations, orders, consents and approvals from Governmental Authorities, the expiry or early termination of any applicable waiting periods, and the making of all necessary registrations and filings (including filings with Governmental Authorities, if any) and the taking of all steps as may be reasonably necessary to obtain an approval or waiver from, or to avoid a legal action or proceeding by, any Governmental Authorities, (ii) the delivery of required notices to, and the obtaining of required consents or waivers from, any third parties necessary, proper or advisable to consummate this Agreement and the Transactions, and (iii) the execution and delivery of any additional instruments necessary to consummate this Agreement and the Transactions and to fully carry out the purposes of this Agreement and the Transaction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5.02.    </w:t>
      </w:r>
      <w:r>
        <w:rPr>
          <w:rFonts w:ascii="Times New Roman;sans-serif" w:hAnsi="Times New Roman;sans-serif"/>
          <w:b w:val="false"/>
          <w:i/>
          <w:color w:val="000000"/>
          <w:sz w:val="22"/>
        </w:rPr>
        <w:t>Public Disclosure</w:t>
      </w:r>
      <w:r>
        <w:rPr>
          <w:rFonts w:ascii="Times New Roman;sans-serif" w:hAnsi="Times New Roman;sans-serif"/>
          <w:b w:val="false"/>
          <w:color w:val="000000"/>
          <w:sz w:val="22"/>
        </w:rPr>
        <w:t xml:space="preserve">. The Investor and the Company shall, and shall cause their Affiliates to, consult with each other before issuing, and give each other the opportunity to review and comment upon, any press release or other public statements with respect to the Transactions or the Placement, and shall not issue any such press release or make any such public statement without the consent of the other party, which shall not be unreasonably withheld, conditioned or delayed, except as such release or announcement that the Investor or the Company determines, after consultation with outside legal counsel, is required by applicable Law, Judgment, court process or the rules and regulations of any national securities exchange or national securities quotation system. For the avoidance of doubt, nothing in this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5.03</w:t>
      </w:r>
      <w:r>
        <w:rPr>
          <w:color w:val="000000"/>
        </w:rPr>
        <w:t xml:space="preserve"> </w:t>
      </w:r>
      <w:r>
        <w:rPr>
          <w:rFonts w:ascii="Times New Roman;sans-serif" w:hAnsi="Times New Roman;sans-serif"/>
          <w:b w:val="false"/>
          <w:color w:val="000000"/>
          <w:sz w:val="22"/>
        </w:rPr>
        <w:t xml:space="preserve">shall prevent the Company from making a filing with the SEC on Form 8-K (or other applicable form) relating to the Transactions and the Placement as required by Law. Notwithstanding the foregoing, this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shall not apply to any press release or other public statement made by the Company that does not contain any information relating to the Transactions or the Placement that has not been previously announced or made public in accordance with the terms of this Agreement and that is made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5.03.    </w:t>
      </w:r>
      <w:r>
        <w:rPr>
          <w:rFonts w:ascii="Times New Roman;sans-serif" w:hAnsi="Times New Roman;sans-serif"/>
          <w:b w:val="false"/>
          <w:i/>
          <w:color w:val="000000"/>
          <w:sz w:val="22"/>
        </w:rPr>
        <w:t>Confidentiality</w:t>
      </w:r>
      <w:r>
        <w:rPr>
          <w:rFonts w:ascii="Times New Roman;sans-serif" w:hAnsi="Times New Roman;sans-serif"/>
          <w:b w:val="false"/>
          <w:color w:val="000000"/>
          <w:sz w:val="22"/>
        </w:rPr>
        <w:t>. Confidentiality provisions of the Investor Rights Agreement shall apply with respect to any information (including oral, written and electronic information) concerning the Company, its subsidiaries or its Affiliates that may be furnished to the Investor, its Affiliates or their respective Representatives by or on behalf of the Company or any of its Representatives in connection with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5.04.    </w:t>
      </w:r>
      <w:r>
        <w:rPr>
          <w:rFonts w:ascii="Times New Roman;sans-serif" w:hAnsi="Times New Roman;sans-serif"/>
          <w:b w:val="false"/>
          <w:i/>
          <w:color w:val="000000"/>
          <w:sz w:val="22"/>
        </w:rPr>
        <w:t>Tax Matters</w:t>
      </w:r>
      <w:r>
        <w:rPr>
          <w:rFonts w:ascii="Times New Roman;sans-serif" w:hAnsi="Times New Roman;sans-serif"/>
          <w:b w:val="false"/>
          <w:color w:val="000000"/>
          <w:sz w:val="22"/>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(a)    The Company shall pay any and all documentary, stamp and similar issuance or transfer taxes (“</w:t>
      </w:r>
      <w:r>
        <w:rPr>
          <w:rFonts w:ascii="Times New Roman;sans-serif" w:hAnsi="Times New Roman;sans-serif"/>
          <w:b/>
          <w:color w:val="000000"/>
          <w:sz w:val="22"/>
        </w:rPr>
        <w:t>Tax</w:t>
      </w:r>
      <w:r>
        <w:rPr>
          <w:color w:val="000000"/>
        </w:rPr>
        <w:t>”</w:t>
      </w:r>
      <w:r>
        <w:rPr>
          <w:rFonts w:ascii="Times New Roman;sans-serif" w:hAnsi="Times New Roman;sans-serif"/>
          <w:b w:val="false"/>
          <w:color w:val="000000"/>
          <w:sz w:val="22"/>
        </w:rPr>
        <w:t xml:space="preserve">) due on (x) the issuance of the Purchased Shares and, upon conversion or exercise of any Purchased Shares, the issuance of any Underlying Shares to the beneficial owner of such Purchased Shares immediately prior to such conversion. However, in the case of the issuance of any Underlying Shares, the Company shall not be required to pay any Tax that may be payable in respect of any transfer involved in the issuance and delivery of Underlying Shares to a beneficial owner other than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7660"/>
                <wp:effectExtent l="0" t="0" r="0" b="0"/>
                <wp:wrapNone/>
                <wp:docPr id="22" name="Frame2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beneficial owner of the Purchased Shares being converted immediately prior to such conversion, and no such issue or delivery shall be made unless and until the Person requesting such issue has paid to the Company the amount of any such Tax, or has established to the satisfaction of the Company that such Tax has been paid.</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Each of the Company and the Investor agree that (i) the Convertible Preferred Stock is intended to be treated as stock that is not “preferred stock” within the meaning of Section 305 of the Internal Revenue Code of 1986, as amended, and applicable Treasury Regulations promulgated thereunder, and (ii) it will not take any positions or actions inconsistent with such treatment (including in tax filings) unless otherwise required following an audit in which the foregoing treatment was diligently defended.</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(c)    The Company shall notify the Investor on or about the beginning of each taxable year of the Company during which the Convertible Preferred Stock is outstanding (and at such other times as reasonably requested by the Investor) regarding whether the Company is then projected to have current or accumulated “earnings and profits” (“</w:t>
      </w:r>
      <w:r>
        <w:rPr>
          <w:rFonts w:ascii="Times New Roman;sans-serif" w:hAnsi="Times New Roman;sans-serif"/>
          <w:b/>
          <w:color w:val="000000"/>
          <w:sz w:val="22"/>
        </w:rPr>
        <w:t>E&amp;P</w:t>
      </w:r>
      <w:r>
        <w:rPr>
          <w:color w:val="000000"/>
        </w:rPr>
        <w:t>”</w:t>
      </w:r>
      <w:r>
        <w:rPr>
          <w:rFonts w:ascii="Times New Roman;sans-serif" w:hAnsi="Times New Roman;sans-serif"/>
          <w:b w:val="false"/>
          <w:color w:val="000000"/>
          <w:sz w:val="22"/>
        </w:rPr>
        <w:t>) within the meaning of Section 316 of the Code with respect to such taxable year and, in the event current or accumulated E&amp;P is projected for such taxable year, will provide the Investor with an estimate of E&amp;P for such taxable year.</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Notwithstanding anything herein to the contrary, the Company shall have the right to (i) reduce the amount of any dividend reflected as an increase in Accrued Value (as defined in the Certificate of Designations), (ii) deduct and withhold from any payment or distribution (whether in cash or otherwise) made with respect to the Convertible Preferred Stock (or the issuance of Underlying Shares upon conversion of any Convertible Preferred Stock, or upon a redemption or repurchase of such stock by the Company), and (iii) deduct and withhold in connection with any adjustment to the conversion rate of the Convertible Preferred Stock, in each case, such amounts as are required to be deducted or withheld with respect to such increase in Accrued Value, payment, distribution, issuance, or adjustment under any applicable tax Law, provided that the Company shall use good faith efforts to reduce any such withholding by applying any applicable exemptions, adjustments or procedures, including without limitation the procedures of Treasury Regulation Section 1.1441-3(c)(2) regarding withholding based on reasonable estimates of accumulated or current earnings and profits. If the Company is required to withhold or otherwise remit any taxes with respect to an Investor under applicable tax law (and after using good faith efforts to reduce any such withholding by applying any applicable exemptions, adjustments or procedures, including without limitation the procedures of Treasury Regulation Section 1.1441-3(c)(2) regarding withholding based on reasonable estimates of accumulated or current earnings and profits) in connection with an increase in Accrued Value, an adjustment to the conversion rate of the Convertible Preferred Stock or other deemed distribution, it may reduce the amount of any dividend reflected as an increase in Accrued Value, or deduct and withhold the required amount from actual payments of dividends or any other amount payable on the Convertible Preferred Stock (including any payment of Common Stock in connection with a conversion of the Convertible Preferred Stock). To the extent that any amounts are so reduced, deducted or withheld as described in this Section 5.04(d), such reduced, deducted or withheld amounts shall be treated for all purposes of this Agreement as having been paid to the person in respect of which such reduction, deduction or withholding was made. In the event the Company previously remitted any amounts to a Governmental Authority on account of taxes required to be deducted or withheld in respect of any payment or distribution (or deemed distribution) on any Convertible Preferred Stock, the Company shall be entitled to effect any such amounts against any amounts otherwise payable in respect of such stock (or the issuance of Underlying Shares upon conversion of any Convertible Preferred Stock, or upon a redemption or repurchase of such stock by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7660"/>
                <wp:effectExtent l="0" t="0" r="0" b="0"/>
                <wp:wrapNone/>
                <wp:docPr id="23" name="Frame2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5.05.    </w:t>
      </w:r>
      <w:r>
        <w:rPr>
          <w:rFonts w:ascii="Times New Roman;sans-serif" w:hAnsi="Times New Roman;sans-serif"/>
          <w:b w:val="false"/>
          <w:i/>
          <w:color w:val="000000"/>
          <w:sz w:val="22"/>
        </w:rPr>
        <w:t>Delivery of Placement Shares After the Closing</w:t>
      </w:r>
      <w:r>
        <w:rPr>
          <w:rFonts w:ascii="Times New Roman;sans-serif" w:hAnsi="Times New Roman;sans-serif"/>
          <w:b w:val="false"/>
          <w:color w:val="000000"/>
          <w:sz w:val="22"/>
        </w:rPr>
        <w:t>. The Company shall deliver, or cause to be delivered, a book-entry statement evidencing the Purchased Shares within five (5) Business Days after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5.06.    </w:t>
      </w:r>
      <w:r>
        <w:rPr>
          <w:rFonts w:ascii="Times New Roman;sans-serif" w:hAnsi="Times New Roman;sans-serif"/>
          <w:b w:val="false"/>
          <w:i/>
          <w:color w:val="000000"/>
          <w:sz w:val="22"/>
        </w:rPr>
        <w:t>Transfer and Hedging Restrictions</w:t>
      </w:r>
      <w:r>
        <w:rPr>
          <w:rFonts w:ascii="Times New Roman;sans-serif" w:hAnsi="Times New Roman;sans-serif"/>
          <w:b w:val="false"/>
          <w:color w:val="000000"/>
          <w:sz w:val="22"/>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(a)    The Investor hereby agrees that, during the period beginning on the Closing Date and ending on the date that is twelve (12) months after the Closing Date (the “</w:t>
      </w:r>
      <w:r>
        <w:rPr>
          <w:rFonts w:ascii="Times New Roman;sans-serif" w:hAnsi="Times New Roman;sans-serif"/>
          <w:b/>
          <w:color w:val="000000"/>
          <w:sz w:val="22"/>
        </w:rPr>
        <w:t>Lock-Up Period</w:t>
      </w:r>
      <w:r>
        <w:rPr>
          <w:color w:val="000000"/>
        </w:rPr>
        <w:t>”</w:t>
      </w:r>
      <w:r>
        <w:rPr>
          <w:rFonts w:ascii="Times New Roman;sans-serif" w:hAnsi="Times New Roman;sans-serif"/>
          <w:b w:val="false"/>
          <w:color w:val="000000"/>
          <w:sz w:val="22"/>
        </w:rPr>
        <w:t>), the Investor will not, without the prior written consent of the Company, (1) directly or indirectly, offer, pledge, sell, contract to sell, sell any option or contract to purchase, purchase any option or contract to sell, grant any option, right or warrant to purchase or otherwise transfer or dispose of any shares of Convertible Preferred Stock or any shares of Common Stock issued pursuant to the terms thereof (collectively, the “</w:t>
      </w:r>
      <w:r>
        <w:rPr>
          <w:rFonts w:ascii="Times New Roman;sans-serif" w:hAnsi="Times New Roman;sans-serif"/>
          <w:b/>
          <w:color w:val="000000"/>
          <w:sz w:val="22"/>
        </w:rPr>
        <w:t>Lock-Up Securities</w:t>
      </w:r>
      <w:r>
        <w:rPr>
          <w:color w:val="000000"/>
        </w:rPr>
        <w:t>”</w:t>
      </w:r>
      <w:r>
        <w:rPr>
          <w:rFonts w:ascii="Times New Roman;sans-serif" w:hAnsi="Times New Roman;sans-serif"/>
          <w:b w:val="false"/>
          <w:color w:val="000000"/>
          <w:sz w:val="22"/>
        </w:rPr>
        <w:t>), (2) enter into any swap or any other agreement or any transaction that transfers, in whole or in part, directly or indirectly, the economic consequence of ownership of the Lock-Up Securities, whether any such swap or transaction is to be settled by delivery of Convertible Preferred Stock, Common Stock or other securities, in cash or otherwise or (3) make any short sale of, grant any option for the purchase of, or enter into any hedging or similar transaction with the same economic effect as a short sale of or the purpose of which is to offset the loss that results from a decline in the market price of the Lock-Up Securities.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(b)    Notwithstanding </w:t>
      </w:r>
      <w:r>
        <w:rPr>
          <w:rFonts w:ascii="Times New Roman;sans-serif" w:hAnsi="Times New Roman;sans-serif"/>
          <w:b w:val="false"/>
          <w:color w:val="000000"/>
          <w:sz w:val="22"/>
          <w:u w:val="single"/>
        </w:rPr>
        <w:t>Section 5.06(a)</w:t>
      </w:r>
      <w:r>
        <w:rPr>
          <w:rFonts w:ascii="Times New Roman;sans-serif" w:hAnsi="Times New Roman;sans-serif"/>
          <w:b w:val="false"/>
          <w:color w:val="000000"/>
          <w:sz w:val="22"/>
        </w:rPr>
        <w:t xml:space="preserve">, and subject to the conditions set forth below in this </w:t>
      </w:r>
      <w:r>
        <w:rPr>
          <w:rFonts w:ascii="Times New Roman;sans-serif" w:hAnsi="Times New Roman;sans-serif"/>
          <w:b w:val="false"/>
          <w:color w:val="000000"/>
          <w:sz w:val="22"/>
          <w:u w:val="single"/>
        </w:rPr>
        <w:t>Section 5.06(b)</w:t>
      </w:r>
      <w:r>
        <w:rPr>
          <w:rFonts w:ascii="Times New Roman;sans-serif" w:hAnsi="Times New Roman;sans-serif"/>
          <w:b w:val="false"/>
          <w:color w:val="000000"/>
          <w:sz w:val="22"/>
        </w:rPr>
        <w:t xml:space="preserve">, the Investor may transfer the Lock-Up Securities without the prior written consent of the Company during the Lock-Up Period,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in the case of any transfer of Lock-Up Securities pursuant to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(iv)</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5.06(b)</w:t>
      </w:r>
      <w:r>
        <w:rPr>
          <w:rFonts w:ascii="Times New Roman;sans-serif" w:hAnsi="Times New Roman;sans-serif"/>
          <w:b w:val="false"/>
          <w:color w:val="000000"/>
          <w:sz w:val="22"/>
        </w:rPr>
        <w:t xml:space="preserve">, (1) each donee, trustee, distributee, or transferee, as the case may be, shall agree in writing to be similarly bound during the balance of the Lock-Up Period, (2) any such transfer shall not involve a disposition for value, (3) any required public report or filing (including filings under Section 16(a) of the Exchange Act) shall disclose the nature of such transfer and that the Lock-Up Securities remain subject to the terms set forth in this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 and (4) the Investor does not otherwise voluntarily effect any public filing or report regarding such transfers: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(i)    as a </w:t>
      </w:r>
      <w:r>
        <w:rPr>
          <w:rFonts w:ascii="Times New Roman;sans-serif" w:hAnsi="Times New Roman;sans-serif"/>
          <w:b w:val="false"/>
          <w:i/>
          <w:color w:val="000000"/>
          <w:sz w:val="22"/>
        </w:rPr>
        <w:t xml:space="preserve">bona fide </w:t>
      </w:r>
      <w:r>
        <w:rPr>
          <w:rFonts w:ascii="Times New Roman;sans-serif" w:hAnsi="Times New Roman;sans-serif"/>
          <w:b w:val="false"/>
          <w:color w:val="000000"/>
          <w:sz w:val="22"/>
        </w:rPr>
        <w:t>gift or gifts, including to charitable organizations; or</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to any Permitted Transferee; or</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    to a nominee or custodian of any Person to whom a transfer would be permissible under clauses (i) or (ii) above; or</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(iv)    pursuant to a bona fide third-party tender offer, merger, consolidation or other similar transaction that is approved by the board of directors of the Company and made to all holders of shares of the Company’s capital stock involving a Change of Control (as defined below) (including negotiating and entering into an agreement providing for any such transaction),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in the event that such tender offer, merger, consolidation or other similar transaction is not completed, the Investor’s Lock-Up Securities shall remain subject to this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For purposes of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 “</w:t>
      </w:r>
      <w:r>
        <w:rPr>
          <w:rFonts w:ascii="Times New Roman;sans-serif" w:hAnsi="Times New Roman;sans-serif"/>
          <w:b/>
          <w:color w:val="000000"/>
          <w:sz w:val="22"/>
        </w:rPr>
        <w:t>Change of Control</w:t>
      </w:r>
      <w:r>
        <w:rPr>
          <w:color w:val="000000"/>
        </w:rPr>
        <w:t xml:space="preserve">” </w:t>
      </w:r>
      <w:r>
        <w:rPr>
          <w:rFonts w:ascii="Times New Roman;sans-serif" w:hAnsi="Times New Roman;sans-serif"/>
          <w:b w:val="false"/>
          <w:color w:val="000000"/>
          <w:sz w:val="22"/>
        </w:rPr>
        <w:t xml:space="preserve">means the transfer to or acquisition by (whether by tender offer, merger, consolidation, division or other similar transaction), in one transaction or a series of related transactions, a Person or group of affiliated Persons, of the Company’s voting securities if, after such transfer or acquisition, such Person or group of affiliated Persons would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7660"/>
                <wp:effectExtent l="0" t="0" r="0" b="0"/>
                <wp:wrapNone/>
                <wp:docPr id="24" name="Frame2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beneficially own (as defined in Rule 13d-3 promulgated under the Exchange Act) more than 90% of the outstanding voting securities of the Company.</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(c)    Any attempted transfer in violation of this </w:t>
      </w:r>
      <w:r>
        <w:rPr>
          <w:rFonts w:ascii="Times New Roman;sans-serif" w:hAnsi="Times New Roman;sans-serif"/>
          <w:b w:val="false"/>
          <w:color w:val="000000"/>
          <w:sz w:val="22"/>
          <w:u w:val="single"/>
        </w:rPr>
        <w:t>Section 5.06</w:t>
      </w:r>
      <w:r>
        <w:rPr>
          <w:color w:val="000000"/>
        </w:rPr>
        <w:t xml:space="preserve"> </w:t>
      </w:r>
      <w:r>
        <w:rPr>
          <w:rFonts w:ascii="Times New Roman;sans-serif" w:hAnsi="Times New Roman;sans-serif"/>
          <w:b w:val="false"/>
          <w:color w:val="000000"/>
          <w:sz w:val="22"/>
        </w:rPr>
        <w:t>shall be null and void ab initio.</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(d)    The Investor agrees and consents to the entry of stop transfer instructions with the Company’s transfer agent and registrar against the transfer of the Lock-Up Securities except in compliance with this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5.07.    </w:t>
      </w:r>
      <w:r>
        <w:rPr>
          <w:rFonts w:ascii="Times New Roman;sans-serif" w:hAnsi="Times New Roman;sans-serif"/>
          <w:b w:val="false"/>
          <w:i/>
          <w:color w:val="000000"/>
          <w:sz w:val="22"/>
        </w:rPr>
        <w:t>Nasdaq Listing</w:t>
      </w:r>
      <w:r>
        <w:rPr>
          <w:rFonts w:ascii="Times New Roman;sans-serif" w:hAnsi="Times New Roman;sans-serif"/>
          <w:b w:val="false"/>
          <w:color w:val="000000"/>
          <w:sz w:val="22"/>
        </w:rPr>
        <w:t xml:space="preserve">. The Company has submitted a Listing of Additional Shares Notification Form to Nasdaq with respect to the shares of Common Stock that are required to be initially reserved for issuance pursuant to </w:t>
      </w:r>
      <w:r>
        <w:rPr>
          <w:rFonts w:ascii="Times New Roman;sans-serif" w:hAnsi="Times New Roman;sans-serif"/>
          <w:b w:val="false"/>
          <w:color w:val="000000"/>
          <w:sz w:val="22"/>
          <w:u w:val="single"/>
        </w:rPr>
        <w:t>Section 5.08</w:t>
      </w:r>
      <w:r>
        <w:rPr>
          <w:rFonts w:ascii="Times New Roman;sans-serif" w:hAnsi="Times New Roman;sans-serif"/>
          <w:b w:val="false"/>
          <w:color w:val="000000"/>
          <w:sz w:val="22"/>
        </w:rPr>
        <w:t>, and Nasdaq has notified the Company that its obligation to notify Nasdaq is completed and has not raised any objection with respect to such form.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5.08.    </w:t>
      </w:r>
      <w:r>
        <w:rPr>
          <w:rFonts w:ascii="Times New Roman;sans-serif" w:hAnsi="Times New Roman;sans-serif"/>
          <w:b w:val="false"/>
          <w:i/>
          <w:color w:val="000000"/>
          <w:sz w:val="22"/>
        </w:rPr>
        <w:t>Conversion Shares</w:t>
      </w:r>
      <w:r>
        <w:rPr>
          <w:rFonts w:ascii="Times New Roman;sans-serif" w:hAnsi="Times New Roman;sans-serif"/>
          <w:b w:val="false"/>
          <w:color w:val="000000"/>
          <w:sz w:val="22"/>
        </w:rPr>
        <w:t>. The Company will reserve and keep available at all times, free of preemptive or similar rights, shares of Common Stock as required pursuant to Section 7.5 of the Certificate of Designations.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5.09.    </w:t>
      </w:r>
      <w:r>
        <w:rPr>
          <w:rFonts w:ascii="Times New Roman;sans-serif" w:hAnsi="Times New Roman;sans-serif"/>
          <w:b w:val="false"/>
          <w:i/>
          <w:color w:val="000000"/>
          <w:sz w:val="22"/>
        </w:rPr>
        <w:t>Stockholder Consent</w:t>
      </w:r>
      <w:r>
        <w:rPr>
          <w:rFonts w:ascii="Times New Roman;sans-serif" w:hAnsi="Times New Roman;sans-serif"/>
          <w:b w:val="false"/>
          <w:color w:val="000000"/>
          <w:sz w:val="22"/>
        </w:rPr>
        <w:t>. The parties agree to cooperate reasonably to obtain the Requisite Stockholder Approval (as defined in the Certificate of Designations) no later than 18 months following the Closing. In connection therewith, (i) the Investor agrees that no later than 18 months following the Closing, the Investor will deliver an executed written consent or other approval in respect of the Requisite Stockholder Approval and (ii) the Company will distribute any information or proxy statement (in form and substance reasonably required in connection with the Requisite Stockholder Approval in accordance with appliable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5.10.    </w:t>
      </w:r>
      <w:r>
        <w:rPr>
          <w:rFonts w:ascii="Times New Roman;sans-serif" w:hAnsi="Times New Roman;sans-serif"/>
          <w:b w:val="false"/>
          <w:i/>
          <w:color w:val="000000"/>
          <w:sz w:val="22"/>
        </w:rPr>
        <w:t>Section 16 Matters</w:t>
      </w:r>
      <w:r>
        <w:rPr>
          <w:rFonts w:ascii="Times New Roman;sans-serif" w:hAnsi="Times New Roman;sans-serif"/>
          <w:b w:val="false"/>
          <w:color w:val="000000"/>
          <w:sz w:val="22"/>
        </w:rPr>
        <w:t>. If the Company becomes a party to a consolidation, merger or other similar transaction that may result in the Investor, its Affiliates, or any director appointed to the Board by the Investor (an “</w:t>
      </w:r>
      <w:r>
        <w:rPr>
          <w:rFonts w:ascii="Times New Roman;sans-serif" w:hAnsi="Times New Roman;sans-serif"/>
          <w:b/>
          <w:color w:val="000000"/>
          <w:sz w:val="22"/>
        </w:rPr>
        <w:t>Appointed Director</w:t>
      </w:r>
      <w:r>
        <w:rPr>
          <w:color w:val="000000"/>
        </w:rPr>
        <w:t>”</w:t>
      </w:r>
      <w:r>
        <w:rPr>
          <w:rFonts w:ascii="Times New Roman;sans-serif" w:hAnsi="Times New Roman;sans-serif"/>
          <w:b w:val="false"/>
          <w:color w:val="000000"/>
          <w:sz w:val="22"/>
        </w:rPr>
        <w:t xml:space="preserve">) being deemed to have made a disposition of equity securities of the Company or derivatives thereof for purposes of Section 16 of the Exchange Act, and if any Appointed Director is serving on the Board at such time or has served on the Board during the preceding six (6) months, then (i) the Board will pre-approve such disposition of equity securities or derivatives thereof for the express purpose of exempting the Investor’s, its Affiliates’ and any Appointed Director’s interests (to the extent the Investor or its Affiliates may be deemed to be “directors by deputization”) in such transaction from Section 16(b) of the Exchange Act pursuant to Rule 16b-3 thereunder and (ii) if the transaction involves (A) a merger or consolidation to which the Company is a party and Company capital stock is, in whole or in part, converted into or exchanged for equity securities of a different issuer, (B) a potential acquisition by the Investor, the Investor’s Affiliates and/or any Appointed Director of equity securities of such other issuer or derivatives thereof and (C) an Affiliate or other designee of the Investor or its Affiliates that will serve on the board of directors (or its equivalent) of such other issuer, then if the Investor requires that the other issuer pre-approve any acquisition of equity securities or derivatives thereof for the express purpose of exempting the interests of any director or officer of the Company or any of its subsidiaries in such transactions from Section 16(b) of the Exchange Act pursuant to Rule 16b-3 thereunder, the Company shall use reasonable best efforts to request that such other issuer pre-approve any such acquisitions of equity securities or derivatives thereof for the express purpose of exempting the interests of the Investor’s, its Affiliates’ and any Appointed Director’s (for the Investor and/or its Affiliates, to the extent such persons may be deemed to be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7660"/>
                <wp:effectExtent l="0" t="0" r="0" b="0"/>
                <wp:wrapNone/>
                <wp:docPr id="25" name="Frame2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2"/>
        </w:rPr>
        <w:t>directors by deputization” of such other issuer) in such transactions from Section 16(b) of the Exchange Act pursuant to Rule 16b-3 thereunder.</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6</w:t>
        <w:br/>
        <w:br/>
        <w:t>Conditions to Closing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6.01.    </w:t>
      </w:r>
      <w:r>
        <w:rPr>
          <w:rFonts w:ascii="Times New Roman;sans-serif" w:hAnsi="Times New Roman;sans-serif"/>
          <w:b w:val="false"/>
          <w:i/>
          <w:color w:val="000000"/>
          <w:sz w:val="22"/>
        </w:rPr>
        <w:t>Condition to the Obligations of the Company and the Investor</w:t>
      </w:r>
      <w:r>
        <w:rPr>
          <w:rFonts w:ascii="Times New Roman;sans-serif" w:hAnsi="Times New Roman;sans-serif"/>
          <w:b w:val="false"/>
          <w:color w:val="000000"/>
          <w:sz w:val="22"/>
        </w:rPr>
        <w:t>. The respective obligations of each of the Company and the Investor to effect the Closing shall be subject to the satisfaction (or waiver, if permissible under applicable Law) on or prior to the Closing Date of the conditions that no Judgment shall be enacted, promulgated, issued, entered, or threatened by any Governmental Authority and no applicable Law (collectively, “</w:t>
      </w:r>
      <w:r>
        <w:rPr>
          <w:rFonts w:ascii="Times New Roman;sans-serif" w:hAnsi="Times New Roman;sans-serif"/>
          <w:b/>
          <w:color w:val="000000"/>
          <w:sz w:val="22"/>
        </w:rPr>
        <w:t>Restraints</w:t>
      </w:r>
      <w:r>
        <w:rPr>
          <w:color w:val="000000"/>
        </w:rPr>
        <w:t>”</w:t>
      </w:r>
      <w:r>
        <w:rPr>
          <w:rFonts w:ascii="Times New Roman;sans-serif" w:hAnsi="Times New Roman;sans-serif"/>
          <w:b w:val="false"/>
          <w:color w:val="000000"/>
          <w:sz w:val="22"/>
        </w:rPr>
        <w:t>) shall be in effect enjoining or otherwise prohibiting consummation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6.02.    </w:t>
      </w:r>
      <w:r>
        <w:rPr>
          <w:rFonts w:ascii="Times New Roman;sans-serif" w:hAnsi="Times New Roman;sans-serif"/>
          <w:b w:val="false"/>
          <w:i/>
          <w:color w:val="000000"/>
          <w:sz w:val="22"/>
        </w:rPr>
        <w:t>Conditions to the Obligations of the Company</w:t>
      </w:r>
      <w:r>
        <w:rPr>
          <w:rFonts w:ascii="Times New Roman;sans-serif" w:hAnsi="Times New Roman;sans-serif"/>
          <w:b w:val="false"/>
          <w:color w:val="000000"/>
          <w:sz w:val="22"/>
        </w:rPr>
        <w:t>. The obligations of the Company to effect the Closing shall be further subject to the satisfaction (or waiver, if permissible under applicable Law) on or prior to the Closing Date of the following conditions:</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representations and warranties of the Investor set forth in this Agreement shall be true and correct as of the date of this Agreement and as of the Closing Date with the same effect as though made on and as of such date (except to the extent expressly made as of an earlier date, in which case as of such earlier date); and</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Investor shall have complied with or performed in all material respects its obligations and covenants required to be complied with or performed by it pursuant to this Agreement at or prior to such Closing.</w:t>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240" w:after="24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7660"/>
                <wp:effectExtent l="0" t="0" r="0" b="0"/>
                <wp:wrapNone/>
                <wp:docPr id="26" name="Frame2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6.03.    </w:t>
      </w:r>
      <w:r>
        <w:rPr>
          <w:rFonts w:ascii="Times New Roman;sans-serif" w:hAnsi="Times New Roman;sans-serif"/>
          <w:b w:val="false"/>
          <w:i/>
          <w:color w:val="000000"/>
          <w:sz w:val="22"/>
        </w:rPr>
        <w:t>Conditions to the Obligations of the Investor</w:t>
      </w:r>
      <w:r>
        <w:rPr>
          <w:rFonts w:ascii="Times New Roman;sans-serif" w:hAnsi="Times New Roman;sans-serif"/>
          <w:b w:val="false"/>
          <w:color w:val="000000"/>
          <w:sz w:val="22"/>
        </w:rPr>
        <w:t>. The obligations of the Investor to effect the Closing shall be further subject to the satisfaction (or waiver, if permissible under applicable Law) on or prior to the Closing Date of the following conditions:</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representations and warranties of the Company set forth in this Agreement shall be true and correct as of the date of this Agreement and as of the Closing Date with the same effect as though made on and as of such date (except to the extent expressly made as of an earlier date, in which case as of such earlier date), except where the failure to be true and correct would not, individually or in the aggregate, reasonably be expected to have a Material Adverse Effect;</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Company shall have complied with or performed in all material respects its obligations and covenants required to be complied with or performed by it pursuant to this Agreement at or prior to the Closing;</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Company shall have obtained any and all consents, permits, approvals, registrations and waivers necessary for consummation of the applicable Placement;</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no stop order or suspension of trading shall have been imposed by the Nasdaq, the SEC or any other Governmental Authority with respect to the public trading in the Common Stock;</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the Common Stock shall be listed on the Nasdaq; and</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(f)    the Investor Rights Agreement (as amended in the form of </w:t>
      </w:r>
      <w:r>
        <w:rPr>
          <w:rFonts w:ascii="Times New Roman;sans-serif" w:hAnsi="Times New Roman;sans-serif"/>
          <w:b w:val="false"/>
          <w:color w:val="000000"/>
          <w:sz w:val="22"/>
          <w:u w:val="single"/>
        </w:rPr>
        <w:t xml:space="preserve">Exhibit B </w:t>
      </w:r>
      <w:r>
        <w:rPr>
          <w:rFonts w:ascii="Times New Roman;sans-serif" w:hAnsi="Times New Roman;sans-serif"/>
          <w:b w:val="false"/>
          <w:color w:val="000000"/>
          <w:sz w:val="22"/>
        </w:rPr>
        <w:t>hereto) shall be in full force and effect.</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7</w:t>
        <w:br/>
        <w:br/>
        <w:t>Termination; Survival</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7.01.    </w:t>
      </w:r>
      <w:r>
        <w:rPr>
          <w:rFonts w:ascii="Times New Roman;sans-serif" w:hAnsi="Times New Roman;sans-serif"/>
          <w:b w:val="false"/>
          <w:i/>
          <w:color w:val="000000"/>
          <w:sz w:val="22"/>
        </w:rPr>
        <w:t>Termination</w:t>
      </w:r>
      <w:r>
        <w:rPr>
          <w:rFonts w:ascii="Times New Roman;sans-serif" w:hAnsi="Times New Roman;sans-serif"/>
          <w:b w:val="false"/>
          <w:color w:val="000000"/>
          <w:sz w:val="22"/>
        </w:rPr>
        <w:t>. This Agreement shall terminate automatically upon delivery of the Purchased Shares to the Investor on the Closing Date. This Agreement may be terminated earlier:</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by the mutual written consent of the Company and the Investor;</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(b)    by either the Company or the Investor, if any Restraint enjoining or otherwise prohibiting consummation of this Agreement shall be in effect and shall have become final and nonappealable;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the party seeking to terminate this Agreement pursuant to this </w:t>
      </w:r>
      <w:r>
        <w:rPr>
          <w:rFonts w:ascii="Times New Roman;sans-serif" w:hAnsi="Times New Roman;sans-serif"/>
          <w:b w:val="false"/>
          <w:color w:val="000000"/>
          <w:sz w:val="22"/>
          <w:u w:val="single"/>
        </w:rPr>
        <w:t>Section 7.01(b)</w:t>
      </w:r>
      <w:r>
        <w:rPr>
          <w:color w:val="000000"/>
        </w:rPr>
        <w:t xml:space="preserve"> </w:t>
      </w:r>
      <w:r>
        <w:rPr>
          <w:rFonts w:ascii="Times New Roman;sans-serif" w:hAnsi="Times New Roman;sans-serif"/>
          <w:b w:val="false"/>
          <w:color w:val="000000"/>
          <w:sz w:val="22"/>
        </w:rPr>
        <w:t xml:space="preserve">shall have used the required efforts to cause the conditions to Closing to be satisfied in accordance with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(c)    by the Investor, if the Company shall have breached any of its representations or warranties or failed to perform any of its covenants or agreements set forth in this Agreement, which breach or failure to perform (i) would give rise to the failure of a condition set forth in </w:t>
      </w:r>
      <w:r>
        <w:rPr>
          <w:rFonts w:ascii="Times New Roman;sans-serif" w:hAnsi="Times New Roman;sans-serif"/>
          <w:b w:val="false"/>
          <w:color w:val="000000"/>
          <w:sz w:val="22"/>
          <w:u w:val="single"/>
        </w:rPr>
        <w:t>Section 6.03(a)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6.03(b)</w:t>
      </w:r>
      <w:r>
        <w:rPr>
          <w:color w:val="000000"/>
        </w:rPr>
        <w:t xml:space="preserve"> </w:t>
      </w:r>
      <w:r>
        <w:rPr>
          <w:rFonts w:ascii="Times New Roman;sans-serif" w:hAnsi="Times New Roman;sans-serif"/>
          <w:b w:val="false"/>
          <w:color w:val="000000"/>
          <w:sz w:val="22"/>
        </w:rPr>
        <w:t xml:space="preserve">and (ii) shall not have been cured within thirty (30) calendar days following receipt by the Company of written notice of such breach or failure to perform from the Investor stating the Investor’s intention to terminate this Agreement pursuant to this </w:t>
      </w:r>
      <w:r>
        <w:rPr>
          <w:rFonts w:ascii="Times New Roman;sans-serif" w:hAnsi="Times New Roman;sans-serif"/>
          <w:b w:val="false"/>
          <w:color w:val="000000"/>
          <w:sz w:val="22"/>
          <w:u w:val="single"/>
        </w:rPr>
        <w:t>Section 7.01(c)</w:t>
      </w:r>
      <w:r>
        <w:rPr>
          <w:color w:val="000000"/>
        </w:rPr>
        <w:t xml:space="preserve"> </w:t>
      </w:r>
      <w:r>
        <w:rPr>
          <w:rFonts w:ascii="Times New Roman;sans-serif" w:hAnsi="Times New Roman;sans-serif"/>
          <w:b w:val="false"/>
          <w:color w:val="000000"/>
          <w:sz w:val="22"/>
        </w:rPr>
        <w:t xml:space="preserve">and the basis for such termination;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the Investor shall not have the right to terminate this Agreement pursuant to this </w:t>
      </w:r>
      <w:r>
        <w:rPr>
          <w:rFonts w:ascii="Times New Roman;sans-serif" w:hAnsi="Times New Roman;sans-serif"/>
          <w:b w:val="false"/>
          <w:color w:val="000000"/>
          <w:sz w:val="22"/>
          <w:u w:val="single"/>
        </w:rPr>
        <w:t>Section 7.01(c)</w:t>
      </w:r>
      <w:r>
        <w:rPr>
          <w:color w:val="000000"/>
        </w:rPr>
        <w:t xml:space="preserve"> </w:t>
      </w:r>
      <w:r>
        <w:rPr>
          <w:rFonts w:ascii="Times New Roman;sans-serif" w:hAnsi="Times New Roman;sans-serif"/>
          <w:b w:val="false"/>
          <w:color w:val="000000"/>
          <w:sz w:val="22"/>
        </w:rPr>
        <w:t xml:space="preserve">if the Investor is then in material breach of any of its representations, warranties, covenants or agreements hereunder, which breach would give rise to the failure of any condition set forth in </w:t>
      </w:r>
      <w:r>
        <w:rPr>
          <w:rFonts w:ascii="Times New Roman;sans-serif" w:hAnsi="Times New Roman;sans-serif"/>
          <w:b w:val="false"/>
          <w:color w:val="000000"/>
          <w:sz w:val="22"/>
          <w:u w:val="single"/>
        </w:rPr>
        <w:t>Section 6.02(a)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6.02(b)</w:t>
      </w:r>
      <w:r>
        <w:rPr>
          <w:color w:val="000000"/>
        </w:rPr>
        <w:t xml:space="preserve"> </w:t>
      </w:r>
      <w:r>
        <w:rPr>
          <w:rFonts w:ascii="Times New Roman;sans-serif" w:hAnsi="Times New Roman;sans-serif"/>
          <w:b w:val="false"/>
          <w:color w:val="000000"/>
          <w:sz w:val="22"/>
        </w:rPr>
        <w:t>to be satisfied; or</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7660"/>
                <wp:effectExtent l="0" t="0" r="0" b="0"/>
                <wp:wrapNone/>
                <wp:docPr id="27" name="Frame2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(d)    by the Company, if the Investor shall have breached any of its representations or warranties or failed to perform any of its covenants or agreements set forth in this Agreement, which breach or failure to perform (i) would give rise to the failure of a condition set forth in </w:t>
      </w:r>
      <w:r>
        <w:rPr>
          <w:rFonts w:ascii="Times New Roman;sans-serif" w:hAnsi="Times New Roman;sans-serif"/>
          <w:b w:val="false"/>
          <w:color w:val="000000"/>
          <w:sz w:val="22"/>
          <w:u w:val="single"/>
        </w:rPr>
        <w:t>Section 6.02(a)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6.02(b)</w:t>
      </w:r>
      <w:r>
        <w:rPr>
          <w:color w:val="000000"/>
        </w:rPr>
        <w:t xml:space="preserve"> </w:t>
      </w:r>
      <w:r>
        <w:rPr>
          <w:rFonts w:ascii="Times New Roman;sans-serif" w:hAnsi="Times New Roman;sans-serif"/>
          <w:b w:val="false"/>
          <w:color w:val="000000"/>
          <w:sz w:val="22"/>
        </w:rPr>
        <w:t xml:space="preserve">and (ii) shall not have been cured within thirty (30) calendar days following receipt by the Investor of written notice of such breach or failure to perform from the Company stating the Company’s intention to terminate this Agreement pursuant to this </w:t>
      </w:r>
      <w:r>
        <w:rPr>
          <w:rFonts w:ascii="Times New Roman;sans-serif" w:hAnsi="Times New Roman;sans-serif"/>
          <w:b w:val="false"/>
          <w:color w:val="000000"/>
          <w:sz w:val="22"/>
          <w:u w:val="single"/>
        </w:rPr>
        <w:t>Section 7.01(d)</w:t>
      </w:r>
      <w:r>
        <w:rPr>
          <w:color w:val="000000"/>
        </w:rPr>
        <w:t xml:space="preserve"> </w:t>
      </w:r>
      <w:r>
        <w:rPr>
          <w:rFonts w:ascii="Times New Roman;sans-serif" w:hAnsi="Times New Roman;sans-serif"/>
          <w:b w:val="false"/>
          <w:color w:val="000000"/>
          <w:sz w:val="22"/>
        </w:rPr>
        <w:t xml:space="preserve">and the basis for such termination;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the Company shall not have the right to terminate this Agreement pursuant to this </w:t>
      </w:r>
      <w:r>
        <w:rPr>
          <w:rFonts w:ascii="Times New Roman;sans-serif" w:hAnsi="Times New Roman;sans-serif"/>
          <w:b w:val="false"/>
          <w:color w:val="000000"/>
          <w:sz w:val="22"/>
          <w:u w:val="single"/>
        </w:rPr>
        <w:t>Section 7.01(d)</w:t>
      </w:r>
      <w:r>
        <w:rPr>
          <w:color w:val="000000"/>
        </w:rPr>
        <w:t xml:space="preserve"> </w:t>
      </w:r>
      <w:r>
        <w:rPr>
          <w:rFonts w:ascii="Times New Roman;sans-serif" w:hAnsi="Times New Roman;sans-serif"/>
          <w:b w:val="false"/>
          <w:color w:val="000000"/>
          <w:sz w:val="22"/>
        </w:rPr>
        <w:t xml:space="preserve">if the Company is then in material breach of any of its representations, warranties, covenants or agreements hereunder, which breach would give rise to the failure of any condition set forth in </w:t>
      </w:r>
      <w:r>
        <w:rPr>
          <w:rFonts w:ascii="Times New Roman;sans-serif" w:hAnsi="Times New Roman;sans-serif"/>
          <w:b w:val="false"/>
          <w:color w:val="000000"/>
          <w:sz w:val="22"/>
          <w:u w:val="single"/>
        </w:rPr>
        <w:t>Section 6.03(a)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6.03(b)</w:t>
      </w:r>
      <w:r>
        <w:rPr>
          <w:color w:val="000000"/>
        </w:rPr>
        <w:t xml:space="preserve"> </w:t>
      </w:r>
      <w:r>
        <w:rPr>
          <w:rFonts w:ascii="Times New Roman;sans-serif" w:hAnsi="Times New Roman;sans-serif"/>
          <w:b w:val="false"/>
          <w:color w:val="000000"/>
          <w:sz w:val="22"/>
        </w:rPr>
        <w:t>to be satisfied.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7.02.    </w:t>
      </w:r>
      <w:r>
        <w:rPr>
          <w:rFonts w:ascii="Times New Roman;sans-serif" w:hAnsi="Times New Roman;sans-serif"/>
          <w:b w:val="false"/>
          <w:i/>
          <w:color w:val="000000"/>
          <w:sz w:val="22"/>
        </w:rPr>
        <w:t>Effect of Termination</w:t>
      </w:r>
      <w:r>
        <w:rPr>
          <w:rFonts w:ascii="Times New Roman;sans-serif" w:hAnsi="Times New Roman;sans-serif"/>
          <w:b w:val="false"/>
          <w:color w:val="000000"/>
          <w:sz w:val="22"/>
        </w:rPr>
        <w:t xml:space="preserve">. Upon termination of this Agreement as provided in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 xml:space="preserve">, this Agreement shall forthwith become null and void (other than </w:t>
      </w:r>
      <w:r>
        <w:rPr>
          <w:rFonts w:ascii="Times New Roman;sans-serif" w:hAnsi="Times New Roman;sans-serif"/>
          <w:b w:val="false"/>
          <w:color w:val="000000"/>
          <w:sz w:val="22"/>
          <w:u w:val="single"/>
        </w:rPr>
        <w:t>Article 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5.08</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7.02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Article 8</w:t>
      </w:r>
      <w:r>
        <w:rPr>
          <w:rFonts w:ascii="Times New Roman;sans-serif" w:hAnsi="Times New Roman;sans-serif"/>
          <w:b w:val="false"/>
          <w:color w:val="000000"/>
          <w:sz w:val="22"/>
        </w:rPr>
        <w:t>, all of which shall survive termination of this Agreement), and there shall be no liability on the part of the Investor or the Company or their respective directors, officers and Affiliates, except that no such termination shall relieve any party from liability for damages to another party resulting from a willful and material breach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7.03.    </w:t>
      </w:r>
      <w:r>
        <w:rPr>
          <w:rFonts w:ascii="Times New Roman;sans-serif" w:hAnsi="Times New Roman;sans-serif"/>
          <w:b w:val="false"/>
          <w:i/>
          <w:color w:val="000000"/>
          <w:sz w:val="22"/>
        </w:rPr>
        <w:t>Survival</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all of the covenants or other agreements of the parties contained in this Agreement shall survive until fully performed or fulfilled, unless and to the extent that non-compliance with such covenants or agreements is waived in writing by the party entitled to such performance. The representations and warranties made as of the Closing Date shall survive until the Closing Date and shall then expire. Notwithstanding any other provision set forth in this Agreement, the maximum liability of the Company under or relating to this Agreement to the extent relating to or arising out of any breach of the representations and warranties expressly set forth in this Agreement shall, with respect to the Transactions, in no event exceed the Aggregate Purchase Price paid by the Investor for the Purchased Shares pursuant to this Agreement.</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8</w:t>
        <w:br/>
        <w:br/>
        <w:t>Miscellaneous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8.01.    </w:t>
      </w:r>
      <w:r>
        <w:rPr>
          <w:rFonts w:ascii="Times New Roman;sans-serif" w:hAnsi="Times New Roman;sans-serif"/>
          <w:b w:val="false"/>
          <w:i/>
          <w:color w:val="000000"/>
          <w:sz w:val="22"/>
        </w:rPr>
        <w:t>Amendments; Waivers</w:t>
      </w:r>
      <w:r>
        <w:rPr>
          <w:rFonts w:ascii="Times New Roman;sans-serif" w:hAnsi="Times New Roman;sans-serif"/>
          <w:b w:val="false"/>
          <w:color w:val="000000"/>
          <w:sz w:val="22"/>
        </w:rPr>
        <w:t xml:space="preserve">. Subject to compliance with applicable Law, this Agreement and the exhibits hereto (including the Certificate of Designations) may be amended or supplemented in any and all respects by written agreement of the parties hereto;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that the consent of the parties shall not be unreasonably withheld, conditioned or delayed with respect to any amendment or modification to the Certificate of Designations necessary to comply with applicable Law and any amendment to or waiver of the provisions, terms and conditions of this Agreement that are addressed in the Certificate of Designations shall be permitted only as specified such agreement.</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7660"/>
                <wp:effectExtent l="0" t="0" r="0" b="0"/>
                <wp:wrapNone/>
                <wp:docPr id="28" name="Frame2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8.02.    </w:t>
      </w:r>
      <w:r>
        <w:rPr>
          <w:rFonts w:ascii="Times New Roman;sans-serif" w:hAnsi="Times New Roman;sans-serif"/>
          <w:b w:val="false"/>
          <w:i/>
          <w:color w:val="000000"/>
          <w:sz w:val="22"/>
        </w:rPr>
        <w:t>Extension of Time, Waiver, Etc.</w:t>
      </w:r>
      <w:r>
        <w:rPr>
          <w:color w:val="000000"/>
        </w:rPr>
        <w:t xml:space="preserve"> </w:t>
      </w:r>
      <w:r>
        <w:rPr>
          <w:rFonts w:ascii="Times New Roman;sans-serif" w:hAnsi="Times New Roman;sans-serif"/>
          <w:b w:val="false"/>
          <w:color w:val="000000"/>
          <w:sz w:val="22"/>
        </w:rPr>
        <w:t>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8.03.    </w:t>
      </w:r>
      <w:r>
        <w:rPr>
          <w:rFonts w:ascii="Times New Roman;sans-serif" w:hAnsi="Times New Roman;sans-serif"/>
          <w:b w:val="false"/>
          <w:i/>
          <w:color w:val="000000"/>
          <w:sz w:val="22"/>
        </w:rPr>
        <w:t>Assignment</w:t>
      </w:r>
      <w:r>
        <w:rPr>
          <w:rFonts w:ascii="Times New Roman;sans-serif" w:hAnsi="Times New Roman;sans-serif"/>
          <w:b w:val="false"/>
          <w:color w:val="000000"/>
          <w:sz w:val="22"/>
        </w:rPr>
        <w:t xml:space="preserve">. Neither this Agreement nor any of the rights, interests or obligations hereunder shall be assigned, in whole or in part, by operation of Law or otherwise, by any of the parties hereto without the prior written consent of the other party hereto; </w:t>
      </w:r>
      <w:r>
        <w:rPr>
          <w:rFonts w:ascii="Times New Roman;sans-serif" w:hAnsi="Times New Roman;sans-serif"/>
          <w:b w:val="false"/>
          <w:i/>
          <w:color w:val="000000"/>
          <w:sz w:val="22"/>
        </w:rPr>
        <w:t xml:space="preserve">provided, however, </w:t>
      </w:r>
      <w:r>
        <w:rPr>
          <w:rFonts w:ascii="Times New Roman;sans-serif" w:hAnsi="Times New Roman;sans-serif"/>
          <w:b w:val="false"/>
          <w:color w:val="000000"/>
          <w:sz w:val="22"/>
        </w:rPr>
        <w:t xml:space="preserve">that without the prior written consent of the Company, the Investor may assign its rights, interests and obligations under this Agreement, in whole or in part, to one or more Permitted Transferees, including as contemplated in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 so long as the assignee shall agree in writing to be bound by the provisions of this Agreement, including the rights, interests and obligations so assigned.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8.04.    </w:t>
      </w:r>
      <w:r>
        <w:rPr>
          <w:rFonts w:ascii="Times New Roman;sans-serif" w:hAnsi="Times New Roman;sans-serif"/>
          <w:b w:val="false"/>
          <w:i/>
          <w:color w:val="000000"/>
          <w:sz w:val="22"/>
        </w:rPr>
        <w:t>Counterparts</w:t>
      </w:r>
      <w:r>
        <w:rPr>
          <w:rFonts w:ascii="Times New Roman;sans-serif" w:hAnsi="Times New Roman;sans-serif"/>
          <w:b w:val="false"/>
          <w:color w:val="000000"/>
          <w:sz w:val="22"/>
        </w:rPr>
        <w:t>. This Agreement may be executed in one or more counterparts (including by electronic mail), each of which shall be deemed to be an original but all of which taken together shall constitute one and the same agreement, and shall become effective when one or more counterparts have been signed by each of the parties hereto (including by electronic signature) and delivered to the other parties hereto (including electronically, e.g., in PDF format).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8.05.    </w:t>
      </w:r>
      <w:r>
        <w:rPr>
          <w:rFonts w:ascii="Times New Roman;sans-serif" w:hAnsi="Times New Roman;sans-serif"/>
          <w:b w:val="false"/>
          <w:i/>
          <w:color w:val="000000"/>
          <w:sz w:val="22"/>
        </w:rPr>
        <w:t>Entire Agreement; No Third-Party Beneficiaries</w:t>
      </w:r>
      <w:r>
        <w:rPr>
          <w:rFonts w:ascii="Times New Roman;sans-serif" w:hAnsi="Times New Roman;sans-serif"/>
          <w:b w:val="false"/>
          <w:color w:val="000000"/>
          <w:sz w:val="22"/>
        </w:rPr>
        <w:t>. This Agreement, together with the other Transaction Documents and the Certificate of Designations,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8.06.    </w:t>
      </w:r>
      <w:r>
        <w:rPr>
          <w:rFonts w:ascii="Times New Roman;sans-serif" w:hAnsi="Times New Roman;sans-serif"/>
          <w:b w:val="false"/>
          <w:i/>
          <w:color w:val="000000"/>
          <w:sz w:val="22"/>
        </w:rPr>
        <w:t>Governing Law; Jurisdiction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This Agreement and all matters, claims or legal actions or proceedings (whether at law, in equity, in Contract, in tort or otherwise) based upon, arising out of or relating to this Agreement, execution or performance of this Agreement, shall be governed by, and construed in accordance with, the internal laws of the State of New York.</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 xml:space="preserve">(b)    All legal actions or proceedings arising out of or relating to this Agreement shall be heard and determined in the courts of the State of New York located in the City and County of New York, Borough of Manhattan, or in the United States District Court for the Southern District of New York and the parties hereto hereby irrevocably submit to the exclusive jurisdiction and venue of such courts in any such legal action or proceeding and irrevocably waive the defense of an inconvenient forum or lack of jurisdiction to the maintenance of any such legal action or proceeding. Each party hereto agrees that service of process upon such party in any legal actions or proceeding arising out of or relating to this Agreement shall be effective if notice is given by overnight courier at the address set forth in </w:t>
      </w:r>
      <w:r>
        <w:rPr>
          <w:rFonts w:ascii="Times New Roman;sans-serif" w:hAnsi="Times New Roman;sans-serif"/>
          <w:b w:val="false"/>
          <w:color w:val="000000"/>
          <w:sz w:val="22"/>
          <w:u w:val="single"/>
        </w:rPr>
        <w:t>Section 8.09</w:t>
      </w:r>
      <w:r>
        <w:rPr>
          <w:rFonts w:ascii="Times New Roman;sans-serif" w:hAnsi="Times New Roman;sans-serif"/>
          <w:b w:val="false"/>
          <w:color w:val="000000"/>
          <w:sz w:val="22"/>
        </w:rPr>
        <w:t xml:space="preserve">. The parties hereto agree that a final judgment in any such legal action or proceeding shall be conclusive and may be enforced in other jurisdictions by suit on the judgment or in any other manner provided by applicable Law; </w:t>
      </w:r>
      <w:r>
        <w:rPr>
          <w:rFonts w:ascii="Times New Roman;sans-serif" w:hAnsi="Times New Roman;sans-serif"/>
          <w:b w:val="false"/>
          <w:i/>
          <w:color w:val="000000"/>
          <w:sz w:val="22"/>
        </w:rPr>
        <w:t xml:space="preserve">provided, however, </w:t>
      </w:r>
      <w:r>
        <w:rPr>
          <w:rFonts w:ascii="Times New Roman;sans-serif" w:hAnsi="Times New Roman;sans-serif"/>
          <w:b w:val="false"/>
          <w:color w:val="000000"/>
          <w:sz w:val="22"/>
        </w:rPr>
        <w:t>that nothing in the foregoing shall restrict any party’s rights to seek any post judgment relief regarding, or any appeal from, a final trial court judgment.</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7660"/>
                <wp:effectExtent l="0" t="0" r="0" b="0"/>
                <wp:wrapNone/>
                <wp:docPr id="29" name="Frame2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8.07.    </w:t>
      </w:r>
      <w:r>
        <w:rPr>
          <w:rFonts w:ascii="Times New Roman;sans-serif" w:hAnsi="Times New Roman;sans-serif"/>
          <w:b w:val="false"/>
          <w:i/>
          <w:color w:val="000000"/>
          <w:sz w:val="22"/>
        </w:rPr>
        <w:t>Specific Enforcement</w:t>
      </w:r>
      <w:r>
        <w:rPr>
          <w:rFonts w:ascii="Times New Roman;sans-serif" w:hAnsi="Times New Roman;sans-serif"/>
          <w:b w:val="false"/>
          <w:color w:val="000000"/>
          <w:sz w:val="22"/>
        </w:rPr>
        <w:t xml:space="preserve">. The parties hereto agree that irreparable damage for which monetary relief, even if available, might not be an adequate remedy, might occur in the event that any provision of this Agreement is not performed in accordance with its specific terms or is otherwise breached, including if the parties hereto fail to take any action required of them hereunder to cause the Closing to occur, and that time is of the essence. Subject to the determination of a court of competent jurisdiction, the parties acknowledge and agree that (a) the parties shall be entitled to seek an injunction or injunctions, specific performance or other equitable relief to prevent breaches of this Agreement and to enforce specifically the terms and provisions hereof (including, for the avoidance of doubt, the right of the Company to cause the Closing to be consummated on the terms and subject to the conditions set forth in this Transaction Documents) in the courts described in </w:t>
      </w:r>
      <w:r>
        <w:rPr>
          <w:rFonts w:ascii="Times New Roman;sans-serif" w:hAnsi="Times New Roman;sans-serif"/>
          <w:b w:val="false"/>
          <w:color w:val="000000"/>
          <w:sz w:val="22"/>
          <w:u w:val="single"/>
        </w:rPr>
        <w:t>Section 8.06</w:t>
      </w:r>
      <w:r>
        <w:rPr>
          <w:rFonts w:ascii="Times New Roman;sans-serif" w:hAnsi="Times New Roman;sans-serif"/>
          <w:b w:val="false"/>
          <w:color w:val="000000"/>
          <w:sz w:val="22"/>
        </w:rPr>
        <w:t xml:space="preserve">, this being in addition to any other remedy to which they are entitled under this Agreement and (b) the right of specific enforcement is an integral part of the Transactions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sans-serif" w:hAnsi="Times New Roman;sans-serif"/>
          <w:b w:val="false"/>
          <w:color w:val="000000"/>
          <w:sz w:val="22"/>
          <w:u w:val="single"/>
        </w:rPr>
        <w:t>Section 8.07</w:t>
      </w:r>
      <w:r>
        <w:rPr>
          <w:color w:val="000000"/>
        </w:rPr>
        <w:t xml:space="preserve"> </w:t>
      </w:r>
      <w:r>
        <w:rPr>
          <w:rFonts w:ascii="Times New Roman;sans-serif" w:hAnsi="Times New Roman;sans-serif"/>
          <w:b w:val="false"/>
          <w:color w:val="000000"/>
          <w:sz w:val="22"/>
        </w:rPr>
        <w:t>shall not be required to provide any bond or other security in connection with any such order or injunction.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8.08.    </w:t>
      </w:r>
      <w:r>
        <w:rPr>
          <w:rFonts w:ascii="Times New Roman;sans-serif" w:hAnsi="Times New Roman;sans-serif"/>
          <w:b w:val="false"/>
          <w:i/>
          <w:color w:val="000000"/>
          <w:sz w:val="22"/>
        </w:rPr>
        <w:t>WAIVER OF JURY TRIAL</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sans-serif" w:hAnsi="Times New Roman;sans-serif"/>
          <w:b w:val="false"/>
          <w:color w:val="000000"/>
          <w:sz w:val="22"/>
          <w:u w:val="single"/>
        </w:rPr>
        <w:t>SECTION 8.08</w:t>
      </w:r>
      <w:r>
        <w:rPr>
          <w:rFonts w:ascii="Times New Roman;sans-serif" w:hAnsi="Times New Roman;sans-serif"/>
          <w:b w:val="false"/>
          <w:color w:val="000000"/>
          <w:sz w:val="22"/>
        </w:rPr>
        <w:t>.</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7660"/>
                <wp:effectExtent l="0" t="0" r="0" b="0"/>
                <wp:wrapNone/>
                <wp:docPr id="30" name="Frame3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8.09.    </w:t>
      </w:r>
      <w:r>
        <w:rPr>
          <w:rFonts w:ascii="Times New Roman;sans-serif" w:hAnsi="Times New Roman;sans-serif"/>
          <w:b w:val="false"/>
          <w:i/>
          <w:color w:val="000000"/>
          <w:sz w:val="22"/>
        </w:rPr>
        <w:t>Notices</w:t>
      </w:r>
      <w:r>
        <w:rPr>
          <w:rFonts w:ascii="Times New Roman;sans-serif" w:hAnsi="Times New Roman;sans-serif"/>
          <w:b w:val="false"/>
          <w:color w:val="000000"/>
          <w:sz w:val="22"/>
        </w:rPr>
        <w:t>. All notices, requests and other communications to any party hereunder shall be in writing and shall be deemed given if delivered personally, emailed, or sent by overnight courier (providing proof of delivery) to the parties at the following addresses:</w:t>
      </w:r>
    </w:p>
    <w:tbl>
      <w:tblPr>
        <w:tblW w:w="790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797"/>
        <w:gridCol w:w="797"/>
        <w:gridCol w:w="797"/>
        <w:gridCol w:w="1573"/>
        <w:gridCol w:w="1573"/>
        <w:gridCol w:w="16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w:t>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to the Company, to it 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7373 Gateway Boulevard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Newark, CA 94560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w:t>
            </w:r>
          </w:p>
        </w:tc>
        <w:tc>
          <w:tcPr>
            <w:tcW w:w="4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Legal Department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w:t>
            </w:r>
          </w:p>
        </w:tc>
        <w:tc>
          <w:tcPr>
            <w:tcW w:w="4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Legal@lucidmotors.com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Skadden, Arps, Slate, Meagher &amp; Flom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525 University Avenue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Palo Alto, CA 94301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w:t>
            </w:r>
          </w:p>
        </w:tc>
        <w:tc>
          <w:tcPr>
            <w:tcW w:w="4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Thomas J. Ivey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Brian D. Paulson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w:t>
            </w:r>
          </w:p>
        </w:tc>
        <w:tc>
          <w:tcPr>
            <w:tcW w:w="4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thomas.ivey@skadden.com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brian.paulson@skadden.com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to the Investor, to it at the address specified on the signature page hereto.</w:t>
            </w:r>
          </w:p>
        </w:tc>
      </w:tr>
    </w:tbl>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to such other address or email address as such party may hereafter specify in writing to the other party hereto. All such notices, requests and other communications shall be deemed received (1) on the date of actual receipt by the recipient thereof if received prior to 5:00 p.m. local time in the place of receipt and such day is a business day in the place of receipt, or (2) on the next succeeding business day in the place of receipt.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8.10.    </w:t>
      </w:r>
      <w:r>
        <w:rPr>
          <w:rFonts w:ascii="Times New Roman;sans-serif" w:hAnsi="Times New Roman;sans-serif"/>
          <w:b w:val="false"/>
          <w:i/>
          <w:color w:val="000000"/>
          <w:sz w:val="22"/>
        </w:rPr>
        <w:t>Severability</w:t>
      </w:r>
      <w:r>
        <w:rPr>
          <w:rFonts w:ascii="Times New Roman;sans-serif" w:hAnsi="Times New Roman;sans-serif"/>
          <w:b w:val="false"/>
          <w:color w:val="000000"/>
          <w:sz w:val="22"/>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8.11.    </w:t>
      </w:r>
      <w:r>
        <w:rPr>
          <w:rFonts w:ascii="Times New Roman;sans-serif" w:hAnsi="Times New Roman;sans-serif"/>
          <w:b w:val="false"/>
          <w:i/>
          <w:color w:val="000000"/>
          <w:sz w:val="22"/>
        </w:rPr>
        <w:t>Expenses</w:t>
      </w:r>
      <w:r>
        <w:rPr>
          <w:rFonts w:ascii="Times New Roman;sans-serif" w:hAnsi="Times New Roman;sans-serif"/>
          <w:b w:val="false"/>
          <w:color w:val="000000"/>
          <w:sz w:val="22"/>
        </w:rPr>
        <w:t>. Except as otherwise expressly provided in the Transaction Documents, all costs and expenses, including fees and disbursements of counsel, financial advisors and accountants, incurred in connection with this Agreement and the other Transaction Documents shall be paid by the party incurring such costs and expenses, whether or not the Closing shall have occurred.</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7660"/>
                <wp:effectExtent l="0" t="0" r="0" b="0"/>
                <wp:wrapNone/>
                <wp:docPr id="31" name="Frame3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8.12.    </w:t>
      </w:r>
      <w:r>
        <w:rPr>
          <w:rFonts w:ascii="Times New Roman;sans-serif" w:hAnsi="Times New Roman;sans-serif"/>
          <w:b w:val="false"/>
          <w:i/>
          <w:color w:val="000000"/>
          <w:sz w:val="22"/>
        </w:rPr>
        <w:t>Interpretation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When a reference is made in this Agreement to an Article, a Section, Exhibit or Schedule, such reference shall be to an Article of, a Section of, or an Exhibit or Schedule to, this Agreement unless otherwise indicated.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pStyle w:val="TextBody"/>
        <w:bidi w:val="0"/>
        <w:spacing w:lineRule="auto" w:line="288" w:before="24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7660"/>
                <wp:effectExtent l="0" t="0" r="0" b="0"/>
                <wp:wrapNone/>
                <wp:docPr id="32" name="Frame3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duly executed and delivered as of the date first above written.</w:t>
      </w:r>
    </w:p>
    <w:p>
      <w:pPr>
        <w:pStyle w:val="TextBody"/>
        <w:bidi w:val="0"/>
        <w:spacing w:before="240" w:after="240"/>
        <w:ind w:left="0" w:right="0" w:firstLine="720"/>
        <w:jc w:val="both"/>
        <w:rPr/>
      </w:pPr>
      <w:r>
        <w:rPr/>
      </w:r>
    </w:p>
    <w:tbl>
      <w:tblPr>
        <w:tblW w:w="4971" w:type="dxa"/>
        <w:jc w:val="left"/>
        <w:tblInd w:w="0" w:type="dxa"/>
        <w:tblLayout w:type="fixed"/>
        <w:tblCellMar>
          <w:top w:w="28" w:type="dxa"/>
          <w:left w:w="28" w:type="dxa"/>
          <w:bottom w:w="28" w:type="dxa"/>
          <w:right w:w="28" w:type="dxa"/>
        </w:tblCellMar>
      </w:tblPr>
      <w:tblGrid>
        <w:gridCol w:w="124"/>
        <w:gridCol w:w="109"/>
        <w:gridCol w:w="109"/>
        <w:gridCol w:w="243"/>
        <w:gridCol w:w="243"/>
        <w:gridCol w:w="243"/>
        <w:gridCol w:w="290"/>
        <w:gridCol w:w="290"/>
        <w:gridCol w:w="290"/>
        <w:gridCol w:w="888"/>
        <w:gridCol w:w="888"/>
        <w:gridCol w:w="12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9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Gagan Dhingra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0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Gagan Dhingra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Interim Chief Financial Officer</w:t>
            </w:r>
          </w:p>
        </w:tc>
      </w:tr>
    </w:tbl>
    <w:p>
      <w:pPr>
        <w:pStyle w:val="TextBody"/>
        <w:bidi w:val="0"/>
        <w:spacing w:before="48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7660"/>
                <wp:effectExtent l="0" t="0" r="0" b="0"/>
                <wp:wrapNone/>
                <wp:docPr id="33" name="Frame3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Subscription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Subscription Agreement]</w:t>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duly executed and delivered as of the date first above written.</w:t>
      </w:r>
    </w:p>
    <w:tbl>
      <w:tblPr>
        <w:tblW w:w="5102" w:type="dxa"/>
        <w:jc w:val="left"/>
        <w:tblInd w:w="0" w:type="dxa"/>
        <w:tblLayout w:type="fixed"/>
        <w:tblCellMar>
          <w:top w:w="28" w:type="dxa"/>
          <w:left w:w="28" w:type="dxa"/>
          <w:bottom w:w="28" w:type="dxa"/>
          <w:right w:w="28" w:type="dxa"/>
        </w:tblCellMar>
      </w:tblPr>
      <w:tblGrid>
        <w:gridCol w:w="124"/>
        <w:gridCol w:w="109"/>
        <w:gridCol w:w="109"/>
        <w:gridCol w:w="446"/>
        <w:gridCol w:w="446"/>
        <w:gridCol w:w="446"/>
        <w:gridCol w:w="446"/>
        <w:gridCol w:w="446"/>
        <w:gridCol w:w="446"/>
        <w:gridCol w:w="606"/>
        <w:gridCol w:w="606"/>
        <w:gridCol w:w="8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AYAR THIRD INVESTMENT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Turqi A. Alnowaiser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Turqi A. Alnowaiser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Authorized Manager</w:t>
            </w:r>
          </w:p>
        </w:tc>
      </w:tr>
    </w:tbl>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Number of Purchased Shares: 75,000 Shares</w:t>
      </w:r>
    </w:p>
    <w:tbl>
      <w:tblPr>
        <w:tblW w:w="78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33"/>
        <w:gridCol w:w="1033"/>
        <w:gridCol w:w="1033"/>
        <w:gridCol w:w="1227"/>
        <w:gridCol w:w="1227"/>
        <w:gridCol w:w="1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Prince Turki bin Abdul Aziz Al-Awal Road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 Box 6847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Riyadh 11452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Kingdom of Saudi Arabia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w:t>
            </w:r>
          </w:p>
        </w:tc>
        <w:tc>
          <w:tcPr>
            <w:tcW w:w="4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Turqi Alnowaiser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Yasir Alsalman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w:t>
            </w:r>
          </w:p>
        </w:tc>
        <w:tc>
          <w:tcPr>
            <w:tcW w:w="4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Gibson, Dunn &amp; Crutcher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200 Park Avenue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York, New York 10017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Attention:</w:t>
            </w:r>
          </w:p>
        </w:tc>
        <w:tc>
          <w:tcPr>
            <w:tcW w:w="4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Richard Birns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Stewart McDowell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w:t>
            </w:r>
          </w:p>
        </w:tc>
        <w:tc>
          <w:tcPr>
            <w:tcW w:w="4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rbirns@gibsondunn.com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smcdowell@gibsondunn.com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to the Investor, to it at the address specified on the signature page hereto.</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88" w:before="240" w:after="240"/>
        <w:jc w:val="right"/>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FORM OF SERIES B CONVERTIBLE PREFERRED STOCK</w:t>
        <w:br/>
        <w:t>CERTIFICATE OF DESIGNATIONS</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(Pursuant to Section 151 of the General Corporation Law of the State of Delaware)</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Lucid Group, Inc., a corporation organized and existing under the General Corporation Law of the State of Delaware (hereinafter, the “</w:t>
      </w:r>
      <w:r>
        <w:rPr>
          <w:rFonts w:ascii="Times New Roman;sans-serif" w:hAnsi="Times New Roman;sans-serif"/>
          <w:b/>
          <w:color w:val="000000"/>
          <w:sz w:val="22"/>
        </w:rPr>
        <w:t>Corporation</w:t>
      </w:r>
      <w:r>
        <w:rPr>
          <w:color w:val="000000"/>
        </w:rPr>
        <w:t>”</w:t>
      </w:r>
      <w:r>
        <w:rPr>
          <w:rFonts w:ascii="Times New Roman;sans-serif" w:hAnsi="Times New Roman;sans-serif"/>
          <w:b w:val="false"/>
          <w:color w:val="000000"/>
          <w:sz w:val="22"/>
        </w:rPr>
        <w:t>), hereby certifies that the following resolution was duly adopted by the Board of Directors of the Corporation (or a duly authorized committee thereof) (the “</w:t>
      </w:r>
      <w:r>
        <w:rPr>
          <w:rFonts w:ascii="Times New Roman;sans-serif" w:hAnsi="Times New Roman;sans-serif"/>
          <w:b/>
          <w:color w:val="000000"/>
          <w:sz w:val="22"/>
        </w:rPr>
        <w:t>Board</w:t>
      </w:r>
      <w:r>
        <w:rPr>
          <w:color w:val="000000"/>
        </w:rPr>
        <w:t>”</w:t>
      </w:r>
      <w:r>
        <w:rPr>
          <w:rFonts w:ascii="Times New Roman;sans-serif" w:hAnsi="Times New Roman;sans-serif"/>
          <w:b w:val="false"/>
          <w:color w:val="000000"/>
          <w:sz w:val="22"/>
        </w:rPr>
        <w:t>) as required by Section 151 of the General Corporation Law of the State of Delaware (the “</w:t>
      </w:r>
      <w:r>
        <w:rPr>
          <w:rFonts w:ascii="Times New Roman;sans-serif" w:hAnsi="Times New Roman;sans-serif"/>
          <w:b/>
          <w:color w:val="000000"/>
          <w:sz w:val="22"/>
        </w:rPr>
        <w:t>General Corporation Law</w:t>
      </w:r>
      <w:r>
        <w:rPr>
          <w:color w:val="000000"/>
        </w:rPr>
        <w:t>”</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NOW, THEREFORE, BE IT RESOLVED, that pursuant to the authority expressly granted to and vested in the Board in accordance with the provisions of the Third Amended and Restated Certificate of Incorporation of the Corporation (the “</w:t>
      </w:r>
      <w:r>
        <w:rPr>
          <w:rFonts w:ascii="Times New Roman;sans-serif" w:hAnsi="Times New Roman;sans-serif"/>
          <w:b/>
          <w:color w:val="000000"/>
          <w:sz w:val="22"/>
        </w:rPr>
        <w:t>Certificate of Incorporation</w:t>
      </w:r>
      <w:r>
        <w:rPr>
          <w:color w:val="000000"/>
        </w:rPr>
        <w:t>”</w:t>
      </w:r>
      <w:r>
        <w:rPr>
          <w:rFonts w:ascii="Times New Roman;sans-serif" w:hAnsi="Times New Roman;sans-serif"/>
          <w:b w:val="false"/>
          <w:color w:val="000000"/>
          <w:sz w:val="22"/>
        </w:rPr>
        <w:t>), there is hereby created and provided out of the authorized but unissued preferred stock, par value $0.0001 per share, of the Corporation (“</w:t>
      </w:r>
      <w:r>
        <w:rPr>
          <w:rFonts w:ascii="Times New Roman;sans-serif" w:hAnsi="Times New Roman;sans-serif"/>
          <w:b/>
          <w:color w:val="000000"/>
          <w:sz w:val="22"/>
        </w:rPr>
        <w:t>Preferred Stock</w:t>
      </w:r>
      <w:r>
        <w:rPr>
          <w:color w:val="000000"/>
        </w:rPr>
        <w:t>”</w:t>
      </w:r>
      <w:r>
        <w:rPr>
          <w:rFonts w:ascii="Times New Roman;sans-serif" w:hAnsi="Times New Roman;sans-serif"/>
          <w:b w:val="false"/>
          <w:color w:val="000000"/>
          <w:sz w:val="22"/>
        </w:rPr>
        <w:t>), a new series of Preferred Stock, and there is hereby stated and fixed the number of shares constituting such series and the designation of such series and the powers, preferences and relative, optional or other rights, if any, and the qualifications, limitations or restrictions, if any, of such series as follows:</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Designation</w:t>
      </w:r>
      <w:r>
        <w:rPr>
          <w:rFonts w:ascii="Times New Roman;sans-serif" w:hAnsi="Times New Roman;sans-serif"/>
          <w:b w:val="false"/>
          <w:color w:val="000000"/>
          <w:sz w:val="22"/>
        </w:rPr>
        <w:t>. There shall be a series of Preferred Stock that shall be designated as “</w:t>
      </w:r>
      <w:r>
        <w:rPr>
          <w:rFonts w:ascii="Times New Roman;sans-serif" w:hAnsi="Times New Roman;sans-serif"/>
          <w:b/>
          <w:color w:val="000000"/>
          <w:sz w:val="22"/>
        </w:rPr>
        <w:t>Series B Convertible Preferred Stock</w:t>
      </w:r>
      <w:r>
        <w:rPr>
          <w:color w:val="000000"/>
        </w:rPr>
        <w:t>”</w:t>
      </w:r>
      <w:r>
        <w:rPr>
          <w:rFonts w:ascii="Times New Roman;sans-serif" w:hAnsi="Times New Roman;sans-serif"/>
          <w:b w:val="false"/>
          <w:color w:val="000000"/>
          <w:sz w:val="22"/>
        </w:rPr>
        <w:t>, par value $0.0001 per share (the “Series B Convertible Preferred Stock”), and the initial number of shares constituting such series (“</w:t>
      </w:r>
      <w:r>
        <w:rPr>
          <w:rFonts w:ascii="Times New Roman;sans-serif" w:hAnsi="Times New Roman;sans-serif"/>
          <w:b/>
          <w:color w:val="000000"/>
          <w:sz w:val="22"/>
        </w:rPr>
        <w:t>Shares</w:t>
      </w:r>
      <w:r>
        <w:rPr>
          <w:color w:val="000000"/>
        </w:rPr>
        <w:t xml:space="preserve">” </w:t>
      </w:r>
      <w:r>
        <w:rPr>
          <w:rFonts w:ascii="Times New Roman;sans-serif" w:hAnsi="Times New Roman;sans-serif"/>
          <w:b w:val="false"/>
          <w:color w:val="000000"/>
          <w:sz w:val="22"/>
        </w:rPr>
        <w:t>and each a “</w:t>
      </w:r>
      <w:r>
        <w:rPr>
          <w:rFonts w:ascii="Times New Roman;sans-serif" w:hAnsi="Times New Roman;sans-serif"/>
          <w:b/>
          <w:color w:val="000000"/>
          <w:sz w:val="22"/>
        </w:rPr>
        <w:t>Share</w:t>
      </w:r>
      <w:r>
        <w:rPr>
          <w:color w:val="000000"/>
        </w:rPr>
        <w:t>”</w:t>
      </w:r>
      <w:r>
        <w:rPr>
          <w:rFonts w:ascii="Times New Roman;sans-serif" w:hAnsi="Times New Roman;sans-serif"/>
          <w:b w:val="false"/>
          <w:color w:val="000000"/>
          <w:sz w:val="22"/>
        </w:rPr>
        <w:t>) shall be 75,000. The rights, preferences, powers, restrictions and limitations of the Series B Convertible Preferred Stock shall be as set forth herein. The Series B Convertible Preferred Stock shall be issued in book-entry form on the Corporation’s share ledger, subject to the rights of holders to receive certificated Shares under the General Corporation Law.</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For purposes hereof, the following terms shall have the following meanings: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Accrued Value</w:t>
      </w:r>
      <w:r>
        <w:rPr>
          <w:color w:val="000000"/>
        </w:rPr>
        <w:t xml:space="preserve">” </w:t>
      </w:r>
      <w:r>
        <w:rPr>
          <w:rFonts w:ascii="Times New Roman;sans-serif" w:hAnsi="Times New Roman;sans-serif"/>
          <w:b w:val="false"/>
          <w:color w:val="000000"/>
          <w:sz w:val="22"/>
        </w:rPr>
        <w:t xml:space="preserve">means, with respect to any Share, on any date, the sum of (a) the Initial Value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all Compounded Returns on such Share as of such date and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(c) in the case of the determination of the Accrued Value for purposes of calculating the Minimum Consideration, the Fundamental Change Repurchase Price, the Redemption Price, the Liquidation Preference or the amount due upon conversion of any Share of Series B Convertible Preferred Stock pursuant to a Mandatory Conversion or upon conversion pursuant to </w:t>
      </w:r>
      <w:r>
        <w:rPr>
          <w:rFonts w:ascii="Times New Roman;sans-serif" w:hAnsi="Times New Roman;sans-serif"/>
          <w:b/>
          <w:color w:val="000000"/>
          <w:sz w:val="22"/>
        </w:rPr>
        <w:t>Section 7.1</w:t>
      </w:r>
      <w:r>
        <w:rPr>
          <w:rFonts w:ascii="Times New Roman;sans-serif" w:hAnsi="Times New Roman;sans-serif"/>
          <w:b w:val="false"/>
          <w:color w:val="000000"/>
          <w:sz w:val="22"/>
        </w:rPr>
        <w:t>, accrued Dividends from the last Dividend Payment Date to, and including, the Relevant Date, the Fundamental Change Repurchase Date, the Mandatory Conversion Time, the Redemption Date, the Conversion Date or the date of Liquidation, as the case may be.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 xml:space="preserve">means, as to any Person, any other Person that, directly or indirectly, controls, or is controlled by, or is under common control with, such Person;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for purposes of this Certificate of Designations only, the Corporation shall not be deemed an Affiliate of the PIF Investor or any of the PIF Investor’s Affiliates.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no governmental entity (other than a commercial entity acting in a commercial capacity) and no sovereign or political subdivision of The Kingdom of Saudi Arabia shall be considered an Affiliate of the PIF Investor.</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Annual Dividend Rate</w:t>
      </w:r>
      <w:r>
        <w:rPr>
          <w:color w:val="000000"/>
        </w:rPr>
        <w:t xml:space="preserve">” </w:t>
      </w:r>
      <w:r>
        <w:rPr>
          <w:rFonts w:ascii="Times New Roman;sans-serif" w:hAnsi="Times New Roman;sans-serif"/>
          <w:b w:val="false"/>
          <w:color w:val="000000"/>
          <w:sz w:val="22"/>
        </w:rPr>
        <w:t xml:space="preserve">means 9% per annum, subject to increase pursuant to </w:t>
      </w:r>
      <w:r>
        <w:rPr>
          <w:rFonts w:ascii="Times New Roman;sans-serif" w:hAnsi="Times New Roman;sans-serif"/>
          <w:b/>
          <w:color w:val="000000"/>
          <w:sz w:val="22"/>
        </w:rPr>
        <w:t>Section 11</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Beneficial Owner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7.4(a)</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Beneficial Ownership Limitation</w:t>
      </w:r>
      <w:r>
        <w:rPr>
          <w:color w:val="000000"/>
        </w:rPr>
        <w:t xml:space="preserve">” </w:t>
      </w:r>
      <w:r>
        <w:rPr>
          <w:rFonts w:ascii="Times New Roman;sans-serif" w:hAnsi="Times New Roman;sans-serif"/>
          <w:b w:val="false"/>
          <w:color w:val="000000"/>
          <w:sz w:val="22"/>
        </w:rPr>
        <w:t xml:space="preserve">means, at any time, (a) 9.9% of the total shares of Common Stock outstanding at such time with respect to any Other Investor and (b) infinity with respect to the PIF Investor;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the foregoing, any Holder shall have the right to increase or decrease the Beneficial Ownership Limitation with respect to itself to any other number, with any increase to be effective only upon such Holder providing the Corporation with prior written notice of such increase, which shall be effective sixty-one (61) days after delivery of such notice to the Corporation.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Business Day</w:t>
      </w:r>
      <w:r>
        <w:rPr>
          <w:color w:val="000000"/>
        </w:rPr>
        <w:t xml:space="preserve">” </w:t>
      </w:r>
      <w:r>
        <w:rPr>
          <w:rFonts w:ascii="Times New Roman;sans-serif" w:hAnsi="Times New Roman;sans-serif"/>
          <w:b w:val="false"/>
          <w:color w:val="000000"/>
          <w:sz w:val="22"/>
        </w:rPr>
        <w:t>means any day other than a Saturday, a Sunday or any day on which the Federal Reserve Bank of New York is authorized or required by law or executive order to close or be closed.</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Capital Stock</w:t>
      </w:r>
      <w:r>
        <w:rPr>
          <w:color w:val="000000"/>
        </w:rPr>
        <w:t xml:space="preserve">” </w:t>
      </w:r>
      <w:r>
        <w:rPr>
          <w:rFonts w:ascii="Times New Roman;sans-serif" w:hAnsi="Times New Roman;sans-serif"/>
          <w:b w:val="false"/>
          <w:color w:val="000000"/>
          <w:sz w:val="22"/>
        </w:rPr>
        <w:t xml:space="preserve">means, for any entity, any and all shares, interests, rights to purchase, warrants, options, participations or other equivalents of or interests in (however designated) stock issued by that entity;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the avoidance of doubt, Convertible Indebtedness shall not constitute “Capital Stock”.</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Cash Dividend Securities</w:t>
      </w:r>
      <w:r>
        <w:rPr>
          <w:color w:val="000000"/>
        </w:rPr>
        <w:t xml:space="preserve">” </w:t>
      </w:r>
      <w:r>
        <w:rPr>
          <w:rFonts w:ascii="Times New Roman;sans-serif" w:hAnsi="Times New Roman;sans-serif"/>
          <w:b w:val="false"/>
          <w:color w:val="000000"/>
          <w:sz w:val="22"/>
        </w:rPr>
        <w:t xml:space="preserve">means, collectively, each class or series of Capital Stock of the Corporation now existing or hereafter authorized, classified, reclassified or otherwise created, the terms of which provide for cash dividends, whether or not such class or series are Dividend Junior Securities, Dividend Parity Securities or Dividend Senior Securities;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Cash Dividend Securities shall not include the Common Stock.</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Certificate of Designations</w:t>
      </w:r>
      <w:r>
        <w:rPr>
          <w:color w:val="000000"/>
        </w:rPr>
        <w:t xml:space="preserve">” </w:t>
      </w:r>
      <w:r>
        <w:rPr>
          <w:rFonts w:ascii="Times New Roman;sans-serif" w:hAnsi="Times New Roman;sans-serif"/>
          <w:b w:val="false"/>
          <w:color w:val="000000"/>
          <w:sz w:val="22"/>
        </w:rPr>
        <w:t>means this Certificate of Designations of the Series B Convertible Preferred Stock of the Corporation.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Certificate of Incorporation</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Closing Price</w:t>
      </w:r>
      <w:r>
        <w:rPr>
          <w:color w:val="000000"/>
        </w:rPr>
        <w:t xml:space="preserve">” </w:t>
      </w:r>
      <w:r>
        <w:rPr>
          <w:rFonts w:ascii="Times New Roman;sans-serif" w:hAnsi="Times New Roman;sans-serif"/>
          <w:b w:val="false"/>
          <w:color w:val="000000"/>
          <w:sz w:val="22"/>
        </w:rPr>
        <w:t>of the Common Stock (or other securities)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other securities) is traded. If the Common Stock (or other securities) is not listed for trading on a U.S. national or regional securities exchange on the relevant date, the “</w:t>
      </w:r>
      <w:r>
        <w:rPr>
          <w:rFonts w:ascii="Times New Roman;sans-serif" w:hAnsi="Times New Roman;sans-serif"/>
          <w:b/>
          <w:color w:val="000000"/>
          <w:sz w:val="22"/>
        </w:rPr>
        <w:t>Closing Price</w:t>
      </w:r>
      <w:r>
        <w:rPr>
          <w:color w:val="000000"/>
        </w:rPr>
        <w:t xml:space="preserve">” </w:t>
      </w:r>
      <w:r>
        <w:rPr>
          <w:rFonts w:ascii="Times New Roman;sans-serif" w:hAnsi="Times New Roman;sans-serif"/>
          <w:b w:val="false"/>
          <w:color w:val="000000"/>
          <w:sz w:val="22"/>
        </w:rPr>
        <w:t>shall be the last quoted bid price for the Common Stock (or other securities) in the over-the-counter market on the relevant date as reported by OTC Markets Group Inc. or a similar organization. If the Common Stock (or other securities) is not so quoted, the “</w:t>
      </w:r>
      <w:r>
        <w:rPr>
          <w:rFonts w:ascii="Times New Roman;sans-serif" w:hAnsi="Times New Roman;sans-serif"/>
          <w:b/>
          <w:color w:val="000000"/>
          <w:sz w:val="22"/>
        </w:rPr>
        <w:t>Closing Price</w:t>
      </w:r>
      <w:r>
        <w:rPr>
          <w:color w:val="000000"/>
        </w:rPr>
        <w:t xml:space="preserve">” </w:t>
      </w:r>
      <w:r>
        <w:rPr>
          <w:rFonts w:ascii="Times New Roman;sans-serif" w:hAnsi="Times New Roman;sans-serif"/>
          <w:b w:val="false"/>
          <w:color w:val="000000"/>
          <w:sz w:val="22"/>
        </w:rPr>
        <w:t>shall be the average of the mid-point of the last bid and ask prices for the Common Stock (or other securities) on the relevant date from a nationally recognized “bulge-bracket” independent investment banking firm selected by the Corporation for this purpose.</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Common Equity</w:t>
      </w:r>
      <w:r>
        <w:rPr>
          <w:color w:val="000000"/>
        </w:rPr>
        <w:t xml:space="preserve">” </w:t>
      </w:r>
      <w:r>
        <w:rPr>
          <w:rFonts w:ascii="Times New Roman;sans-serif" w:hAnsi="Times New Roman;sans-serif"/>
          <w:b w:val="false"/>
          <w:color w:val="000000"/>
          <w:sz w:val="22"/>
        </w:rPr>
        <w:t>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Common Stock</w:t>
      </w:r>
      <w:r>
        <w:rPr>
          <w:color w:val="000000"/>
        </w:rPr>
        <w:t xml:space="preserve">” </w:t>
      </w:r>
      <w:r>
        <w:rPr>
          <w:rFonts w:ascii="Times New Roman;sans-serif" w:hAnsi="Times New Roman;sans-serif"/>
          <w:b w:val="false"/>
          <w:color w:val="000000"/>
          <w:sz w:val="22"/>
        </w:rPr>
        <w:t xml:space="preserve">means the Class A common stock, par value $0.0001 per share, of the Corporation, subject to </w:t>
      </w:r>
      <w:r>
        <w:rPr>
          <w:rFonts w:ascii="Times New Roman;sans-serif" w:hAnsi="Times New Roman;sans-serif"/>
          <w:b/>
          <w:color w:val="000000"/>
          <w:sz w:val="22"/>
        </w:rPr>
        <w:t>Section 7.7(f)</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Common Stock Liquidity Conditions</w:t>
      </w:r>
      <w:r>
        <w:rPr>
          <w:color w:val="000000"/>
        </w:rPr>
        <w:t xml:space="preserve">” </w:t>
      </w:r>
      <w:r>
        <w:rPr>
          <w:rFonts w:ascii="Times New Roman;sans-serif" w:hAnsi="Times New Roman;sans-serif"/>
          <w:b w:val="false"/>
          <w:color w:val="000000"/>
          <w:sz w:val="22"/>
        </w:rPr>
        <w:t>will be satisfied with respect to a Mandatory Conversion, Fundamental Change Repurchase Offer or Optional Redemption, as the case may be, if:</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 xml:space="preserve">(a)    either (i) each share of Common Stock to be issued upon such Mandatory Conversion, Fundamental Change Repurchase Offer or Optional Redemption of any share of Series B Convertible Preferred Stock would be eligible to be offered, sold or otherwise transferred by the Holder of such share of Series B Convertible Preferred Stock (assuming for purposes of this definition that such Holder is not an Affiliate of the Corporation and has not been an Affiliate of the Corporation in the immediately preceding three months) pursuant to Rule 144, without any requirements as to volume, manner of sale, or notice, and the current public information requirements of Rule 144(c) and Rule 144(i)(2) are satisfied as of the date the related Mandatory Conversion Notice, Fundamental Change Notice or Redemption Notice is sent to such Holder and such requirements are reasonably expected by the Corporation to be satisfied continuously during the period from, and including, the date the related Mandatory Conversion Notice, Fundamental Change Notice or Redemption Notice is sent to such Holder to, and including, the thirtieth (30th) calendar day after the date such share of Common Stock is issued; or (ii) the offer and sale of such share of Common Stock by such Holder are registered pursuant to an effective registration statement under the Securities Act and such registration statement is reasonably expected by the Corporation to remain effective and usable, by the Holder to sell such share of Common Stock, continuously during the period from, and including, the date the related Mandatory Conversion Notice, Fundamental Change Notice or Redemption Notice is sent to such Holder to, and including, the thirtieth (30th) calendar day after the date such share of Common Stock is issued;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Holder will supply all information reasonably requested by the Corporation for inclusion, and required to be included, in any registration statement, prospectus or prospectus supplement related to the resale of the Common Stock issuable upon conversion of the Series B Convertible Preferred Stock pursuant to this </w:t>
      </w:r>
      <w:r>
        <w:rPr>
          <w:rFonts w:ascii="Times New Roman;sans-serif" w:hAnsi="Times New Roman;sans-serif"/>
          <w:b/>
          <w:color w:val="000000"/>
          <w:sz w:val="22"/>
        </w:rPr>
        <w:t xml:space="preserve">clause (a)(ii);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if a Holder fails to provide such information to the Corporation within fifteen (15) calendar days following any such request, then this </w:t>
      </w:r>
      <w:r>
        <w:rPr>
          <w:rFonts w:ascii="Times New Roman;sans-serif" w:hAnsi="Times New Roman;sans-serif"/>
          <w:b/>
          <w:color w:val="000000"/>
          <w:sz w:val="22"/>
        </w:rPr>
        <w:t xml:space="preserve">clause (a)(ii) </w:t>
      </w:r>
      <w:r>
        <w:rPr>
          <w:rFonts w:ascii="Times New Roman;sans-serif" w:hAnsi="Times New Roman;sans-serif"/>
          <w:b w:val="false"/>
          <w:color w:val="000000"/>
          <w:sz w:val="22"/>
        </w:rPr>
        <w:t>will automatically be deemed to be satisfied with respect to such Holder; and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 xml:space="preserve">(b)    each share of Common Stock referred to in </w:t>
      </w:r>
      <w:r>
        <w:rPr>
          <w:rFonts w:ascii="Times New Roman;sans-serif" w:hAnsi="Times New Roman;sans-serif"/>
          <w:b/>
          <w:color w:val="000000"/>
          <w:sz w:val="22"/>
        </w:rPr>
        <w:t>clause (a)</w:t>
      </w:r>
      <w:r>
        <w:rPr>
          <w:color w:val="000000"/>
        </w:rPr>
        <w:t xml:space="preserve"> </w:t>
      </w:r>
      <w:r>
        <w:rPr>
          <w:rFonts w:ascii="Times New Roman;sans-serif" w:hAnsi="Times New Roman;sans-serif"/>
          <w:b w:val="false"/>
          <w:color w:val="000000"/>
          <w:sz w:val="22"/>
        </w:rPr>
        <w:t>above, when sold or otherwise transferred pursuant to Rule 144 or the registration statement referred to in such clause, as applicable will, when issued, be listed and admitted for trading on any of, the Nasdaq Global Select Market, the Nasdaq Global Market or The New York Stock Exchange (or any of their respective successors).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Compounded Returns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4.2</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Conversion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7.3(a)</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Conversion Price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7.1</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Conversion Rights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w:t>
      </w:r>
      <w:r>
        <w:rPr>
          <w:rFonts w:ascii="Times New Roman;sans-serif" w:hAnsi="Times New Roman;sans-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Conversion Share Cap</w:t>
      </w:r>
      <w:r>
        <w:rPr>
          <w:color w:val="000000"/>
        </w:rPr>
        <w:t xml:space="preserve">” </w:t>
      </w:r>
      <w:r>
        <w:rPr>
          <w:rFonts w:ascii="Times New Roman;sans-serif" w:hAnsi="Times New Roman;sans-serif"/>
          <w:b w:val="false"/>
          <w:color w:val="000000"/>
          <w:sz w:val="22"/>
        </w:rPr>
        <w:t>means the number of shares of Common Stock equal to (i) 19.99% of the total number of shares of Common Stock outstanding as of the Issue Date, divided by (ii) 75,000 (such number of shares subject to proportionate adjustment for share dividends, share splits or share combinations with respect to the Common Stock).</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Conversion Shares</w:t>
      </w:r>
      <w:r>
        <w:rPr>
          <w:color w:val="000000"/>
        </w:rPr>
        <w:t xml:space="preserve">” </w:t>
      </w:r>
      <w:r>
        <w:rPr>
          <w:rFonts w:ascii="Times New Roman;sans-serif" w:hAnsi="Times New Roman;sans-serif"/>
          <w:b w:val="false"/>
          <w:color w:val="000000"/>
          <w:sz w:val="22"/>
        </w:rPr>
        <w:t xml:space="preserve">means the shares of Common Stock then issuable upon conversion of the Series B Convertible Preferred Stock in accordance with the terms of </w:t>
      </w:r>
      <w:r>
        <w:rPr>
          <w:rFonts w:ascii="Times New Roman;sans-serif" w:hAnsi="Times New Roman;sans-serif"/>
          <w:b/>
          <w:color w:val="000000"/>
          <w:sz w:val="22"/>
        </w:rPr>
        <w:t>Section 7</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Convertible Indebtedness</w:t>
      </w:r>
      <w:r>
        <w:rPr>
          <w:color w:val="000000"/>
        </w:rPr>
        <w:t xml:space="preserve">” </w:t>
      </w:r>
      <w:r>
        <w:rPr>
          <w:rFonts w:ascii="Times New Roman;sans-serif" w:hAnsi="Times New Roman;sans-serif"/>
          <w:b w:val="false"/>
          <w:color w:val="000000"/>
          <w:sz w:val="22"/>
        </w:rPr>
        <w:t>means the Corporation’s 1.25% Convertible Senior Notes due 2026 and any other debt securities convertible into, or exchangeable for, Capital Stock of the Corporation.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Corporation</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Daily VWAP</w:t>
      </w:r>
      <w:r>
        <w:rPr>
          <w:color w:val="000000"/>
        </w:rPr>
        <w:t xml:space="preserve">” </w:t>
      </w:r>
      <w:r>
        <w:rPr>
          <w:rFonts w:ascii="Times New Roman;sans-serif" w:hAnsi="Times New Roman;sans-serif"/>
          <w:b w:val="false"/>
          <w:color w:val="000000"/>
          <w:sz w:val="22"/>
        </w:rPr>
        <w:t>means, for any Trading Day, the per share volume-weighted average price as displayed under the heading “Bloomberg VWAP” on Bloomberg page “LCID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“bulge-bracket” investment banking firm retained for this purpose by the Corporation). The “</w:t>
      </w:r>
      <w:r>
        <w:rPr>
          <w:rFonts w:ascii="Times New Roman;sans-serif" w:hAnsi="Times New Roman;sans-serif"/>
          <w:b/>
          <w:color w:val="000000"/>
          <w:sz w:val="22"/>
        </w:rPr>
        <w:t>Daily VWAP</w:t>
      </w:r>
      <w:r>
        <w:rPr>
          <w:color w:val="000000"/>
        </w:rPr>
        <w:t xml:space="preserve">” </w:t>
      </w:r>
      <w:r>
        <w:rPr>
          <w:rFonts w:ascii="Times New Roman;sans-serif" w:hAnsi="Times New Roman;sans-serif"/>
          <w:b w:val="false"/>
          <w:color w:val="000000"/>
          <w:sz w:val="22"/>
        </w:rPr>
        <w:t>shall be determined without regard to after-hours trading or any other trading outside of the regular trading session trading hours.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Distributed Property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7.7(c)</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Dividend Junior Securities</w:t>
      </w:r>
      <w:r>
        <w:rPr>
          <w:color w:val="000000"/>
        </w:rPr>
        <w:t xml:space="preserve">” </w:t>
      </w:r>
      <w:r>
        <w:rPr>
          <w:rFonts w:ascii="Times New Roman;sans-serif" w:hAnsi="Times New Roman;sans-serif"/>
          <w:b w:val="false"/>
          <w:color w:val="000000"/>
          <w:sz w:val="22"/>
        </w:rPr>
        <w:t>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B Convertible Preferred Stock as to dividend rights.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Dividend Parity Securities</w:t>
      </w:r>
      <w:r>
        <w:rPr>
          <w:color w:val="000000"/>
        </w:rPr>
        <w:t xml:space="preserve">” </w:t>
      </w:r>
      <w:r>
        <w:rPr>
          <w:rFonts w:ascii="Times New Roman;sans-serif" w:hAnsi="Times New Roman;sans-serif"/>
          <w:b w:val="false"/>
          <w:color w:val="000000"/>
          <w:sz w:val="22"/>
        </w:rPr>
        <w:t xml:space="preserve">means the Series A convertible preferred shares, par value $0.0001, and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with the Series B Convertible Preferred Stock as to dividend rights, and includes the Series B Convertible Preferred Stock authorized and created in compliance with the</w:t>
      </w:r>
      <w:r>
        <w:rPr>
          <w:color w:val="000000"/>
        </w:rPr>
        <w:t xml:space="preserve"> </w:t>
      </w:r>
      <w:r>
        <w:rPr>
          <w:rFonts w:ascii="Times New Roman;sans-serif" w:hAnsi="Times New Roman;sans-serif"/>
          <w:b w:val="false"/>
          <w:color w:val="000000"/>
          <w:sz w:val="22"/>
        </w:rPr>
        <w:t>terms of this Certificate of Designations.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Dividend Payment Date</w:t>
      </w:r>
      <w:r>
        <w:rPr>
          <w:color w:val="000000"/>
        </w:rPr>
        <w:t xml:space="preserve">” </w:t>
      </w:r>
      <w:r>
        <w:rPr>
          <w:rFonts w:ascii="Times New Roman;sans-serif" w:hAnsi="Times New Roman;sans-serif"/>
          <w:b w:val="false"/>
          <w:color w:val="000000"/>
          <w:sz w:val="22"/>
        </w:rPr>
        <w:t xml:space="preserve">shall mean March 31, June 30, September 30 and December 31 of each year, commencing on September 30, 2024;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such Dividend Payment Date would otherwise occur on a day that is not a Business Day, such Dividend Payment Date shall instead be (and any dividend payable on the Series B Convertible Preferred Stock on such Dividend Payment Date shall instead be payable on) the immediately succeeding Business Day (without any interest, and with any additional accumulated dividends in connection with such additional Business Day(s) being recognized in the Dividend Period commencing on such Dividend Payment Date).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Dividend Payment Record Date</w:t>
      </w:r>
      <w:r>
        <w:rPr>
          <w:color w:val="000000"/>
        </w:rPr>
        <w:t xml:space="preserve">” </w:t>
      </w:r>
      <w:r>
        <w:rPr>
          <w:rFonts w:ascii="Times New Roman;sans-serif" w:hAnsi="Times New Roman;sans-serif"/>
          <w:b w:val="false"/>
          <w:color w:val="000000"/>
          <w:sz w:val="22"/>
        </w:rPr>
        <w:t xml:space="preserve">shall mean March 15, June 15, September 15 and December 15 of each year;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such Dividend Payment Record Date would otherwise occur on a day that is not a Business Day, such Dividend Payment Record Date shall instead be the immediately succeeding Business Day.</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Dividend Period</w:t>
      </w:r>
      <w:r>
        <w:rPr>
          <w:color w:val="000000"/>
        </w:rPr>
        <w:t xml:space="preserve">” </w:t>
      </w:r>
      <w:r>
        <w:rPr>
          <w:rFonts w:ascii="Times New Roman;sans-serif" w:hAnsi="Times New Roman;sans-serif"/>
          <w:b w:val="false"/>
          <w:color w:val="000000"/>
          <w:sz w:val="22"/>
        </w:rPr>
        <w:t>shall mean the period commencing on and including a Dividend Payment Date (or, in the case of the initial Dividend Period, the Initial Issue Date) and shall end on and include the day immediately preceding the next Dividend Payment Date.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Dividend Senior Securities</w:t>
      </w:r>
      <w:r>
        <w:rPr>
          <w:color w:val="000000"/>
        </w:rPr>
        <w:t xml:space="preserve">” </w:t>
      </w:r>
      <w:r>
        <w:rPr>
          <w:rFonts w:ascii="Times New Roman;sans-serif" w:hAnsi="Times New Roman;sans-serif"/>
          <w:b w:val="false"/>
          <w:color w:val="000000"/>
          <w:sz w:val="22"/>
        </w:rPr>
        <w:t>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B Convertible Preferred Stock or otherwise has preference or priority over the Series B Convertible Preferred Stock as to dividend rights.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DTC</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73(a)</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Ex-Dividend Date</w:t>
      </w:r>
      <w:r>
        <w:rPr>
          <w:color w:val="000000"/>
        </w:rPr>
        <w:t xml:space="preserve">” </w:t>
      </w:r>
      <w:r>
        <w:rPr>
          <w:rFonts w:ascii="Times New Roman;sans-serif" w:hAnsi="Times New Roman;sans-serif"/>
          <w:b w:val="false"/>
          <w:color w:val="000000"/>
          <w:sz w:val="22"/>
        </w:rPr>
        <w:t>means the first date on which shares of the Common Stock trade on the applicable exchange or in the applicable market, regular way, without the right to receive the issuance, dividend or distribution in question, from the Corporation or, if applicable, from the seller of Common Stock on such exchange or market (in the form of due bills or otherwise) as determined by such exchange or market.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Exchange Act</w:t>
      </w:r>
      <w:r>
        <w:rPr>
          <w:color w:val="000000"/>
        </w:rPr>
        <w:t xml:space="preserve">” </w:t>
      </w:r>
      <w:r>
        <w:rPr>
          <w:rFonts w:ascii="Times New Roman;sans-serif" w:hAnsi="Times New Roman;sans-serif"/>
          <w:b w:val="false"/>
          <w:color w:val="000000"/>
          <w:sz w:val="22"/>
        </w:rPr>
        <w:t>means the Securities Exchange Act of 1934,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Existing Credit Agreement</w:t>
      </w:r>
      <w:r>
        <w:rPr>
          <w:color w:val="000000"/>
        </w:rPr>
        <w:t xml:space="preserve">” </w:t>
      </w:r>
      <w:r>
        <w:rPr>
          <w:rFonts w:ascii="Times New Roman;sans-serif" w:hAnsi="Times New Roman;sans-serif"/>
          <w:b w:val="false"/>
          <w:color w:val="000000"/>
          <w:sz w:val="22"/>
        </w:rPr>
        <w:t>means that certain Credit Agreement, dated as of June 9, 2022, by and among the Corporation, as the Borrower Representative, the other Borrowers party thereto from time to time, the Lenders and Issuing Banks from time to time party thereto and Bank of America, N.A., as Administrative Agent, as amended, amended and restated, modified or waived from time to time.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Family Member</w:t>
      </w:r>
      <w:r>
        <w:rPr>
          <w:color w:val="000000"/>
        </w:rPr>
        <w:t xml:space="preserve">” </w:t>
      </w:r>
      <w:r>
        <w:rPr>
          <w:rFonts w:ascii="Times New Roman;sans-serif" w:hAnsi="Times New Roman;sans-serif"/>
          <w:b w:val="false"/>
          <w:color w:val="000000"/>
          <w:sz w:val="22"/>
        </w:rPr>
        <w:t>means with respect to any natural person, the spouse, domestic partner, parents, grandparents, lineal descendants, siblings and lineal descendants of siblings of such natural person. For purposes of this definition, lineal descendants include adopted persons, but only if such adopted persons were adopted while a minor.</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Fundamental Change</w:t>
      </w:r>
      <w:r>
        <w:rPr>
          <w:color w:val="000000"/>
        </w:rPr>
        <w:t xml:space="preserve">” </w:t>
      </w:r>
      <w:r>
        <w:rPr>
          <w:rFonts w:ascii="Times New Roman;sans-serif" w:hAnsi="Times New Roman;sans-serif"/>
          <w:b w:val="false"/>
          <w:color w:val="000000"/>
          <w:sz w:val="22"/>
        </w:rPr>
        <w:t>shall be deemed to have occurred at the time after the Series B Convertible Preferred Stock is originally issued if any of the following occurs:</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 “person” or “group” (within the meaning of Section 13(d)(3) of the Exchange Act), other than (w) the Corporation, (x) its Wholly Owned Subsidiaries, (y) their respective employee benefit plans or (z) any Permitted Party, files any report with the SEC indicating that such person or group has become the direct or indirect “beneficial owner” (as defined below) of shares of the Common Stock representing more than fifty percent (50%) of the voting power of all of the Corporation’s then-outstanding Common Stock;</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 xml:space="preserve">(b)    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or merger of the Corporation pursuant to which the Common Stock will be converted into cash, securities or other property or assets; or (C) any sale, lease or other transfer in one transaction or a series of transactions of all or substantially all of the consolidated assets of the Corporation and its Subsidiaries, taken as a whole, to any Person other than one of the Corporation’s Wholly Owned Subsidiaries;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 transaction described in clause (A) or (B) in which the holders of all classes of the Corporation’s Common Equity immediately prior to such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stockholders of the Corporation approve any plan or proposal for the liquidation or dissolution of the Corporation; or</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the Common Stock (or other common stock underlying the Series B Convertible Preferred Stock) ceases to be listed or quoted on any of the Nasdaq Global Select Market, the Nasdaq Global Market or The New York Stock Exchange (or any of their respective successors);</w:t>
      </w:r>
    </w:p>
    <w:p>
      <w:pPr>
        <w:pStyle w:val="TextBody"/>
        <w:bidi w:val="0"/>
        <w:spacing w:lineRule="auto" w:line="288" w:before="24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 transaction or event described in clause (a) or (b)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Equity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Reorganization Event whose Reference Property consists of such consideration.</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purposes of this definition, (x) any transaction or event described in both clause (a) and in clause (b) above (without regard to the proviso in clause (b)) will be deemed to occur solely pursuant to clause (b) above (subject to such proviso); and (y) whether a Person is a “beneficial owner,” whether shares are “beneficially owned,” and percentage beneficial ownership, will be determined in accordance with Rule 13d-3 under the Exchange Act. If any transaction in which the Common Stock is replaced by the common stock or other Common Equity of another entity occurs, following completion of the Fundamental Change Repurchase Date designated by the Corporation, references to the Corporation in this definition shall instead be references to such other entity.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Fundamental Change Notice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9.2(a)</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Fundamental Change Repurchase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9.2(b)</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Fundamental Change Repurchase Offer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9.1</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Fundamental Change Repurchase Price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9.1</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General Corporation Law</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Global Preferred Shares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16</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Governmental Authority</w:t>
      </w:r>
      <w:r>
        <w:rPr>
          <w:color w:val="000000"/>
        </w:rPr>
        <w:t xml:space="preserve">” </w:t>
      </w:r>
      <w:r>
        <w:rPr>
          <w:rFonts w:ascii="Times New Roman;sans-serif" w:hAnsi="Times New Roman;sans-serif"/>
          <w:b w:val="false"/>
          <w:color w:val="000000"/>
          <w:sz w:val="22"/>
        </w:rPr>
        <w:t>means any government, court, regulatory or administrative agency, commission, arbitrator (public or private) or authority or other legislative, executive or judicial governmental entity (in each case including any self-regulatory organization), whether federal, state or local, domestic, foreign or multinational. For the avoidance of doubt, the PIF Investor shall not be deemed a Governmental Authority for purposes of this Certificate of Designations.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Holder</w:t>
      </w:r>
      <w:r>
        <w:rPr>
          <w:color w:val="000000"/>
        </w:rPr>
        <w:t xml:space="preserve">” </w:t>
      </w:r>
      <w:r>
        <w:rPr>
          <w:rFonts w:ascii="Times New Roman;sans-serif" w:hAnsi="Times New Roman;sans-serif"/>
          <w:b w:val="false"/>
          <w:color w:val="000000"/>
          <w:sz w:val="22"/>
        </w:rPr>
        <w:t>means a holder of outstanding shares of Series B Convertible Preferred Stock.</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Initial Issue Date</w:t>
      </w:r>
      <w:r>
        <w:rPr>
          <w:color w:val="000000"/>
        </w:rPr>
        <w:t xml:space="preserve">” </w:t>
      </w:r>
      <w:r>
        <w:rPr>
          <w:rFonts w:ascii="Times New Roman;sans-serif" w:hAnsi="Times New Roman;sans-serif"/>
          <w:b w:val="false"/>
          <w:color w:val="000000"/>
          <w:sz w:val="22"/>
        </w:rPr>
        <w:t>means [ ], 2024.</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Initial Value</w:t>
      </w:r>
      <w:r>
        <w:rPr>
          <w:color w:val="000000"/>
        </w:rPr>
        <w:t xml:space="preserve">” </w:t>
      </w:r>
      <w:r>
        <w:rPr>
          <w:rFonts w:ascii="Times New Roman;sans-serif" w:hAnsi="Times New Roman;sans-serif"/>
          <w:b w:val="false"/>
          <w:color w:val="000000"/>
          <w:sz w:val="22"/>
        </w:rPr>
        <w:t>means $10,000.00 per Share.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Issue Date</w:t>
      </w:r>
      <w:r>
        <w:rPr>
          <w:color w:val="000000"/>
        </w:rPr>
        <w:t xml:space="preserve">” </w:t>
      </w:r>
      <w:r>
        <w:rPr>
          <w:rFonts w:ascii="Times New Roman;sans-serif" w:hAnsi="Times New Roman;sans-serif"/>
          <w:b w:val="false"/>
          <w:color w:val="000000"/>
          <w:sz w:val="22"/>
        </w:rPr>
        <w:t>means, with respect to each Share, the date on which such Share was originally issued.</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Laws</w:t>
      </w:r>
      <w:r>
        <w:rPr>
          <w:color w:val="000000"/>
        </w:rPr>
        <w:t xml:space="preserve">” </w:t>
      </w:r>
      <w:r>
        <w:rPr>
          <w:rFonts w:ascii="Times New Roman;sans-serif" w:hAnsi="Times New Roman;sans-serif"/>
          <w:b w:val="false"/>
          <w:color w:val="000000"/>
          <w:sz w:val="22"/>
        </w:rPr>
        <w:t>means all state or federal laws, common law, statutes, ordinances, codes, rules or regulations, orders, executive orders, judgments, injunctions, governmental guidelines or interpretations that have the force of law, Permits, decrees, or other similar requirements enacted, adopted, promulgated, or applied by any Governmental Authority.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Liquidation</w:t>
      </w:r>
      <w:r>
        <w:rPr>
          <w:color w:val="000000"/>
        </w:rPr>
        <w:t xml:space="preserve">” </w:t>
      </w:r>
      <w:r>
        <w:rPr>
          <w:rFonts w:ascii="Times New Roman;sans-serif" w:hAnsi="Times New Roman;sans-serif"/>
          <w:b w:val="false"/>
          <w:color w:val="000000"/>
          <w:sz w:val="22"/>
        </w:rPr>
        <w:t>means any voluntary or involuntary liquidation, dissolution or winding up of the Corporation.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Liquidation Junior Securities</w:t>
      </w:r>
      <w:r>
        <w:rPr>
          <w:color w:val="000000"/>
        </w:rPr>
        <w:t xml:space="preserve">” </w:t>
      </w:r>
      <w:r>
        <w:rPr>
          <w:rFonts w:ascii="Times New Roman;sans-serif" w:hAnsi="Times New Roman;sans-serif"/>
          <w:b w:val="false"/>
          <w:color w:val="000000"/>
          <w:sz w:val="22"/>
        </w:rPr>
        <w:t>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B Convertible Preferred Stock as to rights on the distribution of assets on any Liquidation or redemption.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Liquidation Parity Securities</w:t>
      </w:r>
      <w:r>
        <w:rPr>
          <w:color w:val="000000"/>
        </w:rPr>
        <w:t xml:space="preserve">” </w:t>
      </w:r>
      <w:r>
        <w:rPr>
          <w:rFonts w:ascii="Times New Roman;sans-serif" w:hAnsi="Times New Roman;sans-serif"/>
          <w:b w:val="false"/>
          <w:color w:val="000000"/>
          <w:sz w:val="22"/>
        </w:rPr>
        <w:t xml:space="preserve">means the Series A convertible preferred shares, par value $0.0001, and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with the Series B Convertible Preferred Stock as to rights on the distribution of assets upon Liquidation or redemption, and includes the Series B Convertible Preferred Stock authorized and created in compliance with the terms of this Certificate of Designations.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Liquidation Preference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5.1</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Liquidation Senior Securities</w:t>
      </w:r>
      <w:r>
        <w:rPr>
          <w:color w:val="000000"/>
        </w:rPr>
        <w:t xml:space="preserve">” </w:t>
      </w:r>
      <w:r>
        <w:rPr>
          <w:rFonts w:ascii="Times New Roman;sans-serif" w:hAnsi="Times New Roman;sans-serif"/>
          <w:b w:val="false"/>
          <w:color w:val="000000"/>
          <w:sz w:val="22"/>
        </w:rPr>
        <w:t>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B Convertible Preferred Stock or otherwise has preference or priority over the Series B Convertible Preferred Stock as to rights on the distribution of assets on any Liquidation or redemption.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Listing Rules</w:t>
      </w:r>
      <w:r>
        <w:rPr>
          <w:color w:val="000000"/>
        </w:rPr>
        <w:t xml:space="preserve">” </w:t>
      </w:r>
      <w:r>
        <w:rPr>
          <w:rFonts w:ascii="Times New Roman;sans-serif" w:hAnsi="Times New Roman;sans-serif"/>
          <w:b w:val="false"/>
          <w:color w:val="000000"/>
          <w:sz w:val="22"/>
        </w:rPr>
        <w:t>means the rules of the Nasdaq Stock Market LLC.</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Mandatory Conversion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8.1</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Mandatory Conversion Notice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8.2</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Mandatory Conversion Right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8.1</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Mandatory Conversion Time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8.2</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Market Disruption Event</w:t>
      </w:r>
      <w:r>
        <w:rPr>
          <w:color w:val="000000"/>
        </w:rPr>
        <w:t xml:space="preserve">” </w:t>
      </w:r>
      <w:r>
        <w:rPr>
          <w:rFonts w:ascii="Times New Roman;sans-serif" w:hAnsi="Times New Roman;sans-serif"/>
          <w:b w:val="false"/>
          <w:color w:val="000000"/>
          <w:sz w:val="22"/>
        </w:rPr>
        <w:t xml:space="preserve">means, for the purposes of determining Daily VWAPs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limitation imposed on trading (by reason of movements in price exceeding limits permitted by the relevant stock exchange or otherwise) in the Common Stock or in any options contracts or futures contracts relating to the Common Stock.</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Minimum Consideration</w:t>
      </w:r>
      <w:r>
        <w:rPr>
          <w:color w:val="000000"/>
        </w:rPr>
        <w:t xml:space="preserve">” </w:t>
      </w:r>
      <w:r>
        <w:rPr>
          <w:rFonts w:ascii="Times New Roman;sans-serif" w:hAnsi="Times New Roman;sans-serif"/>
          <w:b w:val="false"/>
          <w:color w:val="000000"/>
          <w:sz w:val="22"/>
        </w:rPr>
        <w:t>means, in respect of a Mandatory Conversion, an Optional Redemption, a Fundamental Change or a Liquidation, an amount per Share of Series B Convertible Preferred Stock determined as of the Relevant Date for such event equal to (i) the Accrued Value per Share as of such date multiplied by (ii) the “</w:t>
      </w:r>
      <w:r>
        <w:rPr>
          <w:rFonts w:ascii="Times New Roman;sans-serif" w:hAnsi="Times New Roman;sans-serif"/>
          <w:b/>
          <w:color w:val="000000"/>
          <w:sz w:val="22"/>
        </w:rPr>
        <w:t>Relevant Percentage</w:t>
      </w:r>
      <w:r>
        <w:rPr>
          <w:color w:val="000000"/>
        </w:rPr>
        <w:t xml:space="preserve">” </w:t>
      </w:r>
      <w:r>
        <w:rPr>
          <w:rFonts w:ascii="Times New Roman;sans-serif" w:hAnsi="Times New Roman;sans-serif"/>
          <w:b w:val="false"/>
          <w:color w:val="000000"/>
          <w:sz w:val="22"/>
        </w:rPr>
        <w:t>determined by reference to the table below:</w:t>
      </w:r>
    </w:p>
    <w:p>
      <w:pPr>
        <w:pStyle w:val="TextBody"/>
        <w:bidi w:val="0"/>
        <w:spacing w:before="240" w:after="240"/>
        <w:ind w:left="0" w:right="0" w:firstLine="720"/>
        <w:jc w:val="both"/>
        <w:rPr/>
      </w:pPr>
      <w:r>
        <w:rPr/>
      </w:r>
    </w:p>
    <w:tbl>
      <w:tblPr>
        <w:tblW w:w="6809" w:type="dxa"/>
        <w:jc w:val="left"/>
        <w:tblInd w:w="0" w:type="dxa"/>
        <w:tblLayout w:type="fixed"/>
        <w:tblCellMar>
          <w:top w:w="28" w:type="dxa"/>
          <w:left w:w="28" w:type="dxa"/>
          <w:bottom w:w="28" w:type="dxa"/>
          <w:right w:w="28" w:type="dxa"/>
        </w:tblCellMar>
      </w:tblPr>
      <w:tblGrid>
        <w:gridCol w:w="1697"/>
        <w:gridCol w:w="1494"/>
        <w:gridCol w:w="1504"/>
        <w:gridCol w:w="619"/>
        <w:gridCol w:w="619"/>
        <w:gridCol w:w="876"/>
      </w:tblGrid>
      <w:tr>
        <w:trPr/>
        <w:tc>
          <w:tcPr>
            <w:tcW w:w="1697"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Time Since Initial Issue Date as of Relevant Date</w:t>
            </w:r>
          </w:p>
        </w:tc>
        <w:tc>
          <w:tcPr>
            <w:tcW w:w="21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Relevant Percentage:</w:t>
            </w:r>
          </w:p>
        </w:tc>
      </w:tr>
      <w:tr>
        <w:trPr/>
        <w:tc>
          <w:tcPr>
            <w:tcW w:w="46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0 months</w:t>
            </w:r>
          </w:p>
        </w:tc>
        <w:tc>
          <w:tcPr>
            <w:tcW w:w="21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100.0%</w:t>
            </w:r>
          </w:p>
        </w:tc>
      </w:tr>
      <w:tr>
        <w:trPr/>
        <w:tc>
          <w:tcPr>
            <w:tcW w:w="46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12 months</w:t>
            </w:r>
          </w:p>
        </w:tc>
        <w:tc>
          <w:tcPr>
            <w:tcW w:w="21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108.5%</w:t>
            </w:r>
          </w:p>
        </w:tc>
      </w:tr>
      <w:tr>
        <w:trPr/>
        <w:tc>
          <w:tcPr>
            <w:tcW w:w="46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24 months</w:t>
            </w:r>
          </w:p>
        </w:tc>
        <w:tc>
          <w:tcPr>
            <w:tcW w:w="21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117.7%</w:t>
            </w:r>
          </w:p>
        </w:tc>
      </w:tr>
      <w:tr>
        <w:trPr/>
        <w:tc>
          <w:tcPr>
            <w:tcW w:w="46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36 months</w:t>
            </w:r>
          </w:p>
        </w:tc>
        <w:tc>
          <w:tcPr>
            <w:tcW w:w="21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127.7%</w:t>
            </w:r>
          </w:p>
        </w:tc>
      </w:tr>
      <w:tr>
        <w:trPr/>
        <w:tc>
          <w:tcPr>
            <w:tcW w:w="46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48 months</w:t>
            </w:r>
          </w:p>
        </w:tc>
        <w:tc>
          <w:tcPr>
            <w:tcW w:w="21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138.6%</w:t>
            </w:r>
          </w:p>
        </w:tc>
      </w:tr>
      <w:tr>
        <w:trPr/>
        <w:tc>
          <w:tcPr>
            <w:tcW w:w="46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60 months</w:t>
            </w:r>
          </w:p>
        </w:tc>
        <w:tc>
          <w:tcPr>
            <w:tcW w:w="21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150.4%</w:t>
            </w:r>
          </w:p>
        </w:tc>
      </w:tr>
      <w:tr>
        <w:trPr/>
        <w:tc>
          <w:tcPr>
            <w:tcW w:w="46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72 months</w:t>
            </w:r>
          </w:p>
        </w:tc>
        <w:tc>
          <w:tcPr>
            <w:tcW w:w="21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163.2%</w:t>
            </w:r>
          </w:p>
        </w:tc>
      </w:tr>
      <w:tr>
        <w:trPr/>
        <w:tc>
          <w:tcPr>
            <w:tcW w:w="46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84 months</w:t>
            </w:r>
          </w:p>
        </w:tc>
        <w:tc>
          <w:tcPr>
            <w:tcW w:w="21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177.0%</w:t>
            </w:r>
          </w:p>
        </w:tc>
      </w:tr>
      <w:tr>
        <w:trPr/>
        <w:tc>
          <w:tcPr>
            <w:tcW w:w="46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96 months</w:t>
            </w:r>
          </w:p>
        </w:tc>
        <w:tc>
          <w:tcPr>
            <w:tcW w:w="21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192.1%</w:t>
            </w:r>
          </w:p>
        </w:tc>
      </w:tr>
      <w:tr>
        <w:trPr/>
        <w:tc>
          <w:tcPr>
            <w:tcW w:w="46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108 months</w:t>
            </w:r>
          </w:p>
        </w:tc>
        <w:tc>
          <w:tcPr>
            <w:tcW w:w="21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208.4%</w:t>
            </w:r>
          </w:p>
        </w:tc>
      </w:tr>
    </w:tbl>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the date of determination falls in between two time periods referenced in the chart above, the Relevant Percentage shall be determined by the Corporation in good faith and a commercially reasonable manner by an interpolation between the Relevant Percentages set forth for the earlier and later dates of determination.</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the date of determination falls after the final date listed in the chart above, the Relevant Percentage shall be determined by the Corporation in good faith and a commercially reasonable manner by applying to the relevant Accrued Value the implied annualized growth rate based on the chart above (giving effect to compounding on an annual basis) by reference to the time since issuance as of the applicable date of determination.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Minimum Price</w:t>
      </w:r>
      <w:r>
        <w:rPr>
          <w:color w:val="000000"/>
        </w:rPr>
        <w:t xml:space="preserve">” </w:t>
      </w:r>
      <w:r>
        <w:rPr>
          <w:rFonts w:ascii="Times New Roman;sans-serif" w:hAnsi="Times New Roman;sans-serif"/>
          <w:b w:val="false"/>
          <w:color w:val="000000"/>
          <w:sz w:val="22"/>
        </w:rPr>
        <w:t xml:space="preserve">means $3.120, calculated in accordance with Rule 5635(d) of the Listing Rules. The Minimum Price shall be adjusted in a manner proportional to adjustments to the Conversion Price pursuant to </w:t>
      </w:r>
      <w:r>
        <w:rPr>
          <w:rFonts w:ascii="Times New Roman;sans-serif" w:hAnsi="Times New Roman;sans-serif"/>
          <w:b/>
          <w:color w:val="000000"/>
          <w:sz w:val="22"/>
        </w:rPr>
        <w:t>Section 7.7(a)</w:t>
      </w:r>
      <w:r>
        <w:rPr>
          <w:color w:val="000000"/>
        </w:rPr>
        <w:t xml:space="preserve"> </w:t>
      </w:r>
      <w:r>
        <w:rPr>
          <w:rFonts w:ascii="Times New Roman;sans-serif" w:hAnsi="Times New Roman;sans-serif"/>
          <w:b w:val="false"/>
          <w:color w:val="000000"/>
          <w:sz w:val="22"/>
        </w:rPr>
        <w:t>and in compliance with Rule 5635(d) of the Listing Rules.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Note Hedge Option</w:t>
      </w:r>
      <w:r>
        <w:rPr>
          <w:color w:val="000000"/>
        </w:rPr>
        <w:t xml:space="preserve">” </w:t>
      </w:r>
      <w:r>
        <w:rPr>
          <w:rFonts w:ascii="Times New Roman;sans-serif" w:hAnsi="Times New Roman;sans-serif"/>
          <w:b w:val="false"/>
          <w:color w:val="000000"/>
          <w:sz w:val="22"/>
        </w:rPr>
        <w:t>means any hedging agreement (including, but not limited to, any bond hedge transaction, call option transaction, or capped call transaction), whether settled in cash or Capital Stock of the Corporation, that is entered into in connection with any Convertible Indebtedness, the purpose of which is to reduce potential dilution to the Corporation’s Capital Stock and/or offset the Corporation’s obligation to make certain cash payments upon conversion or exchange of such Convertible Indebtedness.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Notice of Conversion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7.3(a)</w:t>
      </w:r>
      <w:r>
        <w:rPr>
          <w:rFonts w:ascii="Times New Roman;sans-serif" w:hAnsi="Times New Roman;sans-serif"/>
          <w:b w:val="false"/>
          <w:color w:val="000000"/>
          <w:sz w:val="22"/>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Optional Redemption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10.1</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Other Investor</w:t>
      </w:r>
      <w:r>
        <w:rPr>
          <w:color w:val="000000"/>
        </w:rPr>
        <w:t xml:space="preserve">” </w:t>
      </w:r>
      <w:r>
        <w:rPr>
          <w:rFonts w:ascii="Times New Roman;sans-serif" w:hAnsi="Times New Roman;sans-serif"/>
          <w:b w:val="false"/>
          <w:color w:val="000000"/>
          <w:sz w:val="22"/>
        </w:rPr>
        <w:t>means any investor, apart from the PIF Investor or any of the PIF Investor’s Affiliates, that is the beneficial holder of Series B Convertible Preferred Stock.</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Participating Dividend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7.7(h)</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Permits</w:t>
      </w:r>
      <w:r>
        <w:rPr>
          <w:color w:val="000000"/>
        </w:rPr>
        <w:t xml:space="preserve">” </w:t>
      </w:r>
      <w:r>
        <w:rPr>
          <w:rFonts w:ascii="Times New Roman;sans-serif" w:hAnsi="Times New Roman;sans-serif"/>
          <w:b w:val="false"/>
          <w:color w:val="000000"/>
          <w:sz w:val="22"/>
        </w:rPr>
        <w:t>means all licenses, franchises, permits, certificates, approvals and authorizations from Governmental Authorities.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Permitted Party</w:t>
      </w:r>
      <w:r>
        <w:rPr>
          <w:color w:val="000000"/>
        </w:rPr>
        <w:t xml:space="preserve">” </w:t>
      </w:r>
      <w:r>
        <w:rPr>
          <w:rFonts w:ascii="Times New Roman;sans-serif" w:hAnsi="Times New Roman;sans-serif"/>
          <w:b w:val="false"/>
          <w:color w:val="000000"/>
          <w:sz w:val="22"/>
        </w:rPr>
        <w:t xml:space="preserve">means the PIF Investor, the Public Investment Fund or any of their respective Affiliates. If any such Permitted Party is a natural person, “Permitted Party” shall include: (i) a “Permitted Trust” (as defined in this </w:t>
      </w:r>
      <w:r>
        <w:rPr>
          <w:rFonts w:ascii="Times New Roman;sans-serif" w:hAnsi="Times New Roman;sans-serif"/>
          <w:b/>
          <w:color w:val="000000"/>
          <w:sz w:val="22"/>
        </w:rPr>
        <w:t>Section 2</w:t>
      </w:r>
      <w:r>
        <w:rPr>
          <w:rFonts w:ascii="Times New Roman;sans-serif" w:hAnsi="Times New Roman;sans-serif"/>
          <w:b w:val="false"/>
          <w:color w:val="000000"/>
          <w:sz w:val="22"/>
        </w:rPr>
        <w:t>) of such person that is solely for the benefit of (1) such person; (2) one or more Family Members of such person; or (3) any other Permitted Party that is an Affiliate of such person; or (ii) any general partnership, limited partnership, limited liability company, corporation or other entity exclusively owned by (1) such person; (2) one or more Family Members of such person; or (3) any other Permitted Party that is an Affiliate of such person.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Permitted Trust</w:t>
      </w:r>
      <w:r>
        <w:rPr>
          <w:color w:val="000000"/>
        </w:rPr>
        <w:t xml:space="preserve">” </w:t>
      </w:r>
      <w:r>
        <w:rPr>
          <w:rFonts w:ascii="Times New Roman;sans-serif" w:hAnsi="Times New Roman;sans-serif"/>
          <w:b w:val="false"/>
          <w:color w:val="000000"/>
          <w:sz w:val="22"/>
        </w:rPr>
        <w:t>of a person means a bona fide trust where each trustee is (i) such person; (ii) a Family Member of such person; or (iii) a professional in the business of providing trustee services, including private professional fiduciaries, trust companies and bank trust departments, acting in such capacity.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means an individual, corporation, limited liability company, partnership, joint venture, association, trust, unincorporated organization or any other entity, including a Governmental Authority.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PIF Investor</w:t>
      </w:r>
      <w:r>
        <w:rPr>
          <w:color w:val="000000"/>
        </w:rPr>
        <w:t xml:space="preserve">” </w:t>
      </w:r>
      <w:r>
        <w:rPr>
          <w:rFonts w:ascii="Times New Roman;sans-serif" w:hAnsi="Times New Roman;sans-serif"/>
          <w:b w:val="false"/>
          <w:color w:val="000000"/>
          <w:sz w:val="22"/>
        </w:rPr>
        <w:t>means Ayar Third Investment Company, a single shareholder limited liability company organized under the laws of the Kingdom of Saudi Arabia.</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Preferred Stock</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Record Date</w:t>
      </w:r>
      <w:r>
        <w:rPr>
          <w:color w:val="000000"/>
        </w:rPr>
        <w:t xml:space="preserve">” </w:t>
      </w:r>
      <w:r>
        <w:rPr>
          <w:rFonts w:ascii="Times New Roman;sans-serif" w:hAnsi="Times New Roman;sans-serif"/>
          <w:b w:val="false"/>
          <w:color w:val="000000"/>
          <w:sz w:val="22"/>
        </w:rPr>
        <w:t>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by statute, by contract or otherwise).</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Redemption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10.2(a)</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Redemption Notice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10.2(a)</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Redemption Price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10.1</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Reference Property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7.7(f)</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Register</w:t>
      </w:r>
      <w:r>
        <w:rPr>
          <w:color w:val="000000"/>
        </w:rPr>
        <w:t xml:space="preserve">” </w:t>
      </w:r>
      <w:r>
        <w:rPr>
          <w:rFonts w:ascii="Times New Roman;sans-serif" w:hAnsi="Times New Roman;sans-serif"/>
          <w:b w:val="false"/>
          <w:color w:val="000000"/>
          <w:sz w:val="22"/>
        </w:rPr>
        <w:t>means the securities register maintained in respect of the Series B Convertible Preferred Stock by the Corporation, or, to the extent the Corporation has engaged a transfer agent, the Transfer Agent.</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Relevant Date</w:t>
      </w:r>
      <w:r>
        <w:rPr>
          <w:color w:val="000000"/>
        </w:rPr>
        <w:t xml:space="preserve">” </w:t>
      </w:r>
      <w:r>
        <w:rPr>
          <w:rFonts w:ascii="Times New Roman;sans-serif" w:hAnsi="Times New Roman;sans-serif"/>
          <w:b w:val="false"/>
          <w:color w:val="000000"/>
          <w:sz w:val="22"/>
        </w:rPr>
        <w:t>means, as the case may be, the date of the Mandatory Conversion Notice, in the case of a Mandatory Conversion Time, the Fundamental Change Repurchase Date, in the case of a Fundamental Change Repurchase Date, the date of a Redemption Notice in the case of a Redemption Date or date of Liquidation, in the case of a Liquidation.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Relevant Price</w:t>
      </w:r>
      <w:r>
        <w:rPr>
          <w:color w:val="000000"/>
        </w:rPr>
        <w:t xml:space="preserve">” </w:t>
      </w:r>
      <w:r>
        <w:rPr>
          <w:rFonts w:ascii="Times New Roman;sans-serif" w:hAnsi="Times New Roman;sans-serif"/>
          <w:b w:val="false"/>
          <w:color w:val="000000"/>
          <w:sz w:val="22"/>
        </w:rPr>
        <w:t xml:space="preserve">means, with respect to a Mandatory Conversion Time, Fundamental Change Repurchase Date or Redemption Date, the arithmetic average of the Daily VWAPs of the Common Stock (or other securities for which the Relevant Price is to be determined) over the five consecutive Trading Day period ending on, and including, the second Trading Day immediately preceding the Relevant Date for such event;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an Optional Redemption, the word “five” above shall be replaced by “twenty (20)”.</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Reorganization Event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7.7(f)</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Required Holders</w:t>
      </w:r>
      <w:r>
        <w:rPr>
          <w:color w:val="000000"/>
        </w:rPr>
        <w:t xml:space="preserve">” </w:t>
      </w:r>
      <w:r>
        <w:rPr>
          <w:rFonts w:ascii="Times New Roman;sans-serif" w:hAnsi="Times New Roman;sans-serif"/>
          <w:b w:val="false"/>
          <w:color w:val="000000"/>
          <w:sz w:val="22"/>
        </w:rPr>
        <w:t>means, as of any date of determination, the Holders of a majority of the issued and then-outstanding shares of Series B Convertible Preferred Stock.</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Requisite Stockholder Approval</w:t>
      </w:r>
      <w:r>
        <w:rPr>
          <w:color w:val="000000"/>
        </w:rPr>
        <w:t xml:space="preserve">” </w:t>
      </w:r>
      <w:r>
        <w:rPr>
          <w:rFonts w:ascii="Times New Roman;sans-serif" w:hAnsi="Times New Roman;sans-serif"/>
          <w:b w:val="false"/>
          <w:color w:val="000000"/>
          <w:sz w:val="22"/>
        </w:rPr>
        <w:t>means the stockholder approval contemplated by Rule 5635(d) of the Listing Rules.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Rule 144</w:t>
      </w:r>
      <w:r>
        <w:rPr>
          <w:color w:val="000000"/>
        </w:rPr>
        <w:t xml:space="preserve">” </w:t>
      </w:r>
      <w:r>
        <w:rPr>
          <w:rFonts w:ascii="Times New Roman;sans-serif" w:hAnsi="Times New Roman;sans-serif"/>
          <w:b w:val="false"/>
          <w:color w:val="000000"/>
          <w:sz w:val="22"/>
        </w:rPr>
        <w:t xml:space="preserve">means Rule 144 as promulgated under the Securities Act.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Rule 144A</w:t>
      </w:r>
      <w:r>
        <w:rPr>
          <w:color w:val="000000"/>
        </w:rPr>
        <w:t xml:space="preserve">” </w:t>
      </w:r>
      <w:r>
        <w:rPr>
          <w:rFonts w:ascii="Times New Roman;sans-serif" w:hAnsi="Times New Roman;sans-serif"/>
          <w:b w:val="false"/>
          <w:color w:val="000000"/>
          <w:sz w:val="22"/>
        </w:rPr>
        <w:t>means Rule 144A as promulgated under the Securities Act.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Scheduled Trading Day</w:t>
      </w:r>
      <w:r>
        <w:rPr>
          <w:color w:val="000000"/>
        </w:rPr>
        <w:t xml:space="preserve">” </w:t>
      </w:r>
      <w:r>
        <w:rPr>
          <w:rFonts w:ascii="Times New Roman;sans-serif" w:hAnsi="Times New Roman;sans-serif"/>
          <w:b w:val="false"/>
          <w:color w:val="000000"/>
          <w:sz w:val="22"/>
        </w:rPr>
        <w:t>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sans-serif" w:hAnsi="Times New Roman;sans-serif"/>
          <w:b/>
          <w:color w:val="000000"/>
          <w:sz w:val="22"/>
        </w:rPr>
        <w:t>Scheduled Trading Day</w:t>
      </w:r>
      <w:r>
        <w:rPr>
          <w:color w:val="000000"/>
        </w:rPr>
        <w:t xml:space="preserve">” </w:t>
      </w:r>
      <w:r>
        <w:rPr>
          <w:rFonts w:ascii="Times New Roman;sans-serif" w:hAnsi="Times New Roman;sans-serif"/>
          <w:b w:val="false"/>
          <w:color w:val="000000"/>
          <w:sz w:val="22"/>
        </w:rPr>
        <w:t>means a Business Day.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means the United States Securities and Exchange Commission.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Securities Act</w:t>
      </w:r>
      <w:r>
        <w:rPr>
          <w:color w:val="000000"/>
        </w:rPr>
        <w:t xml:space="preserve">” </w:t>
      </w:r>
      <w:r>
        <w:rPr>
          <w:rFonts w:ascii="Times New Roman;sans-serif" w:hAnsi="Times New Roman;sans-serif"/>
          <w:b w:val="false"/>
          <w:color w:val="000000"/>
          <w:sz w:val="22"/>
        </w:rPr>
        <w:t>means the Securities Act of 1933,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Series B Convertible Preferred Stock</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1</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Share Delivery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7.3(a)</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Shares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Share</w:t>
      </w:r>
      <w:r>
        <w:rPr>
          <w:color w:val="000000"/>
        </w:rPr>
        <w:t xml:space="preserve">” </w:t>
      </w:r>
      <w:r>
        <w:rPr>
          <w:rFonts w:ascii="Times New Roman;sans-serif" w:hAnsi="Times New Roman;sans-serif"/>
          <w:b w:val="false"/>
          <w:color w:val="000000"/>
          <w:sz w:val="22"/>
        </w:rPr>
        <w:t xml:space="preserve">have the meaning set forth in </w:t>
      </w:r>
      <w:r>
        <w:rPr>
          <w:rFonts w:ascii="Times New Roman;sans-serif" w:hAnsi="Times New Roman;sans-serif"/>
          <w:b/>
          <w:color w:val="000000"/>
          <w:sz w:val="22"/>
        </w:rPr>
        <w:t>Section 1</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Spin-Off</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7.7(c)</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Subsidiary</w:t>
      </w:r>
      <w:r>
        <w:rPr>
          <w:color w:val="000000"/>
        </w:rPr>
        <w:t xml:space="preserve">” </w:t>
      </w:r>
      <w:r>
        <w:rPr>
          <w:rFonts w:ascii="Times New Roman;sans-serif" w:hAnsi="Times New Roman;sans-serif"/>
          <w:b w:val="false"/>
          <w:color w:val="000000"/>
          <w:sz w:val="22"/>
        </w:rPr>
        <w:t>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Trading Day</w:t>
      </w:r>
      <w:r>
        <w:rPr>
          <w:color w:val="000000"/>
        </w:rPr>
        <w:t xml:space="preserve">” </w:t>
      </w:r>
      <w:r>
        <w:rPr>
          <w:rFonts w:ascii="Times New Roman;sans-serif" w:hAnsi="Times New Roman;sans-serif"/>
          <w:b w:val="false"/>
          <w:color w:val="000000"/>
          <w:sz w:val="22"/>
        </w:rPr>
        <w:t xml:space="preserve">means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Closing Price for the Common Stock (or closing sale price for such other security) is available on such securities exchange or market;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Common Stock (or such other security) is not so listed or traded, “</w:t>
      </w:r>
      <w:r>
        <w:rPr>
          <w:rFonts w:ascii="Times New Roman;sans-serif" w:hAnsi="Times New Roman;sans-serif"/>
          <w:b/>
          <w:color w:val="000000"/>
          <w:sz w:val="22"/>
        </w:rPr>
        <w:t>Trading Day</w:t>
      </w:r>
      <w:r>
        <w:rPr>
          <w:color w:val="000000"/>
        </w:rPr>
        <w:t xml:space="preserve">” </w:t>
      </w:r>
      <w:r>
        <w:rPr>
          <w:rFonts w:ascii="Times New Roman;sans-serif" w:hAnsi="Times New Roman;sans-serif"/>
          <w:b w:val="false"/>
          <w:color w:val="000000"/>
          <w:sz w:val="22"/>
        </w:rPr>
        <w:t xml:space="preserve">means a Business Day;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further, that for purposes of determining Daily VWAPs only, “</w:t>
      </w:r>
      <w:r>
        <w:rPr>
          <w:rFonts w:ascii="Times New Roman;sans-serif" w:hAnsi="Times New Roman;sans-serif"/>
          <w:b/>
          <w:color w:val="000000"/>
          <w:sz w:val="22"/>
        </w:rPr>
        <w:t>Trading Day</w:t>
      </w:r>
      <w:r>
        <w:rPr>
          <w:color w:val="000000"/>
        </w:rPr>
        <w:t xml:space="preserve">” </w:t>
      </w:r>
      <w:r>
        <w:rPr>
          <w:rFonts w:ascii="Times New Roman;sans-serif" w:hAnsi="Times New Roman;sans-serif"/>
          <w:b w:val="false"/>
          <w:color w:val="000000"/>
          <w:sz w:val="22"/>
        </w:rPr>
        <w:t>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sans-serif" w:hAnsi="Times New Roman;sans-serif"/>
          <w:b/>
          <w:color w:val="000000"/>
          <w:sz w:val="22"/>
        </w:rPr>
        <w:t>Trading Day</w:t>
      </w:r>
      <w:r>
        <w:rPr>
          <w:color w:val="000000"/>
        </w:rPr>
        <w:t xml:space="preserve">” </w:t>
      </w:r>
      <w:r>
        <w:rPr>
          <w:rFonts w:ascii="Times New Roman;sans-serif" w:hAnsi="Times New Roman;sans-serif"/>
          <w:b w:val="false"/>
          <w:color w:val="000000"/>
          <w:sz w:val="22"/>
        </w:rPr>
        <w:t>means a Business Day.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Transfer Agent</w:t>
      </w:r>
      <w:r>
        <w:rPr>
          <w:color w:val="000000"/>
        </w:rPr>
        <w:t xml:space="preserve">” </w:t>
      </w:r>
      <w:r>
        <w:rPr>
          <w:rFonts w:ascii="Times New Roman;sans-serif" w:hAnsi="Times New Roman;sans-serif"/>
          <w:b w:val="false"/>
          <w:color w:val="000000"/>
          <w:sz w:val="22"/>
        </w:rPr>
        <w:t>means such agent or agents of the Corporation as may be designated by the Board or its duly authorized designee as the transfer agent, registrar and dividend disbursing agent for the Series B Convertible Preferred Stock or, if the Corporation is serving as its own transfer agent, the Corporation.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Trigger Event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7.7(c)</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Valuation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color w:val="000000"/>
          <w:sz w:val="22"/>
        </w:rPr>
        <w:t>Section 7.7(c)</w:t>
      </w:r>
      <w:r>
        <w:rPr>
          <w:rFonts w:ascii="Times New Roman;sans-serif" w:hAnsi="Times New Roman;sans-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Voting Cap</w:t>
      </w:r>
      <w:r>
        <w:rPr>
          <w:color w:val="000000"/>
        </w:rPr>
        <w:t xml:space="preserve">” </w:t>
      </w:r>
      <w:r>
        <w:rPr>
          <w:rFonts w:ascii="Times New Roman;sans-serif" w:hAnsi="Times New Roman;sans-serif"/>
          <w:b w:val="false"/>
          <w:color w:val="000000"/>
          <w:sz w:val="22"/>
        </w:rPr>
        <w:t>means a number of votes per Share (subject to adjustment for any share split or share dividend) equal to the quotient of the Initial Value and the Minimum Price, rounded to the nearest ten-thousandth, with any one-hundred thousandths rounded downward.</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2"/>
        </w:rPr>
        <w:t>Wholly Owned Subsidiary</w:t>
      </w:r>
      <w:r>
        <w:rPr>
          <w:color w:val="000000"/>
        </w:rPr>
        <w:t xml:space="preserve">” </w:t>
      </w:r>
      <w:r>
        <w:rPr>
          <w:rFonts w:ascii="Times New Roman;sans-serif" w:hAnsi="Times New Roman;sans-serif"/>
          <w:b w:val="false"/>
          <w:color w:val="000000"/>
          <w:sz w:val="22"/>
        </w:rPr>
        <w:t>means, with respect to any Person, any Subsidiary of such Person, except that, solely for purposes of this definition, the reference to “more than 50%” in the definition of “Subsidiary” shall be deemed replaced by a reference to “100%”.</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Rank</w:t>
      </w:r>
      <w:r>
        <w:rPr>
          <w:rFonts w:ascii="Times New Roman;sans-serif" w:hAnsi="Times New Roman;sans-serif"/>
          <w:b w:val="false"/>
          <w:color w:val="000000"/>
          <w:sz w:val="22"/>
        </w:rPr>
        <w:t>. All shares of the Series B Convertible Preferred Stock shall rank (a) senior to (i) Dividend Junior Securities with respect to the payment of dividends; and (ii) Liquidation Junior Securities with respect to the distribution of assets upon the Corporation’s liquidation, dissolution or winding up; (b) equally with (i) Dividend Parity Securities with respect to the payment of dividends; and (ii) Liquidation Parity Securities with respect to the distribution of assets upon the Corporation’s liquidation, dissolution or winding up; and (c) junior to (i) Dividend Senior Securities with respect to the payment of dividends; and (ii) Liquidation Senior Securities with respect to the distribution of assets upon the Corporation’s liquidation, dissolution or winding up.</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Dividends</w:t>
      </w:r>
      <w:r>
        <w:rPr>
          <w:rFonts w:ascii="Times New Roman;sans-serif" w:hAnsi="Times New Roman;sans-serif"/>
          <w:b w:val="false"/>
          <w:color w:val="000000"/>
          <w:sz w:val="22"/>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4.1    </w:t>
      </w:r>
      <w:r>
        <w:rPr>
          <w:rFonts w:ascii="Times New Roman;sans-serif" w:hAnsi="Times New Roman;sans-serif"/>
          <w:b w:val="false"/>
          <w:color w:val="000000"/>
          <w:sz w:val="22"/>
          <w:u w:val="single"/>
        </w:rPr>
        <w:t>Dividend Rate on Series B Convertible Preferred Stock.</w:t>
      </w:r>
      <w:r>
        <w:rPr>
          <w:color w:val="000000"/>
        </w:rPr>
        <w:t xml:space="preserve"> </w:t>
      </w:r>
      <w:r>
        <w:rPr>
          <w:rFonts w:ascii="Times New Roman;sans-serif" w:hAnsi="Times New Roman;sans-serif"/>
          <w:b w:val="false"/>
          <w:color w:val="000000"/>
          <w:sz w:val="22"/>
        </w:rPr>
        <w:t xml:space="preserve">For each share of Series B Convertible Preferred Stock, from the Issue Date with respect to such share, cumulative dividends shall accrue on the Accrued Value of each share of Series B Convertible Preferred Stock at the Annual Dividend Rate, as determined and paid in the manner described in this </w:t>
      </w:r>
      <w:r>
        <w:rPr>
          <w:rFonts w:ascii="Times New Roman;sans-serif" w:hAnsi="Times New Roman;sans-serif"/>
          <w:b/>
          <w:color w:val="000000"/>
          <w:sz w:val="22"/>
        </w:rPr>
        <w:t>Section 4.1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color w:val="000000"/>
          <w:sz w:val="22"/>
        </w:rPr>
        <w:t>Section 4.2</w:t>
      </w:r>
      <w:r>
        <w:rPr>
          <w:rFonts w:ascii="Times New Roman;sans-serif" w:hAnsi="Times New Roman;sans-serif"/>
          <w:b w:val="false"/>
          <w:color w:val="000000"/>
          <w:sz w:val="22"/>
        </w:rPr>
        <w:t xml:space="preserve">. Dividends on each share of Series B Convertible Preferred Stock shall accrue daily from and after the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applicable Issue Date of such share but shall compound on a quarterly basis, to the extent not paid, on each Dividend Payment Date (i.e., no dividends shall accrue on unpaid dividends unless and until the first Dividend Payment Date for such unpaid dividends has passed), whether or not earned or declared, and whether or not there are earnings or profits, surplus or other funds or assets of the Corporation legally available for the payment of dividends. Dividends that are payable on the Series B Convertible Preferred Stock on any Dividend Payment Date shall be payable to Holders as they appear on the Register on the applicable Dividend Payment Record Date.</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Dividends on the Series B Convertible Preferred Stock in respect of any Dividend Period shall be payable in arrears and shall be computed on the basis of a 360-day year consisting of twelve (12) 30-day months.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4.2    </w:t>
      </w:r>
      <w:r>
        <w:rPr>
          <w:rFonts w:ascii="Times New Roman;sans-serif" w:hAnsi="Times New Roman;sans-serif"/>
          <w:b w:val="false"/>
          <w:color w:val="000000"/>
          <w:sz w:val="22"/>
          <w:u w:val="single"/>
        </w:rPr>
        <w:t>Payment of Dividends</w:t>
      </w:r>
      <w:r>
        <w:rPr>
          <w:rFonts w:ascii="Times New Roman;sans-serif" w:hAnsi="Times New Roman;sans-serif"/>
          <w:b w:val="false"/>
          <w:color w:val="000000"/>
          <w:sz w:val="22"/>
        </w:rPr>
        <w:t>. With respect to any Dividend Payment Date, to the extent permitted by applicable law, dividends shall be reflected in the form of an increase to the Accrued Value of each Share (“</w:t>
      </w:r>
      <w:r>
        <w:rPr>
          <w:rFonts w:ascii="Times New Roman;sans-serif" w:hAnsi="Times New Roman;sans-serif"/>
          <w:b/>
          <w:color w:val="000000"/>
          <w:sz w:val="22"/>
        </w:rPr>
        <w:t>Compounded Returns</w:t>
      </w:r>
      <w:r>
        <w:rPr>
          <w:color w:val="000000"/>
        </w:rPr>
        <w:t>”</w:t>
      </w:r>
      <w:r>
        <w:rPr>
          <w:rFonts w:ascii="Times New Roman;sans-serif" w:hAnsi="Times New Roman;sans-serif"/>
          <w:b w:val="false"/>
          <w:color w:val="000000"/>
          <w:sz w:val="22"/>
        </w:rPr>
        <w:t>). Dividends for the applicable Dividend Period shall accumulate on the Accrued Value as of the most recent Dividend Payment Date at the Annual Dividend Rate whether or not declared, and whether or not there are funds legally available for the payment or declaration of dividends.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4.3    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4.4    </w:t>
      </w:r>
      <w:r>
        <w:rPr>
          <w:rFonts w:ascii="Times New Roman;sans-serif" w:hAnsi="Times New Roman;sans-serif"/>
          <w:b w:val="false"/>
          <w:color w:val="000000"/>
          <w:sz w:val="22"/>
          <w:u w:val="single"/>
        </w:rPr>
        <w:t>No Other Dividends</w:t>
      </w:r>
      <w:r>
        <w:rPr>
          <w:rFonts w:ascii="Times New Roman;sans-serif" w:hAnsi="Times New Roman;sans-serif"/>
          <w:b w:val="false"/>
          <w:color w:val="000000"/>
          <w:sz w:val="22"/>
        </w:rPr>
        <w:t>. Shares of Series B Convertible Preferred Stock shall entitle the Holders thereof only to the dividends expressly provided for herein unless otherwise declared by the Board.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4.5    </w:t>
      </w:r>
      <w:r>
        <w:rPr>
          <w:rFonts w:ascii="Times New Roman;sans-serif" w:hAnsi="Times New Roman;sans-serif"/>
          <w:b w:val="false"/>
          <w:color w:val="000000"/>
          <w:sz w:val="22"/>
          <w:u w:val="single"/>
        </w:rPr>
        <w:t>Junior and Parity Securities</w:t>
      </w:r>
      <w:r>
        <w:rPr>
          <w:rFonts w:ascii="Times New Roman;sans-serif" w:hAnsi="Times New Roman;sans-serif"/>
          <w:b w:val="false"/>
          <w:color w:val="000000"/>
          <w:sz w:val="22"/>
        </w:rPr>
        <w:t xml:space="preserve">. So long as any share of the Series B Convertible Preferred Stock remains outstanding, no Dividend Parity Securities, Liquidation Parity Securities, Dividend Junior Securities or Liquidation Junior Securities shall be, directly or indirectly, purchased, redeemed or otherwise acquired for consideration by the Corporation or any of its Subsidiaries unless all accumulated and unpaid dividends on the shares of Series B Convertible Preferred Stock for all preceding Dividend Periods have been declared or accrued upon all outstanding shares of Series B Convertible Preferred Stock,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preceding does not apply to purchases pursuant to (v) an exchange for or conversion or reclassification into other securities that are not Dividend Senior Securities, Liquidation Senior Securities, Dividend Parity Securities, Liquidation Parity Securities and/or Cash Dividend Securities, (w) the repurchase of shares of Common Stock from employees, officers, directors, consultants or other persons performing services for the Corporation in the ordinary course of business, (x) the entry into, settlement or termination of any Note Hedge Option, or (y) purchases of fractional interests in shares of Capital Stock upon conversion or exchange of securities that are not Dividend Senior Securities or Liquidation Senior Securities. When dividends on shares of Series B Convertible Preferred Stock have not been paid in full or accrued on any Dividend Payment Date, (x) no dividends may be declared or paid on any Dividend Parity Securities unless dividends are declared on the Series B Convertible Preferred Stock such that the respective amounts of such dividends declared on the Series B Convertible Preferred Stock and each such other class or series of Dividend Parity Securities shall bear the same ratio to each other as all accumulated and unpaid dividends per share on the shares of the Series B Convertible Preferred Stock and such class or series of Dividend Parity Securities (subject to their having been declared by the Board out of legally available funds) bear to each other, in proportion to their respective liquidation preferences at the time of declaration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unpaid dividends on the Series B Convertible Preferred Stock will continue to accrue and accumulate) and (y) no dividends may be declared or paid on any Dividend Junior Securities.</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Liquidation</w:t>
      </w:r>
      <w:r>
        <w:rPr>
          <w:rFonts w:ascii="Times New Roman;sans-serif" w:hAnsi="Times New Roman;sans-serif"/>
          <w:b w:val="false"/>
          <w:color w:val="000000"/>
          <w:sz w:val="22"/>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5.1    </w:t>
      </w:r>
      <w:r>
        <w:rPr>
          <w:rFonts w:ascii="Times New Roman;sans-serif" w:hAnsi="Times New Roman;sans-serif"/>
          <w:b w:val="false"/>
          <w:color w:val="000000"/>
          <w:sz w:val="22"/>
          <w:u w:val="single"/>
        </w:rPr>
        <w:t>Liquidation</w:t>
      </w:r>
      <w:r>
        <w:rPr>
          <w:rFonts w:ascii="Times New Roman;sans-serif" w:hAnsi="Times New Roman;sans-serif"/>
          <w:b w:val="false"/>
          <w:color w:val="000000"/>
          <w:sz w:val="22"/>
        </w:rPr>
        <w:t xml:space="preserve">. Upon any Liquidation, each Holder shall be entitled to receive, with respect to each share of then-outstanding Series B Convertible Preferred Stock by reason of such Holder’s ownership thereof, out of the assets of the Corporation available for distribution to its stockholders,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with the holders of any Liquidation Parity Securities, but before any distribution or payment out of the assets of the Corporation shall be made to the holders of Liquidation Junior Securities by reason of their ownership thereof, an amount in cash equal to the greater of (a) the Minimum Consideration and (b) the amount that such Holder would have received with respect to such share of Series B Convertible Preferred Stock based on its Accrued Value if all shares of Series B Convertible Preferred Stock had been converted at their Accrued Value (regardless of whether they were actually converted and without regard to any limitations on convertibility or to whether sufficient shares of Common Stock are available out of the Corporation’s authorized but unissued stock for the purpose of effecting such conversion) into shares of Common Stock on the Business Day immediately prior to the Liquidation (the greater of (a) and (b), the “</w:t>
      </w:r>
      <w:r>
        <w:rPr>
          <w:rFonts w:ascii="Times New Roman;sans-serif" w:hAnsi="Times New Roman;sans-serif"/>
          <w:b/>
          <w:color w:val="000000"/>
          <w:sz w:val="22"/>
        </w:rPr>
        <w:t>Liquidation Preference</w:t>
      </w:r>
      <w:r>
        <w:rPr>
          <w:color w:val="000000"/>
        </w:rPr>
        <w:t>”</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5.2    </w:t>
      </w:r>
      <w:r>
        <w:rPr>
          <w:rFonts w:ascii="Times New Roman;sans-serif" w:hAnsi="Times New Roman;sans-serif"/>
          <w:b w:val="false"/>
          <w:color w:val="000000"/>
          <w:sz w:val="22"/>
          <w:u w:val="single"/>
        </w:rPr>
        <w:t>Merger, Consolidation and Sale of Assets Not Liquidation</w:t>
      </w:r>
      <w:r>
        <w:rPr>
          <w:rFonts w:ascii="Times New Roman;sans-serif" w:hAnsi="Times New Roman;sans-serif"/>
          <w:b w:val="false"/>
          <w:color w:val="000000"/>
          <w:sz w:val="22"/>
        </w:rPr>
        <w:t xml:space="preserve">. For purposes of this </w:t>
      </w:r>
      <w:r>
        <w:rPr>
          <w:rFonts w:ascii="Times New Roman;sans-serif" w:hAnsi="Times New Roman;sans-serif"/>
          <w:b/>
          <w:color w:val="000000"/>
          <w:sz w:val="22"/>
        </w:rPr>
        <w:t>Section 5</w:t>
      </w:r>
      <w:r>
        <w:rPr>
          <w:rFonts w:ascii="Times New Roman;sans-serif" w:hAnsi="Times New Roman;sans-serif"/>
          <w:b w:val="false"/>
          <w:color w:val="000000"/>
          <w:sz w:val="22"/>
        </w:rPr>
        <w:t>, the sale, conveyance, exchange or transfer (for cash, shares of stock, securities or other consideration) of all or substantially all of the property and assets of the Corporation shall not be deemed a Liquidation, nor shall the merger, consolidation, statutory exchange or any other business combination transaction of the Corporation into or with any other Person or the merger, consolidation, statutory exchange or any other business combination transaction of any other Person into or with the Corporation be deemed to be a Liquidation.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5.3    </w:t>
      </w:r>
      <w:r>
        <w:rPr>
          <w:rFonts w:ascii="Times New Roman;sans-serif" w:hAnsi="Times New Roman;sans-serif"/>
          <w:b w:val="false"/>
          <w:color w:val="000000"/>
          <w:sz w:val="22"/>
          <w:u w:val="single"/>
        </w:rPr>
        <w:t>Insufficient Assets</w:t>
      </w:r>
      <w:r>
        <w:rPr>
          <w:rFonts w:ascii="Times New Roman;sans-serif" w:hAnsi="Times New Roman;sans-serif"/>
          <w:b w:val="false"/>
          <w:color w:val="000000"/>
          <w:sz w:val="22"/>
        </w:rPr>
        <w:t xml:space="preserve">. If upon any Liquidation the remaining assets of the Corporation available for distribution to the Holders and any other Liquidation Parity Securities shall be insufficient to pay the Holders and any other Liquidation Parity Securities the full preferential amount to which they are entitled under </w:t>
      </w:r>
      <w:r>
        <w:rPr>
          <w:rFonts w:ascii="Times New Roman;sans-serif" w:hAnsi="Times New Roman;sans-serif"/>
          <w:b/>
          <w:color w:val="000000"/>
          <w:sz w:val="22"/>
        </w:rPr>
        <w:t>Section 5.1</w:t>
      </w:r>
      <w:r>
        <w:rPr>
          <w:rFonts w:ascii="Times New Roman;sans-serif" w:hAnsi="Times New Roman;sans-serif"/>
          <w:b w:val="false"/>
          <w:color w:val="000000"/>
          <w:sz w:val="22"/>
        </w:rPr>
        <w:t>, (a) the Holders and any other Liquidation Parity Securities shall share ratably in any distribution of the remaining assets and funds of the Corporation in proportion to the respective full preferential amounts that would otherwise be payable in respect of the shares of Series B Convertible Preferred Stock and any other Liquidation Parity Securities in the aggregate upon such Liquidation if all amounts payable on or with respect to such shares of Series B Convertible Preferred Stock and any other Liquidation Parity Securities were paid in full, and (b) the Corporation shall not make or agree to make, or set aside for the benefit of the holders of Liquidation Junior Securities, any payments to the holders of Liquidation Junior Securities by reason of their ownership thereof.</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5.4    </w:t>
      </w:r>
      <w:r>
        <w:rPr>
          <w:rFonts w:ascii="Times New Roman;sans-serif" w:hAnsi="Times New Roman;sans-serif"/>
          <w:b w:val="false"/>
          <w:color w:val="000000"/>
          <w:sz w:val="22"/>
          <w:u w:val="single"/>
        </w:rPr>
        <w:t>Notice Requirement</w:t>
      </w:r>
      <w:r>
        <w:rPr>
          <w:rFonts w:ascii="Times New Roman;sans-serif" w:hAnsi="Times New Roman;sans-serif"/>
          <w:b w:val="false"/>
          <w:color w:val="000000"/>
          <w:sz w:val="22"/>
        </w:rPr>
        <w:t>. In the event of any Liquidation, the Corporation shall, within ten (10) days of the date the Board approves such action, or no later than twenty (20) days of any stockholders’ meeting called to approve such action, or within twenty (20) days of the commencement of any involuntary proceeding, whichever is earlier, give each Holder written notice of the proposed action. Such written notice shall describe the material terms and conditions of such proposed action, including a description of the stock, cash and property to be received by the Holders upon consummation of the proposed action and the date of delivery thereof. If any material change in the facts set forth in the initial notice shall occur, the Corporation shall promptly give written notice to each Holder of such material change.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5.5    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In the event of any Liquidation, after the payment to any Holder of the full amount of the Liquidation Preference for each of such Holder’s shares of Series B Convertible Preferred Stock, such Holder shall have no right or claim to any of the remaining assets of the Corporation by reason of its ownership of the Series B Convertible Preferred Stock. The Corporation shall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not be required to set aside funds to protect the Liquidation Preference of the Series B Convertible Preferred Stock.</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Voting</w:t>
      </w:r>
      <w:r>
        <w:rPr>
          <w:rFonts w:ascii="Times New Roman;sans-serif" w:hAnsi="Times New Roman;sans-serif"/>
          <w:b w:val="false"/>
          <w:color w:val="000000"/>
          <w:sz w:val="22"/>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6.1    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Except as otherwise provided herein or by applicable Law or the rules of any stock exchange on which the Corporation’s securities are listed, on any matter presented to the stockholders of the Corporation for their action or consideration at any meeting of stockholders of the Corporation and on which matter holders of the Common Stock shall be entitled to vote, each Holder shall be entitled to the number of votes equal to the number of whole shares of Common Stock (rounded to the nearest whole share) into which the aggregate shares of Series B Convertible Preferred Stock held by such Holder are convertible on the record date for determining stockholders entitled to vote on such matter (as adjusted from time to time after the applicable Issue Date pursuant to </w:t>
      </w:r>
      <w:r>
        <w:rPr>
          <w:rFonts w:ascii="Times New Roman;sans-serif" w:hAnsi="Times New Roman;sans-serif"/>
          <w:b/>
          <w:color w:val="000000"/>
          <w:sz w:val="22"/>
        </w:rPr>
        <w:t>Section 7</w:t>
      </w:r>
      <w:r>
        <w:rPr>
          <w:color w:val="000000"/>
        </w:rPr>
        <w:t xml:space="preserve"> </w:t>
      </w:r>
      <w:r>
        <w:rPr>
          <w:rFonts w:ascii="Times New Roman;sans-serif" w:hAnsi="Times New Roman;sans-serif"/>
          <w:b w:val="false"/>
          <w:color w:val="000000"/>
          <w:sz w:val="22"/>
        </w:rPr>
        <w:t xml:space="preserve">but without regard to any limitations on convertibility or to whether sufficient shares of Common Stock are available out of the Corporation’s authorized but unissued stock for the purpose of effecting the conversion of the Series B Convertible Preferred Stock). Holders shall be entitled to notice of any meeting of stockholders and, except as otherwise provided herein or otherwise required by Law, to vote together as a single class with the holders of Common Stock and any other class or series of stock entitled to vote thereon. For the avoidance of doubt, the voting power of the Holders of Series B Convertible Preferred Stock is subject to </w:t>
      </w:r>
      <w:r>
        <w:rPr>
          <w:rFonts w:ascii="Times New Roman;sans-serif" w:hAnsi="Times New Roman;sans-serif"/>
          <w:b/>
          <w:color w:val="000000"/>
          <w:sz w:val="22"/>
        </w:rPr>
        <w:t>Section 6.2</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6.2    </w:t>
      </w:r>
      <w:r>
        <w:rPr>
          <w:rFonts w:ascii="Times New Roman;sans-serif" w:hAnsi="Times New Roman;sans-serif"/>
          <w:b w:val="false"/>
          <w:color w:val="000000"/>
          <w:sz w:val="22"/>
          <w:u w:val="single"/>
        </w:rPr>
        <w:t>Voting Limitations</w:t>
      </w:r>
      <w:r>
        <w:rPr>
          <w:rFonts w:ascii="Times New Roman;sans-serif" w:hAnsi="Times New Roman;sans-serif"/>
          <w:b w:val="false"/>
          <w:color w:val="000000"/>
          <w:sz w:val="22"/>
        </w:rPr>
        <w:t xml:space="preserve">. Notwithstanding the foregoing, to the extent the quotient of the Accrued Value and the Conversion Price would exceed the Voting Cap, each Share shall be entitled to a number of votes per Share equal to the Voting Cap, with the number of votes per Holder determined as the product (rounded down to the nearest whole Share) of the aggregate number of Shares held by such Holder on the record date for determining stockholders entitled to vote on such matter and the Voting Cap.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6.3    </w:t>
      </w:r>
      <w:r>
        <w:rPr>
          <w:rFonts w:ascii="Times New Roman;sans-serif" w:hAnsi="Times New Roman;sans-serif"/>
          <w:b w:val="false"/>
          <w:color w:val="000000"/>
          <w:sz w:val="22"/>
          <w:u w:val="single"/>
        </w:rPr>
        <w:t>Series B Convertible Preferred Stock Protective Provisions</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As long as at least 10% of the aggregate number of shares of the Series B Convertible Preferred Stock issued on the Initial Issue Date remain outstanding, the Corporation shall not, and shall not permit any Subsidiary to, directly or indirectly (whether by amending the certificate of incorporation of the Corporation (including this Certificate of Designations) or any such Subsidiary, or by reclassification, merger, consolidation, reorganization, recapitalization or otherwise) do any of the following without (in addition to any other vote required by applicable Law or the Certificate of Incorporation) the written consent or affirmative vote of the Required Holders, given in writing or by vote at a meeting, consenting or voting (as the case may be) separately as a class: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create or authorize the creation of (including by increasing the authorized amount of) or issue any Liquidation Senior Securities, Dividend Senior Securities, Liquidation Parity Securities, Dividend Parity Securities, Cash Dividend Securities or any securities convertible into or exercisable or exchangeable for any of the foregoing securities;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reclassify or modify any existing class or series of equity securities in a manner that would result in such class or series of equity securities being Liquidation Senior Securities or Dividend Senior Securities, Liquidation Parity Securities or Dividend Parity Securities or Cash Dividend Securities;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 xml:space="preserve">(iii)    decrease the number of authorized shares of Series B Convertible Preferred Stock (except for such decreases as permitted by </w:t>
      </w:r>
      <w:r>
        <w:rPr>
          <w:rFonts w:ascii="Times New Roman;sans-serif" w:hAnsi="Times New Roman;sans-serif"/>
          <w:b/>
          <w:color w:val="000000"/>
          <w:sz w:val="22"/>
        </w:rPr>
        <w:t>Sections 7.3(a)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color w:val="000000"/>
          <w:sz w:val="22"/>
        </w:rPr>
        <w:t>8.2</w:t>
      </w:r>
      <w:r>
        <w:rPr>
          <w:color w:val="000000"/>
        </w:rPr>
        <w:t xml:space="preserve"> </w:t>
      </w:r>
      <w:r>
        <w:rPr>
          <w:rFonts w:ascii="Times New Roman;sans-serif" w:hAnsi="Times New Roman;sans-serif"/>
          <w:b w:val="false"/>
          <w:color w:val="000000"/>
          <w:sz w:val="22"/>
        </w:rPr>
        <w:t>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alter, change or amend the terms, rights, preferences or privileges of the Series B Convertible Preferred Stock in any manner adverse to Holders; or</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 xml:space="preserve">(v)    amend, waive, alter or repeal any provision of its certificate of incorporation, bylaws or comparable organizational documents in a manner that would adversely affect the Series B Convertible Preferred Stock or the rights, preferences or privileges of the Series B Convertible Preferred Stock;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color w:val="000000"/>
        </w:rPr>
        <w:t xml:space="preserve"> </w:t>
      </w:r>
      <w:r>
        <w:rPr>
          <w:rFonts w:ascii="Times New Roman;sans-serif" w:hAnsi="Times New Roman;sans-serif"/>
          <w:b w:val="false"/>
          <w:color w:val="000000"/>
          <w:sz w:val="22"/>
        </w:rPr>
        <w:t xml:space="preserve">that each of the following will be deemed not to adversely affect the terms, rights, preferences or privileges of the Series B Convertible Preferred Stock and will not require any vote or consent pursuant to </w:t>
      </w:r>
      <w:r>
        <w:rPr>
          <w:rFonts w:ascii="Times New Roman;sans-serif" w:hAnsi="Times New Roman;sans-serif"/>
          <w:b/>
          <w:color w:val="000000"/>
          <w:sz w:val="22"/>
        </w:rPr>
        <w:t>Section 6.3(a)(iv)</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color w:val="000000"/>
          <w:sz w:val="22"/>
        </w:rPr>
        <w:t>Section 6.3(a)(v)</w:t>
      </w:r>
      <w:r>
        <w:rPr>
          <w:rFonts w:ascii="Times New Roman;sans-serif" w:hAnsi="Times New Roman;sans-serif"/>
          <w:b w:val="false"/>
          <w:color w:val="000000"/>
          <w:sz w:val="22"/>
        </w:rPr>
        <w:t>:</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    any increase in the number of the authorized but unissued shares of the Corporation’s undesignated preferred stock;</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(II)    the creation and issuance, or increase in the authorized or issued number, of any shares of any class or series of Capital Stock that is not Dividend Senior Securities, Liquidation Senior Securities, Dividend Parity Securities, Liquidation Parity Securities or Cash Dividend Securities; and</w:t>
      </w:r>
    </w:p>
    <w:p>
      <w:pPr>
        <w:pStyle w:val="TextBody"/>
        <w:bidi w:val="0"/>
        <w:spacing w:lineRule="auto" w:line="288" w:before="120" w:after="120"/>
        <w:jc w:val="both"/>
        <w:rPr/>
      </w:pPr>
      <w:r>
        <w:rPr>
          <w:rFonts w:ascii="Times New Roman;sans-serif" w:hAnsi="Times New Roman;sans-serif"/>
          <w:b w:val="false"/>
          <w:color w:val="000000"/>
          <w:sz w:val="22"/>
        </w:rPr>
        <w:t xml:space="preserve">(III)    the application of </w:t>
      </w:r>
      <w:r>
        <w:rPr>
          <w:rFonts w:ascii="Times New Roman;sans-serif" w:hAnsi="Times New Roman;sans-serif"/>
          <w:b/>
          <w:color w:val="000000"/>
          <w:sz w:val="22"/>
        </w:rPr>
        <w:t>Section 7.7(f)</w:t>
      </w:r>
      <w:r>
        <w:rPr>
          <w:rFonts w:ascii="Times New Roman;sans-serif" w:hAnsi="Times New Roman;sans-serif"/>
          <w:b w:val="false"/>
          <w:color w:val="000000"/>
          <w:sz w:val="22"/>
        </w:rPr>
        <w:t xml:space="preserve">, including the execution and delivery of any supplemental instruments pursuant to </w:t>
      </w:r>
      <w:r>
        <w:rPr>
          <w:rFonts w:ascii="Times New Roman;sans-serif" w:hAnsi="Times New Roman;sans-serif"/>
          <w:b/>
          <w:color w:val="000000"/>
          <w:sz w:val="22"/>
        </w:rPr>
        <w:t>Section 7.7(f)</w:t>
      </w:r>
      <w:r>
        <w:rPr>
          <w:color w:val="000000"/>
        </w:rPr>
        <w:t xml:space="preserve"> </w:t>
      </w:r>
      <w:r>
        <w:rPr>
          <w:rFonts w:ascii="Times New Roman;sans-serif" w:hAnsi="Times New Roman;sans-serif"/>
          <w:b w:val="false"/>
          <w:color w:val="000000"/>
          <w:sz w:val="22"/>
        </w:rPr>
        <w:t>solely to give effect to such provision;</w:t>
      </w:r>
    </w:p>
    <w:p>
      <w:pPr>
        <w:pStyle w:val="TextBody"/>
        <w:bidi w:val="0"/>
        <w:spacing w:lineRule="auto" w:line="288" w:before="120" w:after="12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insomuch as they relate to Liquidation Parity Securities, Dividend Parity Securities and Cash Dividend Securities, the restrictions set forth in </w:t>
      </w:r>
      <w:r>
        <w:rPr>
          <w:rFonts w:ascii="Times New Roman;sans-serif" w:hAnsi="Times New Roman;sans-serif"/>
          <w:b/>
          <w:color w:val="000000"/>
          <w:sz w:val="22"/>
        </w:rPr>
        <w:t>Sections 6.3(a)(i)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color w:val="000000"/>
          <w:sz w:val="22"/>
        </w:rPr>
        <w:t>(ii)</w:t>
      </w:r>
      <w:r>
        <w:rPr>
          <w:color w:val="000000"/>
        </w:rPr>
        <w:t xml:space="preserve"> </w:t>
      </w:r>
      <w:r>
        <w:rPr>
          <w:rFonts w:ascii="Times New Roman;sans-serif" w:hAnsi="Times New Roman;sans-serif"/>
          <w:b w:val="false"/>
          <w:color w:val="000000"/>
          <w:sz w:val="22"/>
        </w:rPr>
        <w:t>above shall apply only for so long as the PIF Investor owns at least 50% of the shares of Series B Convertible Preferred Stock issued and outstanding.</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 xml:space="preserve">(b)    The Corporation agrees it shall comply with the covenants under Section 6.01 of the Existing Credit Agreement or any equivalent provision in any facility incurred by the Corporation to refinance the Existing Credit Agreement (in each case, including any future modifications, amendments or waivers to any such covenant), which agreement shall remain in full force for so long as the PIF Investor owns at least 50% of the shares of Series B Convertible Preferred Stock issued on the Initial Issue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covenant may be waived with the sole consent of the PIF Investor.</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6.4    </w:t>
      </w:r>
      <w:r>
        <w:rPr>
          <w:rFonts w:ascii="Times New Roman;sans-serif" w:hAnsi="Times New Roman;sans-serif"/>
          <w:b w:val="false"/>
          <w:color w:val="000000"/>
          <w:sz w:val="22"/>
          <w:u w:val="single"/>
        </w:rPr>
        <w:t>Amendments</w:t>
      </w:r>
      <w:r>
        <w:rPr>
          <w:rFonts w:ascii="Times New Roman;sans-serif" w:hAnsi="Times New Roman;sans-serif"/>
          <w:b w:val="false"/>
          <w:color w:val="000000"/>
          <w:sz w:val="22"/>
        </w:rPr>
        <w:t>. Without the consent of the Holders of the Series B Convertible Preferred Stock, the Corporation may amend, alter, supplement, or repeal any terms of our Certificate of Incorporation, bylaws, this Certificate of Designations and any certificate representing the Series B Convertible Preferred Stock for the following purposes: (i) to cure any ambiguity, omission, inconsistency or mistake in any such agreement or instrument; (ii) to make any provision with respect to matters or questions relating to the Series B Convertible Preferred Stock that is not inconsistent with the provisions of this Certificate of Designations and that does not adversely affect the rights of any Holder of Series B Convertible Preferred Stock in any material respect; or (iii) to make any other change that does not adversely affect the rights of any Holder of our Series B Convertible Preferred Stock (other than any Holder that consents to such change).</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Conversion</w:t>
      </w:r>
      <w:r>
        <w:rPr>
          <w:rFonts w:ascii="Times New Roman;sans-serif" w:hAnsi="Times New Roman;sans-serif"/>
          <w:b w:val="false"/>
          <w:color w:val="000000"/>
          <w:sz w:val="22"/>
        </w:rPr>
        <w:t>. The Holders shall have conversion rights as follows (the “</w:t>
      </w:r>
      <w:r>
        <w:rPr>
          <w:rFonts w:ascii="Times New Roman;sans-serif" w:hAnsi="Times New Roman;sans-serif"/>
          <w:b/>
          <w:color w:val="000000"/>
          <w:sz w:val="22"/>
        </w:rPr>
        <w:t>Conversion Rights</w:t>
      </w:r>
      <w:r>
        <w:rPr>
          <w:color w:val="000000"/>
        </w:rPr>
        <w:t>”</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7.1    </w:t>
      </w:r>
      <w:r>
        <w:rPr>
          <w:rFonts w:ascii="Times New Roman;sans-serif" w:hAnsi="Times New Roman;sans-serif"/>
          <w:b w:val="false"/>
          <w:color w:val="000000"/>
          <w:sz w:val="22"/>
          <w:u w:val="single"/>
        </w:rPr>
        <w:t>Right to Convert</w:t>
      </w:r>
      <w:r>
        <w:rPr>
          <w:rFonts w:ascii="Times New Roman;sans-serif" w:hAnsi="Times New Roman;sans-serif"/>
          <w:b w:val="false"/>
          <w:color w:val="000000"/>
          <w:sz w:val="22"/>
        </w:rPr>
        <w:t xml:space="preserve">. Each share of Series B Convertible Preferred Stock shall be convertible, at the option of the respective Holder, from time to time after the Initial Issue Date, and without the payment of additional consideration by the Holder, (a) at any time that the Closing Price per share of the Common Stock on the Trading Day immediately preceding the date on which the Holder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 xml:space="preserve">delivers the relevant Notice of Conversion is at least $5.50 (subject to adjustment at the same time and in the same manner as the Conversion Price as provided in </w:t>
      </w:r>
      <w:r>
        <w:rPr>
          <w:rFonts w:ascii="Times New Roman;sans-serif" w:hAnsi="Times New Roman;sans-serif"/>
          <w:b/>
          <w:color w:val="000000"/>
          <w:sz w:val="22"/>
        </w:rPr>
        <w:t>Section 7.7</w:t>
      </w:r>
      <w:r>
        <w:rPr>
          <w:rFonts w:ascii="Times New Roman;sans-serif" w:hAnsi="Times New Roman;sans-serif"/>
          <w:b w:val="false"/>
          <w:color w:val="000000"/>
          <w:sz w:val="22"/>
        </w:rPr>
        <w:t>), unless the Corporation otherwise consents to such conversion in its sole discretion, or (b) in all events from the date of any Fundamental Change Repurchase Notice or Redemption Notice until 5:00 p.m. New York City time on the Business Day immediately preceding the later of the effective date of any Fundamental Change and the Fundamental Change Repurchase Date or any Redemption Date, as the case may be, into such number of fully paid and non-assessable shares of Common Stock as is determined by dividing (i) the applicable Accrued Value as of the Conversion Date by (ii) the applicable Conversion Price in effect as of the Conversion Date. The “</w:t>
      </w:r>
      <w:r>
        <w:rPr>
          <w:rFonts w:ascii="Times New Roman;sans-serif" w:hAnsi="Times New Roman;sans-serif"/>
          <w:b/>
          <w:color w:val="000000"/>
          <w:sz w:val="22"/>
        </w:rPr>
        <w:t>Conversion Price</w:t>
      </w:r>
      <w:r>
        <w:rPr>
          <w:color w:val="000000"/>
        </w:rPr>
        <w:t xml:space="preserve">” </w:t>
      </w:r>
      <w:r>
        <w:rPr>
          <w:rFonts w:ascii="Times New Roman;sans-serif" w:hAnsi="Times New Roman;sans-serif"/>
          <w:b w:val="false"/>
          <w:color w:val="000000"/>
          <w:sz w:val="22"/>
        </w:rPr>
        <w:t xml:space="preserve">shall initially be equal to $4.3799. The rate at which shares of Series B Convertible Preferred Stock may be converted into shares of Common Stock shall be subject to adjustment as provided in this </w:t>
      </w:r>
      <w:r>
        <w:rPr>
          <w:rFonts w:ascii="Times New Roman;sans-serif" w:hAnsi="Times New Roman;sans-serif"/>
          <w:b/>
          <w:color w:val="000000"/>
          <w:sz w:val="22"/>
        </w:rPr>
        <w:t>Section 7</w:t>
      </w:r>
      <w:r>
        <w:rPr>
          <w:rFonts w:ascii="Times New Roman;sans-serif" w:hAnsi="Times New Roman;sans-serif"/>
          <w:b w:val="false"/>
          <w:color w:val="000000"/>
          <w:sz w:val="22"/>
        </w:rPr>
        <w:t xml:space="preserve">. In the event any shares of Series B Convertible Preferred Stock are to be repurchased by the Corporation pursuant to </w:t>
      </w:r>
      <w:r>
        <w:rPr>
          <w:rFonts w:ascii="Times New Roman;sans-serif" w:hAnsi="Times New Roman;sans-serif"/>
          <w:b/>
          <w:color w:val="000000"/>
          <w:sz w:val="22"/>
        </w:rPr>
        <w:t>Section 9.1</w:t>
      </w:r>
      <w:r>
        <w:rPr>
          <w:color w:val="000000"/>
        </w:rPr>
        <w:t xml:space="preserve"> </w:t>
      </w:r>
      <w:r>
        <w:rPr>
          <w:rFonts w:ascii="Times New Roman;sans-serif" w:hAnsi="Times New Roman;sans-serif"/>
          <w:b w:val="false"/>
          <w:color w:val="000000"/>
          <w:sz w:val="22"/>
        </w:rPr>
        <w:t xml:space="preserve">or redeemed by the Corporation pursuant to </w:t>
      </w:r>
      <w:r>
        <w:rPr>
          <w:rFonts w:ascii="Times New Roman;sans-serif" w:hAnsi="Times New Roman;sans-serif"/>
          <w:b/>
          <w:color w:val="000000"/>
          <w:sz w:val="22"/>
        </w:rPr>
        <w:t>Section 10.1</w:t>
      </w:r>
      <w:r>
        <w:rPr>
          <w:rFonts w:ascii="Times New Roman;sans-serif" w:hAnsi="Times New Roman;sans-serif"/>
          <w:b w:val="false"/>
          <w:color w:val="000000"/>
          <w:sz w:val="22"/>
        </w:rPr>
        <w:t xml:space="preserve">, the Conversion Rights of the shares designated for repurchase or redemption shall terminate at the close of business on the second Business Day immediately preceding the relevant Fundamental Change Repurchase Date or Redemption Date, unless the applicable Fundamental Change Repurchase Price or Redemption Price is not paid in full on such Fundamental Change Repurchase Date or Redemption Date, as the case may be (including by way of deposit of funds in trust pursuant to </w:t>
      </w:r>
      <w:r>
        <w:rPr>
          <w:rFonts w:ascii="Times New Roman;sans-serif" w:hAnsi="Times New Roman;sans-serif"/>
          <w:b/>
          <w:color w:val="000000"/>
          <w:sz w:val="22"/>
        </w:rPr>
        <w:t>Section 9.4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color w:val="000000"/>
          <w:sz w:val="22"/>
        </w:rPr>
        <w:t>Section 10.3</w:t>
      </w:r>
      <w:r>
        <w:rPr>
          <w:rFonts w:ascii="Times New Roman;sans-serif" w:hAnsi="Times New Roman;sans-serif"/>
          <w:b w:val="false"/>
          <w:color w:val="000000"/>
          <w:sz w:val="22"/>
        </w:rPr>
        <w:t>, as applicable), in which case the Conversion Rights for such shares shall continue until such price is paid in full.</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7.2    </w:t>
      </w:r>
      <w:r>
        <w:rPr>
          <w:rFonts w:ascii="Times New Roman;sans-serif" w:hAnsi="Times New Roman;sans-serif"/>
          <w:b w:val="false"/>
          <w:color w:val="000000"/>
          <w:sz w:val="22"/>
          <w:u w:val="single"/>
        </w:rPr>
        <w:t>Fractional Shares</w:t>
      </w:r>
      <w:r>
        <w:rPr>
          <w:rFonts w:ascii="Times New Roman;sans-serif" w:hAnsi="Times New Roman;sans-serif"/>
          <w:b w:val="false"/>
          <w:color w:val="000000"/>
          <w:sz w:val="22"/>
        </w:rPr>
        <w:t>. The Corporation shall not issue any fractional shares of Common Stock upon conversion of Series B Convertible Preferred Stock and in the event that any conversion of the shares of Series B Convertible Preferred Stock would result in the issuance of a fractional share, the number of shares of Common Stock issued or issuable to such Holder shall be rounded up to the nearest whole share of Common Stock. Whether or not fractional shares would be issuable upon such conversion shall be determined on the basis of the total number of shares of Series B Convertible Preferred Stock the Holder is at the time converting into Common Stock and the aggregate number of shares of Common Stock issuable to such Holder upon such conversion.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7.3    </w:t>
      </w:r>
      <w:r>
        <w:rPr>
          <w:rFonts w:ascii="Times New Roman;sans-serif" w:hAnsi="Times New Roman;sans-serif"/>
          <w:b w:val="false"/>
          <w:color w:val="000000"/>
          <w:sz w:val="22"/>
          <w:u w:val="single"/>
        </w:rPr>
        <w:t>Procedures for Conversion; Effect of Conversion</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Procedures for Holder Conversion</w:t>
      </w:r>
      <w:r>
        <w:rPr>
          <w:rFonts w:ascii="Times New Roman;sans-serif" w:hAnsi="Times New Roman;sans-serif"/>
          <w:b w:val="false"/>
          <w:color w:val="000000"/>
          <w:sz w:val="22"/>
        </w:rPr>
        <w:t>. Holders shall effect conversions by providing the Corporation with a written notice of conversion (a “</w:t>
      </w:r>
      <w:r>
        <w:rPr>
          <w:rFonts w:ascii="Times New Roman;sans-serif" w:hAnsi="Times New Roman;sans-serif"/>
          <w:b/>
          <w:color w:val="000000"/>
          <w:sz w:val="22"/>
        </w:rPr>
        <w:t>Notice of Conversion</w:t>
      </w:r>
      <w:r>
        <w:rPr>
          <w:color w:val="000000"/>
        </w:rPr>
        <w:t>”</w:t>
      </w:r>
      <w:r>
        <w:rPr>
          <w:rFonts w:ascii="Times New Roman;sans-serif" w:hAnsi="Times New Roman;sans-serif"/>
          <w:b w:val="false"/>
          <w:color w:val="000000"/>
          <w:sz w:val="22"/>
        </w:rPr>
        <w:t xml:space="preserve">) delivered in accordance with </w:t>
      </w:r>
      <w:r>
        <w:rPr>
          <w:rFonts w:ascii="Times New Roman;sans-serif" w:hAnsi="Times New Roman;sans-serif"/>
          <w:b/>
          <w:color w:val="000000"/>
          <w:sz w:val="22"/>
        </w:rPr>
        <w:t>Section 13</w:t>
      </w:r>
      <w:r>
        <w:rPr>
          <w:color w:val="000000"/>
        </w:rPr>
        <w:t xml:space="preserve"> </w:t>
      </w:r>
      <w:r>
        <w:rPr>
          <w:rFonts w:ascii="Times New Roman;sans-serif" w:hAnsi="Times New Roman;sans-serif"/>
          <w:b w:val="false"/>
          <w:color w:val="000000"/>
          <w:sz w:val="22"/>
        </w:rPr>
        <w:t>on any Business Day (such Business Day, the “</w:t>
      </w:r>
      <w:r>
        <w:rPr>
          <w:rFonts w:ascii="Times New Roman;sans-serif" w:hAnsi="Times New Roman;sans-serif"/>
          <w:b/>
          <w:color w:val="000000"/>
          <w:sz w:val="22"/>
        </w:rPr>
        <w:t>Conversion Date</w:t>
      </w:r>
      <w:r>
        <w:rPr>
          <w:color w:val="000000"/>
        </w:rPr>
        <w:t>”</w:t>
      </w:r>
      <w:r>
        <w:rPr>
          <w:rFonts w:ascii="Times New Roman;sans-serif" w:hAnsi="Times New Roman;sans-serif"/>
          <w:b w:val="false"/>
          <w:color w:val="000000"/>
          <w:sz w:val="22"/>
        </w:rPr>
        <w:t xml:space="preserve">). Each Notice of Conversion shall specify the number of shares of Series B Convertible Preferred Stock to be converted. The shares of Common Stock shall be deemed to have been issued, and the Holder or any other Person so designated to be deemed to have become a holder of record of such shares for all purposes, as of the close of business on the Conversion Date (prior to the close of business on the Conversion Date, the Common Stock issuable upon conversion of Series B Convertible Preferred Stock shall not be outstanding, or deemed to be outstanding, for any purpose and Holders shall have no rights, powers, preferences or privileges with respect to such Common Stock by virtue of holding Series B Convertible Preferred Stock). To effect conversions of shares of Series B Convertible Preferred Stock in certificated form, a Holder shall not be required to surrender the certificate(s) representing the shares of Series B Convertible Preferred Stock to the Corporation unless all of the shares of Series B Convertible Preferred Stock represented thereby are so converted, in which case such Holder shall deliver the certificate representing such shares of Series B Convertible Preferred Stock promptly following the Conversion Date at issue. Conversions of less than the total amount of shares of Series B Convertible Preferred Stock represented by a certificate held by the Holder will have the effect of lowering the outstanding number of shares of Series B Convertible Preferred Stock held by such Holder by an amount equal to the number of such shares so converted, as if the original stock certificate(s) were cancelled and one or more new stock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 xml:space="preserve">certificates evidencing the new number of shares of the Series B Convertible Preferred Stock were issued;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color w:val="000000"/>
        </w:rPr>
        <w:t xml:space="preserve"> </w:t>
      </w:r>
      <w:r>
        <w:rPr>
          <w:rFonts w:ascii="Times New Roman;sans-serif" w:hAnsi="Times New Roman;sans-serif"/>
          <w:b w:val="false"/>
          <w:color w:val="000000"/>
          <w:sz w:val="22"/>
        </w:rPr>
        <w:t xml:space="preserve">that in such cases the Holder may request that the Corporation deliver to the Holder a certificate representing such non-converted shares of Series B Convertible Preferred Stock;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the failure of the Corporation to deliver such new certificate shall not affect the rights of the Holder to submit a further Notice of Conversion with respect to such Series B Convertible Preferred Stock and, in any such case, the Holder shall be deemed to have submitted the original of such new certificate at the time that it submits such further Notice of Conversion. To effect the conversion of shares of any Series B Convertible Preferred Stock, Holders must comply with the applicable procedures established from time to time by the Transfer Agent and, in the case of Global Preferred Shares, The Depository Trust Company (The Depository Trust Company or any successor thereto, “</w:t>
      </w:r>
      <w:r>
        <w:rPr>
          <w:rFonts w:ascii="Times New Roman;sans-serif" w:hAnsi="Times New Roman;sans-serif"/>
          <w:b/>
          <w:color w:val="000000"/>
          <w:sz w:val="22"/>
        </w:rPr>
        <w:t>DTC</w:t>
      </w:r>
      <w:r>
        <w:rPr>
          <w:color w:val="000000"/>
        </w:rPr>
        <w:t>”</w:t>
      </w:r>
      <w:r>
        <w:rPr>
          <w:rFonts w:ascii="Times New Roman;sans-serif" w:hAnsi="Times New Roman;sans-serif"/>
          <w:b w:val="false"/>
          <w:color w:val="000000"/>
          <w:sz w:val="22"/>
        </w:rPr>
        <w:t>). Not later than 10:00 am (New York City time) on the second Trading Day after each Conversion Date if shares are to be delivered in book-entry form or within five (5) Business Days otherwise (or, if later, the Trading Day after the Holder has paid in full any applicable transfer taxes and duties) (the “</w:t>
      </w:r>
      <w:r>
        <w:rPr>
          <w:rFonts w:ascii="Times New Roman;sans-serif" w:hAnsi="Times New Roman;sans-serif"/>
          <w:b/>
          <w:color w:val="000000"/>
          <w:sz w:val="22"/>
        </w:rPr>
        <w:t>Share Delivery Date</w:t>
      </w:r>
      <w:r>
        <w:rPr>
          <w:color w:val="000000"/>
        </w:rPr>
        <w:t>”</w:t>
      </w:r>
      <w:r>
        <w:rPr>
          <w:rFonts w:ascii="Times New Roman;sans-serif" w:hAnsi="Times New Roman;sans-serif"/>
          <w:b w:val="false"/>
          <w:color w:val="000000"/>
          <w:sz w:val="22"/>
        </w:rPr>
        <w:t xml:space="preserve">), the Corporation shall deliver, or cause to be delivered (through the facilities of DTC and the Transfer Agent or in certificated form, as applicable), to the converting Holder the number of shares of Common Stock being acquired upon the conversion of the Series B Convertible Preferred Stock. If, in the case of any Notice of Conversion, such shares of Common Stock are not delivered to the applicable Holder or as directed by the applicable Holder by the Share Delivery Date, the Holder shall be entitled to elect by written notice to the Corporation in accordance with </w:t>
      </w:r>
      <w:r>
        <w:rPr>
          <w:rFonts w:ascii="Times New Roman;sans-serif" w:hAnsi="Times New Roman;sans-serif"/>
          <w:b/>
          <w:color w:val="000000"/>
          <w:sz w:val="22"/>
        </w:rPr>
        <w:t>Section 13</w:t>
      </w:r>
      <w:r>
        <w:rPr>
          <w:color w:val="000000"/>
        </w:rPr>
        <w:t xml:space="preserve"> </w:t>
      </w:r>
      <w:r>
        <w:rPr>
          <w:rFonts w:ascii="Times New Roman;sans-serif" w:hAnsi="Times New Roman;sans-serif"/>
          <w:b w:val="false"/>
          <w:color w:val="000000"/>
          <w:sz w:val="22"/>
        </w:rPr>
        <w:t>at any time on or before its receipt of such shares of Common Stock, to rescind such conversion, in which event the Corporation shall promptly return to the Holder any original Series B Convertible Preferred Stock certificate delivered to the Corporation and the Holder shall promptly return to the Corporation the shares of Common Stock issued to such Holder pursuant to the rescinded Notice of Conversion.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 xml:space="preserve">(b)    All shares of Series B Convertible Preferred Stock which shall have been surrendered for conversion as herein provided (but subject to the last sentence of </w:t>
      </w:r>
      <w:r>
        <w:rPr>
          <w:rFonts w:ascii="Times New Roman;sans-serif" w:hAnsi="Times New Roman;sans-serif"/>
          <w:b/>
          <w:color w:val="000000"/>
          <w:sz w:val="22"/>
        </w:rPr>
        <w:t>Section 7.3(a)</w:t>
      </w:r>
      <w:r>
        <w:rPr>
          <w:rFonts w:ascii="Times New Roman;sans-serif" w:hAnsi="Times New Roman;sans-serif"/>
          <w:b w:val="false"/>
          <w:color w:val="000000"/>
          <w:sz w:val="22"/>
        </w:rPr>
        <w:t>) shall no longer be deemed to be outstanding and all rights with respect to such shares, including the rights, if any, to receive notices and to vote, shall immediately cease and terminate at the time of conversion, except only the right of the Holders thereof to receive shares of Common Stock in exchange therefor based on the Accrued Value as of such date as determined in accordance with this Certificate of Designations. Any shares of Series B Convertible Preferred Stock so converted shall be retired and canceled and shall not be reissued as shares of such series, and the Corporation (without the need for stockholder action) may from time to time take such appropriate action as may be necessary to reduce the authorized number of shares of the Series B Convertible Preferred Stock accordingly and restore such shares to the status of authorized but unissued shares of Preferred Stock.</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7.4    </w:t>
      </w:r>
      <w:r>
        <w:rPr>
          <w:rFonts w:ascii="Times New Roman;sans-serif" w:hAnsi="Times New Roman;sans-serif"/>
          <w:b w:val="false"/>
          <w:color w:val="000000"/>
          <w:sz w:val="22"/>
          <w:u w:val="single"/>
        </w:rPr>
        <w:t>Limitation on Conversion Rights</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Ownership Limitation</w:t>
      </w:r>
      <w:r>
        <w:rPr>
          <w:rFonts w:ascii="Times New Roman;sans-serif" w:hAnsi="Times New Roman;sans-serif"/>
          <w:b w:val="false"/>
          <w:color w:val="000000"/>
          <w:sz w:val="22"/>
        </w:rPr>
        <w:t xml:space="preserve">. Notwithstanding anything to the contrary in this Certificate of Designations, no shares of Common Stock will be issued or delivered upon any proposed conversion, redemption or repurchase of any Series B Convertible Preferred Stock of any Holder thereof, and no Series B Convertible Preferred Stock of any Holder thereof will be convertible, in each case to the extent, and only to the extent, that such issuance, delivery, conversion or convertibility would cause such Holder to become, directly or indirectly, a Beneficial Owner of a number of shares of Common Stock in excess of the Beneficial Ownership Limitation. For these purposes, beneficial ownership and calculations of percentage ownership will be determined in accordance with Rule 13d-3 under the Exchange Act. For purposes of this </w:t>
      </w:r>
      <w:r>
        <w:rPr>
          <w:rFonts w:ascii="Times New Roman;sans-serif" w:hAnsi="Times New Roman;sans-serif"/>
          <w:b/>
          <w:color w:val="000000"/>
          <w:sz w:val="22"/>
        </w:rPr>
        <w:t>Section 7.4</w:t>
      </w:r>
      <w:r>
        <w:rPr>
          <w:color w:val="000000"/>
        </w:rPr>
        <w:t xml:space="preserve"> </w:t>
      </w:r>
      <w:r>
        <w:rPr>
          <w:rFonts w:ascii="Times New Roman;sans-serif" w:hAnsi="Times New Roman;sans-serif"/>
          <w:b w:val="false"/>
          <w:color w:val="000000"/>
          <w:sz w:val="22"/>
        </w:rPr>
        <w:t>only, a Person shall be deemed the “</w:t>
      </w:r>
      <w:r>
        <w:rPr>
          <w:rFonts w:ascii="Times New Roman;sans-serif" w:hAnsi="Times New Roman;sans-serif"/>
          <w:b/>
          <w:color w:val="000000"/>
          <w:sz w:val="22"/>
        </w:rPr>
        <w:t>Beneficial Owner</w:t>
      </w:r>
      <w:r>
        <w:rPr>
          <w:color w:val="000000"/>
        </w:rPr>
        <w:t xml:space="preserve">” </w:t>
      </w:r>
      <w:r>
        <w:rPr>
          <w:rFonts w:ascii="Times New Roman;sans-serif" w:hAnsi="Times New Roman;sans-serif"/>
          <w:b w:val="false"/>
          <w:color w:val="000000"/>
          <w:sz w:val="22"/>
        </w:rPr>
        <w:t xml:space="preserve">of and shall be deemed to beneficially own any shares Common Stock that such Person or any of such person’s affiliates (as defined in Rule 12b-2 under the Exchange Act) or associates (as defined in Rule 12b-2 under the Exchange Act) is deemed to beneficially own, together with any Common Stock beneficially owned by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 xml:space="preserve">any other persons whose beneficial ownership would be aggregated with such Person for purposes of Section 13(d) of the Exchange Act. Subject to the following </w:t>
      </w:r>
      <w:r>
        <w:rPr>
          <w:rFonts w:ascii="Times New Roman;sans-serif" w:hAnsi="Times New Roman;sans-serif"/>
          <w:b w:val="false"/>
          <w:i/>
          <w:color w:val="000000"/>
          <w:sz w:val="22"/>
        </w:rPr>
        <w:t xml:space="preserve">proviso, </w:t>
      </w:r>
      <w:r>
        <w:rPr>
          <w:rFonts w:ascii="Times New Roman;sans-serif" w:hAnsi="Times New Roman;sans-serif"/>
          <w:b w:val="false"/>
          <w:color w:val="000000"/>
          <w:sz w:val="22"/>
        </w:rPr>
        <w:t xml:space="preserve">for purposes of this </w:t>
      </w:r>
      <w:r>
        <w:rPr>
          <w:rFonts w:ascii="Times New Roman;sans-serif" w:hAnsi="Times New Roman;sans-serif"/>
          <w:b/>
          <w:color w:val="000000"/>
          <w:sz w:val="22"/>
        </w:rPr>
        <w:t xml:space="preserve">Section 7.4 </w:t>
      </w:r>
      <w:r>
        <w:rPr>
          <w:rFonts w:ascii="Times New Roman;sans-serif" w:hAnsi="Times New Roman;sans-serif"/>
          <w:b w:val="false"/>
          <w:color w:val="000000"/>
          <w:sz w:val="22"/>
        </w:rPr>
        <w:t xml:space="preserve">only, beneficial ownership shall be determined in accordance with Section 13(d) of the Exchange Act and the rules and regulations promulgated thereunder as in effect on the date 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number of shares of Common Stock beneficially owned by such Person and its affiliates and associates and any other persons whose beneficial ownership would be aggregated with such Person for purposes of Section 13(d) of the Exchange Act shall include the number of shares of Common Stock issuable upon exercise or conversion of any of the Corporation’s securities or rights to acquire the Common Stock, whether or not such securities or rights are currently exercisable or convertible or are exercisable or convertible only after the passage of time (including the number of shares of Common Stock issuable upon conversion of the Series B Convertible Preferred Stock in respect of which the beneficial ownership determination is being made), but shall exclude the number of shares of Common Stock that would be issuable upon (A) conversion of the remaining, unconverted portion of any Series B Convertible Preferred Stock beneficially owned by such Person or any of its affiliates or associates and any other persons whose beneficial ownership would be aggregated with such Person for purposes of Section 13(d) of the Exchange Act and (B) exercise or conversion of the unexercised or unconverted portion of any of the Corporation’s other securities subject to a limitation on conversion or exercise analogous to the limitation contained herein beneficially owned by such Person or any of its affiliates or associates and any other persons whose beneficial ownership would be aggregated with such Person for purposes of Section 13(d) of the Exchange Act. For the avoidance of doubt, the term “Beneficial Owner” as used in this </w:t>
      </w:r>
      <w:r>
        <w:rPr>
          <w:rFonts w:ascii="Times New Roman;sans-serif" w:hAnsi="Times New Roman;sans-serif"/>
          <w:b/>
          <w:color w:val="000000"/>
          <w:sz w:val="22"/>
        </w:rPr>
        <w:t>Section 7.4</w:t>
      </w:r>
      <w:r>
        <w:rPr>
          <w:color w:val="000000"/>
        </w:rPr>
        <w:t xml:space="preserve"> </w:t>
      </w:r>
      <w:r>
        <w:rPr>
          <w:rFonts w:ascii="Times New Roman;sans-serif" w:hAnsi="Times New Roman;sans-serif"/>
          <w:b w:val="false"/>
          <w:color w:val="000000"/>
          <w:sz w:val="22"/>
        </w:rPr>
        <w:t xml:space="preserve">shall not include (i) with respect to any Global Preferred Share, the nominee of the depositary for such Global Preferred Share or any Person having an account with such depositary or its nominee or (ii) with respect to any certificated Share, the Holder of such certificated Share unless, in each case, such nominee, account holder or Holder shall also be a Beneficial Owner of such Share.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Conversions Void</w:t>
      </w:r>
      <w:r>
        <w:rPr>
          <w:rFonts w:ascii="Times New Roman;sans-serif" w:hAnsi="Times New Roman;sans-serif"/>
          <w:b w:val="false"/>
          <w:color w:val="000000"/>
          <w:sz w:val="22"/>
        </w:rPr>
        <w:t>. Any purported conversion (and delivery of shares of Common Stock upon conversion of the Series B Convertible Preferred Stock) will be void and have no effect to the extent, but only to the extent, that such conversion and delivery would result in any Holder becoming the Beneficial Owner of shares of Common Stock outstanding at such time in excess of the Beneficial Ownership Limitation. For the avoidance of doubt, a Holder or the Corporation, as the case may be, may effect a conversion up to the Beneficial Ownership Limitation, subject to the other requirements of this Certificate of Designations applicable to such conversion.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Proceeds on Conversion</w:t>
      </w:r>
      <w:r>
        <w:rPr>
          <w:rFonts w:ascii="Times New Roman;sans-serif" w:hAnsi="Times New Roman;sans-serif"/>
          <w:b w:val="false"/>
          <w:color w:val="000000"/>
          <w:sz w:val="22"/>
        </w:rPr>
        <w:t xml:space="preserve">. Except as otherwise provided herein, if any consideration otherwise due upon the proposed conversion of any shares of Series B Convertible Preferred Stock pursuant to a conversion is not delivered as a result of the Beneficial Ownership Limitation, then the Corporation’s obligation to deliver such consideration will not be extinguished, and the Corporation will deliver such consideration (and the relevant shares of Series B Convertible Preferred Stock shall be deemed converted) in accordance with the provisions under </w:t>
      </w:r>
      <w:r>
        <w:rPr>
          <w:rFonts w:ascii="Times New Roman;sans-serif" w:hAnsi="Times New Roman;sans-serif"/>
          <w:b/>
          <w:color w:val="000000"/>
          <w:sz w:val="22"/>
        </w:rPr>
        <w:t>Section 7.3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color w:val="000000"/>
          <w:sz w:val="22"/>
        </w:rPr>
        <w:t>Section 8</w:t>
      </w:r>
      <w:r>
        <w:rPr>
          <w:rFonts w:ascii="Times New Roman;sans-serif" w:hAnsi="Times New Roman;sans-serif"/>
          <w:b w:val="false"/>
          <w:color w:val="000000"/>
          <w:sz w:val="22"/>
        </w:rPr>
        <w:t>, as the case may be, on or as promptly as practicable after the date sixty-one (61) days after the earlier of (A) the applicable Holder giving notice to the Corporation (i) that after such delivery, the Beneficial Ownership Limitation would not be exceeded or (ii) requesting such delivery, or (B) the 90th day following the proposed Conversion Date. A Holder will provide evidence as soon as reasonably practicable after its Beneficial Ownership is such that additional shares of Common Stock issuable upon conversion of Series B Convertible Preferred Stock may be delivered without causing such Holder’s Beneficial Ownership to exceed the Beneficial Ownership Limitation.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Requisite Stockholder Approval</w:t>
      </w:r>
      <w:r>
        <w:rPr>
          <w:rFonts w:ascii="Times New Roman;sans-serif" w:hAnsi="Times New Roman;sans-serif"/>
          <w:b w:val="false"/>
          <w:color w:val="000000"/>
          <w:sz w:val="22"/>
        </w:rPr>
        <w:t xml:space="preserve">. Notwithstanding anything to the contrary herein, the number of shares of Common Stock deliverable per share of Series B Convertible Preferred Stock upon conversion, redemption or repurchase of the Series B Convertible Preferred Stock shall not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exceed the Conversion Share Cap unless the Corporation shall have obtained the Requisite Stockholder Approval.</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w:t>
      </w:r>
      <w:r>
        <w:rPr>
          <w:rFonts w:ascii="Times New Roman;sans-serif" w:hAnsi="Times New Roman;sans-serif"/>
          <w:b w:val="false"/>
          <w:i/>
          <w:color w:val="000000"/>
          <w:sz w:val="22"/>
          <w:u w:val="single"/>
        </w:rPr>
        <w:t>Reserved</w:t>
      </w:r>
      <w:r>
        <w:rPr>
          <w:rFonts w:ascii="Times New Roman;sans-serif" w:hAnsi="Times New Roman;sans-serif"/>
          <w:b w:val="false"/>
          <w:color w:val="000000"/>
          <w:sz w:val="22"/>
          <w:u w:val="single"/>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Effect of Conversion Limitations</w:t>
      </w:r>
      <w:r>
        <w:rPr>
          <w:rFonts w:ascii="Times New Roman;sans-serif" w:hAnsi="Times New Roman;sans-serif"/>
          <w:b w:val="false"/>
          <w:color w:val="000000"/>
          <w:sz w:val="22"/>
        </w:rPr>
        <w:t xml:space="preserve">. For the avoidance of doubt (i) the limitations under this </w:t>
      </w:r>
      <w:r>
        <w:rPr>
          <w:rFonts w:ascii="Times New Roman;sans-serif" w:hAnsi="Times New Roman;sans-serif"/>
          <w:b/>
          <w:color w:val="000000"/>
          <w:sz w:val="22"/>
        </w:rPr>
        <w:t>Section 7.4</w:t>
      </w:r>
      <w:r>
        <w:rPr>
          <w:color w:val="000000"/>
        </w:rPr>
        <w:t xml:space="preserve"> </w:t>
      </w:r>
      <w:r>
        <w:rPr>
          <w:rFonts w:ascii="Times New Roman;sans-serif" w:hAnsi="Times New Roman;sans-serif"/>
          <w:b w:val="false"/>
          <w:color w:val="000000"/>
          <w:sz w:val="22"/>
        </w:rPr>
        <w:t xml:space="preserve">shall apply in respect of all deliveries of Common Stock hereunder, including optional conversions pursuant to </w:t>
      </w:r>
      <w:r>
        <w:rPr>
          <w:rFonts w:ascii="Times New Roman;sans-serif" w:hAnsi="Times New Roman;sans-serif"/>
          <w:b/>
          <w:color w:val="000000"/>
          <w:sz w:val="22"/>
        </w:rPr>
        <w:t xml:space="preserve">Section 7 </w:t>
      </w:r>
      <w:r>
        <w:rPr>
          <w:rFonts w:ascii="Times New Roman;sans-serif" w:hAnsi="Times New Roman;sans-serif"/>
          <w:b w:val="false"/>
          <w:color w:val="000000"/>
          <w:sz w:val="22"/>
        </w:rPr>
        <w:t xml:space="preserve">hereof, Mandatory Conversions pursuant to </w:t>
      </w:r>
      <w:r>
        <w:rPr>
          <w:rFonts w:ascii="Times New Roman;sans-serif" w:hAnsi="Times New Roman;sans-serif"/>
          <w:b/>
          <w:color w:val="000000"/>
          <w:sz w:val="22"/>
        </w:rPr>
        <w:t>Section 8</w:t>
      </w:r>
      <w:r>
        <w:rPr>
          <w:color w:val="000000"/>
        </w:rPr>
        <w:t xml:space="preserve"> </w:t>
      </w:r>
      <w:r>
        <w:rPr>
          <w:rFonts w:ascii="Times New Roman;sans-serif" w:hAnsi="Times New Roman;sans-serif"/>
          <w:b w:val="false"/>
          <w:color w:val="000000"/>
          <w:sz w:val="22"/>
        </w:rPr>
        <w:t xml:space="preserve">hereof (including in fulfillment of any additional amount due pursuant to the proviso to </w:t>
      </w:r>
      <w:r>
        <w:rPr>
          <w:rFonts w:ascii="Times New Roman;sans-serif" w:hAnsi="Times New Roman;sans-serif"/>
          <w:b/>
          <w:color w:val="000000"/>
          <w:sz w:val="22"/>
        </w:rPr>
        <w:t>Section 8.1</w:t>
      </w:r>
      <w:r>
        <w:rPr>
          <w:rFonts w:ascii="Times New Roman;sans-serif" w:hAnsi="Times New Roman;sans-serif"/>
          <w:b w:val="false"/>
          <w:color w:val="000000"/>
          <w:sz w:val="22"/>
        </w:rPr>
        <w:t xml:space="preserve">), in respect of any portion of the Fundamental Change Repurchase Price due in respect of a Fundamental Change pursuant to </w:t>
      </w:r>
      <w:r>
        <w:rPr>
          <w:rFonts w:ascii="Times New Roman;sans-serif" w:hAnsi="Times New Roman;sans-serif"/>
          <w:b/>
          <w:color w:val="000000"/>
          <w:sz w:val="22"/>
        </w:rPr>
        <w:t xml:space="preserve">Section 9 </w:t>
      </w:r>
      <w:r>
        <w:rPr>
          <w:rFonts w:ascii="Times New Roman;sans-serif" w:hAnsi="Times New Roman;sans-serif"/>
          <w:b w:val="false"/>
          <w:color w:val="000000"/>
          <w:sz w:val="22"/>
        </w:rPr>
        <w:t xml:space="preserve">hereof and in respect of any portion of the Redemption Price due in respect of an Optional Redemption pursuant to </w:t>
      </w:r>
      <w:r>
        <w:rPr>
          <w:rFonts w:ascii="Times New Roman;sans-serif" w:hAnsi="Times New Roman;sans-serif"/>
          <w:b/>
          <w:color w:val="000000"/>
          <w:sz w:val="22"/>
        </w:rPr>
        <w:t>Section 10</w:t>
      </w:r>
      <w:r>
        <w:rPr>
          <w:color w:val="000000"/>
        </w:rPr>
        <w:t xml:space="preserve"> </w:t>
      </w:r>
      <w:r>
        <w:rPr>
          <w:rFonts w:ascii="Times New Roman;sans-serif" w:hAnsi="Times New Roman;sans-serif"/>
          <w:b w:val="false"/>
          <w:color w:val="000000"/>
          <w:sz w:val="22"/>
        </w:rPr>
        <w:t xml:space="preserve">hereof and (ii) until the Common Stock consideration due upon the optional conversion, Mandatory Conversion, Fundamental Change Repurchase or Optional Redemption of any shares of Series B Convertible Preferred Stock that would have been delivered but for this </w:t>
      </w:r>
      <w:r>
        <w:rPr>
          <w:rFonts w:ascii="Times New Roman;sans-serif" w:hAnsi="Times New Roman;sans-serif"/>
          <w:b/>
          <w:color w:val="000000"/>
          <w:sz w:val="22"/>
        </w:rPr>
        <w:t>Section 7.4</w:t>
      </w:r>
      <w:r>
        <w:rPr>
          <w:color w:val="000000"/>
        </w:rPr>
        <w:t xml:space="preserve"> </w:t>
      </w:r>
      <w:r>
        <w:rPr>
          <w:rFonts w:ascii="Times New Roman;sans-serif" w:hAnsi="Times New Roman;sans-serif"/>
          <w:b w:val="false"/>
          <w:color w:val="000000"/>
          <w:sz w:val="22"/>
        </w:rPr>
        <w:t xml:space="preserve">is delivered, such Shares shall be deemed not to have been converted, redeemed or repurchased, as the case may be; </w:t>
      </w:r>
      <w:r>
        <w:rPr>
          <w:rFonts w:ascii="Times New Roman;sans-serif" w:hAnsi="Times New Roman;sans-serif"/>
          <w:b w:val="false"/>
          <w:color w:val="000000"/>
          <w:sz w:val="22"/>
          <w:u w:val="single"/>
        </w:rPr>
        <w:t>however,</w:t>
      </w:r>
      <w:r>
        <w:rPr>
          <w:color w:val="000000"/>
        </w:rPr>
        <w:t xml:space="preserve"> </w:t>
      </w:r>
      <w:r>
        <w:rPr>
          <w:rFonts w:ascii="Times New Roman;sans-serif" w:hAnsi="Times New Roman;sans-serif"/>
          <w:b w:val="false"/>
          <w:color w:val="000000"/>
          <w:sz w:val="22"/>
        </w:rPr>
        <w:t xml:space="preserve">with respect to conversion restricted by </w:t>
      </w:r>
      <w:r>
        <w:rPr>
          <w:rFonts w:ascii="Times New Roman;sans-serif" w:hAnsi="Times New Roman;sans-serif"/>
          <w:b/>
          <w:color w:val="000000"/>
          <w:sz w:val="22"/>
        </w:rPr>
        <w:t>Section 7.4(a)</w:t>
      </w:r>
      <w:r>
        <w:rPr>
          <w:rFonts w:ascii="Times New Roman;sans-serif" w:hAnsi="Times New Roman;sans-serif"/>
          <w:b w:val="false"/>
          <w:color w:val="000000"/>
          <w:sz w:val="22"/>
        </w:rPr>
        <w:t>, dividends shall cease to accumulate thereon on the proposed Conversion Date, Redemption Date or Fundamental Change Repurchase Date, as the case may be, and the consideration ultimately paid out in respect thereof shall not be increased to take into account any dividends on or after the proposed Conversion Date, Redemption Date or Fundamental Change Repurchase Date, as the case may be.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7.5    </w:t>
      </w:r>
      <w:r>
        <w:rPr>
          <w:rFonts w:ascii="Times New Roman;sans-serif" w:hAnsi="Times New Roman;sans-serif"/>
          <w:b w:val="false"/>
          <w:color w:val="000000"/>
          <w:sz w:val="22"/>
          <w:u w:val="single"/>
        </w:rPr>
        <w:t>Reservation of Stock</w:t>
      </w:r>
      <w:r>
        <w:rPr>
          <w:rFonts w:ascii="Times New Roman;sans-serif" w:hAnsi="Times New Roman;sans-serif"/>
          <w:b w:val="false"/>
          <w:color w:val="000000"/>
          <w:sz w:val="22"/>
        </w:rPr>
        <w:t xml:space="preserve">. The Corporation shall, at all times when any shares of Series B Convertible Preferred Stock are outstanding, reserve and keep available out of its authorized but unissued shares of Capital Stock, solely for the purpose of issuance upon the conversion of the Series B Convertible Preferred Stock, for each share of then outstanding Series B Convertible Preferred Stock, the number of shares of Common Stock issuable upon the conversion thereof pursuant to </w:t>
      </w:r>
      <w:r>
        <w:rPr>
          <w:rFonts w:ascii="Times New Roman;sans-serif" w:hAnsi="Times New Roman;sans-serif"/>
          <w:b/>
          <w:color w:val="000000"/>
          <w:sz w:val="22"/>
        </w:rPr>
        <w:t>Section 7.1</w:t>
      </w:r>
      <w:r>
        <w:rPr>
          <w:color w:val="000000"/>
        </w:rPr>
        <w:t xml:space="preserve"> </w:t>
      </w:r>
      <w:r>
        <w:rPr>
          <w:rFonts w:ascii="Times New Roman;sans-serif" w:hAnsi="Times New Roman;sans-serif"/>
          <w:b w:val="false"/>
          <w:color w:val="000000"/>
          <w:sz w:val="22"/>
        </w:rPr>
        <w:t xml:space="preserve">based on the then applicable Conversion Price (taking into account any adjustment to such number of shares so issuable in accordance with </w:t>
      </w:r>
      <w:r>
        <w:rPr>
          <w:rFonts w:ascii="Times New Roman;sans-serif" w:hAnsi="Times New Roman;sans-serif"/>
          <w:b/>
          <w:color w:val="000000"/>
          <w:sz w:val="22"/>
        </w:rPr>
        <w:t>Section 7.7</w:t>
      </w:r>
      <w:r>
        <w:rPr>
          <w:color w:val="000000"/>
        </w:rPr>
        <w:t xml:space="preserve"> </w:t>
      </w:r>
      <w:r>
        <w:rPr>
          <w:rFonts w:ascii="Times New Roman;sans-serif" w:hAnsi="Times New Roman;sans-serif"/>
          <w:b w:val="false"/>
          <w:color w:val="000000"/>
          <w:sz w:val="22"/>
        </w:rPr>
        <w:t xml:space="preserve">hereof), determined by assuming (x) initially, Compounded Returns through the September 30, 2027 Dividend Payment Date and (y) prior to the start of each successive three-year period commencing on September 30, 2027, Compounded Returns for the next three-year period following the preceding one;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no event shall the Corporation be required to reserve Common Stock in excess of its authorized Common Stock. In the event that any such reservation of shares shall be determined by the Corporation to be insufficient in light of the circumstances, the Corporation shall promptly adjust such reservation amount. In the event that the Corporation would be required to reserve Common Stock in excess of its authorized Common Stock, the Corporation will use its best efforts to increase its number of authorized shares of Common Stock as necessary to satisfy its obligations under this Certificate of Designations as promptly as reasonably practicable. The Corporation shall take all such actions as may be necessary to assure that all such shares of Common Stock may be so issued without violation of any applicable Law or governmental regulation and shall use commercially reasonable efforts to take all such actions as may be necessary to assure that all such shares of Common Stock may be so issued without violation of any requirements of any securities exchange upon which shares of Common Stock may be listed (except for official notice of issuance which shall be immediately delivered by the Corporation upon each such issuance). The Corporation shall not close its books against the transfer of any of its Capital Stock in any manner which would prevent the timely conversion of the shares of Series B Convertible Preferred Stock.</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7.6    </w:t>
      </w:r>
      <w:r>
        <w:rPr>
          <w:rFonts w:ascii="Times New Roman;sans-serif" w:hAnsi="Times New Roman;sans-serif"/>
          <w:b w:val="false"/>
          <w:color w:val="000000"/>
          <w:sz w:val="22"/>
          <w:u w:val="single"/>
        </w:rPr>
        <w:t>No Charge or Payment</w:t>
      </w:r>
      <w:r>
        <w:rPr>
          <w:rFonts w:ascii="Times New Roman;sans-serif" w:hAnsi="Times New Roman;sans-serif"/>
          <w:b w:val="false"/>
          <w:color w:val="000000"/>
          <w:sz w:val="22"/>
        </w:rPr>
        <w:t xml:space="preserve">. The issuance of certificates for shares of Common Stock upon conversion of shares of Series B Convertible Preferred Stock pursuant to this Certificate of Designations shall be made without payment of additional consideration by, or other charge, cost or tax to, the Holder in respect thereof. The Corporation shall pay any and all issue and other similar taxes that may be payable in respect of any issuance or delivery of shares of Common Stock upon conversion of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shares of Series B Convertible Preferred Stock pursuant to this Certificate of Designations. The Corporation shall not, however, be required to pay any tax which may be payable in respect of any transfer involved in the issuance and delivery of shares of Common Stock in a name other than that in which the shares of Series B Convertible Preferred Stock so converted were registered, and no such issuance or delivery shall be made unless and until the Person requesting such issuance has paid to the Corporation the amount of any such tax or has established, to the satisfaction of the Corporation, that such tax has been paid.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7.7    </w:t>
      </w:r>
      <w:r>
        <w:rPr>
          <w:rFonts w:ascii="Times New Roman;sans-serif" w:hAnsi="Times New Roman;sans-serif"/>
          <w:b w:val="false"/>
          <w:color w:val="000000"/>
          <w:sz w:val="22"/>
          <w:u w:val="single"/>
        </w:rPr>
        <w:t>Adjustment to Conversion Price and Number of Conversion Shares</w:t>
      </w:r>
      <w:r>
        <w:rPr>
          <w:rFonts w:ascii="Times New Roman;sans-serif" w:hAnsi="Times New Roman;sans-serif"/>
          <w:b w:val="false"/>
          <w:color w:val="000000"/>
          <w:sz w:val="22"/>
        </w:rPr>
        <w:t xml:space="preserve">. The Conversion Price shall be adjusted from time to time by the Corporation if any of the following events occurs, except that the Corporation shall not make any adjustments to the Conversion Price if Holders of the Series B Convertible Preferred Stock participate (other than in the case of (x) a share split or share combination or (y) a tender or exchange offer), at the same time and upon the same terms as holders of the Common Stock and solely as a result of holding the Series B Convertible Preferred Stock, in any of the transactions described in </w:t>
      </w:r>
      <w:r>
        <w:rPr>
          <w:rFonts w:ascii="Times New Roman;sans-serif" w:hAnsi="Times New Roman;sans-serif"/>
          <w:b/>
          <w:color w:val="000000"/>
          <w:sz w:val="22"/>
        </w:rPr>
        <w:t>Sections 7.7(a)</w:t>
      </w:r>
      <w:r>
        <w:rPr>
          <w:rFonts w:ascii="Times New Roman;sans-serif" w:hAnsi="Times New Roman;sans-serif"/>
          <w:b w:val="false"/>
          <w:color w:val="000000"/>
          <w:sz w:val="22"/>
        </w:rPr>
        <w:t xml:space="preserve">, </w:t>
      </w:r>
      <w:r>
        <w:rPr>
          <w:rFonts w:ascii="Times New Roman;sans-serif" w:hAnsi="Times New Roman;sans-serif"/>
          <w:b/>
          <w:color w:val="000000"/>
          <w:sz w:val="22"/>
        </w:rPr>
        <w:t>(b)</w:t>
      </w:r>
      <w:r>
        <w:rPr>
          <w:rFonts w:ascii="Times New Roman;sans-serif" w:hAnsi="Times New Roman;sans-serif"/>
          <w:b w:val="false"/>
          <w:color w:val="000000"/>
          <w:sz w:val="22"/>
        </w:rPr>
        <w:t xml:space="preserve">, </w:t>
      </w:r>
      <w:r>
        <w:rPr>
          <w:rFonts w:ascii="Times New Roman;sans-serif" w:hAnsi="Times New Roman;sans-serif"/>
          <w:b/>
          <w:color w:val="000000"/>
          <w:sz w:val="22"/>
        </w:rPr>
        <w:t>(c)</w:t>
      </w:r>
      <w:r>
        <w:rPr>
          <w:rFonts w:ascii="Times New Roman;sans-serif" w:hAnsi="Times New Roman;sans-serif"/>
          <w:b w:val="false"/>
          <w:color w:val="000000"/>
          <w:sz w:val="22"/>
        </w:rPr>
        <w:t xml:space="preserve">, </w:t>
      </w:r>
      <w:r>
        <w:rPr>
          <w:rFonts w:ascii="Times New Roman;sans-serif" w:hAnsi="Times New Roman;sans-serif"/>
          <w:b/>
          <w:color w:val="000000"/>
          <w:sz w:val="22"/>
        </w:rPr>
        <w:t>(d)</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color w:val="000000"/>
          <w:sz w:val="22"/>
        </w:rPr>
        <w:t>(e)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without having to convert their Series B Convertible Preferred Stock, as if they held a number of shares of Common Stock equal to the number of shares of Common Stock into which the number of Shares held by such Holder are then convertible pursuant to </w:t>
      </w:r>
      <w:r>
        <w:rPr>
          <w:rFonts w:ascii="Times New Roman;sans-serif" w:hAnsi="Times New Roman;sans-serif"/>
          <w:b/>
          <w:color w:val="000000"/>
          <w:sz w:val="22"/>
        </w:rPr>
        <w:t>Section 7.1</w:t>
      </w:r>
      <w:r>
        <w:rPr>
          <w:color w:val="000000"/>
        </w:rPr>
        <w:t xml:space="preserve"> </w:t>
      </w:r>
      <w:r>
        <w:rPr>
          <w:rFonts w:ascii="Times New Roman;sans-serif" w:hAnsi="Times New Roman;sans-serif"/>
          <w:b w:val="false"/>
          <w:color w:val="000000"/>
          <w:sz w:val="22"/>
        </w:rPr>
        <w:t>(without regard to any limitations on conversion).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Subdivisions, Combinations and Stock Dividends</w:t>
      </w:r>
      <w:r>
        <w:rPr>
          <w:rFonts w:ascii="Times New Roman;sans-serif" w:hAnsi="Times New Roman;sans-serif"/>
          <w:b w:val="false"/>
          <w:color w:val="000000"/>
          <w:sz w:val="22"/>
        </w:rPr>
        <w:t xml:space="preserve">. If the Corporation exclusively issues shares of Common Stock as a dividend or distribution on all or substantially all shares of the Common Stock, or if the Corporation effects a share split or share combination (in each case excluding an issuance solely pursuant to a Reorganization Event, as to which the provisions of </w:t>
      </w:r>
      <w:r>
        <w:rPr>
          <w:rFonts w:ascii="Times New Roman;sans-serif" w:hAnsi="Times New Roman;sans-serif"/>
          <w:b/>
          <w:color w:val="000000"/>
          <w:sz w:val="22"/>
        </w:rPr>
        <w:t>Section 7.7(f)</w:t>
      </w:r>
      <w:r>
        <w:rPr>
          <w:color w:val="000000"/>
        </w:rPr>
        <w:t xml:space="preserve"> </w:t>
      </w:r>
      <w:r>
        <w:rPr>
          <w:rFonts w:ascii="Times New Roman;sans-serif" w:hAnsi="Times New Roman;sans-serif"/>
          <w:b w:val="false"/>
          <w:color w:val="000000"/>
          <w:sz w:val="22"/>
        </w:rPr>
        <w:t>shall apply), the Conversion Price shall be adjusted based on the following formula:</w:t>
      </w:r>
    </w:p>
    <w:p>
      <w:pPr>
        <w:pStyle w:val="TextBody"/>
        <w:bidi w:val="0"/>
        <w:spacing w:before="240" w:after="240"/>
        <w:jc w:val="both"/>
        <w:rPr/>
      </w:pPr>
      <w:r>
        <w:rPr/>
      </w:r>
    </w:p>
    <w:p>
      <w:pPr>
        <w:pStyle w:val="TextBody"/>
        <w:bidi w:val="0"/>
        <w:spacing w:before="240" w:after="240"/>
        <w:jc w:val="center"/>
        <w:rPr/>
      </w:pPr>
      <w:r>
        <w:rPr/>
        <w:drawing>
          <wp:inline distT="0" distB="0" distL="0" distR="0">
            <wp:extent cx="1419225" cy="352425"/>
            <wp:effectExtent l="0" t="0" r="0" b="0"/>
            <wp:docPr id="5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 descr=""/>
                    <pic:cNvPicPr>
                      <a:picLocks noChangeAspect="1" noChangeArrowheads="1"/>
                    </pic:cNvPicPr>
                  </pic:nvPicPr>
                  <pic:blipFill>
                    <a:blip r:embed="rId2"/>
                    <a:stretch>
                      <a:fillRect/>
                    </a:stretch>
                  </pic:blipFill>
                  <pic:spPr bwMode="auto">
                    <a:xfrm>
                      <a:off x="0" y="0"/>
                      <a:ext cx="1419225" cy="352425"/>
                    </a:xfrm>
                    <a:prstGeom prst="rect">
                      <a:avLst/>
                    </a:prstGeom>
                  </pic:spPr>
                </pic:pic>
              </a:graphicData>
            </a:graphic>
          </wp:inline>
        </w:drawing>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where,</w:t>
      </w:r>
    </w:p>
    <w:p>
      <w:pPr>
        <w:pStyle w:val="TextBody"/>
        <w:bidi w:val="0"/>
        <w:spacing w:lineRule="auto" w:line="288" w:before="240" w:after="240"/>
        <w:ind w:left="0" w:right="0" w:hanging="1440"/>
        <w:jc w:val="both"/>
        <w:rPr/>
      </w:pPr>
      <w:r>
        <w:rPr/>
        <w:drawing>
          <wp:inline distT="0" distB="0" distL="0" distR="0">
            <wp:extent cx="276225" cy="171450"/>
            <wp:effectExtent l="0" t="0" r="0" b="0"/>
            <wp:docPr id="5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 descr=""/>
                    <pic:cNvPicPr>
                      <a:picLocks noChangeAspect="1" noChangeArrowheads="1"/>
                    </pic:cNvPicPr>
                  </pic:nvPicPr>
                  <pic:blipFill>
                    <a:blip r:embed="rId3"/>
                    <a:stretch>
                      <a:fillRect/>
                    </a:stretch>
                  </pic:blipFill>
                  <pic:spPr bwMode="auto">
                    <a:xfrm>
                      <a:off x="0" y="0"/>
                      <a:ext cx="276225"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prior to the close of business on the Record Date of such dividend or distribution, or immediately prior to the open of business on the Effective Date of such share split or share combination, as applicable;</w:t>
      </w:r>
    </w:p>
    <w:p>
      <w:pPr>
        <w:pStyle w:val="TextBody"/>
        <w:bidi w:val="0"/>
        <w:spacing w:lineRule="auto" w:line="288" w:before="240" w:after="240"/>
        <w:ind w:left="0" w:right="0" w:hanging="1440"/>
        <w:jc w:val="both"/>
        <w:rPr>
          <w:rFonts w:ascii="Times New Roman;sans-serif" w:hAnsi="Times New Roman;sans-serif"/>
          <w:b w:val="false"/>
          <w:color w:val="000000"/>
          <w:sz w:val="22"/>
        </w:rPr>
      </w:pPr>
      <w:r>
        <w:rPr>
          <w:rFonts w:ascii="Times New Roman;sans-serif" w:hAnsi="Times New Roman;sans-serif"/>
          <w:b w:val="false"/>
          <w:color w:val="000000"/>
          <w:sz w:val="22"/>
        </w:rPr>
        <w:t>CP’    =    the Conversion Price in effect immediately after the close of business on such Record Date or immediately after the open of business on such Effective Date, as applicable;</w:t>
      </w:r>
    </w:p>
    <w:p>
      <w:pPr>
        <w:pStyle w:val="TextBody"/>
        <w:bidi w:val="0"/>
        <w:spacing w:lineRule="auto" w:line="288" w:before="240" w:after="240"/>
        <w:ind w:left="0" w:right="0" w:hanging="1440"/>
        <w:jc w:val="both"/>
        <w:rPr/>
      </w:pPr>
      <w:r>
        <w:rPr/>
        <w:drawing>
          <wp:inline distT="0" distB="0" distL="0" distR="0">
            <wp:extent cx="295275" cy="171450"/>
            <wp:effectExtent l="0" t="0" r="0" b="0"/>
            <wp:docPr id="5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 descr=""/>
                    <pic:cNvPicPr>
                      <a:picLocks noChangeAspect="1" noChangeArrowheads="1"/>
                    </pic:cNvPicPr>
                  </pic:nvPicPr>
                  <pic:blipFill>
                    <a:blip r:embed="rId4"/>
                    <a:stretch>
                      <a:fillRect/>
                    </a:stretch>
                  </pic:blipFill>
                  <pic:spPr bwMode="auto">
                    <a:xfrm>
                      <a:off x="0" y="0"/>
                      <a:ext cx="295275"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number of shares of Common Stock outstanding immediately prior to the close of business on such Record Date or immediately prior to the open of business on such Effective Date, as applicable (before giving effect to any such dividend, distribution, split or combination); and</w:t>
      </w:r>
    </w:p>
    <w:p>
      <w:pPr>
        <w:pStyle w:val="TextBody"/>
        <w:bidi w:val="0"/>
        <w:spacing w:lineRule="auto" w:line="288" w:before="240" w:after="240"/>
        <w:ind w:left="0" w:right="0" w:hanging="1440"/>
        <w:jc w:val="both"/>
        <w:rPr>
          <w:rFonts w:ascii="Times New Roman;sans-serif" w:hAnsi="Times New Roman;sans-serif"/>
          <w:b w:val="false"/>
          <w:color w:val="000000"/>
          <w:sz w:val="22"/>
        </w:rPr>
      </w:pPr>
      <w:r>
        <w:rPr>
          <w:rFonts w:ascii="Times New Roman;sans-serif" w:hAnsi="Times New Roman;sans-serif"/>
          <w:b w:val="false"/>
          <w:color w:val="000000"/>
          <w:sz w:val="22"/>
        </w:rPr>
        <w:t>OS’    =    the number of shares of Common Stock outstanding immediately after giving effect to such dividend, distribution, share split or share combination.</w:t>
      </w:r>
    </w:p>
    <w:p>
      <w:pPr>
        <w:pStyle w:val="TextBody"/>
        <w:bidi w:val="0"/>
        <w:spacing w:lineRule="auto" w:line="288" w:before="240" w:after="240"/>
        <w:jc w:val="both"/>
        <w:rPr/>
      </w:pPr>
      <w:r>
        <w:rPr>
          <w:rFonts w:ascii="Times New Roman;sans-serif" w:hAnsi="Times New Roman;sans-serif"/>
          <w:b w:val="false"/>
          <w:color w:val="000000"/>
          <w:sz w:val="22"/>
        </w:rPr>
        <w:t xml:space="preserve">Any adjustment made under this </w:t>
      </w:r>
      <w:r>
        <w:rPr>
          <w:rFonts w:ascii="Times New Roman;sans-serif" w:hAnsi="Times New Roman;sans-serif"/>
          <w:b/>
          <w:color w:val="000000"/>
          <w:sz w:val="22"/>
        </w:rPr>
        <w:t>Section 7.7(a)</w:t>
      </w:r>
      <w:r>
        <w:rPr>
          <w:color w:val="000000"/>
        </w:rPr>
        <w:t xml:space="preserve"> </w:t>
      </w:r>
      <w:r>
        <w:rPr>
          <w:rFonts w:ascii="Times New Roman;sans-serif" w:hAnsi="Times New Roman;sans-serif"/>
          <w:b w:val="false"/>
          <w:color w:val="000000"/>
          <w:sz w:val="22"/>
        </w:rPr>
        <w:t xml:space="preserve">shall become effective immediately after the close of business on the Record Date for such dividend or distribution, or immediately after the open of business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57"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2"/>
        </w:rPr>
        <w:t xml:space="preserve">on the Effective Date for such share split or share combination, as applicable. If any dividend or distribution of the type described in this </w:t>
      </w:r>
      <w:r>
        <w:rPr>
          <w:rFonts w:ascii="Times New Roman;sans-serif" w:hAnsi="Times New Roman;sans-serif"/>
          <w:b/>
          <w:color w:val="000000"/>
          <w:sz w:val="22"/>
        </w:rPr>
        <w:t>Section 7.7(a)</w:t>
      </w:r>
      <w:r>
        <w:rPr>
          <w:color w:val="000000"/>
        </w:rPr>
        <w:t xml:space="preserve"> </w:t>
      </w:r>
      <w:r>
        <w:rPr>
          <w:rFonts w:ascii="Times New Roman;sans-serif" w:hAnsi="Times New Roman;sans-serif"/>
          <w:b w:val="false"/>
          <w:color w:val="000000"/>
          <w:sz w:val="22"/>
        </w:rPr>
        <w:t>is declared but not so paid or made, the Conversion Price shall be immediately readjusted, effective as of the date the Board determines not to pay such dividend or distribution, to the Conversion Price that would then be in effect if such dividend or distribution had not been declared.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Rights Offerings</w:t>
      </w:r>
      <w:r>
        <w:rPr>
          <w:rFonts w:ascii="Times New Roman;sans-serif" w:hAnsi="Times New Roman;sans-serif"/>
          <w:b w:val="false"/>
          <w:color w:val="000000"/>
          <w:sz w:val="22"/>
        </w:rPr>
        <w:t xml:space="preserve">. If the Corporation distributes to all or substantially all holders of the Common Stock any rights, options or warrants (other than rights issued or otherwise distributed pursuant to a stockholder rights plan, as to which </w:t>
      </w:r>
      <w:r>
        <w:rPr>
          <w:rFonts w:ascii="Times New Roman;sans-serif" w:hAnsi="Times New Roman;sans-serif"/>
          <w:b/>
          <w:color w:val="000000"/>
          <w:sz w:val="22"/>
        </w:rPr>
        <w:t>Section 7.7(c)</w:t>
      </w:r>
      <w:r>
        <w:rPr>
          <w:color w:val="000000"/>
        </w:rPr>
        <w:t xml:space="preserve"> </w:t>
      </w:r>
      <w:r>
        <w:rPr>
          <w:rFonts w:ascii="Times New Roman;sans-serif" w:hAnsi="Times New Roman;sans-serif"/>
          <w:b w:val="false"/>
          <w:color w:val="000000"/>
          <w:sz w:val="22"/>
        </w:rPr>
        <w:t>shall apply) entitling them, for a period of not more than sixty (60) calendar days after the announcement date of such distribution, to subscribe for or purchase shares of the Common Stock at a price per share that is less than the arithmetic average of the Daily VWAPs of the Common Stock for the 10 consecutive Trading Day period ending on, and including, the Trading Day immediately preceding the date of announcement of such distribution, the Conversion Price shall be decreased based on the following formula:</w:t>
      </w:r>
    </w:p>
    <w:p>
      <w:pPr>
        <w:pStyle w:val="TextBody"/>
        <w:bidi w:val="0"/>
        <w:spacing w:before="240" w:after="240"/>
        <w:jc w:val="center"/>
        <w:rPr/>
      </w:pPr>
      <w:r>
        <w:rPr/>
        <w:drawing>
          <wp:inline distT="0" distB="0" distL="0" distR="0">
            <wp:extent cx="1743075" cy="381000"/>
            <wp:effectExtent l="0" t="0" r="0" b="0"/>
            <wp:docPr id="5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 descr=""/>
                    <pic:cNvPicPr>
                      <a:picLocks noChangeAspect="1" noChangeArrowheads="1"/>
                    </pic:cNvPicPr>
                  </pic:nvPicPr>
                  <pic:blipFill>
                    <a:blip r:embed="rId5"/>
                    <a:stretch>
                      <a:fillRect/>
                    </a:stretch>
                  </pic:blipFill>
                  <pic:spPr bwMode="auto">
                    <a:xfrm>
                      <a:off x="0" y="0"/>
                      <a:ext cx="1743075" cy="381000"/>
                    </a:xfrm>
                    <a:prstGeom prst="rect">
                      <a:avLst/>
                    </a:prstGeom>
                  </pic:spPr>
                </pic:pic>
              </a:graphicData>
            </a:graphic>
          </wp:inline>
        </w:drawing>
      </w:r>
    </w:p>
    <w:p>
      <w:pPr>
        <w:pStyle w:val="TextBody"/>
        <w:bidi w:val="0"/>
        <w:spacing w:before="240" w:after="240"/>
        <w:jc w:val="center"/>
        <w:rPr/>
      </w:pPr>
      <w:r>
        <w:rPr/>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where,</w:t>
      </w:r>
    </w:p>
    <w:p>
      <w:pPr>
        <w:pStyle w:val="TextBody"/>
        <w:bidi w:val="0"/>
        <w:spacing w:lineRule="auto" w:line="288" w:before="240" w:after="240"/>
        <w:ind w:left="0" w:right="0" w:hanging="1440"/>
        <w:jc w:val="both"/>
        <w:rPr/>
      </w:pPr>
      <w:r>
        <w:rPr/>
        <w:drawing>
          <wp:inline distT="0" distB="0" distL="0" distR="0">
            <wp:extent cx="276225" cy="171450"/>
            <wp:effectExtent l="0" t="0" r="0" b="0"/>
            <wp:docPr id="5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 descr=""/>
                    <pic:cNvPicPr>
                      <a:picLocks noChangeAspect="1" noChangeArrowheads="1"/>
                    </pic:cNvPicPr>
                  </pic:nvPicPr>
                  <pic:blipFill>
                    <a:blip r:embed="rId6"/>
                    <a:stretch>
                      <a:fillRect/>
                    </a:stretch>
                  </pic:blipFill>
                  <pic:spPr bwMode="auto">
                    <a:xfrm>
                      <a:off x="0" y="0"/>
                      <a:ext cx="276225"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prior to the close of business on the Record Date for such distribution;</w:t>
      </w:r>
    </w:p>
    <w:p>
      <w:pPr>
        <w:pStyle w:val="TextBody"/>
        <w:bidi w:val="0"/>
        <w:spacing w:lineRule="auto" w:line="288" w:before="240" w:after="240"/>
        <w:ind w:left="0" w:right="0" w:hanging="1440"/>
        <w:jc w:val="both"/>
        <w:rPr/>
      </w:pPr>
      <w:r>
        <w:rPr/>
        <w:drawing>
          <wp:inline distT="0" distB="0" distL="0" distR="0">
            <wp:extent cx="228600" cy="190500"/>
            <wp:effectExtent l="0" t="0" r="0" b="0"/>
            <wp:docPr id="6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 descr=""/>
                    <pic:cNvPicPr>
                      <a:picLocks noChangeAspect="1" noChangeArrowheads="1"/>
                    </pic:cNvPicPr>
                  </pic:nvPicPr>
                  <pic:blipFill>
                    <a:blip r:embed="rId7"/>
                    <a:stretch>
                      <a:fillRect/>
                    </a:stretch>
                  </pic:blipFill>
                  <pic:spPr bwMode="auto">
                    <a:xfrm>
                      <a:off x="0" y="0"/>
                      <a:ext cx="228600" cy="190500"/>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after the close of business on such Record Date;</w:t>
      </w:r>
    </w:p>
    <w:p>
      <w:pPr>
        <w:pStyle w:val="TextBody"/>
        <w:bidi w:val="0"/>
        <w:spacing w:lineRule="auto" w:line="288" w:before="240" w:after="240"/>
        <w:ind w:left="0" w:right="0" w:hanging="1440"/>
        <w:jc w:val="both"/>
        <w:rPr/>
      </w:pPr>
      <w:r>
        <w:rPr/>
        <w:drawing>
          <wp:inline distT="0" distB="0" distL="0" distR="0">
            <wp:extent cx="295275" cy="171450"/>
            <wp:effectExtent l="0" t="0" r="0" b="0"/>
            <wp:docPr id="6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7" descr=""/>
                    <pic:cNvPicPr>
                      <a:picLocks noChangeAspect="1" noChangeArrowheads="1"/>
                    </pic:cNvPicPr>
                  </pic:nvPicPr>
                  <pic:blipFill>
                    <a:blip r:embed="rId8"/>
                    <a:stretch>
                      <a:fillRect/>
                    </a:stretch>
                  </pic:blipFill>
                  <pic:spPr bwMode="auto">
                    <a:xfrm>
                      <a:off x="0" y="0"/>
                      <a:ext cx="295275"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number of shares of Common Stock outstanding immediately prior to the close of business on such Record Date;</w:t>
      </w:r>
    </w:p>
    <w:p>
      <w:pPr>
        <w:pStyle w:val="TextBody"/>
        <w:bidi w:val="0"/>
        <w:spacing w:lineRule="auto" w:line="288" w:before="240" w:after="240"/>
        <w:ind w:left="0" w:right="0" w:hanging="1440"/>
        <w:jc w:val="both"/>
        <w:rPr>
          <w:rFonts w:ascii="Times New Roman;sans-serif" w:hAnsi="Times New Roman;sans-serif"/>
          <w:b w:val="false"/>
          <w:color w:val="000000"/>
          <w:sz w:val="22"/>
        </w:rPr>
      </w:pPr>
      <w:r>
        <w:rPr>
          <w:rFonts w:ascii="Times New Roman;sans-serif" w:hAnsi="Times New Roman;sans-serif"/>
          <w:b w:val="false"/>
          <w:color w:val="000000"/>
          <w:sz w:val="22"/>
        </w:rPr>
        <w:t>X    =    the total number of shares of Common Stock issuable pursuant to such rights, options or warrants; and</w:t>
      </w:r>
    </w:p>
    <w:p>
      <w:pPr>
        <w:pStyle w:val="TextBody"/>
        <w:bidi w:val="0"/>
        <w:spacing w:lineRule="auto" w:line="288" w:before="240" w:after="240"/>
        <w:ind w:left="0" w:right="0" w:hanging="1440"/>
        <w:jc w:val="both"/>
        <w:rPr/>
      </w:pPr>
      <w:r>
        <w:rPr>
          <w:rFonts w:ascii="Times New Roman;sans-serif" w:hAnsi="Times New Roman;sans-serif"/>
          <w:b w:val="false"/>
          <w:color w:val="000000"/>
          <w:sz w:val="22"/>
        </w:rPr>
        <w:t xml:space="preserve">Y    =    the number of shares of Common Stock equal to the aggregate price payable to exercise such rights, options or warrants, </w:t>
      </w:r>
      <w:r>
        <w:rPr>
          <w:rFonts w:ascii="Times New Roman;sans-serif" w:hAnsi="Times New Roman;sans-serif"/>
          <w:b w:val="false"/>
          <w:i/>
          <w:color w:val="000000"/>
          <w:sz w:val="22"/>
        </w:rPr>
        <w:t xml:space="preserve">divided by </w:t>
      </w:r>
      <w:r>
        <w:rPr>
          <w:rFonts w:ascii="Times New Roman;sans-serif" w:hAnsi="Times New Roman;sans-serif"/>
          <w:b w:val="false"/>
          <w:color w:val="000000"/>
          <w:sz w:val="22"/>
        </w:rPr>
        <w:t>the arithmetic average of the Daily VWAPs of the Common Stock over the 10 consecutive Trading Day period ending on, and including, the Trading Day immediately preceding the date of announcement of the distribution of such rights, options or warrants.</w:t>
      </w:r>
    </w:p>
    <w:p>
      <w:pPr>
        <w:pStyle w:val="TextBody"/>
        <w:bidi w:val="0"/>
        <w:spacing w:lineRule="auto" w:line="288" w:before="240" w:after="240"/>
        <w:jc w:val="both"/>
        <w:rPr/>
      </w:pPr>
      <w:r>
        <w:rPr>
          <w:rFonts w:ascii="Times New Roman;sans-serif" w:hAnsi="Times New Roman;sans-serif"/>
          <w:b w:val="false"/>
          <w:color w:val="000000"/>
          <w:sz w:val="22"/>
        </w:rPr>
        <w:t xml:space="preserve">Any decrease made under this </w:t>
      </w:r>
      <w:r>
        <w:rPr>
          <w:rFonts w:ascii="Times New Roman;sans-serif" w:hAnsi="Times New Roman;sans-serif"/>
          <w:b/>
          <w:color w:val="000000"/>
          <w:sz w:val="22"/>
        </w:rPr>
        <w:t>Section 7.7(b)</w:t>
      </w:r>
      <w:r>
        <w:rPr>
          <w:color w:val="000000"/>
        </w:rPr>
        <w:t xml:space="preserve"> </w:t>
      </w:r>
      <w:r>
        <w:rPr>
          <w:rFonts w:ascii="Times New Roman;sans-serif" w:hAnsi="Times New Roman;sans-serif"/>
          <w:b w:val="false"/>
          <w:color w:val="000000"/>
          <w:sz w:val="22"/>
        </w:rPr>
        <w:t xml:space="preserve">shall be made successively whenever any such rights, options or warrants are distributed and shall become effective immediately after the close of business on the Record Date for such distribution. To the extent that shares of the Common Stock are not delivered after the expiration of such rights, options or warrants (including as a result of such rights, options or warrants not being exercised), the Conversion Price shall be increased to the Conversion Price that would then be in effect had the decrease with respect to the distribution of such rights, options or warrants been made on the basis of delivery of only the number of shares of Common Stock actually delivered. If such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62"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rights, options or warrants are not so distributed, the Conversion Price shall be increased to the Conversion Price that would then be in effect if such Record Date for such distribution had not occurred.</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For purposes of this </w:t>
      </w:r>
      <w:r>
        <w:rPr>
          <w:rFonts w:ascii="Times New Roman;sans-serif" w:hAnsi="Times New Roman;sans-serif"/>
          <w:b/>
          <w:color w:val="000000"/>
          <w:sz w:val="22"/>
        </w:rPr>
        <w:t>Section 7.7(b)</w:t>
      </w:r>
      <w:r>
        <w:rPr>
          <w:rFonts w:ascii="Times New Roman;sans-serif" w:hAnsi="Times New Roman;sans-serif"/>
          <w:b w:val="false"/>
          <w:color w:val="000000"/>
          <w:sz w:val="22"/>
        </w:rPr>
        <w:t>, in determining whether any rights, options or warrants entitle the holders to subscribe for or purchase shares of the Common Stock at less than such arithmetic average of the Daily VWAPs of the Common Stock for the 10 consecutive Trading Day period ending on, and including, the Trading Day immediately preceding the date of announcement for such distribution, and in determining the aggregate offering price of such shares of Common Stock, there shall be taken into account any consideration received by the Corporation for such rights, options or warrants and any amount payable on exercise or conversion thereof, the value of such consideration, if other than cash, to be determined by the Corporation in good faith.</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Distributed Property; Spin-Offs</w:t>
      </w:r>
      <w:r>
        <w:rPr>
          <w:rFonts w:ascii="Times New Roman;sans-serif" w:hAnsi="Times New Roman;sans-serif"/>
          <w:b w:val="false"/>
          <w:color w:val="000000"/>
          <w:sz w:val="22"/>
        </w:rPr>
        <w:t xml:space="preserve">. If the Corporation distributes shares of its Capital Stock, evidences of its indebtedness, other assets or property of the Corporation or rights, options or warrants to acquire its Capital Stock or other securities, to all or substantially all holders of the Common Stock, excluding (i) dividends, distributions, rights, options or warrants as to which an adjustment was effected (or would be required without regard to </w:t>
      </w:r>
      <w:r>
        <w:rPr>
          <w:rFonts w:ascii="Times New Roman;sans-serif" w:hAnsi="Times New Roman;sans-serif"/>
          <w:b/>
          <w:color w:val="000000"/>
          <w:sz w:val="22"/>
        </w:rPr>
        <w:t>Section 7.7(j)</w:t>
      </w:r>
      <w:r>
        <w:rPr>
          <w:rFonts w:ascii="Times New Roman;sans-serif" w:hAnsi="Times New Roman;sans-serif"/>
          <w:b w:val="false"/>
          <w:color w:val="000000"/>
          <w:sz w:val="22"/>
        </w:rPr>
        <w:t xml:space="preserve">) pursuant to </w:t>
      </w:r>
      <w:r>
        <w:rPr>
          <w:rFonts w:ascii="Times New Roman;sans-serif" w:hAnsi="Times New Roman;sans-serif"/>
          <w:b/>
          <w:color w:val="000000"/>
          <w:sz w:val="22"/>
        </w:rPr>
        <w:t>Section 7.7(a)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color w:val="000000"/>
          <w:sz w:val="22"/>
        </w:rPr>
        <w:t>Section 7.7(b)</w:t>
      </w:r>
      <w:r>
        <w:rPr>
          <w:rFonts w:ascii="Times New Roman;sans-serif" w:hAnsi="Times New Roman;sans-serif"/>
          <w:b w:val="false"/>
          <w:color w:val="000000"/>
          <w:sz w:val="22"/>
        </w:rPr>
        <w:t xml:space="preserve">, (ii) dividends or distributions paid exclusively in cash as to which the provisions set forth in </w:t>
      </w:r>
      <w:r>
        <w:rPr>
          <w:rFonts w:ascii="Times New Roman;sans-serif" w:hAnsi="Times New Roman;sans-serif"/>
          <w:b/>
          <w:color w:val="000000"/>
          <w:sz w:val="22"/>
        </w:rPr>
        <w:t>Section 7.7(d)</w:t>
      </w:r>
      <w:r>
        <w:rPr>
          <w:color w:val="000000"/>
        </w:rPr>
        <w:t xml:space="preserve"> </w:t>
      </w:r>
      <w:r>
        <w:rPr>
          <w:rFonts w:ascii="Times New Roman;sans-serif" w:hAnsi="Times New Roman;sans-serif"/>
          <w:b w:val="false"/>
          <w:color w:val="000000"/>
          <w:sz w:val="22"/>
        </w:rPr>
        <w:t xml:space="preserve">shall apply, (iii) Spin-Offs as to which the provisions set forth below in this </w:t>
      </w:r>
      <w:r>
        <w:rPr>
          <w:rFonts w:ascii="Times New Roman;sans-serif" w:hAnsi="Times New Roman;sans-serif"/>
          <w:b/>
          <w:color w:val="000000"/>
          <w:sz w:val="22"/>
        </w:rPr>
        <w:t>Section 7.7(c)</w:t>
      </w:r>
      <w:r>
        <w:rPr>
          <w:color w:val="000000"/>
        </w:rPr>
        <w:t xml:space="preserve"> </w:t>
      </w:r>
      <w:r>
        <w:rPr>
          <w:rFonts w:ascii="Times New Roman;sans-serif" w:hAnsi="Times New Roman;sans-serif"/>
          <w:b w:val="false"/>
          <w:color w:val="000000"/>
          <w:sz w:val="22"/>
        </w:rPr>
        <w:t xml:space="preserve">shall apply, (iv) except as otherwise described in </w:t>
      </w:r>
      <w:r>
        <w:rPr>
          <w:rFonts w:ascii="Times New Roman;sans-serif" w:hAnsi="Times New Roman;sans-serif"/>
          <w:b/>
          <w:color w:val="000000"/>
          <w:sz w:val="22"/>
        </w:rPr>
        <w:t>Section 7.7(g)</w:t>
      </w:r>
      <w:r>
        <w:rPr>
          <w:rFonts w:ascii="Times New Roman;sans-serif" w:hAnsi="Times New Roman;sans-serif"/>
          <w:b w:val="false"/>
          <w:color w:val="000000"/>
          <w:sz w:val="22"/>
        </w:rPr>
        <w:t xml:space="preserve">, rights issued or otherwise distributed pursuant to a stockholder rights plan and (v) a distribution solely pursuant to a Reorganization Event, as to which the provisions of </w:t>
      </w:r>
      <w:r>
        <w:rPr>
          <w:rFonts w:ascii="Times New Roman;sans-serif" w:hAnsi="Times New Roman;sans-serif"/>
          <w:b/>
          <w:color w:val="000000"/>
          <w:sz w:val="22"/>
        </w:rPr>
        <w:t>Section 7.7(1)</w:t>
      </w:r>
      <w:r>
        <w:rPr>
          <w:color w:val="000000"/>
        </w:rPr>
        <w:t xml:space="preserve"> </w:t>
      </w:r>
      <w:r>
        <w:rPr>
          <w:rFonts w:ascii="Times New Roman;sans-serif" w:hAnsi="Times New Roman;sans-serif"/>
          <w:b w:val="false"/>
          <w:color w:val="000000"/>
          <w:sz w:val="22"/>
        </w:rPr>
        <w:t>shall apply (any of such shares of Capital Stock, evidences of indebtedness, other assets or property or rights, options or warrants to acquire Capital Stock or other securities, the “</w:t>
      </w:r>
      <w:r>
        <w:rPr>
          <w:rFonts w:ascii="Times New Roman;sans-serif" w:hAnsi="Times New Roman;sans-serif"/>
          <w:b/>
          <w:color w:val="000000"/>
          <w:sz w:val="22"/>
        </w:rPr>
        <w:t>Distributed Property</w:t>
      </w:r>
      <w:r>
        <w:rPr>
          <w:color w:val="000000"/>
        </w:rPr>
        <w:t>”</w:t>
      </w:r>
      <w:r>
        <w:rPr>
          <w:rFonts w:ascii="Times New Roman;sans-serif" w:hAnsi="Times New Roman;sans-serif"/>
          <w:b w:val="false"/>
          <w:color w:val="000000"/>
          <w:sz w:val="22"/>
        </w:rPr>
        <w:t>), then the Conversion Price shall be decreased based on the following formula:</w:t>
      </w:r>
    </w:p>
    <w:p>
      <w:pPr>
        <w:pStyle w:val="TextBody"/>
        <w:bidi w:val="0"/>
        <w:spacing w:before="240" w:after="240"/>
        <w:jc w:val="both"/>
        <w:rPr/>
      </w:pPr>
      <w:r>
        <w:rPr/>
      </w:r>
    </w:p>
    <w:p>
      <w:pPr>
        <w:pStyle w:val="TextBody"/>
        <w:bidi w:val="0"/>
        <w:spacing w:before="240" w:after="240"/>
        <w:jc w:val="center"/>
        <w:rPr/>
      </w:pPr>
      <w:r>
        <w:rPr/>
        <w:drawing>
          <wp:inline distT="0" distB="0" distL="0" distR="0">
            <wp:extent cx="1857375" cy="381000"/>
            <wp:effectExtent l="0" t="0" r="0" b="0"/>
            <wp:docPr id="6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8" descr=""/>
                    <pic:cNvPicPr>
                      <a:picLocks noChangeAspect="1" noChangeArrowheads="1"/>
                    </pic:cNvPicPr>
                  </pic:nvPicPr>
                  <pic:blipFill>
                    <a:blip r:embed="rId9"/>
                    <a:stretch>
                      <a:fillRect/>
                    </a:stretch>
                  </pic:blipFill>
                  <pic:spPr bwMode="auto">
                    <a:xfrm>
                      <a:off x="0" y="0"/>
                      <a:ext cx="1857375" cy="381000"/>
                    </a:xfrm>
                    <a:prstGeom prst="rect">
                      <a:avLst/>
                    </a:prstGeom>
                  </pic:spPr>
                </pic:pic>
              </a:graphicData>
            </a:graphic>
          </wp:inline>
        </w:drawing>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where,</w:t>
      </w:r>
    </w:p>
    <w:p>
      <w:pPr>
        <w:pStyle w:val="TextBody"/>
        <w:bidi w:val="0"/>
        <w:spacing w:lineRule="auto" w:line="288" w:before="240" w:after="240"/>
        <w:ind w:left="0" w:right="0" w:hanging="1440"/>
        <w:jc w:val="both"/>
        <w:rPr/>
      </w:pPr>
      <w:r>
        <w:rPr/>
        <w:drawing>
          <wp:inline distT="0" distB="0" distL="0" distR="0">
            <wp:extent cx="276225" cy="171450"/>
            <wp:effectExtent l="0" t="0" r="0" b="0"/>
            <wp:docPr id="6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9" descr=""/>
                    <pic:cNvPicPr>
                      <a:picLocks noChangeAspect="1" noChangeArrowheads="1"/>
                    </pic:cNvPicPr>
                  </pic:nvPicPr>
                  <pic:blipFill>
                    <a:blip r:embed="rId10"/>
                    <a:stretch>
                      <a:fillRect/>
                    </a:stretch>
                  </pic:blipFill>
                  <pic:spPr bwMode="auto">
                    <a:xfrm>
                      <a:off x="0" y="0"/>
                      <a:ext cx="276225"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prior to the close of business on the Record Date for such distribution;</w:t>
      </w:r>
    </w:p>
    <w:p>
      <w:pPr>
        <w:pStyle w:val="TextBody"/>
        <w:bidi w:val="0"/>
        <w:spacing w:lineRule="auto" w:line="288" w:before="240" w:after="240"/>
        <w:ind w:left="0" w:right="0" w:hanging="1440"/>
        <w:jc w:val="both"/>
        <w:rPr/>
      </w:pPr>
      <w:r>
        <w:rPr/>
        <w:drawing>
          <wp:inline distT="0" distB="0" distL="0" distR="0">
            <wp:extent cx="228600" cy="190500"/>
            <wp:effectExtent l="0" t="0" r="0" b="0"/>
            <wp:docPr id="6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0" descr=""/>
                    <pic:cNvPicPr>
                      <a:picLocks noChangeAspect="1" noChangeArrowheads="1"/>
                    </pic:cNvPicPr>
                  </pic:nvPicPr>
                  <pic:blipFill>
                    <a:blip r:embed="rId11"/>
                    <a:stretch>
                      <a:fillRect/>
                    </a:stretch>
                  </pic:blipFill>
                  <pic:spPr bwMode="auto">
                    <a:xfrm>
                      <a:off x="0" y="0"/>
                      <a:ext cx="228600" cy="190500"/>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after the close of business on such Record Date;</w:t>
      </w:r>
    </w:p>
    <w:p>
      <w:pPr>
        <w:pStyle w:val="TextBody"/>
        <w:bidi w:val="0"/>
        <w:spacing w:lineRule="auto" w:line="288" w:before="240" w:after="240"/>
        <w:ind w:left="0" w:right="0" w:hanging="1440"/>
        <w:jc w:val="both"/>
        <w:rPr/>
      </w:pPr>
      <w:r>
        <w:rPr>
          <w:rFonts w:ascii="Times New Roman;sans-serif" w:hAnsi="Times New Roman;sans-serif"/>
          <w:b w:val="false"/>
          <w:color w:val="000000"/>
          <w:sz w:val="22"/>
        </w:rPr>
        <w:t>SP</w:t>
      </w:r>
      <w:r>
        <w:rPr>
          <w:rFonts w:ascii="Times New Roman;sans-serif" w:hAnsi="Times New Roman;sans-serif"/>
          <w:b w:val="false"/>
          <w:color w:val="000000"/>
          <w:sz w:val="14"/>
        </w:rPr>
        <w:t>0</w:t>
      </w:r>
      <w:r>
        <w:rPr>
          <w:color w:val="000000"/>
        </w:rPr>
        <w:t>    </w:t>
      </w:r>
      <w:r>
        <w:rPr>
          <w:rFonts w:ascii="Times New Roman;sans-serif" w:hAnsi="Times New Roman;sans-serif"/>
          <w:b w:val="false"/>
          <w:color w:val="000000"/>
          <w:sz w:val="22"/>
        </w:rPr>
        <w:t>=    the arithmetic average of the Daily VWAPs of the Common Stock over the 10 consecutive Trading Day period ending on, and including, the Trading Day immediately preceding the Ex-Dividend Date for such distribution; and</w:t>
      </w:r>
    </w:p>
    <w:p>
      <w:pPr>
        <w:pStyle w:val="TextBody"/>
        <w:bidi w:val="0"/>
        <w:spacing w:lineRule="auto" w:line="288" w:before="240" w:after="240"/>
        <w:ind w:left="0" w:right="0" w:hanging="1440"/>
        <w:jc w:val="both"/>
        <w:rPr>
          <w:rFonts w:ascii="Times New Roman;sans-serif" w:hAnsi="Times New Roman;sans-serif"/>
          <w:b w:val="false"/>
          <w:color w:val="000000"/>
          <w:sz w:val="22"/>
        </w:rPr>
      </w:pPr>
      <w:r>
        <w:rPr>
          <w:rFonts w:ascii="Times New Roman;sans-serif" w:hAnsi="Times New Roman;sans-serif"/>
          <w:b w:val="false"/>
          <w:color w:val="000000"/>
          <w:sz w:val="22"/>
        </w:rPr>
        <w:t>FMV    =    the fair market value (as determined by the Corporation in good faith) of the Distributed Property with respect to each outstanding share of the Common Stock on the Ex-Dividend Date for such distribution.</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6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2"/>
        </w:rPr>
        <w:t xml:space="preserve">Any decrease made under the portion of this </w:t>
      </w:r>
      <w:r>
        <w:rPr>
          <w:rFonts w:ascii="Times New Roman;sans-serif" w:hAnsi="Times New Roman;sans-serif"/>
          <w:b/>
          <w:color w:val="000000"/>
          <w:sz w:val="22"/>
        </w:rPr>
        <w:t>Section 7.7(c)</w:t>
      </w:r>
      <w:r>
        <w:rPr>
          <w:color w:val="000000"/>
        </w:rPr>
        <w:t xml:space="preserve"> </w:t>
      </w:r>
      <w:r>
        <w:rPr>
          <w:rFonts w:ascii="Times New Roman;sans-serif" w:hAnsi="Times New Roman;sans-serif"/>
          <w:b w:val="false"/>
          <w:color w:val="000000"/>
          <w:sz w:val="22"/>
        </w:rPr>
        <w:t>above shall become effective immediately after the close of business on the Record Date for such distribution. To the extent such distribution is not so paid or made, the Conversion Price shall be increased to the Conversion Price that would then be in effect had the adjustment been made on the basis of only the distribution, if any, actually made or paid. Notwithstanding the foregoing, if “FMV” (as defined above) is equal to or greater than “SP</w:t>
      </w:r>
      <w:r>
        <w:rPr>
          <w:rFonts w:ascii="Times New Roman;sans-serif" w:hAnsi="Times New Roman;sans-serif"/>
          <w:b w:val="false"/>
          <w:color w:val="000000"/>
          <w:sz w:val="14"/>
        </w:rPr>
        <w:t>0</w:t>
      </w:r>
      <w:r>
        <w:rPr>
          <w:color w:val="000000"/>
        </w:rPr>
        <w:t xml:space="preserve">” </w:t>
      </w:r>
      <w:r>
        <w:rPr>
          <w:rFonts w:ascii="Times New Roman;sans-serif" w:hAnsi="Times New Roman;sans-serif"/>
          <w:b w:val="false"/>
          <w:color w:val="000000"/>
          <w:sz w:val="22"/>
        </w:rPr>
        <w:t xml:space="preserve">(as defined above), in lieu of the foregoing decrease, each Holder of a Share shall receive, in respect of each such Share, at the same time and upon the same terms as holders of the Common Stock receive the Distributed Property, the amount and kind of Distributed Property such Holder would have received if such Holder owned a number of shares of Common Stock that such Share would have been convertible into at the Conversion Price in effect on the Record Date for the distribution. If the Corporation in good faith determines the “FMV” (as defined above) of any distribution for purposes of this </w:t>
      </w:r>
      <w:r>
        <w:rPr>
          <w:rFonts w:ascii="Times New Roman;sans-serif" w:hAnsi="Times New Roman;sans-serif"/>
          <w:b/>
          <w:color w:val="000000"/>
          <w:sz w:val="22"/>
        </w:rPr>
        <w:t>Section 7.7(c)</w:t>
      </w:r>
      <w:r>
        <w:rPr>
          <w:color w:val="000000"/>
        </w:rPr>
        <w:t xml:space="preserve"> </w:t>
      </w:r>
      <w:r>
        <w:rPr>
          <w:rFonts w:ascii="Times New Roman;sans-serif" w:hAnsi="Times New Roman;sans-serif"/>
          <w:b w:val="false"/>
          <w:color w:val="000000"/>
          <w:sz w:val="22"/>
        </w:rPr>
        <w:t>by reference to the actual or when-issued trading market for any securities, it shall in doing so consider the prices in such market over the same period used in computing the Daily VWAPs of the Common Stock over the 10 consecutive Trading Day period ending on, and including, the Trading Day immediately preceding the Ex-Dividend Date for such distribution.</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If the Corporation distributes or dividends shares of Capital Stock of any class or series, or similar equity interests, of or relating to a Subsidiary or other business unit of the Corporation to all or substantially all holders of the Common Stock (other than solely pursuant to (x) a Reorganization Event, as to which the provisions of </w:t>
      </w:r>
      <w:r>
        <w:rPr>
          <w:rFonts w:ascii="Times New Roman;sans-serif" w:hAnsi="Times New Roman;sans-serif"/>
          <w:b/>
          <w:color w:val="000000"/>
          <w:sz w:val="22"/>
        </w:rPr>
        <w:t>Section 7.7(f)</w:t>
      </w:r>
      <w:r>
        <w:rPr>
          <w:color w:val="000000"/>
        </w:rPr>
        <w:t xml:space="preserve"> </w:t>
      </w:r>
      <w:r>
        <w:rPr>
          <w:rFonts w:ascii="Times New Roman;sans-serif" w:hAnsi="Times New Roman;sans-serif"/>
          <w:b w:val="false"/>
          <w:color w:val="000000"/>
          <w:sz w:val="22"/>
        </w:rPr>
        <w:t xml:space="preserve">shall apply; or (y) a tender offer or exchange offer for shares of the Common Stock, as to which the provisions of </w:t>
      </w:r>
      <w:r>
        <w:rPr>
          <w:rFonts w:ascii="Times New Roman;sans-serif" w:hAnsi="Times New Roman;sans-serif"/>
          <w:b/>
          <w:color w:val="000000"/>
          <w:sz w:val="22"/>
        </w:rPr>
        <w:t>Section 7.7(e)</w:t>
      </w:r>
      <w:r>
        <w:rPr>
          <w:color w:val="000000"/>
        </w:rPr>
        <w:t xml:space="preserve"> </w:t>
      </w:r>
      <w:r>
        <w:rPr>
          <w:rFonts w:ascii="Times New Roman;sans-serif" w:hAnsi="Times New Roman;sans-serif"/>
          <w:b w:val="false"/>
          <w:color w:val="000000"/>
          <w:sz w:val="22"/>
        </w:rPr>
        <w:t>shall apply), and such Capital Stock or equity interests are listed or quoted (or will be listed or quoted upon the consummation of the transaction) on a U.S. national securities exchange (a “</w:t>
      </w:r>
      <w:r>
        <w:rPr>
          <w:rFonts w:ascii="Times New Roman;sans-serif" w:hAnsi="Times New Roman;sans-serif"/>
          <w:b/>
          <w:color w:val="000000"/>
          <w:sz w:val="22"/>
        </w:rPr>
        <w:t>Spin-Off</w:t>
      </w:r>
      <w:r>
        <w:rPr>
          <w:color w:val="000000"/>
        </w:rPr>
        <w:t>”</w:t>
      </w:r>
      <w:r>
        <w:rPr>
          <w:rFonts w:ascii="Times New Roman;sans-serif" w:hAnsi="Times New Roman;sans-serif"/>
          <w:b w:val="false"/>
          <w:color w:val="000000"/>
          <w:sz w:val="22"/>
        </w:rPr>
        <w:t>), then the Conversion Price shall be decreased based on the following formula:</w:t>
      </w:r>
    </w:p>
    <w:p>
      <w:pPr>
        <w:pStyle w:val="TextBody"/>
        <w:bidi w:val="0"/>
        <w:spacing w:before="240" w:after="240"/>
        <w:jc w:val="both"/>
        <w:rPr/>
      </w:pPr>
      <w:r>
        <w:rPr/>
      </w:r>
    </w:p>
    <w:p>
      <w:pPr>
        <w:pStyle w:val="TextBody"/>
        <w:bidi w:val="0"/>
        <w:spacing w:before="240" w:after="240"/>
        <w:jc w:val="center"/>
        <w:rPr/>
      </w:pPr>
      <w:r>
        <w:rPr/>
        <w:drawing>
          <wp:inline distT="0" distB="0" distL="0" distR="0">
            <wp:extent cx="2152650" cy="381000"/>
            <wp:effectExtent l="0" t="0" r="0" b="0"/>
            <wp:docPr id="6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1" descr=""/>
                    <pic:cNvPicPr>
                      <a:picLocks noChangeAspect="1" noChangeArrowheads="1"/>
                    </pic:cNvPicPr>
                  </pic:nvPicPr>
                  <pic:blipFill>
                    <a:blip r:embed="rId12"/>
                    <a:stretch>
                      <a:fillRect/>
                    </a:stretch>
                  </pic:blipFill>
                  <pic:spPr bwMode="auto">
                    <a:xfrm>
                      <a:off x="0" y="0"/>
                      <a:ext cx="2152650" cy="381000"/>
                    </a:xfrm>
                    <a:prstGeom prst="rect">
                      <a:avLst/>
                    </a:prstGeom>
                  </pic:spPr>
                </pic:pic>
              </a:graphicData>
            </a:graphic>
          </wp:inline>
        </w:drawing>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where,</w:t>
      </w:r>
    </w:p>
    <w:p>
      <w:pPr>
        <w:pStyle w:val="TextBody"/>
        <w:bidi w:val="0"/>
        <w:spacing w:lineRule="auto" w:line="288" w:before="240" w:after="240"/>
        <w:ind w:left="0" w:right="0" w:hanging="1440"/>
        <w:jc w:val="both"/>
        <w:rPr/>
      </w:pPr>
      <w:r>
        <w:rPr/>
        <w:drawing>
          <wp:inline distT="0" distB="0" distL="0" distR="0">
            <wp:extent cx="323850" cy="180975"/>
            <wp:effectExtent l="0" t="0" r="0" b="0"/>
            <wp:docPr id="6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2" descr=""/>
                    <pic:cNvPicPr>
                      <a:picLocks noChangeAspect="1" noChangeArrowheads="1"/>
                    </pic:cNvPicPr>
                  </pic:nvPicPr>
                  <pic:blipFill>
                    <a:blip r:embed="rId13"/>
                    <a:stretch>
                      <a:fillRect/>
                    </a:stretch>
                  </pic:blipFill>
                  <pic:spPr bwMode="auto">
                    <a:xfrm>
                      <a:off x="0" y="0"/>
                      <a:ext cx="323850" cy="180975"/>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prior to the end of the Valuation Period;</w:t>
      </w:r>
    </w:p>
    <w:p>
      <w:pPr>
        <w:pStyle w:val="TextBody"/>
        <w:bidi w:val="0"/>
        <w:spacing w:lineRule="auto" w:line="288" w:before="240" w:after="240"/>
        <w:ind w:left="0" w:right="0" w:hanging="1440"/>
        <w:jc w:val="both"/>
        <w:rPr/>
      </w:pPr>
      <w:r>
        <w:rPr/>
        <w:drawing>
          <wp:inline distT="0" distB="0" distL="0" distR="0">
            <wp:extent cx="228600" cy="190500"/>
            <wp:effectExtent l="0" t="0" r="0" b="0"/>
            <wp:docPr id="6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3" descr=""/>
                    <pic:cNvPicPr>
                      <a:picLocks noChangeAspect="1" noChangeArrowheads="1"/>
                    </pic:cNvPicPr>
                  </pic:nvPicPr>
                  <pic:blipFill>
                    <a:blip r:embed="rId14"/>
                    <a:stretch>
                      <a:fillRect/>
                    </a:stretch>
                  </pic:blipFill>
                  <pic:spPr bwMode="auto">
                    <a:xfrm>
                      <a:off x="0" y="0"/>
                      <a:ext cx="228600" cy="190500"/>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after the end of the Valuation Period;</w:t>
      </w:r>
    </w:p>
    <w:p>
      <w:pPr>
        <w:pStyle w:val="TextBody"/>
        <w:bidi w:val="0"/>
        <w:spacing w:lineRule="auto" w:line="288" w:before="240" w:after="240"/>
        <w:ind w:left="0" w:right="0" w:hanging="1440"/>
        <w:jc w:val="both"/>
        <w:rPr/>
      </w:pPr>
      <w:r>
        <w:rPr/>
        <w:drawing>
          <wp:inline distT="0" distB="0" distL="0" distR="0">
            <wp:extent cx="400050" cy="171450"/>
            <wp:effectExtent l="0" t="0" r="0" b="0"/>
            <wp:docPr id="7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4" descr=""/>
                    <pic:cNvPicPr>
                      <a:picLocks noChangeAspect="1" noChangeArrowheads="1"/>
                    </pic:cNvPicPr>
                  </pic:nvPicPr>
                  <pic:blipFill>
                    <a:blip r:embed="rId15"/>
                    <a:stretch>
                      <a:fillRect/>
                    </a:stretch>
                  </pic:blipFill>
                  <pic:spPr bwMode="auto">
                    <a:xfrm>
                      <a:off x="0" y="0"/>
                      <a:ext cx="400050"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product of (x) the arithmetic average of the Daily VWAPs per share or unit of the Capital Stock or equity interests distributed to holders of the Common Stock (determined by reference to the definitions of Daily VWAP, Trading Day and Market Disruption Event as if references therein to Common Stock (or its securities exchange ticker) were instead references to such Capital Stock or similar equity interests (or its securities exchange ticker)) over the first 10 consecutive Trading Day period after, and including, the Ex-Dividend Date of the Spin-Off (the “</w:t>
      </w:r>
      <w:r>
        <w:rPr>
          <w:rFonts w:ascii="Times New Roman;sans-serif" w:hAnsi="Times New Roman;sans-serif"/>
          <w:b/>
          <w:color w:val="000000"/>
          <w:sz w:val="22"/>
        </w:rPr>
        <w:t>Valuation Period</w:t>
      </w:r>
      <w:r>
        <w:rPr>
          <w:color w:val="000000"/>
        </w:rPr>
        <w:t>”</w:t>
      </w:r>
      <w:r>
        <w:rPr>
          <w:rFonts w:ascii="Times New Roman;sans-serif" w:hAnsi="Times New Roman;sans-serif"/>
          <w:b w:val="false"/>
          <w:color w:val="000000"/>
          <w:sz w:val="22"/>
        </w:rPr>
        <w:t>); and (y) the number of shares or units of such Capital Stock or equity interests distributed per share of Common Stock in such Spin-Off; and</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lineRule="auto" w:line="288" w:before="240" w:after="240"/>
        <w:ind w:left="0" w:right="0" w:hanging="1440"/>
        <w:jc w:val="both"/>
        <w:rPr/>
      </w:pPr>
      <w:r>
        <w:rPr/>
        <w:drawing>
          <wp:inline distT="0" distB="0" distL="0" distR="0">
            <wp:extent cx="295275" cy="171450"/>
            <wp:effectExtent l="0" t="0" r="0" b="0"/>
            <wp:docPr id="7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5" descr=""/>
                    <pic:cNvPicPr>
                      <a:picLocks noChangeAspect="1" noChangeArrowheads="1"/>
                    </pic:cNvPicPr>
                  </pic:nvPicPr>
                  <pic:blipFill>
                    <a:blip r:embed="rId16"/>
                    <a:stretch>
                      <a:fillRect/>
                    </a:stretch>
                  </pic:blipFill>
                  <pic:spPr bwMode="auto">
                    <a:xfrm>
                      <a:off x="0" y="0"/>
                      <a:ext cx="295275"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arithmetic average of the Daily VWAPs of the Common Stock for each Trading Day in the Valuation Period.</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The decrease to the Conversion Price under the preceding paragraph shall occur at the close of business on the last Trading Day of the Valuation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respect of any conversion of Series B Convertible Preferred Stock,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Price for such conversion. To the extent any dividend or distribution of the type described above in this </w:t>
      </w:r>
      <w:r>
        <w:rPr>
          <w:rFonts w:ascii="Times New Roman;sans-serif" w:hAnsi="Times New Roman;sans-serif"/>
          <w:b/>
          <w:color w:val="000000"/>
          <w:sz w:val="22"/>
        </w:rPr>
        <w:t>Section 7.7(c)</w:t>
      </w:r>
      <w:r>
        <w:rPr>
          <w:color w:val="000000"/>
        </w:rPr>
        <w:t xml:space="preserve"> </w:t>
      </w:r>
      <w:r>
        <w:rPr>
          <w:rFonts w:ascii="Times New Roman;sans-serif" w:hAnsi="Times New Roman;sans-serif"/>
          <w:b w:val="false"/>
          <w:color w:val="000000"/>
          <w:sz w:val="22"/>
        </w:rPr>
        <w:t>is declared but not made or paid, the Conversion Price will be readjusted to the Conversion Price that would then be in effect had the adjustment been made on the basis of only the dividend or distribution, if any, actually made or paid.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Cash Dividends</w:t>
      </w:r>
      <w:r>
        <w:rPr>
          <w:rFonts w:ascii="Times New Roman;sans-serif" w:hAnsi="Times New Roman;sans-serif"/>
          <w:b w:val="false"/>
          <w:color w:val="000000"/>
          <w:sz w:val="22"/>
        </w:rPr>
        <w:t>. If any cash dividend or distribution is made to all or substantially all holders of the Common Stock, the Conversion Price shall be adjusted based on the following formula:</w:t>
      </w:r>
    </w:p>
    <w:p>
      <w:pPr>
        <w:pStyle w:val="TextBody"/>
        <w:bidi w:val="0"/>
        <w:spacing w:before="240" w:after="240"/>
        <w:jc w:val="both"/>
        <w:rPr/>
      </w:pPr>
      <w:r>
        <w:rPr/>
      </w:r>
    </w:p>
    <w:p>
      <w:pPr>
        <w:pStyle w:val="TextBody"/>
        <w:bidi w:val="0"/>
        <w:spacing w:before="240" w:after="240"/>
        <w:jc w:val="center"/>
        <w:rPr/>
      </w:pPr>
      <w:r>
        <w:rPr/>
        <w:drawing>
          <wp:inline distT="0" distB="0" distL="0" distR="0">
            <wp:extent cx="1647825" cy="381000"/>
            <wp:effectExtent l="0" t="0" r="0" b="0"/>
            <wp:docPr id="7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6" descr=""/>
                    <pic:cNvPicPr>
                      <a:picLocks noChangeAspect="1" noChangeArrowheads="1"/>
                    </pic:cNvPicPr>
                  </pic:nvPicPr>
                  <pic:blipFill>
                    <a:blip r:embed="rId17"/>
                    <a:stretch>
                      <a:fillRect/>
                    </a:stretch>
                  </pic:blipFill>
                  <pic:spPr bwMode="auto">
                    <a:xfrm>
                      <a:off x="0" y="0"/>
                      <a:ext cx="1647825" cy="381000"/>
                    </a:xfrm>
                    <a:prstGeom prst="rect">
                      <a:avLst/>
                    </a:prstGeom>
                  </pic:spPr>
                </pic:pic>
              </a:graphicData>
            </a:graphic>
          </wp:inline>
        </w:drawing>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where,</w:t>
      </w:r>
    </w:p>
    <w:p>
      <w:pPr>
        <w:pStyle w:val="TextBody"/>
        <w:bidi w:val="0"/>
        <w:spacing w:lineRule="auto" w:line="288" w:before="240" w:after="240"/>
        <w:ind w:left="0" w:right="0" w:hanging="1440"/>
        <w:jc w:val="both"/>
        <w:rPr/>
      </w:pPr>
      <w:r>
        <w:rPr/>
        <w:drawing>
          <wp:inline distT="0" distB="0" distL="0" distR="0">
            <wp:extent cx="276225" cy="171450"/>
            <wp:effectExtent l="0" t="0" r="0" b="0"/>
            <wp:docPr id="7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7" descr=""/>
                    <pic:cNvPicPr>
                      <a:picLocks noChangeAspect="1" noChangeArrowheads="1"/>
                    </pic:cNvPicPr>
                  </pic:nvPicPr>
                  <pic:blipFill>
                    <a:blip r:embed="rId18"/>
                    <a:stretch>
                      <a:fillRect/>
                    </a:stretch>
                  </pic:blipFill>
                  <pic:spPr bwMode="auto">
                    <a:xfrm>
                      <a:off x="0" y="0"/>
                      <a:ext cx="276225"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prior to the close of business on the Record Date for such dividend or distribution;</w:t>
      </w:r>
    </w:p>
    <w:p>
      <w:pPr>
        <w:pStyle w:val="TextBody"/>
        <w:bidi w:val="0"/>
        <w:spacing w:lineRule="auto" w:line="288" w:before="240" w:after="240"/>
        <w:ind w:left="0" w:right="0" w:hanging="1440"/>
        <w:jc w:val="both"/>
        <w:rPr/>
      </w:pPr>
      <w:r>
        <w:rPr/>
        <w:drawing>
          <wp:inline distT="0" distB="0" distL="0" distR="0">
            <wp:extent cx="228600" cy="190500"/>
            <wp:effectExtent l="0" t="0" r="0" b="0"/>
            <wp:docPr id="7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8" descr=""/>
                    <pic:cNvPicPr>
                      <a:picLocks noChangeAspect="1" noChangeArrowheads="1"/>
                    </pic:cNvPicPr>
                  </pic:nvPicPr>
                  <pic:blipFill>
                    <a:blip r:embed="rId19"/>
                    <a:stretch>
                      <a:fillRect/>
                    </a:stretch>
                  </pic:blipFill>
                  <pic:spPr bwMode="auto">
                    <a:xfrm>
                      <a:off x="0" y="0"/>
                      <a:ext cx="228600" cy="190500"/>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after the close of business on the Record Date for such dividend or distribution;</w:t>
      </w:r>
    </w:p>
    <w:p>
      <w:pPr>
        <w:pStyle w:val="TextBody"/>
        <w:bidi w:val="0"/>
        <w:spacing w:lineRule="auto" w:line="288" w:before="240" w:after="240"/>
        <w:ind w:left="0" w:right="0" w:hanging="1440"/>
        <w:jc w:val="both"/>
        <w:rPr/>
      </w:pPr>
      <w:r>
        <w:rPr/>
        <w:drawing>
          <wp:inline distT="0" distB="0" distL="0" distR="0">
            <wp:extent cx="266700" cy="171450"/>
            <wp:effectExtent l="0" t="0" r="0" b="0"/>
            <wp:docPr id="7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9" descr=""/>
                    <pic:cNvPicPr>
                      <a:picLocks noChangeAspect="1" noChangeArrowheads="1"/>
                    </pic:cNvPicPr>
                  </pic:nvPicPr>
                  <pic:blipFill>
                    <a:blip r:embed="rId20"/>
                    <a:stretch>
                      <a:fillRect/>
                    </a:stretch>
                  </pic:blipFill>
                  <pic:spPr bwMode="auto">
                    <a:xfrm>
                      <a:off x="0" y="0"/>
                      <a:ext cx="266700"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Closing Price of the Common Stock on the Trading Day immediately preceding the Ex-Dividend Date for such dividend or distribution; and</w:t>
      </w:r>
    </w:p>
    <w:p>
      <w:pPr>
        <w:pStyle w:val="TextBody"/>
        <w:bidi w:val="0"/>
        <w:spacing w:lineRule="auto" w:line="288" w:before="240" w:after="240"/>
        <w:ind w:left="0" w:right="0" w:hanging="1440"/>
        <w:jc w:val="both"/>
        <w:rPr>
          <w:rFonts w:ascii="Times New Roman;sans-serif" w:hAnsi="Times New Roman;sans-serif"/>
          <w:b w:val="false"/>
          <w:color w:val="000000"/>
          <w:sz w:val="22"/>
        </w:rPr>
      </w:pPr>
      <w:r>
        <w:rPr>
          <w:rFonts w:ascii="Times New Roman;sans-serif" w:hAnsi="Times New Roman;sans-serif"/>
          <w:b w:val="false"/>
          <w:color w:val="000000"/>
          <w:sz w:val="22"/>
        </w:rPr>
        <w:t>C    =    the amount in cash per share the Corporation distributes to all or substantially all holders of the Common Stock.</w:t>
      </w:r>
    </w:p>
    <w:p>
      <w:pPr>
        <w:pStyle w:val="TextBody"/>
        <w:bidi w:val="0"/>
        <w:spacing w:lineRule="auto" w:line="288" w:before="240" w:after="240"/>
        <w:jc w:val="both"/>
        <w:rPr/>
      </w:pPr>
      <w:r>
        <w:rPr>
          <w:rFonts w:ascii="Times New Roman;sans-serif" w:hAnsi="Times New Roman;sans-serif"/>
          <w:b w:val="false"/>
          <w:color w:val="000000"/>
          <w:sz w:val="22"/>
        </w:rPr>
        <w:t xml:space="preserve">Any decrease pursuant to this </w:t>
      </w:r>
      <w:r>
        <w:rPr>
          <w:rFonts w:ascii="Times New Roman;sans-serif" w:hAnsi="Times New Roman;sans-serif"/>
          <w:b/>
          <w:color w:val="000000"/>
          <w:sz w:val="22"/>
        </w:rPr>
        <w:t>Section 7.7(d)</w:t>
      </w:r>
      <w:r>
        <w:rPr>
          <w:color w:val="000000"/>
        </w:rPr>
        <w:t xml:space="preserve"> </w:t>
      </w:r>
      <w:r>
        <w:rPr>
          <w:rFonts w:ascii="Times New Roman;sans-serif" w:hAnsi="Times New Roman;sans-serif"/>
          <w:b w:val="false"/>
          <w:color w:val="000000"/>
          <w:sz w:val="22"/>
        </w:rPr>
        <w:t>shall become effective immediately after the close of business on the Record Date for such dividend or distribution. To the extent such dividend or distribution is not so paid, the Conversion Price shall be increased, effective as of the date the Board determines not to make or pay such dividend or distribution, to be the Conversion Price that would then be in effect had the adjustment been made on the basis of only the dividend or distribution, if any, actually made or paid. Notwithstanding the foregoing, if “C” (as defined above) is equal to or greater than “SPo” (as defined above), in lieu of the foregoing increase, each Holder of a Share shall receive, in respect of each such Share, at the same time and upon the same terms as holders of shares of the Common Stock, the amount of cash that such Holder would have received if such Holder owned a number of shares of Common Stock that such Share would have been convertible into at the Conversion Price in effect on the Record Date for the distribution.</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7"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Tender and Exchange Offers</w:t>
      </w:r>
      <w:r>
        <w:rPr>
          <w:rFonts w:ascii="Times New Roman;sans-serif" w:hAnsi="Times New Roman;sans-serif"/>
          <w:b w:val="false"/>
          <w:color w:val="000000"/>
          <w:sz w:val="22"/>
        </w:rPr>
        <w:t>. If the Corporation or any of its Subsidiaries make a payment in respect of a tender or exchange offer for the Common Stock (other than solely pursuant to an odd-lot tender offer pursuant to Rule 13e-4(h)(5) under the Exchange Act (or any successor rule)), to the extent that the cash and value of any other consideration included in the payment per share of the Common Stock (determined as of the expiration time of such offer by the Corporation in good faith) exceeds the Closing Price per share of the Common Stock on the Trading Day next succeeding the last date on which tenders or exchanges may be made pursuant to such tender or exchange offer (as it may be amended), then the Conversion Price shall be decreased based on the following formula:</w:t>
      </w:r>
    </w:p>
    <w:p>
      <w:pPr>
        <w:pStyle w:val="TextBody"/>
        <w:bidi w:val="0"/>
        <w:spacing w:before="240" w:after="240"/>
        <w:jc w:val="both"/>
        <w:rPr/>
      </w:pPr>
      <w:r>
        <w:rPr/>
      </w:r>
    </w:p>
    <w:p>
      <w:pPr>
        <w:pStyle w:val="TextBody"/>
        <w:bidi w:val="0"/>
        <w:spacing w:before="240" w:after="240"/>
        <w:jc w:val="center"/>
        <w:rPr/>
      </w:pPr>
      <w:r>
        <w:rPr/>
        <w:drawing>
          <wp:inline distT="0" distB="0" distL="0" distR="0">
            <wp:extent cx="2362200" cy="390525"/>
            <wp:effectExtent l="0" t="0" r="0" b="0"/>
            <wp:docPr id="7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0" descr=""/>
                    <pic:cNvPicPr>
                      <a:picLocks noChangeAspect="1" noChangeArrowheads="1"/>
                    </pic:cNvPicPr>
                  </pic:nvPicPr>
                  <pic:blipFill>
                    <a:blip r:embed="rId21"/>
                    <a:stretch>
                      <a:fillRect/>
                    </a:stretch>
                  </pic:blipFill>
                  <pic:spPr bwMode="auto">
                    <a:xfrm>
                      <a:off x="0" y="0"/>
                      <a:ext cx="2362200" cy="390525"/>
                    </a:xfrm>
                    <a:prstGeom prst="rect">
                      <a:avLst/>
                    </a:prstGeom>
                  </pic:spPr>
                </pic:pic>
              </a:graphicData>
            </a:graphic>
          </wp:inline>
        </w:drawing>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where,</w:t>
      </w:r>
    </w:p>
    <w:p>
      <w:pPr>
        <w:pStyle w:val="TextBody"/>
        <w:bidi w:val="0"/>
        <w:spacing w:lineRule="auto" w:line="288" w:before="240" w:after="240"/>
        <w:ind w:left="0" w:right="0" w:hanging="1440"/>
        <w:jc w:val="both"/>
        <w:rPr/>
      </w:pPr>
      <w:r>
        <w:rPr/>
        <w:drawing>
          <wp:inline distT="0" distB="0" distL="0" distR="0">
            <wp:extent cx="276225" cy="171450"/>
            <wp:effectExtent l="0" t="0" r="0" b="0"/>
            <wp:docPr id="7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1" descr=""/>
                    <pic:cNvPicPr>
                      <a:picLocks noChangeAspect="1" noChangeArrowheads="1"/>
                    </pic:cNvPicPr>
                  </pic:nvPicPr>
                  <pic:blipFill>
                    <a:blip r:embed="rId22"/>
                    <a:stretch>
                      <a:fillRect/>
                    </a:stretch>
                  </pic:blipFill>
                  <pic:spPr bwMode="auto">
                    <a:xfrm>
                      <a:off x="0" y="0"/>
                      <a:ext cx="276225"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prior to the close of business on the 10th Trading Day immediately following, and including, the Trading Day next succeeding the date such tender or exchange offer expires;</w:t>
      </w:r>
    </w:p>
    <w:p>
      <w:pPr>
        <w:pStyle w:val="TextBody"/>
        <w:bidi w:val="0"/>
        <w:spacing w:lineRule="auto" w:line="288" w:before="240" w:after="240"/>
        <w:ind w:left="0" w:right="0" w:hanging="1440"/>
        <w:jc w:val="both"/>
        <w:rPr/>
      </w:pPr>
      <w:r>
        <w:rPr/>
        <w:drawing>
          <wp:inline distT="0" distB="0" distL="0" distR="0">
            <wp:extent cx="228600" cy="190500"/>
            <wp:effectExtent l="0" t="0" r="0" b="0"/>
            <wp:docPr id="8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2" descr=""/>
                    <pic:cNvPicPr>
                      <a:picLocks noChangeAspect="1" noChangeArrowheads="1"/>
                    </pic:cNvPicPr>
                  </pic:nvPicPr>
                  <pic:blipFill>
                    <a:blip r:embed="rId23"/>
                    <a:stretch>
                      <a:fillRect/>
                    </a:stretch>
                  </pic:blipFill>
                  <pic:spPr bwMode="auto">
                    <a:xfrm>
                      <a:off x="0" y="0"/>
                      <a:ext cx="228600" cy="190500"/>
                    </a:xfrm>
                    <a:prstGeom prst="rect">
                      <a:avLst/>
                    </a:prstGeom>
                  </pic:spPr>
                </pic:pic>
              </a:graphicData>
            </a:graphic>
          </wp:inline>
        </w:drawing>
      </w:r>
      <w:r>
        <w:rPr>
          <w:color w:val="000000"/>
        </w:rPr>
        <w:t>    </w:t>
      </w:r>
      <w:r>
        <w:rPr>
          <w:rFonts w:ascii="Times New Roman;sans-serif" w:hAnsi="Times New Roman;sans-serif"/>
          <w:b w:val="false"/>
          <w:color w:val="000000"/>
          <w:sz w:val="22"/>
        </w:rPr>
        <w:t>=    the Conversion Price in effect immediately after the close of business on the 10th Trading Day immediately following, and including, the Trading Day next succeeding the date such tender or exchange offer expires;</w:t>
      </w:r>
    </w:p>
    <w:p>
      <w:pPr>
        <w:pStyle w:val="TextBody"/>
        <w:bidi w:val="0"/>
        <w:spacing w:lineRule="auto" w:line="288" w:before="240" w:after="240"/>
        <w:ind w:left="0" w:right="0" w:hanging="1440"/>
        <w:jc w:val="both"/>
        <w:rPr>
          <w:rFonts w:ascii="Times New Roman;sans-serif" w:hAnsi="Times New Roman;sans-serif"/>
          <w:b w:val="false"/>
          <w:color w:val="000000"/>
          <w:sz w:val="22"/>
        </w:rPr>
      </w:pPr>
      <w:r>
        <w:rPr>
          <w:rFonts w:ascii="Times New Roman;sans-serif" w:hAnsi="Times New Roman;sans-serif"/>
          <w:b w:val="false"/>
          <w:color w:val="000000"/>
          <w:sz w:val="22"/>
        </w:rPr>
        <w:t>AC    =    the aggregate value, as of the time such tender or exchange offer expires, of all cash and other consideration paid for shares of Common Stock purchased or exchanged in such tender or exchange offer (such aggregate value to be determined, other than with respect to cash, by the Corporation in good faith);</w:t>
      </w:r>
    </w:p>
    <w:p>
      <w:pPr>
        <w:pStyle w:val="TextBody"/>
        <w:bidi w:val="0"/>
        <w:spacing w:lineRule="auto" w:line="288" w:before="240" w:after="240"/>
        <w:ind w:left="0" w:right="0" w:hanging="1440"/>
        <w:jc w:val="both"/>
        <w:rPr/>
      </w:pPr>
      <w:r>
        <w:rPr/>
        <w:drawing>
          <wp:inline distT="0" distB="0" distL="0" distR="0">
            <wp:extent cx="295275" cy="171450"/>
            <wp:effectExtent l="0" t="0" r="0" b="0"/>
            <wp:docPr id="8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3" descr=""/>
                    <pic:cNvPicPr>
                      <a:picLocks noChangeAspect="1" noChangeArrowheads="1"/>
                    </pic:cNvPicPr>
                  </pic:nvPicPr>
                  <pic:blipFill>
                    <a:blip r:embed="rId24"/>
                    <a:stretch>
                      <a:fillRect/>
                    </a:stretch>
                  </pic:blipFill>
                  <pic:spPr bwMode="auto">
                    <a:xfrm>
                      <a:off x="0" y="0"/>
                      <a:ext cx="295275"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number of shares of Common Stock outstanding immediately prior to the time such tender or exchange offer expires (including all shares of Common Stock accepted for purchase or exchange in such tender or exchange offer);</w:t>
      </w:r>
    </w:p>
    <w:p>
      <w:pPr>
        <w:pStyle w:val="TextBody"/>
        <w:bidi w:val="0"/>
        <w:spacing w:lineRule="auto" w:line="288" w:before="240" w:after="240"/>
        <w:ind w:left="0" w:right="0" w:hanging="1440"/>
        <w:jc w:val="both"/>
        <w:rPr/>
      </w:pPr>
      <w:r>
        <w:rPr/>
        <w:drawing>
          <wp:inline distT="0" distB="0" distL="0" distR="0">
            <wp:extent cx="247650" cy="190500"/>
            <wp:effectExtent l="0" t="0" r="0" b="0"/>
            <wp:docPr id="8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4" descr=""/>
                    <pic:cNvPicPr>
                      <a:picLocks noChangeAspect="1" noChangeArrowheads="1"/>
                    </pic:cNvPicPr>
                  </pic:nvPicPr>
                  <pic:blipFill>
                    <a:blip r:embed="rId25"/>
                    <a:stretch>
                      <a:fillRect/>
                    </a:stretch>
                  </pic:blipFill>
                  <pic:spPr bwMode="auto">
                    <a:xfrm>
                      <a:off x="0" y="0"/>
                      <a:ext cx="247650" cy="190500"/>
                    </a:xfrm>
                    <a:prstGeom prst="rect">
                      <a:avLst/>
                    </a:prstGeom>
                  </pic:spPr>
                </pic:pic>
              </a:graphicData>
            </a:graphic>
          </wp:inline>
        </w:drawing>
      </w:r>
      <w:r>
        <w:rPr>
          <w:color w:val="000000"/>
        </w:rPr>
        <w:t>    </w:t>
      </w:r>
      <w:r>
        <w:rPr>
          <w:rFonts w:ascii="Times New Roman;sans-serif" w:hAnsi="Times New Roman;sans-serif"/>
          <w:b w:val="false"/>
          <w:color w:val="000000"/>
          <w:sz w:val="22"/>
        </w:rPr>
        <w:t>=    the number of shares of Common Stock outstanding immediately after the time such tender or exchange offer expires (excluding all shares of Common Stock accepted for purchase or exchange in such tender or exchange offer); and</w:t>
      </w:r>
    </w:p>
    <w:p>
      <w:pPr>
        <w:pStyle w:val="TextBody"/>
        <w:bidi w:val="0"/>
        <w:spacing w:lineRule="auto" w:line="288" w:before="240" w:after="240"/>
        <w:ind w:left="0" w:right="0" w:hanging="1440"/>
        <w:jc w:val="both"/>
        <w:rPr/>
      </w:pPr>
      <w:r>
        <w:rPr/>
        <w:drawing>
          <wp:inline distT="0" distB="0" distL="0" distR="0">
            <wp:extent cx="228600" cy="171450"/>
            <wp:effectExtent l="0" t="0" r="0" b="0"/>
            <wp:docPr id="8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5" descr=""/>
                    <pic:cNvPicPr>
                      <a:picLocks noChangeAspect="1" noChangeArrowheads="1"/>
                    </pic:cNvPicPr>
                  </pic:nvPicPr>
                  <pic:blipFill>
                    <a:blip r:embed="rId26"/>
                    <a:stretch>
                      <a:fillRect/>
                    </a:stretch>
                  </pic:blipFill>
                  <pic:spPr bwMode="auto">
                    <a:xfrm>
                      <a:off x="0" y="0"/>
                      <a:ext cx="228600" cy="171450"/>
                    </a:xfrm>
                    <a:prstGeom prst="rect">
                      <a:avLst/>
                    </a:prstGeom>
                  </pic:spPr>
                </pic:pic>
              </a:graphicData>
            </a:graphic>
          </wp:inline>
        </w:drawing>
      </w:r>
      <w:r>
        <w:rPr>
          <w:color w:val="000000"/>
        </w:rPr>
        <w:t>    </w:t>
      </w:r>
      <w:r>
        <w:rPr>
          <w:rFonts w:ascii="Times New Roman;sans-serif" w:hAnsi="Times New Roman;sans-serif"/>
          <w:b w:val="false"/>
          <w:color w:val="000000"/>
          <w:sz w:val="22"/>
        </w:rPr>
        <w:t>=    the arithmetic average of the Daily VWAPs of the Common Stock over the 10 consecutive Trading Day period commencing on, and including, the Trading Day next succeeding the date such tender or exchange offer expires.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The decrease to the Conversion Price under this </w:t>
      </w:r>
      <w:r>
        <w:rPr>
          <w:rFonts w:ascii="Times New Roman;sans-serif" w:hAnsi="Times New Roman;sans-serif"/>
          <w:b/>
          <w:color w:val="000000"/>
          <w:sz w:val="22"/>
        </w:rPr>
        <w:t>Section 7.7(e)</w:t>
      </w:r>
      <w:r>
        <w:rPr>
          <w:color w:val="000000"/>
        </w:rPr>
        <w:t xml:space="preserve"> </w:t>
      </w:r>
      <w:r>
        <w:rPr>
          <w:rFonts w:ascii="Times New Roman;sans-serif" w:hAnsi="Times New Roman;sans-serif"/>
          <w:b w:val="false"/>
          <w:color w:val="000000"/>
          <w:sz w:val="22"/>
        </w:rPr>
        <w:t xml:space="preserve">shall occur at the close of business on the 10th Trading Day immediately following, and including, the Trading Day next succeeding the date such tender or exchange offer expires;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respect of any conversion of Series B Convertible Preferred Stock, if the relevant Conversion Date occurs during the 10 Trading Days immediately following, and including, the Trading Day next succeeding the expiration date of any tender or exchange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Price for such conversion.</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Price will be readjusted to the Conversion Price that would then be in effect had the adjustment been made on the basis of only the purchases or exchanges of shares of Common Stock, if any, actually made, and not rescinded, in such tender or exchange offer.</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Adjustment for Reorganization Events</w:t>
      </w:r>
      <w:r>
        <w:rPr>
          <w:rFonts w:ascii="Times New Roman;sans-serif" w:hAnsi="Times New Roman;sans-serif"/>
          <w:b w:val="false"/>
          <w:color w:val="000000"/>
          <w:sz w:val="22"/>
        </w:rPr>
        <w:t>. If there shall occur any:</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consolidation, merger, combination or binding or statutory share exchange involving the Corporation;</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sale, lease or other transfer of all or substantially all of the assets of the Corporation and its Subsidiaries, taken as a whole, to any Person; or</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other similar event,</w:t>
      </w:r>
    </w:p>
    <w:p>
      <w:pPr>
        <w:pStyle w:val="TextBody"/>
        <w:bidi w:val="0"/>
        <w:spacing w:lineRule="auto" w:line="288" w:before="120" w:after="120"/>
        <w:jc w:val="both"/>
        <w:rPr/>
      </w:pPr>
      <w:r>
        <w:rPr>
          <w:rFonts w:ascii="Times New Roman;sans-serif" w:hAnsi="Times New Roman;sans-serif"/>
          <w:b w:val="false"/>
          <w:color w:val="000000"/>
          <w:sz w:val="22"/>
        </w:rPr>
        <w:t>in each case, as a result of which, the Common Stock is converted into, or is exchanged for, or represents solely the right to receive, other securities, cash or other property, or any combination of the foregoing (a “</w:t>
      </w:r>
      <w:r>
        <w:rPr>
          <w:rFonts w:ascii="Times New Roman;sans-serif" w:hAnsi="Times New Roman;sans-serif"/>
          <w:b/>
          <w:color w:val="000000"/>
          <w:sz w:val="22"/>
        </w:rPr>
        <w:t>Reorganization Event</w:t>
      </w:r>
      <w:r>
        <w:rPr>
          <w:color w:val="000000"/>
        </w:rPr>
        <w:t>”</w:t>
      </w:r>
      <w:r>
        <w:rPr>
          <w:rFonts w:ascii="Times New Roman;sans-serif" w:hAnsi="Times New Roman;sans-serif"/>
          <w:b w:val="false"/>
          <w:color w:val="000000"/>
          <w:sz w:val="22"/>
        </w:rPr>
        <w:t>), then following any such Reorganization Event, each share of Series B Convertible Preferred Stock shall remain outstanding and be convertible into the number, kind and amount of securities, cash or other property which a Holder would have received in such Reorganization Event had such Holder converted its shares of Series B Convertible Preferred Stock into the applicable number of shares of Common Stock immediately prior to the effective date of the Reorganization Event using the Conversion Price applicable immediately prior to the effective date of such Reorganization Event (the “</w:t>
      </w:r>
      <w:r>
        <w:rPr>
          <w:rFonts w:ascii="Times New Roman;sans-serif" w:hAnsi="Times New Roman;sans-serif"/>
          <w:b/>
          <w:color w:val="000000"/>
          <w:sz w:val="22"/>
        </w:rPr>
        <w:t>Reference Property</w:t>
      </w:r>
      <w:r>
        <w:rPr>
          <w:color w:val="000000"/>
        </w:rPr>
        <w:t>”</w:t>
      </w:r>
      <w:r>
        <w:rPr>
          <w:rFonts w:ascii="Times New Roman;sans-serif" w:hAnsi="Times New Roman;sans-serif"/>
          <w:b w:val="false"/>
          <w:color w:val="000000"/>
          <w:sz w:val="22"/>
        </w:rPr>
        <w:t xml:space="preserve">); and, in such case, appropriate adjustment shall be made in the application of the provisions set forth in this </w:t>
      </w:r>
      <w:r>
        <w:rPr>
          <w:rFonts w:ascii="Times New Roman;sans-serif" w:hAnsi="Times New Roman;sans-serif"/>
          <w:b/>
          <w:color w:val="000000"/>
          <w:sz w:val="22"/>
        </w:rPr>
        <w:t>Section 7.7</w:t>
      </w:r>
      <w:r>
        <w:rPr>
          <w:color w:val="000000"/>
        </w:rPr>
        <w:t xml:space="preserve"> </w:t>
      </w:r>
      <w:r>
        <w:rPr>
          <w:rFonts w:ascii="Times New Roman;sans-serif" w:hAnsi="Times New Roman;sans-serif"/>
          <w:b w:val="false"/>
          <w:color w:val="000000"/>
          <w:sz w:val="22"/>
        </w:rPr>
        <w:t xml:space="preserve">with respect to the rights and interests thereafter of the Holders, to the end that the provisions set forth in this </w:t>
      </w:r>
      <w:r>
        <w:rPr>
          <w:rFonts w:ascii="Times New Roman;sans-serif" w:hAnsi="Times New Roman;sans-serif"/>
          <w:b/>
          <w:color w:val="000000"/>
          <w:sz w:val="22"/>
        </w:rPr>
        <w:t>Section 7.7</w:t>
      </w:r>
      <w:r>
        <w:rPr>
          <w:color w:val="000000"/>
        </w:rPr>
        <w:t xml:space="preserve"> </w:t>
      </w:r>
      <w:r>
        <w:rPr>
          <w:rFonts w:ascii="Times New Roman;sans-serif" w:hAnsi="Times New Roman;sans-serif"/>
          <w:b w:val="false"/>
          <w:color w:val="000000"/>
          <w:sz w:val="22"/>
        </w:rPr>
        <w:t xml:space="preserve">(including provisions with respect to changes in and other adjustments of the Conversion Price, to the extent the Reference Property consists of property other than cash and the Holders do not participate, on an as-converted basis, in applicable events with respect thereto) and </w:t>
      </w:r>
      <w:r>
        <w:rPr>
          <w:rFonts w:ascii="Times New Roman;sans-serif" w:hAnsi="Times New Roman;sans-serif"/>
          <w:b/>
          <w:color w:val="000000"/>
          <w:sz w:val="22"/>
        </w:rPr>
        <w:t>Section 9</w:t>
      </w:r>
      <w:r>
        <w:rPr>
          <w:color w:val="000000"/>
        </w:rPr>
        <w:t xml:space="preserve"> </w:t>
      </w:r>
      <w:r>
        <w:rPr>
          <w:rFonts w:ascii="Times New Roman;sans-serif" w:hAnsi="Times New Roman;sans-serif"/>
          <w:b w:val="false"/>
          <w:color w:val="000000"/>
          <w:sz w:val="22"/>
        </w:rPr>
        <w:t xml:space="preserve">shall thereafter be applicable in relation to any shares of stock or other property thereafter deliverable upon the conversion of the Series B Convertible Preferred Stock. The Corporation (or any successor thereto) shall, no later than the Business Day after the effective date of such Reorganization Event, provide written notice to the Holders of such occurrence of such event and of the kind and amount of the cash, securities or other property that each share of Series B Convertible Preferred Stock will be convertible into under this </w:t>
      </w:r>
      <w:r>
        <w:rPr>
          <w:rFonts w:ascii="Times New Roman;sans-serif" w:hAnsi="Times New Roman;sans-serif"/>
          <w:b/>
          <w:color w:val="000000"/>
          <w:sz w:val="22"/>
        </w:rPr>
        <w:t>Section 7.7(f)</w:t>
      </w:r>
      <w:r>
        <w:rPr>
          <w:rFonts w:ascii="Times New Roman;sans-serif" w:hAnsi="Times New Roman;sans-serif"/>
          <w:b w:val="false"/>
          <w:color w:val="000000"/>
          <w:sz w:val="22"/>
        </w:rPr>
        <w:t xml:space="preserve">. Failure to deliver such notice shall not affect the operation of this </w:t>
      </w:r>
      <w:r>
        <w:rPr>
          <w:rFonts w:ascii="Times New Roman;sans-serif" w:hAnsi="Times New Roman;sans-serif"/>
          <w:b/>
          <w:color w:val="000000"/>
          <w:sz w:val="22"/>
        </w:rPr>
        <w:t>Section 7.7(f)</w:t>
      </w:r>
      <w:r>
        <w:rPr>
          <w:rFonts w:ascii="Times New Roman;sans-serif" w:hAnsi="Times New Roman;sans-serif"/>
          <w:b w:val="false"/>
          <w:color w:val="000000"/>
          <w:sz w:val="22"/>
        </w:rPr>
        <w:t xml:space="preserve">. The Corporation shall not enter into any agreement for a transaction constituting a Reorganization Event unless (i) such agreement provides for, or does not interfere with or prevent (as applicable), conversion of the Series B Convertible Preferred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 xml:space="preserve">Stock in a manner that is consistent with and gives effect to this </w:t>
      </w:r>
      <w:r>
        <w:rPr>
          <w:rFonts w:ascii="Times New Roman;sans-serif" w:hAnsi="Times New Roman;sans-serif"/>
          <w:b/>
          <w:color w:val="000000"/>
          <w:sz w:val="22"/>
        </w:rPr>
        <w:t>Section 7.7(f)</w:t>
      </w:r>
      <w:r>
        <w:rPr>
          <w:color w:val="000000"/>
        </w:rPr>
        <w:t xml:space="preserve"> </w:t>
      </w:r>
      <w:r>
        <w:rPr>
          <w:rFonts w:ascii="Times New Roman;sans-serif" w:hAnsi="Times New Roman;sans-serif"/>
          <w:b w:val="false"/>
          <w:color w:val="000000"/>
          <w:sz w:val="22"/>
        </w:rPr>
        <w:t>and (ii) to the extent that the Corporation is not the surviving corporation in such Reorganization Event or will be dissolved in connection with such Reorganization Event, proper provision shall be made (as determined by the Corporation in good faith) in the agreements governing such Reorganization Event for the conversion of the Series B Convertible Preferred Stock into the Reference Property and the assumption by such Person of the obligations of the Corporation under this Certificate of Designations.</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If the Reorganization Event causes the Common Stock to be converted into, or exchanged for, the right to receive more than a single type of consideration (determined based in part upon any form of stockholder election), then for the purposes of this </w:t>
      </w:r>
      <w:r>
        <w:rPr>
          <w:rFonts w:ascii="Times New Roman;sans-serif" w:hAnsi="Times New Roman;sans-serif"/>
          <w:b/>
          <w:color w:val="000000"/>
          <w:sz w:val="22"/>
        </w:rPr>
        <w:t>Section 7.7(f)</w:t>
      </w:r>
      <w:r>
        <w:rPr>
          <w:rFonts w:ascii="Times New Roman;sans-serif" w:hAnsi="Times New Roman;sans-serif"/>
          <w:b w:val="false"/>
          <w:color w:val="000000"/>
          <w:sz w:val="22"/>
        </w:rPr>
        <w:t>, the Reference Property into which the Series B Convertible Preferred Stock shall be convertible shall be deemed to be the weighted average of the types and amounts of consideration per share actually received by holders of Common Stock. The Corporation shall notify holders and the Transfer Agent of the weighted average as soon as practicable after such determination is made.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Stockholder Rights Plans</w:t>
      </w:r>
      <w:r>
        <w:rPr>
          <w:rFonts w:ascii="Times New Roman;sans-serif" w:hAnsi="Times New Roman;sans-serif"/>
          <w:b w:val="false"/>
          <w:color w:val="000000"/>
          <w:sz w:val="22"/>
        </w:rPr>
        <w:t xml:space="preserve">. If the Corporation has a stockholder rights plan in effect upon conversion of the Series B Convertible Preferred Stock, each share of Common Stock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Series B Convertible Preferred Stock, the rights have separated from the shares of Common Stock in accordance with the provisions of the applicable stockholder rights plan, the Conversion Price shall be adjusted at the time of separation as if the Corporation distributed to all or substantially all holders of the Common Stock Distributed Property as provided in </w:t>
      </w:r>
      <w:r>
        <w:rPr>
          <w:rFonts w:ascii="Times New Roman;sans-serif" w:hAnsi="Times New Roman;sans-serif"/>
          <w:b/>
          <w:color w:val="000000"/>
          <w:sz w:val="22"/>
        </w:rPr>
        <w:t>Section 7.7(c)</w:t>
      </w:r>
      <w:r>
        <w:rPr>
          <w:rFonts w:ascii="Times New Roman;sans-serif" w:hAnsi="Times New Roman;sans-serif"/>
          <w:b w:val="false"/>
          <w:color w:val="000000"/>
          <w:sz w:val="22"/>
        </w:rPr>
        <w:t>, subject to readjustment in the event of the expiration, termination or redemption of such rights.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Participating Dividends</w:t>
      </w:r>
      <w:r>
        <w:rPr>
          <w:rFonts w:ascii="Times New Roman;sans-serif" w:hAnsi="Times New Roman;sans-serif"/>
          <w:b w:val="false"/>
          <w:color w:val="000000"/>
          <w:sz w:val="22"/>
        </w:rPr>
        <w:t xml:space="preserve">. Without limitation of </w:t>
      </w:r>
      <w:r>
        <w:rPr>
          <w:rFonts w:ascii="Times New Roman;sans-serif" w:hAnsi="Times New Roman;sans-serif"/>
          <w:b/>
          <w:color w:val="000000"/>
          <w:sz w:val="22"/>
        </w:rPr>
        <w:t>Section 6.4</w:t>
      </w:r>
      <w:r>
        <w:rPr>
          <w:rFonts w:ascii="Times New Roman;sans-serif" w:hAnsi="Times New Roman;sans-serif"/>
          <w:b w:val="false"/>
          <w:color w:val="000000"/>
          <w:sz w:val="22"/>
        </w:rPr>
        <w:t>, in the event the Corporation shall make or issue, or, if earlier, fix a Record Date for the determination of holders of Common Stock entitled to receive, a dividend or distribution of cash or property (other than Common Stock) the Corporation shall simultaneously declare and pay a dividend in cash or such other property on the Series B Convertible Preferred Stock (each, a “</w:t>
      </w:r>
      <w:r>
        <w:rPr>
          <w:rFonts w:ascii="Times New Roman;sans-serif" w:hAnsi="Times New Roman;sans-serif"/>
          <w:b/>
          <w:color w:val="000000"/>
          <w:sz w:val="22"/>
        </w:rPr>
        <w:t>Participating Dividend</w:t>
      </w:r>
      <w:r>
        <w:rPr>
          <w:color w:val="000000"/>
        </w:rPr>
        <w:t>”</w:t>
      </w:r>
      <w:r>
        <w:rPr>
          <w:rFonts w:ascii="Times New Roman;sans-serif" w:hAnsi="Times New Roman;sans-serif"/>
          <w:b w:val="false"/>
          <w:color w:val="000000"/>
          <w:sz w:val="22"/>
        </w:rPr>
        <w:t xml:space="preserve">) on a pro rata basis with the Common Stock determined on an as-converted basis assuming all Series B Convertible Preferred Stock then outstanding had been converted pursuant to </w:t>
      </w:r>
      <w:r>
        <w:rPr>
          <w:rFonts w:ascii="Times New Roman;sans-serif" w:hAnsi="Times New Roman;sans-serif"/>
          <w:b/>
          <w:color w:val="000000"/>
          <w:sz w:val="22"/>
        </w:rPr>
        <w:t xml:space="preserve">Section 7 </w:t>
      </w:r>
      <w:r>
        <w:rPr>
          <w:rFonts w:ascii="Times New Roman;sans-serif" w:hAnsi="Times New Roman;sans-serif"/>
          <w:b w:val="false"/>
          <w:color w:val="000000"/>
          <w:sz w:val="22"/>
        </w:rPr>
        <w:t xml:space="preserve">(without regard to the limitations on convertibility set forth in the first sentence of </w:t>
      </w:r>
      <w:r>
        <w:rPr>
          <w:rFonts w:ascii="Times New Roman;sans-serif" w:hAnsi="Times New Roman;sans-serif"/>
          <w:b/>
          <w:color w:val="000000"/>
          <w:sz w:val="22"/>
        </w:rPr>
        <w:t>Section 7.1</w:t>
      </w:r>
      <w:r>
        <w:rPr>
          <w:rFonts w:ascii="Times New Roman;sans-serif" w:hAnsi="Times New Roman;sans-serif"/>
          <w:b w:val="false"/>
          <w:color w:val="000000"/>
          <w:sz w:val="22"/>
        </w:rPr>
        <w:t xml:space="preserve">, but subject to the other limitations set forth therein, including </w:t>
      </w:r>
      <w:r>
        <w:rPr>
          <w:rFonts w:ascii="Times New Roman;sans-serif" w:hAnsi="Times New Roman;sans-serif"/>
          <w:b/>
          <w:color w:val="000000"/>
          <w:sz w:val="22"/>
        </w:rPr>
        <w:t>Section 7.4(d)</w:t>
      </w:r>
      <w:r>
        <w:rPr>
          <w:rFonts w:ascii="Times New Roman;sans-serif" w:hAnsi="Times New Roman;sans-serif"/>
          <w:b w:val="false"/>
          <w:color w:val="000000"/>
          <w:sz w:val="22"/>
        </w:rPr>
        <w:t>) as of immediately prior to the Record Date of the applicable dividend (or if no Record Date is fixed, the date as of which the record holders of Common Stock entitled to such dividends are to be determined).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Rounding; Par Value</w:t>
      </w:r>
      <w:r>
        <w:rPr>
          <w:rFonts w:ascii="Times New Roman;sans-serif" w:hAnsi="Times New Roman;sans-serif"/>
          <w:b w:val="false"/>
          <w:color w:val="000000"/>
          <w:sz w:val="22"/>
        </w:rPr>
        <w:t xml:space="preserve">. All calculations under </w:t>
      </w:r>
      <w:r>
        <w:rPr>
          <w:rFonts w:ascii="Times New Roman;sans-serif" w:hAnsi="Times New Roman;sans-serif"/>
          <w:b/>
          <w:color w:val="000000"/>
          <w:sz w:val="22"/>
        </w:rPr>
        <w:t>Section 7</w:t>
      </w:r>
      <w:r>
        <w:rPr>
          <w:color w:val="000000"/>
        </w:rPr>
        <w:t xml:space="preserve"> </w:t>
      </w:r>
      <w:r>
        <w:rPr>
          <w:rFonts w:ascii="Times New Roman;sans-serif" w:hAnsi="Times New Roman;sans-serif"/>
          <w:b w:val="false"/>
          <w:color w:val="000000"/>
          <w:sz w:val="22"/>
        </w:rPr>
        <w:t>shall be made to the nearest 1/10,000th of a cent or to the nearest 1/10,000th of a share, as the case may be (with 5/100,000ths rounded upward). No adjustment in the Conversion Price shall reduce the Conversion Price below the then par value of the Common Stock.</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Adjustment Deferral</w:t>
      </w:r>
      <w:r>
        <w:rPr>
          <w:rFonts w:ascii="Times New Roman;sans-serif" w:hAnsi="Times New Roman;sans-serif"/>
          <w:b w:val="false"/>
          <w:color w:val="000000"/>
          <w:sz w:val="22"/>
        </w:rPr>
        <w:t xml:space="preserve">. If an adjustment to the Conversion Price otherwise required by this Certificate of Designations would result in a change of less than one percent (1%) to the Conversion Price, then the Corporation may, at its election, defer such adjustment, except that all such deferred adjustments must be given effect immediately upon the earliest of the following: (1) when all such deferred adjustments would result in a change of at least one percent (1%) to the Conversion Price; (2) the Conversion Date of any share of Series B Convertible Preferred Stock; (3) the effective date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Fundamental Change; (4) the date of any Redemption Notice; (5) the date of any Mandatory Conversion Notice; and (6) the occurrence of any vote of the stockholders of the Corporation.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Certificate as to Adjustment</w:t>
      </w:r>
      <w:r>
        <w:rPr>
          <w:rFonts w:ascii="Times New Roman;sans-serif" w:hAnsi="Times New Roman;sans-serif"/>
          <w:b w:val="false"/>
          <w:color w:val="000000"/>
          <w:sz w:val="22"/>
        </w:rPr>
        <w:t>.</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Promptly following any adjustment of the Conversion Price, the Corporation shall furnish to each Holder at the address specified for such Holder in the books and records of the Corporation (or at such other address as may be provided to the Corporation in writing by such Holder, which may be an electronic mail address) a certificate of an officer of the Corporation setting forth in reasonable detail such adjustment and the facts upon which it is based and certifying the calculation thereof.</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As promptly as reasonably practicable following the receipt by the Corporation of a written request by any Holder, but in any event not later than thirty (30) days thereafter, the Corporation shall furnish to such Holder a certificate of an officer of the Corporation certifying the Conversion Price then in effect and the number of Conversion Shares or the amount, if any, of other shares of stock, securities or assets then issuable to such Holder upon conversion of the shares of Series B Convertible Preferred Stock held by such Holder.</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In the event that the Corporation shall take a record of the holders of its Common Stock (or other Capital Stock or securities at the time issuable upon conversion of the Series B Convertible Preferred Stock)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then, unless the Corporation has previously publicly announced such information (including through filing such information with the SEC), the Corporation shall send or cause to be sent to each at the address specified for such Holder in the books and records of the Corporation (or at such other address as may be provided to the Corporation in writing by such Holder, which may be an electronic mail address) at least ten (10) calendar days prior to the applicable record date, the record date for such dividend, distribution, meeting or consent or other right or action, and a description of such dividend, distribution or other right or action to be taken at such meeting or by written consent.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Non-Circumvention</w:t>
      </w:r>
      <w:r>
        <w:rPr>
          <w:rFonts w:ascii="Times New Roman;sans-serif" w:hAnsi="Times New Roman;sans-serif"/>
          <w:b w:val="false"/>
          <w:color w:val="000000"/>
          <w:sz w:val="22"/>
        </w:rPr>
        <w:t xml:space="preserve">. For the avoidance of doubt, the adjustments provided in this </w:t>
      </w:r>
      <w:r>
        <w:rPr>
          <w:rFonts w:ascii="Times New Roman;sans-serif" w:hAnsi="Times New Roman;sans-serif"/>
          <w:b/>
          <w:color w:val="000000"/>
          <w:sz w:val="22"/>
        </w:rPr>
        <w:t xml:space="preserve">Section 7.7 </w:t>
      </w:r>
      <w:r>
        <w:rPr>
          <w:rFonts w:ascii="Times New Roman;sans-serif" w:hAnsi="Times New Roman;sans-serif"/>
          <w:b w:val="false"/>
          <w:color w:val="000000"/>
          <w:sz w:val="22"/>
        </w:rPr>
        <w:t>may not result in the Holders exceeding the Beneficial Ownership Limitation or, until such time as the Requisite Stockholder Approval has been obtained, the Conversion Share Cap per share of Series B Convertible Preferred Stock.</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Mandatory Conversion</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8.1    </w:t>
      </w:r>
      <w:r>
        <w:rPr>
          <w:rFonts w:ascii="Times New Roman;sans-serif" w:hAnsi="Times New Roman;sans-serif"/>
          <w:b w:val="false"/>
          <w:color w:val="000000"/>
          <w:sz w:val="22"/>
          <w:u w:val="single"/>
        </w:rPr>
        <w:t>Mandatory Conversion Event.</w:t>
      </w:r>
      <w:r>
        <w:rPr>
          <w:color w:val="000000"/>
        </w:rPr>
        <w:t xml:space="preserve"> </w:t>
      </w:r>
      <w:r>
        <w:rPr>
          <w:rFonts w:ascii="Times New Roman;sans-serif" w:hAnsi="Times New Roman;sans-serif"/>
          <w:b w:val="false"/>
          <w:color w:val="000000"/>
          <w:sz w:val="22"/>
        </w:rPr>
        <w:t>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the Common Stock Liquidity Conditions are satisfied, then the Corporation shall have the right (the “</w:t>
      </w:r>
      <w:r>
        <w:rPr>
          <w:rFonts w:ascii="Times New Roman;sans-serif" w:hAnsi="Times New Roman;sans-serif"/>
          <w:b/>
          <w:color w:val="000000"/>
          <w:sz w:val="22"/>
        </w:rPr>
        <w:t>Mandatory Conversion Right</w:t>
      </w:r>
      <w:r>
        <w:rPr>
          <w:color w:val="000000"/>
        </w:rPr>
        <w:t>”</w:t>
      </w:r>
      <w:r>
        <w:rPr>
          <w:rFonts w:ascii="Times New Roman;sans-serif" w:hAnsi="Times New Roman;sans-serif"/>
          <w:b w:val="false"/>
          <w:color w:val="000000"/>
          <w:sz w:val="22"/>
        </w:rPr>
        <w:t xml:space="preserve">), exercisable at its election, to cause all or any portion of the outstanding shares of Series B Convertible Preferred Stock to convert into Common Stock on the 10th Business Day following the delivery of the Mandatory Conversion Notice, at the effective applicable Conversion Price on such 10th Business Day in accordance with </w:t>
      </w:r>
      <w:r>
        <w:rPr>
          <w:rFonts w:ascii="Times New Roman;sans-serif" w:hAnsi="Times New Roman;sans-serif"/>
          <w:b/>
          <w:color w:val="000000"/>
          <w:sz w:val="22"/>
        </w:rPr>
        <w:t>Section 7</w:t>
      </w:r>
      <w:r>
        <w:rPr>
          <w:color w:val="000000"/>
        </w:rPr>
        <w:t xml:space="preserve"> </w:t>
      </w:r>
      <w:r>
        <w:rPr>
          <w:rFonts w:ascii="Times New Roman;sans-serif" w:hAnsi="Times New Roman;sans-serif"/>
          <w:b w:val="false"/>
          <w:color w:val="000000"/>
          <w:sz w:val="22"/>
        </w:rPr>
        <w:t>(such conversion, a “</w:t>
      </w:r>
      <w:r>
        <w:rPr>
          <w:rFonts w:ascii="Times New Roman;sans-serif" w:hAnsi="Times New Roman;sans-serif"/>
          <w:b/>
          <w:color w:val="000000"/>
          <w:sz w:val="22"/>
        </w:rPr>
        <w:t>Mandatory Conversion</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Corporation shall pay an additional amount per share of Series B Convertible Preferred Stock (payable in cash, shares of Common Stock valued based on the Relevant Price (with the number of shares of Common Stock rounded up to the nearest whole share of Common Stock) or a combination thereof, at the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Corporation’s election) equal to the greater of (x) the difference between (i) the Minimum Consideration as of the Relevant Date and (ii) the value (based on the Relevant Price) of the shares of Common Stock to be delivered upon such Mandatory Conversion without regard to this proviso and (y) zero.</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8.2    </w:t>
      </w:r>
      <w:r>
        <w:rPr>
          <w:rFonts w:ascii="Times New Roman;sans-serif" w:hAnsi="Times New Roman;sans-serif"/>
          <w:b w:val="false"/>
          <w:color w:val="000000"/>
          <w:sz w:val="22"/>
          <w:u w:val="single"/>
        </w:rPr>
        <w:t>Procedural Requirements</w:t>
      </w:r>
      <w:r>
        <w:rPr>
          <w:rFonts w:ascii="Times New Roman;sans-serif" w:hAnsi="Times New Roman;sans-serif"/>
          <w:b w:val="false"/>
          <w:color w:val="000000"/>
          <w:sz w:val="22"/>
        </w:rPr>
        <w:t xml:space="preserve">. If the Corporation elects to exercise the Mandatory Conversion Right, all Holders of the Series B Convertible Preferred Stock subject to such Mandatory Conversion shall be sent written notice of the Corporation’s exercise of the Mandatory Conversion Right, the Mandatory Conversion Time, the calculation of any additional amount payable pursuant to the proviso to </w:t>
      </w:r>
      <w:r>
        <w:rPr>
          <w:rFonts w:ascii="Times New Roman;sans-serif" w:hAnsi="Times New Roman;sans-serif"/>
          <w:b/>
          <w:color w:val="000000"/>
          <w:sz w:val="22"/>
        </w:rPr>
        <w:t>Section 8.1</w:t>
      </w:r>
      <w:r>
        <w:rPr>
          <w:color w:val="000000"/>
        </w:rPr>
        <w:t xml:space="preserve"> </w:t>
      </w:r>
      <w:r>
        <w:rPr>
          <w:rFonts w:ascii="Times New Roman;sans-serif" w:hAnsi="Times New Roman;sans-serif"/>
          <w:b w:val="false"/>
          <w:color w:val="000000"/>
          <w:sz w:val="22"/>
        </w:rPr>
        <w:t xml:space="preserve">and the proportion of such additional amount to be paid in cash and the proportion to be paid in shares of Common Stock and the place designated for Mandatory Conversion of such shares of Series B Convertible Preferred Stock pursuant to this </w:t>
      </w:r>
      <w:r>
        <w:rPr>
          <w:rFonts w:ascii="Times New Roman;sans-serif" w:hAnsi="Times New Roman;sans-serif"/>
          <w:b/>
          <w:color w:val="000000"/>
          <w:sz w:val="22"/>
        </w:rPr>
        <w:t>Section 8.2</w:t>
      </w:r>
      <w:r>
        <w:rPr>
          <w:color w:val="000000"/>
        </w:rPr>
        <w:t xml:space="preserve"> </w:t>
      </w:r>
      <w:r>
        <w:rPr>
          <w:rFonts w:ascii="Times New Roman;sans-serif" w:hAnsi="Times New Roman;sans-serif"/>
          <w:b w:val="false"/>
          <w:color w:val="000000"/>
          <w:sz w:val="22"/>
        </w:rPr>
        <w:t>(such notice, the “</w:t>
      </w:r>
      <w:r>
        <w:rPr>
          <w:rFonts w:ascii="Times New Roman;sans-serif" w:hAnsi="Times New Roman;sans-serif"/>
          <w:b/>
          <w:color w:val="000000"/>
          <w:sz w:val="22"/>
        </w:rPr>
        <w:t>Mandatory Conversion Notice</w:t>
      </w:r>
      <w:r>
        <w:rPr>
          <w:color w:val="000000"/>
        </w:rPr>
        <w:t>”</w:t>
      </w:r>
      <w:r>
        <w:rPr>
          <w:rFonts w:ascii="Times New Roman;sans-serif" w:hAnsi="Times New Roman;sans-serif"/>
          <w:b w:val="false"/>
          <w:color w:val="000000"/>
          <w:sz w:val="22"/>
        </w:rPr>
        <w:t>) (including to or through DTC and the Transfer Agent, if applicable). The Corporation shall send such notice setting forth the details and time for such conversion (the time of such conversion, the “</w:t>
      </w:r>
      <w:r>
        <w:rPr>
          <w:rFonts w:ascii="Times New Roman;sans-serif" w:hAnsi="Times New Roman;sans-serif"/>
          <w:b/>
          <w:color w:val="000000"/>
          <w:sz w:val="22"/>
        </w:rPr>
        <w:t>Mandatory Conversion Time</w:t>
      </w:r>
      <w:r>
        <w:rPr>
          <w:color w:val="000000"/>
        </w:rPr>
        <w:t>”</w:t>
      </w:r>
      <w:r>
        <w:rPr>
          <w:rFonts w:ascii="Times New Roman;sans-serif" w:hAnsi="Times New Roman;sans-serif"/>
          <w:b w:val="false"/>
          <w:color w:val="000000"/>
          <w:sz w:val="22"/>
        </w:rPr>
        <w:t xml:space="preserve">, and the date of which shall constitute a Conversion Date in respect of the Mandatory Conversion) within fifteen (15) Business Days following the completion of the applicable thirty (30) Trading Day period referred to in </w:t>
      </w:r>
      <w:r>
        <w:rPr>
          <w:rFonts w:ascii="Times New Roman;sans-serif" w:hAnsi="Times New Roman;sans-serif"/>
          <w:b/>
          <w:color w:val="000000"/>
          <w:sz w:val="22"/>
        </w:rPr>
        <w:t>Section 8.1</w:t>
      </w:r>
      <w:r>
        <w:rPr>
          <w:rFonts w:ascii="Times New Roman;sans-serif" w:hAnsi="Times New Roman;sans-serif"/>
          <w:b w:val="false"/>
          <w:color w:val="000000"/>
          <w:sz w:val="22"/>
        </w:rPr>
        <w:t xml:space="preserve">. Prior to the Mandatory Conversion Time specified in the Mandatory Conversion Notice, each Holder shall surrender its certificate or certificates (if any) for all such shares (or, if such Holder alleges that any such certificate has been lost, stolen or destroyed, a lost certificate affidavit and bond of indemnity, if requested, in each case reasonably satisfactory to the Corporation) to the Corporation at the place designated in such notice (or comply with the applicable delivery procedures of the Transfer Agent and DTC, if applicable). If so required by the Corporation, certificates surrendered for conversion shall be endorsed or accompanied by written instrument or instruments of transfer, in form reasonably satisfactory to the Corporation, duly executed by the Holder or such Holder’s attorney duly authorized in writing. All rights with respect to the shares of Series B Convertible Preferred Stock converted pursuant to </w:t>
      </w:r>
      <w:r>
        <w:rPr>
          <w:rFonts w:ascii="Times New Roman;sans-serif" w:hAnsi="Times New Roman;sans-serif"/>
          <w:b/>
          <w:color w:val="000000"/>
          <w:sz w:val="22"/>
        </w:rPr>
        <w:t>Section 8.1</w:t>
      </w:r>
      <w:r>
        <w:rPr>
          <w:rFonts w:ascii="Times New Roman;sans-serif" w:hAnsi="Times New Roman;sans-serif"/>
          <w:b w:val="false"/>
          <w:color w:val="000000"/>
          <w:sz w:val="22"/>
        </w:rPr>
        <w:t xml:space="preserve">, including the rights to receive notices and vote (other than as a holder of Common Stock), will terminate at the Mandatory Conversion Time (notwithstanding the failure of the Holder or Holders thereof to surrender the certificates at or prior to such time or comply with the applicable procedures of the Transfer Agent and DTC), except only the rights of the Holders thereof, upon surrender of their certificate or certificates (or lost certificate affidavit) therefor or compliance with the applicable procedures of the Transfer Agent and DTC, as applicable, to receive the items provided for in the next sentence of this </w:t>
      </w:r>
      <w:r>
        <w:rPr>
          <w:rFonts w:ascii="Times New Roman;sans-serif" w:hAnsi="Times New Roman;sans-serif"/>
          <w:b/>
          <w:color w:val="000000"/>
          <w:sz w:val="22"/>
        </w:rPr>
        <w:t>Section 8.2</w:t>
      </w:r>
      <w:r>
        <w:rPr>
          <w:rFonts w:ascii="Times New Roman;sans-serif" w:hAnsi="Times New Roman;sans-serif"/>
          <w:b w:val="false"/>
          <w:color w:val="000000"/>
          <w:sz w:val="22"/>
        </w:rPr>
        <w:t xml:space="preserve">. As soon as practicable after the Mandatory Conversion Time but no later than the Share Delivery Date, the Corporation shall deliver, or cause to be delivered (in certificated form or through the facilities of the Transfer Agent or DTC, as applicable), to the Holder, or to its nominees, the number of full shares of Common Stock being acquired upon the conversion of the Series B Convertible Preferred Stock pursuant to this </w:t>
      </w:r>
      <w:r>
        <w:rPr>
          <w:rFonts w:ascii="Times New Roman;sans-serif" w:hAnsi="Times New Roman;sans-serif"/>
          <w:b/>
          <w:color w:val="000000"/>
          <w:sz w:val="22"/>
        </w:rPr>
        <w:t>Section 8.2</w:t>
      </w:r>
      <w:r>
        <w:rPr>
          <w:color w:val="000000"/>
        </w:rPr>
        <w:t xml:space="preserve"> </w:t>
      </w:r>
      <w:r>
        <w:rPr>
          <w:rFonts w:ascii="Times New Roman;sans-serif" w:hAnsi="Times New Roman;sans-serif"/>
          <w:b w:val="false"/>
          <w:color w:val="000000"/>
          <w:sz w:val="22"/>
        </w:rPr>
        <w:t xml:space="preserve">based on the Accrued Value as of such date as determined in accordance with this Certificate of Designations, together with any additional amount payable in cash or shares of Common Stock pursuant to the proviso to </w:t>
      </w:r>
      <w:r>
        <w:rPr>
          <w:rFonts w:ascii="Times New Roman;sans-serif" w:hAnsi="Times New Roman;sans-serif"/>
          <w:b/>
          <w:color w:val="000000"/>
          <w:sz w:val="22"/>
        </w:rPr>
        <w:t>Section 8.1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the foregoing, if the Corporation elects to deliver shares of its Common Stock in satisfaction of any additional amount payable pursuant to </w:t>
      </w:r>
      <w:r>
        <w:rPr>
          <w:rFonts w:ascii="Times New Roman;sans-serif" w:hAnsi="Times New Roman;sans-serif"/>
          <w:b/>
          <w:color w:val="000000"/>
          <w:sz w:val="22"/>
        </w:rPr>
        <w:t>Section 8.1</w:t>
      </w:r>
      <w:r>
        <w:rPr>
          <w:rFonts w:ascii="Times New Roman;sans-serif" w:hAnsi="Times New Roman;sans-serif"/>
          <w:b w:val="false"/>
          <w:color w:val="000000"/>
          <w:sz w:val="22"/>
        </w:rPr>
        <w:t>, subject to the listing rules of any stock exchange on which the Common Stock may then be listed, the Corporation will use commercially reasonable efforts to deliver to the relevant Holder such Common Stock by the Share Delivery Date but shall not be in breach of its obligation to deliver such Common Stock for any purposes hereunder until such time as the minimum notice required under such listing rules following determination of the number of shares deliverable shall have lapsed. Such converted Series B Convertible Preferred Stock shall be retired and cancelled and may not be reissued as shares of such series, and the Corporation may thereafter take such appropriate action (without the need for stockholder action) as may be necessary to reduce the authorized number of shares of Series B Convertible Preferred Stock accordingly and restore such shares to the status of authorized but unissued shares of Preferred Stock.</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8.3    </w:t>
      </w:r>
      <w:r>
        <w:rPr>
          <w:rFonts w:ascii="Times New Roman;sans-serif" w:hAnsi="Times New Roman;sans-serif"/>
          <w:b w:val="false"/>
          <w:color w:val="000000"/>
          <w:sz w:val="22"/>
          <w:u w:val="single"/>
        </w:rPr>
        <w:t>Partial Mandatory Conversion</w:t>
      </w:r>
      <w:r>
        <w:rPr>
          <w:rFonts w:ascii="Times New Roman;sans-serif" w:hAnsi="Times New Roman;sans-serif"/>
          <w:b w:val="false"/>
          <w:color w:val="000000"/>
          <w:sz w:val="22"/>
        </w:rPr>
        <w:t>. In the event that the Mandatory Conversion Right is exercised with respect to shares of Series B Convertible Preferred Stock representing less than all the shares of Series B Convertible Preferred Stock outstanding at such time, the shares to be converted shall be converted by the Corporation or the Transfer Agent on a pro rata basis based on the then-outstanding shares of Series B Convertible Preferred Stock or, if applicable, in accordance with the applicable procedures of DTC.</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Fundamental Change</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9.1    </w:t>
      </w:r>
      <w:r>
        <w:rPr>
          <w:rFonts w:ascii="Times New Roman;sans-serif" w:hAnsi="Times New Roman;sans-serif"/>
          <w:b w:val="false"/>
          <w:color w:val="000000"/>
          <w:sz w:val="22"/>
          <w:u w:val="single"/>
        </w:rPr>
        <w:t>Offer to Repurchase</w:t>
      </w:r>
      <w:r>
        <w:rPr>
          <w:rFonts w:ascii="Times New Roman;sans-serif" w:hAnsi="Times New Roman;sans-serif"/>
          <w:b w:val="false"/>
          <w:color w:val="000000"/>
          <w:sz w:val="22"/>
        </w:rPr>
        <w:t>. In connection with any Fundamental Change, the Corporation shall make an offer to repurchase, at the option and election of the holder thereof, each share of Series B Convertible Preferred Stock then-outstanding (the “</w:t>
      </w:r>
      <w:r>
        <w:rPr>
          <w:rFonts w:ascii="Times New Roman;sans-serif" w:hAnsi="Times New Roman;sans-serif"/>
          <w:b/>
          <w:color w:val="000000"/>
          <w:sz w:val="22"/>
        </w:rPr>
        <w:t>Fundamental Change Repurchase Offer</w:t>
      </w:r>
      <w:r>
        <w:rPr>
          <w:color w:val="000000"/>
        </w:rPr>
        <w:t>”</w:t>
      </w:r>
      <w:r>
        <w:rPr>
          <w:rFonts w:ascii="Times New Roman;sans-serif" w:hAnsi="Times New Roman;sans-serif"/>
          <w:b w:val="false"/>
          <w:color w:val="000000"/>
          <w:sz w:val="22"/>
        </w:rPr>
        <w:t>) at a purchase price per Share (such amount being the “</w:t>
      </w:r>
      <w:r>
        <w:rPr>
          <w:rFonts w:ascii="Times New Roman;sans-serif" w:hAnsi="Times New Roman;sans-serif"/>
          <w:b/>
          <w:color w:val="000000"/>
          <w:sz w:val="22"/>
        </w:rPr>
        <w:t>Fundamental Change Repurchase Price</w:t>
      </w:r>
      <w:r>
        <w:rPr>
          <w:color w:val="000000"/>
        </w:rPr>
        <w:t>”</w:t>
      </w:r>
      <w:r>
        <w:rPr>
          <w:rFonts w:ascii="Times New Roman;sans-serif" w:hAnsi="Times New Roman;sans-serif"/>
          <w:b w:val="false"/>
          <w:color w:val="000000"/>
          <w:sz w:val="22"/>
        </w:rPr>
        <w:t xml:space="preserve">) equal to the greater of (x) the Minimum Consideration as of the Fundamental Change Repurchase Date and (y) an amount equal to the value a Holder would have received if they had converted a Share into shares of Common Stock on the Business Day immediately before the Fundamental Change Repurchase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Fundamental Change Repurchase Price may be paid in cash, shares of Common Stock (or other securities to be received by a holder of Common Stock in such Fundamental Change) valued based on the Relevant Price (with the number of shares of Common Stock rounded up to the nearest whole share of Common Stock) or a combination thereof, at the Corporation’s election;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the Corporation may not elect to deliver shares of its Common Stock (or other securities to be received by a holder of Common Stock in such Fundamental Change) in partial or full satisfaction of the Fundamental Change Repurchase Price, as the case may be, if the Common Stock Liquidity Conditions are not satisfied (determined, in the case of other securities, by replacing references therein to “</w:t>
      </w:r>
      <w:r>
        <w:rPr>
          <w:rFonts w:ascii="Times New Roman;sans-serif" w:hAnsi="Times New Roman;sans-serif"/>
          <w:b/>
          <w:color w:val="000000"/>
          <w:sz w:val="22"/>
        </w:rPr>
        <w:t>Common Stock</w:t>
      </w:r>
      <w:r>
        <w:rPr>
          <w:color w:val="000000"/>
        </w:rPr>
        <w:t xml:space="preserve">” </w:t>
      </w:r>
      <w:r>
        <w:rPr>
          <w:rFonts w:ascii="Times New Roman;sans-serif" w:hAnsi="Times New Roman;sans-serif"/>
          <w:b w:val="false"/>
          <w:color w:val="000000"/>
          <w:sz w:val="22"/>
        </w:rPr>
        <w:t xml:space="preserve">with “such securities”)). The Fundamental Change Repurchase Offer must be made in the Fundamental Change Notice delivered pursuant to </w:t>
      </w:r>
      <w:r>
        <w:rPr>
          <w:rFonts w:ascii="Times New Roman;sans-serif" w:hAnsi="Times New Roman;sans-serif"/>
          <w:b/>
          <w:color w:val="000000"/>
          <w:sz w:val="22"/>
        </w:rPr>
        <w:t>Section 9.2</w:t>
      </w:r>
      <w:r>
        <w:rPr>
          <w:color w:val="000000"/>
        </w:rPr>
        <w:t xml:space="preserve"> </w:t>
      </w:r>
      <w:r>
        <w:rPr>
          <w:rFonts w:ascii="Times New Roman;sans-serif" w:hAnsi="Times New Roman;sans-serif"/>
          <w:b w:val="false"/>
          <w:color w:val="000000"/>
          <w:sz w:val="22"/>
        </w:rPr>
        <w:t>and shall become irrevocable from the date thereof.</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9.2    </w:t>
      </w:r>
      <w:r>
        <w:rPr>
          <w:rFonts w:ascii="Times New Roman;sans-serif" w:hAnsi="Times New Roman;sans-serif"/>
          <w:b w:val="false"/>
          <w:color w:val="000000"/>
          <w:sz w:val="22"/>
          <w:u w:val="single"/>
        </w:rPr>
        <w:t>Notice of Repurchase</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 xml:space="preserve">(a)    The Corporation shall provide notice of any repurchases offered by the Corporation under </w:t>
      </w:r>
      <w:r>
        <w:rPr>
          <w:rFonts w:ascii="Times New Roman;sans-serif" w:hAnsi="Times New Roman;sans-serif"/>
          <w:b/>
          <w:color w:val="000000"/>
          <w:sz w:val="22"/>
        </w:rPr>
        <w:t>Section 9.1</w:t>
      </w:r>
      <w:r>
        <w:rPr>
          <w:color w:val="000000"/>
        </w:rPr>
        <w:t xml:space="preserve"> </w:t>
      </w:r>
      <w:r>
        <w:rPr>
          <w:rFonts w:ascii="Times New Roman;sans-serif" w:hAnsi="Times New Roman;sans-serif"/>
          <w:b w:val="false"/>
          <w:color w:val="000000"/>
          <w:sz w:val="22"/>
        </w:rPr>
        <w:t xml:space="preserve">by delivering to the applicable Holder (including notice to or through DTC, if applicable) a written notice in accordance with </w:t>
      </w:r>
      <w:r>
        <w:rPr>
          <w:rFonts w:ascii="Times New Roman;sans-serif" w:hAnsi="Times New Roman;sans-serif"/>
          <w:b/>
          <w:color w:val="000000"/>
          <w:sz w:val="22"/>
        </w:rPr>
        <w:t>Section 9.2(b)</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Fundamental Change Notice</w:t>
      </w:r>
      <w:r>
        <w:rPr>
          <w:color w:val="000000"/>
        </w:rPr>
        <w:t>”</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 xml:space="preserve">(b)    The Fundamental Change Notice shall specify (i) the time and place of repurchase and the applicable Fundamental Change Repurchase Price for the Series B Convertible Preferred Stock (or the method of determination therefor, and an illustrative calculation of such amount as if the date of the Fundamental Change Notice were the Relevant Date), (ii) the Holder’s Conversion Rights pursuant to </w:t>
      </w:r>
      <w:r>
        <w:rPr>
          <w:rFonts w:ascii="Times New Roman;sans-serif" w:hAnsi="Times New Roman;sans-serif"/>
          <w:b/>
          <w:color w:val="000000"/>
          <w:sz w:val="22"/>
        </w:rPr>
        <w:t>Section 7</w:t>
      </w:r>
      <w:r>
        <w:rPr>
          <w:color w:val="000000"/>
        </w:rPr>
        <w:t xml:space="preserve"> </w:t>
      </w:r>
      <w:r>
        <w:rPr>
          <w:rFonts w:ascii="Times New Roman;sans-serif" w:hAnsi="Times New Roman;sans-serif"/>
          <w:b w:val="false"/>
          <w:color w:val="000000"/>
          <w:sz w:val="22"/>
        </w:rPr>
        <w:t xml:space="preserve">hereof, and (iii) the proportion of the Fundamental Change Repurchase Price the Company proposes to be paid in cash and the proportion to be paid in shares of Common Stock, and shall be delivered to each Holder at the address for such Holder last shown on the records of the Transfer Agent therefor (or such other address provided in writing by such Holder, which may be an electronic mail address), on or before the thirtieth (30th) calendar day prior to the effective date of a Fundamental Change (or if later, and subject to this </w:t>
      </w:r>
      <w:r>
        <w:rPr>
          <w:rFonts w:ascii="Times New Roman;sans-serif" w:hAnsi="Times New Roman;sans-serif"/>
          <w:b/>
          <w:color w:val="000000"/>
          <w:sz w:val="22"/>
        </w:rPr>
        <w:t>Section 9</w:t>
      </w:r>
      <w:r>
        <w:rPr>
          <w:rFonts w:ascii="Times New Roman;sans-serif" w:hAnsi="Times New Roman;sans-serif"/>
          <w:b w:val="false"/>
          <w:color w:val="000000"/>
          <w:sz w:val="22"/>
        </w:rPr>
        <w:t xml:space="preserve">, promptly after the Corporation discovers a Fundamental Change may occur). Promptly after the close of trading on the second Trading Day prior to the Fundamental Change Repurchase Date, the Company will deliver to the Holders a notice setting forth (x) the calculation of the Fundamental Change Repurchase Price and (y) the proportion of the Fundamental Change Repurchase Price the Company to be paid in cash and the proportion to be paid in shares of Common Stock, which may only be changed from the proposed proportions set forth in the Fundamental Change Notice if there is a material difference between the Fundamental Change Repurchase Price and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the illustrative calculation of the Fundamental Change Repurchase Price set forth in the Fundamental Change Notice. The “</w:t>
      </w:r>
      <w:r>
        <w:rPr>
          <w:rFonts w:ascii="Times New Roman;sans-serif" w:hAnsi="Times New Roman;sans-serif"/>
          <w:b/>
          <w:color w:val="000000"/>
          <w:sz w:val="22"/>
        </w:rPr>
        <w:t>Fundamental Change Repurchase Date</w:t>
      </w:r>
      <w:r>
        <w:rPr>
          <w:color w:val="000000"/>
        </w:rPr>
        <w:t xml:space="preserve">” </w:t>
      </w:r>
      <w:r>
        <w:rPr>
          <w:rFonts w:ascii="Times New Roman;sans-serif" w:hAnsi="Times New Roman;sans-serif"/>
          <w:b w:val="false"/>
          <w:color w:val="000000"/>
          <w:sz w:val="22"/>
        </w:rPr>
        <w:t>shall occur on the date of consummation of the Fundamental Change or, solely in the case of the Corporation discovering a Fundamental Change may occur following the thirtieth (30th) calendar day prior to the effective date thereof, if such notice is received by the holders of Series B Preferred Stock less than fifteen (15) Business Days prior to the consummation of such Fundamental Change, within fifteen (15) Business Days after the consummation of such Fundamental Change (or, if later in the case of a Fundamental Change described in clause (a) of the definition thereof, within fifteen (15) Business Days after the date on which the Corporation shall discover the occurrence of such Fundamental Change).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9.3    </w:t>
      </w:r>
      <w:r>
        <w:rPr>
          <w:rFonts w:ascii="Times New Roman;sans-serif" w:hAnsi="Times New Roman;sans-serif"/>
          <w:b w:val="false"/>
          <w:color w:val="000000"/>
          <w:sz w:val="22"/>
          <w:u w:val="single"/>
        </w:rPr>
        <w:t>Payment of Fundamental Change Repurchase Price</w:t>
      </w:r>
      <w:r>
        <w:rPr>
          <w:rFonts w:ascii="Times New Roman;sans-serif" w:hAnsi="Times New Roman;sans-serif"/>
          <w:b w:val="false"/>
          <w:color w:val="000000"/>
          <w:sz w:val="22"/>
        </w:rPr>
        <w:t xml:space="preserve">. If the funds of the Corporation legally available for the Fundamental Change Repurchase Offer by the Corporation pursuant to </w:t>
      </w:r>
      <w:r>
        <w:rPr>
          <w:rFonts w:ascii="Times New Roman;sans-serif" w:hAnsi="Times New Roman;sans-serif"/>
          <w:b/>
          <w:color w:val="000000"/>
          <w:sz w:val="22"/>
        </w:rPr>
        <w:t>Section 9.1</w:t>
      </w:r>
      <w:r>
        <w:rPr>
          <w:color w:val="000000"/>
        </w:rPr>
        <w:t xml:space="preserve"> </w:t>
      </w:r>
      <w:r>
        <w:rPr>
          <w:rFonts w:ascii="Times New Roman;sans-serif" w:hAnsi="Times New Roman;sans-serif"/>
          <w:b w:val="false"/>
          <w:color w:val="000000"/>
          <w:sz w:val="22"/>
        </w:rPr>
        <w:t xml:space="preserve">on any Fundamental Change Repurchase Date are insufficient to repurchase all shares of the Series B Convertible Preferred Stock being repurchased by the Corporation on such date, those funds which are legally available will be used first to pay the cash portion of the Fundamental Change Repurchase Price, on a pro rata basis, to the Holders thereof based on the number of shares of Series B Convertible Preferred Stock then held, for the maximum possible number of shares of the Series B Convertible Preferred Stock being repurchased in accordance with the aggregate repurchase proceeds payable with respect to the shares of Series B Convertible Preferred Stock to be repurchased. At any time thereafter when additional funds of the Corporation or its acquirer, as applicable, become legally available for the repurchase of the Series B Convertible Preferred Stock, such funds will be used to redeem the balance of the shares of Series B Convertible Preferred Stock which the Corporation was theretofore obligated to repurchase as provided in the immediately preceding sentence. If the Corporation elects to deliver shares of its Common Stock (or other securities) in full or partial satisfaction of the Fundamental Change Repurchase Price pursuant to </w:t>
      </w:r>
      <w:r>
        <w:rPr>
          <w:rFonts w:ascii="Times New Roman;sans-serif" w:hAnsi="Times New Roman;sans-serif"/>
          <w:b/>
          <w:color w:val="000000"/>
          <w:sz w:val="22"/>
        </w:rPr>
        <w:t>Section 9.1</w:t>
      </w:r>
      <w:r>
        <w:rPr>
          <w:rFonts w:ascii="Times New Roman;sans-serif" w:hAnsi="Times New Roman;sans-serif"/>
          <w:b w:val="false"/>
          <w:color w:val="000000"/>
          <w:sz w:val="22"/>
        </w:rPr>
        <w:t xml:space="preserve">, subject to the listing rules of any stock exchange on which the Common Stock (or such other securities) may then be listed, it will use commercially reasonable efforts to deliver to the relevant Holder such Common Stock (or other securities) within two Business Days of the Fundamental Change Repurchase Date but shall not be in breach of its obligation to deliver such Common Stock (or other securities) for any purposes hereunder until such time as the minimum notice required under such listing rules following determination of the number of shares (or other securities) deliverable shall have lapsed. Any shares of Series B Convertible Preferred Stock the Fundamental Change Repurchase Price for which is not satisfied as of the Fundamental Change Repurchase Date as a result of the circumstances described in this </w:t>
      </w:r>
      <w:r>
        <w:rPr>
          <w:rFonts w:ascii="Times New Roman;sans-serif" w:hAnsi="Times New Roman;sans-serif"/>
          <w:b/>
          <w:color w:val="000000"/>
          <w:sz w:val="22"/>
        </w:rPr>
        <w:t>Section 9.3</w:t>
      </w:r>
      <w:r>
        <w:rPr>
          <w:color w:val="000000"/>
        </w:rPr>
        <w:t xml:space="preserve"> </w:t>
      </w:r>
      <w:r>
        <w:rPr>
          <w:rFonts w:ascii="Times New Roman;sans-serif" w:hAnsi="Times New Roman;sans-serif"/>
          <w:b w:val="false"/>
          <w:color w:val="000000"/>
          <w:sz w:val="22"/>
        </w:rPr>
        <w:t xml:space="preserve">shall remain outstanding until such shares shall have been repurchased and the Fundamental Change Repurchase Price therefor, as applicable, shall have been paid or set aside for payment in full (and dividends shall continue to accrue on any such shares of Series B Preferred Stock that remain outstanding as set forth in </w:t>
      </w:r>
      <w:r>
        <w:rPr>
          <w:rFonts w:ascii="Times New Roman;sans-serif" w:hAnsi="Times New Roman;sans-serif"/>
          <w:b/>
          <w:color w:val="000000"/>
          <w:sz w:val="22"/>
        </w:rPr>
        <w:t>Section 11</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9.4    </w:t>
      </w:r>
      <w:r>
        <w:rPr>
          <w:rFonts w:ascii="Times New Roman;sans-serif" w:hAnsi="Times New Roman;sans-serif"/>
          <w:b w:val="false"/>
          <w:color w:val="000000"/>
          <w:sz w:val="22"/>
          <w:u w:val="single"/>
        </w:rPr>
        <w:t>Rights Terminated</w:t>
      </w:r>
      <w:r>
        <w:rPr>
          <w:rFonts w:ascii="Times New Roman;sans-serif" w:hAnsi="Times New Roman;sans-serif"/>
          <w:b w:val="false"/>
          <w:color w:val="000000"/>
          <w:sz w:val="22"/>
        </w:rPr>
        <w:t xml:space="preserve">. Upon (a) surrender of the certificate or certificates representing the shares of Series B Convertible Preferred Stock being repurchased (or surrender of such shares in compliance with the procedures established by the Transfer Agent and DTC, if applicable) pursuant to this </w:t>
      </w:r>
      <w:r>
        <w:rPr>
          <w:rFonts w:ascii="Times New Roman;sans-serif" w:hAnsi="Times New Roman;sans-serif"/>
          <w:b/>
          <w:color w:val="000000"/>
          <w:sz w:val="22"/>
        </w:rPr>
        <w:t>Section 9</w:t>
      </w:r>
      <w:r>
        <w:rPr>
          <w:color w:val="000000"/>
        </w:rPr>
        <w:t xml:space="preserve"> </w:t>
      </w:r>
      <w:r>
        <w:rPr>
          <w:rFonts w:ascii="Times New Roman;sans-serif" w:hAnsi="Times New Roman;sans-serif"/>
          <w:b w:val="false"/>
          <w:color w:val="000000"/>
          <w:sz w:val="22"/>
        </w:rPr>
        <w:t xml:space="preserve">and delivery of the Fundamental Change Repurchase Price therefor or (b) irrevocable deposit in trust by the Corporation for Holders pursuant to this </w:t>
      </w:r>
      <w:r>
        <w:rPr>
          <w:rFonts w:ascii="Times New Roman;sans-serif" w:hAnsi="Times New Roman;sans-serif"/>
          <w:b/>
          <w:color w:val="000000"/>
          <w:sz w:val="22"/>
        </w:rPr>
        <w:t>Section 9</w:t>
      </w:r>
      <w:r>
        <w:rPr>
          <w:color w:val="000000"/>
        </w:rPr>
        <w:t xml:space="preserve"> </w:t>
      </w:r>
      <w:r>
        <w:rPr>
          <w:rFonts w:ascii="Times New Roman;sans-serif" w:hAnsi="Times New Roman;sans-serif"/>
          <w:b w:val="false"/>
          <w:color w:val="000000"/>
          <w:sz w:val="22"/>
        </w:rPr>
        <w:t xml:space="preserve">of an amount in cash and, if applicable a number of shares of Common Stock (or other securities) comprising the applicable Fundamental Change Repurchase Price for the shares of Series B Convertible Preferred Stock being repurchased on any Fundamental Change Repurchase Date, each Holder will cease to have any rights as a stockholder of the Corporation by reason of the ownership of such repurchased shares of Series B Convertible Preferred Stock (except for the right to receive the Fundamental Change Repurchase Price therefor upon the surrender of the certificate or certificates representing the repurchased shares or compliance with the procedures established by the Transfer Agent and DTC, if applicable, if such shares have not been so surrendered), and such repurchased shares of Series B Convertible Preferred Stock will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not from and after the date of payment in full of the Fundamental Change Repurchase Price therefor be deemed to be outstanding.</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9.5    </w:t>
      </w:r>
      <w:r>
        <w:rPr>
          <w:rFonts w:ascii="Times New Roman;sans-serif" w:hAnsi="Times New Roman;sans-serif"/>
          <w:b w:val="false"/>
          <w:color w:val="000000"/>
          <w:sz w:val="22"/>
          <w:u w:val="single"/>
        </w:rPr>
        <w:t>Withdrawal Right</w:t>
      </w:r>
      <w:r>
        <w:rPr>
          <w:rFonts w:ascii="Times New Roman;sans-serif" w:hAnsi="Times New Roman;sans-serif"/>
          <w:b w:val="false"/>
          <w:color w:val="000000"/>
          <w:sz w:val="22"/>
        </w:rPr>
        <w:t xml:space="preserve">. Each Holder shall retain the right to (a) convert shares of Series B Convertible Preferred Stock to be repurchased pursuant to this </w:t>
      </w:r>
      <w:r>
        <w:rPr>
          <w:rFonts w:ascii="Times New Roman;sans-serif" w:hAnsi="Times New Roman;sans-serif"/>
          <w:b/>
          <w:color w:val="000000"/>
          <w:sz w:val="22"/>
        </w:rPr>
        <w:t>Section 9</w:t>
      </w:r>
      <w:r>
        <w:rPr>
          <w:color w:val="000000"/>
        </w:rPr>
        <w:t xml:space="preserve"> </w:t>
      </w:r>
      <w:r>
        <w:rPr>
          <w:rFonts w:ascii="Times New Roman;sans-serif" w:hAnsi="Times New Roman;sans-serif"/>
          <w:b w:val="false"/>
          <w:color w:val="000000"/>
          <w:sz w:val="22"/>
        </w:rPr>
        <w:t xml:space="preserve">at any time on or prior to the Fundamental Change Repurchase Date or (b) withdraw a tender of such shares in the Fundamental Change Repurchase Offer on or prior to the close of business on the Business Day immediately preceding Fundamental Change Repurchase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where a Holder exercises its rights under (a) or (b) above, the applicable shares of Series B Convertible Preferred Stock of such Holder shall not be repurchased pursuant to this </w:t>
      </w:r>
      <w:r>
        <w:rPr>
          <w:rFonts w:ascii="Times New Roman;sans-serif" w:hAnsi="Times New Roman;sans-serif"/>
          <w:b/>
          <w:color w:val="000000"/>
          <w:sz w:val="22"/>
        </w:rPr>
        <w:t>Section 9</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9.6    </w:t>
      </w:r>
      <w:r>
        <w:rPr>
          <w:rFonts w:ascii="Times New Roman;sans-serif" w:hAnsi="Times New Roman;sans-serif"/>
          <w:b w:val="false"/>
          <w:color w:val="000000"/>
          <w:sz w:val="22"/>
          <w:u w:val="single"/>
        </w:rPr>
        <w:t>No Requirement to Conduct an Offer to Repurchase Shares if the Fundamental Change Results in the Series B Convertible Preferred Stock Becoming Convertible into an Amount of Cash Exceeding the Fundamental Change Repurchase Price</w:t>
      </w:r>
      <w:r>
        <w:rPr>
          <w:rFonts w:ascii="Times New Roman;sans-serif" w:hAnsi="Times New Roman;sans-serif"/>
          <w:b w:val="false"/>
          <w:color w:val="000000"/>
          <w:sz w:val="22"/>
        </w:rPr>
        <w:t xml:space="preserve">. Notwithstanding anything to the contrary in this </w:t>
      </w:r>
      <w:r>
        <w:rPr>
          <w:rFonts w:ascii="Times New Roman;sans-serif" w:hAnsi="Times New Roman;sans-serif"/>
          <w:b/>
          <w:color w:val="000000"/>
          <w:sz w:val="22"/>
        </w:rPr>
        <w:t>Section 9</w:t>
      </w:r>
      <w:r>
        <w:rPr>
          <w:rFonts w:ascii="Times New Roman;sans-serif" w:hAnsi="Times New Roman;sans-serif"/>
          <w:b w:val="false"/>
          <w:color w:val="000000"/>
          <w:sz w:val="22"/>
        </w:rPr>
        <w:t xml:space="preserve">, the Corporation will not be required to send a Fundamental Change Notice pursuant to </w:t>
      </w:r>
      <w:r>
        <w:rPr>
          <w:rFonts w:ascii="Times New Roman;sans-serif" w:hAnsi="Times New Roman;sans-serif"/>
          <w:b/>
          <w:color w:val="000000"/>
          <w:sz w:val="22"/>
        </w:rPr>
        <w:t>Section 9.2(a)</w:t>
      </w:r>
      <w:r>
        <w:rPr>
          <w:rFonts w:ascii="Times New Roman;sans-serif" w:hAnsi="Times New Roman;sans-serif"/>
          <w:b w:val="false"/>
          <w:color w:val="000000"/>
          <w:sz w:val="22"/>
        </w:rPr>
        <w:t xml:space="preserve">, or offer to repurchase or repurchase any Shares pursuant to this </w:t>
      </w:r>
      <w:r>
        <w:rPr>
          <w:rFonts w:ascii="Times New Roman;sans-serif" w:hAnsi="Times New Roman;sans-serif"/>
          <w:b/>
          <w:color w:val="000000"/>
          <w:sz w:val="22"/>
        </w:rPr>
        <w:t>Section 9</w:t>
      </w:r>
      <w:r>
        <w:rPr>
          <w:rFonts w:ascii="Times New Roman;sans-serif" w:hAnsi="Times New Roman;sans-serif"/>
          <w:b w:val="false"/>
          <w:color w:val="000000"/>
          <w:sz w:val="22"/>
        </w:rPr>
        <w:t xml:space="preserve">, in connection with a Reorganization Event that constitutes a Fundamental Change pursuant to clause (B)(b) of the definition thereof (regardless of whether such Reorganization Event also constitutes a Fundamental Change pursuant to any other clause of such definition), if (i) the Reference Property of such Reorganization Event consists entirely of cash in U.S. dollars; (ii) immediately after such Fundamental Change, the shares of Series B Convertible Preferred Stock become convertible, pursuant to </w:t>
      </w:r>
      <w:r>
        <w:rPr>
          <w:rFonts w:ascii="Times New Roman;sans-serif" w:hAnsi="Times New Roman;sans-serif"/>
          <w:b/>
          <w:color w:val="000000"/>
          <w:sz w:val="22"/>
        </w:rPr>
        <w:t>Section 7.7(f)</w:t>
      </w:r>
      <w:r>
        <w:rPr>
          <w:rFonts w:ascii="Times New Roman;sans-serif" w:hAnsi="Times New Roman;sans-serif"/>
          <w:b w:val="false"/>
          <w:color w:val="000000"/>
          <w:sz w:val="22"/>
        </w:rPr>
        <w:t xml:space="preserve">, into consideration that consists solely of U.S. dollars in an amount per Share that equals or exceeds the Fundamental Change Repurchase Price per Share; and (iii) the Corporation timely sends the notice relating to such Fundamental Change required pursuant to the first paragraph of </w:t>
      </w:r>
      <w:r>
        <w:rPr>
          <w:rFonts w:ascii="Times New Roman;sans-serif" w:hAnsi="Times New Roman;sans-serif"/>
          <w:b/>
          <w:color w:val="000000"/>
          <w:sz w:val="22"/>
        </w:rPr>
        <w:t>Section 7.7(f)</w:t>
      </w:r>
      <w:r>
        <w:rPr>
          <w:rFonts w:ascii="Times New Roman;sans-serif" w:hAnsi="Times New Roman;sans-serif"/>
          <w:b w:val="false"/>
          <w:color w:val="000000"/>
          <w:sz w:val="22"/>
        </w:rPr>
        <w:t xml:space="preserve">, and includes, in such notice, a statement that the Corporation is relying on this </w:t>
      </w:r>
      <w:r>
        <w:rPr>
          <w:rFonts w:ascii="Times New Roman;sans-serif" w:hAnsi="Times New Roman;sans-serif"/>
          <w:b/>
          <w:color w:val="000000"/>
          <w:sz w:val="22"/>
        </w:rPr>
        <w:t>Section 9.6</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9.7    </w:t>
      </w:r>
      <w:r>
        <w:rPr>
          <w:rFonts w:ascii="Times New Roman;sans-serif" w:hAnsi="Times New Roman;sans-serif"/>
          <w:b w:val="false"/>
          <w:color w:val="000000"/>
          <w:sz w:val="22"/>
          <w:u w:val="single"/>
        </w:rPr>
        <w:t>Treatment of Existing Credit Agreement</w:t>
      </w:r>
      <w:r>
        <w:rPr>
          <w:rFonts w:ascii="Times New Roman;sans-serif" w:hAnsi="Times New Roman;sans-serif"/>
          <w:b w:val="false"/>
          <w:color w:val="000000"/>
          <w:sz w:val="22"/>
        </w:rPr>
        <w:t xml:space="preserve">. Notwithstanding anything in this Certificate of Designations to the contrary but subject to the terms set forth herein, the Corporation shall not pay, and shall not be required to pay, any Fundamental Change Repurchase Price unless either (i) the Obligations (as defined in the Existing Credit Agreement) under the Existing Credit Agreement (or equivalent term under any replacement thereof or similar facility) are fully satisfied prior to or simultaneously with such payment of the Fundamental Change Repurchase Price or (ii) any event of default or covenant breach under the Existing Credit Agreement (or any replacement thereof or similar facility) related to the occurrence of such Fundamental Change and resultant payment obligations hereunder has been duly waived pursuant to the terms of such Existing Credit Agreement (or any replacement thereof or similar facility). If the funds of the Corporation that may be paid pursuant to the Fundamental Change Repurchase Offer by the Corporation are limited pursuant to this </w:t>
      </w:r>
      <w:r>
        <w:rPr>
          <w:rFonts w:ascii="Times New Roman;sans-serif" w:hAnsi="Times New Roman;sans-serif"/>
          <w:b/>
          <w:color w:val="000000"/>
          <w:sz w:val="22"/>
        </w:rPr>
        <w:t>Section 9.7</w:t>
      </w:r>
      <w:r>
        <w:rPr>
          <w:rFonts w:ascii="Times New Roman;sans-serif" w:hAnsi="Times New Roman;sans-serif"/>
          <w:b w:val="false"/>
          <w:color w:val="000000"/>
          <w:sz w:val="22"/>
        </w:rPr>
        <w:t xml:space="preserve">, on any Fundamental Change Repurchase Date, those funds which are otherwise available will be used first to pay the cash portion of the Fundamental Change Repurchase Price, on a pro rata basis, to the Holders thereof based on the number of shares of Series B Convertible Preferred Stock then held, for the maximum possible number of shares of the Series B Convertible Preferred Stock being repurchased in accordance with the aggregate repurchase proceeds payable with respect to the shares of Series B Convertible Preferred Stock to be repurchased. At any time thereafter when and to the extent that the Existing Credit Agreement (or any replacement thereof or similar facility) permits or does not prevent such payment or delivery, such funds will be used to repurchase the balance of the shares of Series B Convertible Preferred Stock which the Corporation was theretofore obligated to repurchase but for this </w:t>
      </w:r>
      <w:r>
        <w:rPr>
          <w:rFonts w:ascii="Times New Roman;sans-serif" w:hAnsi="Times New Roman;sans-serif"/>
          <w:b/>
          <w:color w:val="000000"/>
          <w:sz w:val="22"/>
        </w:rPr>
        <w:t>Section 9.7</w:t>
      </w:r>
      <w:r>
        <w:rPr>
          <w:rFonts w:ascii="Times New Roman;sans-serif" w:hAnsi="Times New Roman;sans-serif"/>
          <w:b w:val="false"/>
          <w:color w:val="000000"/>
          <w:sz w:val="22"/>
        </w:rPr>
        <w:t xml:space="preserve">. Any shares of Series B Convertible Preferred Stock the Fundamental Change Repurchase Price for which is not satisfied as of the Fundamental Change Repurchase Date as a result of the circumstances described in this </w:t>
      </w:r>
      <w:r>
        <w:rPr>
          <w:rFonts w:ascii="Times New Roman;sans-serif" w:hAnsi="Times New Roman;sans-serif"/>
          <w:b/>
          <w:color w:val="000000"/>
          <w:sz w:val="22"/>
        </w:rPr>
        <w:t>Section 9.7</w:t>
      </w:r>
      <w:r>
        <w:rPr>
          <w:color w:val="000000"/>
        </w:rPr>
        <w:t xml:space="preserve"> </w:t>
      </w:r>
      <w:r>
        <w:rPr>
          <w:rFonts w:ascii="Times New Roman;sans-serif" w:hAnsi="Times New Roman;sans-serif"/>
          <w:b w:val="false"/>
          <w:color w:val="000000"/>
          <w:sz w:val="22"/>
        </w:rPr>
        <w:t xml:space="preserve">shall remain outstanding until such shares shall have been repurchased and the Fundamental Change Repurchase Price therefor, as applicable, shall have been paid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 xml:space="preserve">or set aside for payment in full (and dividends shall continue to accrue on any such shares of Series B Preferred Stock that remain outstanding as set forth in </w:t>
      </w:r>
      <w:r>
        <w:rPr>
          <w:rFonts w:ascii="Times New Roman;sans-serif" w:hAnsi="Times New Roman;sans-serif"/>
          <w:b/>
          <w:color w:val="000000"/>
          <w:sz w:val="22"/>
        </w:rPr>
        <w:t>Section 11</w:t>
      </w:r>
      <w:r>
        <w:rPr>
          <w:rFonts w:ascii="Times New Roman;sans-serif" w:hAnsi="Times New Roman;sans-serif"/>
          <w:b w:val="false"/>
          <w:color w:val="000000"/>
          <w:sz w:val="22"/>
        </w:rPr>
        <w:t>).</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Optional Redemption</w:t>
      </w:r>
      <w:r>
        <w:rPr>
          <w:rFonts w:ascii="Times New Roman;sans-serif" w:hAnsi="Times New Roman;sans-serif"/>
          <w:b w:val="false"/>
          <w:color w:val="000000"/>
          <w:sz w:val="22"/>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10.1    </w:t>
      </w:r>
      <w:r>
        <w:rPr>
          <w:rFonts w:ascii="Times New Roman;sans-serif" w:hAnsi="Times New Roman;sans-serif"/>
          <w:b w:val="false"/>
          <w:color w:val="000000"/>
          <w:sz w:val="22"/>
          <w:u w:val="single"/>
        </w:rPr>
        <w:t>Right to Redeem</w:t>
      </w:r>
      <w:r>
        <w:rPr>
          <w:rFonts w:ascii="Times New Roman;sans-serif" w:hAnsi="Times New Roman;sans-serif"/>
          <w:b w:val="false"/>
          <w:color w:val="000000"/>
          <w:sz w:val="22"/>
        </w:rPr>
        <w:t>. On or after the fifth anniversary of the Initial Issue Date, the Corporation may redeem all or any portion of the Series B Convertible Preferred Stock (any such redemption, an “</w:t>
      </w:r>
      <w:r>
        <w:rPr>
          <w:rFonts w:ascii="Times New Roman;sans-serif" w:hAnsi="Times New Roman;sans-serif"/>
          <w:b/>
          <w:color w:val="000000"/>
          <w:sz w:val="22"/>
        </w:rPr>
        <w:t>Optional Redemption</w:t>
      </w:r>
      <w:r>
        <w:rPr>
          <w:color w:val="000000"/>
        </w:rPr>
        <w:t>”</w:t>
      </w:r>
      <w:r>
        <w:rPr>
          <w:rFonts w:ascii="Times New Roman;sans-serif" w:hAnsi="Times New Roman;sans-serif"/>
          <w:b w:val="false"/>
          <w:color w:val="000000"/>
          <w:sz w:val="22"/>
        </w:rPr>
        <w:t>) at a redemption price (the “</w:t>
      </w:r>
      <w:r>
        <w:rPr>
          <w:rFonts w:ascii="Times New Roman;sans-serif" w:hAnsi="Times New Roman;sans-serif"/>
          <w:b/>
          <w:color w:val="000000"/>
          <w:sz w:val="22"/>
        </w:rPr>
        <w:t>Redemption Price</w:t>
      </w:r>
      <w:r>
        <w:rPr>
          <w:color w:val="000000"/>
        </w:rPr>
        <w:t>”</w:t>
      </w:r>
      <w:r>
        <w:rPr>
          <w:rFonts w:ascii="Times New Roman;sans-serif" w:hAnsi="Times New Roman;sans-serif"/>
          <w:b w:val="false"/>
          <w:color w:val="000000"/>
          <w:sz w:val="22"/>
        </w:rPr>
        <w:t xml:space="preserve">) per share equal to the greater of (x) the Minimum Consideration as of the Relevant Date and (y) an amount equal to the value (calculated based on the Relevant Price) of the number of shares of Common Stock issuable upon conversion at the Conversion Price as of such Redemption Date, which Redemption Price may be paid in cash, shares of Common Stock valued based on the Relevant Price (with the number of shares of Common Stock rounded up to the nearest whole share of Common Stock) or a combination thereof, at the Corporation’s election;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Corporation may not pay any portion of such Redemption Price in shares of Common Stock if the Common Stock Liquidity Conditions are not satisfied. Any such Optional Redemption in part shall be for a whole number of shares of Series B Convertible Preferred Stock. Prior to any exercise of its Optional Redemption right, the Board shall have determined in good faith that there shall be no applicable legal or contractual restrictions on its ability to pay the Redemption Price on the Redemption Date.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10.2    </w:t>
      </w:r>
      <w:r>
        <w:rPr>
          <w:rFonts w:ascii="Times New Roman;sans-serif" w:hAnsi="Times New Roman;sans-serif"/>
          <w:b w:val="false"/>
          <w:color w:val="000000"/>
          <w:sz w:val="22"/>
          <w:u w:val="single"/>
        </w:rPr>
        <w:t>Redemption Notice</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 xml:space="preserve">(a)    In case the Corporation exercises its Optional Redemption right to redeem all or, as the case may be, any part of the Series B Convertible Preferred Stock pursuant to </w:t>
      </w:r>
      <w:r>
        <w:rPr>
          <w:rFonts w:ascii="Times New Roman;sans-serif" w:hAnsi="Times New Roman;sans-serif"/>
          <w:b/>
          <w:color w:val="000000"/>
          <w:sz w:val="22"/>
        </w:rPr>
        <w:t>Section 10.1</w:t>
      </w:r>
      <w:r>
        <w:rPr>
          <w:rFonts w:ascii="Times New Roman;sans-serif" w:hAnsi="Times New Roman;sans-serif"/>
          <w:b w:val="false"/>
          <w:color w:val="000000"/>
          <w:sz w:val="22"/>
        </w:rPr>
        <w:t>, it shall fix a date for redemption (each, a “</w:t>
      </w:r>
      <w:r>
        <w:rPr>
          <w:rFonts w:ascii="Times New Roman;sans-serif" w:hAnsi="Times New Roman;sans-serif"/>
          <w:b/>
          <w:color w:val="000000"/>
          <w:sz w:val="22"/>
        </w:rPr>
        <w:t>Redemption Date</w:t>
      </w:r>
      <w:r>
        <w:rPr>
          <w:color w:val="000000"/>
        </w:rPr>
        <w:t>”</w:t>
      </w:r>
      <w:r>
        <w:rPr>
          <w:rFonts w:ascii="Times New Roman;sans-serif" w:hAnsi="Times New Roman;sans-serif"/>
          <w:b w:val="false"/>
          <w:color w:val="000000"/>
          <w:sz w:val="22"/>
        </w:rPr>
        <w:t>) and it shall deliver a notice of such Optional Redemption (a “</w:t>
      </w:r>
      <w:r>
        <w:rPr>
          <w:rFonts w:ascii="Times New Roman;sans-serif" w:hAnsi="Times New Roman;sans-serif"/>
          <w:b/>
          <w:color w:val="000000"/>
          <w:sz w:val="22"/>
        </w:rPr>
        <w:t>Redemption Notice</w:t>
      </w:r>
      <w:r>
        <w:rPr>
          <w:color w:val="000000"/>
        </w:rPr>
        <w:t>”</w:t>
      </w:r>
      <w:r>
        <w:rPr>
          <w:rFonts w:ascii="Times New Roman;sans-serif" w:hAnsi="Times New Roman;sans-serif"/>
          <w:b w:val="false"/>
          <w:color w:val="000000"/>
          <w:sz w:val="22"/>
        </w:rPr>
        <w:t>) not less than 10 nor more than 60 Business Days prior to the Redemption Date to each applicable Holder (including notice to or through DTC, if applicable). The Redemption Date must be a Business Day.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 xml:space="preserve">(b)    Each Redemption Notice shall specify (i) the time and place of redemption and the applicable Redemption Price for the Series B Convertible Preferred Stock (or the method of determination therefor), (ii) the Holder’s Conversion Rights pursuant to </w:t>
      </w:r>
      <w:r>
        <w:rPr>
          <w:rFonts w:ascii="Times New Roman;sans-serif" w:hAnsi="Times New Roman;sans-serif"/>
          <w:b/>
          <w:color w:val="000000"/>
          <w:sz w:val="22"/>
        </w:rPr>
        <w:t>Section 7</w:t>
      </w:r>
      <w:r>
        <w:rPr>
          <w:color w:val="000000"/>
        </w:rPr>
        <w:t xml:space="preserve"> </w:t>
      </w:r>
      <w:r>
        <w:rPr>
          <w:rFonts w:ascii="Times New Roman;sans-serif" w:hAnsi="Times New Roman;sans-serif"/>
          <w:b w:val="false"/>
          <w:color w:val="000000"/>
          <w:sz w:val="22"/>
        </w:rPr>
        <w:t xml:space="preserve">hereof, (iii) the calculation of the Redemption Price, (iv) the proportion of the Redemption Price to be paid in cash and the proportion to be paid in shares of Common Stock and (iv) in case the Series B Convertible Preferred Stock is to be redeemed in part only, the number of shares of Series B Convertible Preferred Stock to be redeemed, and shall be delivered to each Holder in accordance with </w:t>
      </w:r>
      <w:r>
        <w:rPr>
          <w:rFonts w:ascii="Times New Roman;sans-serif" w:hAnsi="Times New Roman;sans-serif"/>
          <w:b/>
          <w:color w:val="000000"/>
          <w:sz w:val="22"/>
        </w:rPr>
        <w:t>Section 12</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 Redemption Notice shall be irrevocable.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 xml:space="preserve">(d)    If fewer than all of the outstanding shares of Series B Convertible Preferred Stock are to be redeemed pursuant to </w:t>
      </w:r>
      <w:r>
        <w:rPr>
          <w:rFonts w:ascii="Times New Roman;sans-serif" w:hAnsi="Times New Roman;sans-serif"/>
          <w:b/>
          <w:color w:val="000000"/>
          <w:sz w:val="22"/>
        </w:rPr>
        <w:t>Section 10.1</w:t>
      </w:r>
      <w:r>
        <w:rPr>
          <w:rFonts w:ascii="Times New Roman;sans-serif" w:hAnsi="Times New Roman;sans-serif"/>
          <w:b w:val="false"/>
          <w:color w:val="000000"/>
          <w:sz w:val="22"/>
        </w:rPr>
        <w:t>, the Transfer Agent shall select the shares of Series B Convertible Preferred Stock to be redeemed (which such number shall be a whole number) by lot, on a pro rata basis or by another method the Transfer Agent considers to be fair and appropriate (or as required by the procedures of DTC, if applicable). If any Series B Convertible Preferred Stock selected for partial redemption is submitted for conversion in part after such selection, the shares of Series B Convertible Preferred Stock submitted for conversion shall be deemed (so far as may be possible) to be the portion selected for redemption.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10.3    </w:t>
      </w:r>
      <w:r>
        <w:rPr>
          <w:rFonts w:ascii="Times New Roman;sans-serif" w:hAnsi="Times New Roman;sans-serif"/>
          <w:b w:val="false"/>
          <w:color w:val="000000"/>
          <w:sz w:val="22"/>
          <w:u w:val="single"/>
        </w:rPr>
        <w:t>Rights Terminated</w:t>
      </w:r>
      <w:r>
        <w:rPr>
          <w:rFonts w:ascii="Times New Roman;sans-serif" w:hAnsi="Times New Roman;sans-serif"/>
          <w:b w:val="false"/>
          <w:color w:val="000000"/>
          <w:sz w:val="22"/>
        </w:rPr>
        <w:t xml:space="preserve">. On the applicable Redemption Date, upon delivery of (or irrevocable deposit in trust by the Corporation for Holders of shares being redeemed pursuant to this </w:t>
      </w:r>
      <w:r>
        <w:rPr>
          <w:rFonts w:ascii="Times New Roman;sans-serif" w:hAnsi="Times New Roman;sans-serif"/>
          <w:b/>
          <w:color w:val="000000"/>
          <w:sz w:val="22"/>
        </w:rPr>
        <w:t>Section 10</w:t>
      </w:r>
      <w:r>
        <w:rPr>
          <w:color w:val="000000"/>
        </w:rPr>
        <w:t xml:space="preserve"> </w:t>
      </w:r>
      <w:r>
        <w:rPr>
          <w:rFonts w:ascii="Times New Roman;sans-serif" w:hAnsi="Times New Roman;sans-serif"/>
          <w:b w:val="false"/>
          <w:color w:val="000000"/>
          <w:sz w:val="22"/>
        </w:rPr>
        <w:t xml:space="preserve">on such Redemption Date of) an amount in cash and, if applicable, a number of shares of Common Stock (or other securities) comprising the applicable Redemption Price for the shares of Series B Convertible Preferred Stock being redeemed on such Redemption Date, each Holder will cease to have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 xml:space="preserve">any rights as a stockholder of the Corporation by reason of the ownership of such redeemed shares of Series B Convertible Preferred Stock (except for the right to receive the Redemption Price therefor), and such redeemed shares of Series B Convertible Preferred Stock will not from and after the date of payment in full of the Redemption Price therefor be deemed to be outstanding. If the Corporation elects to deliver shares of its Common Stock in full or partial satisfaction of the Redemption Price pursuant to </w:t>
      </w:r>
      <w:r>
        <w:rPr>
          <w:rFonts w:ascii="Times New Roman;sans-serif" w:hAnsi="Times New Roman;sans-serif"/>
          <w:b/>
          <w:color w:val="000000"/>
          <w:sz w:val="22"/>
        </w:rPr>
        <w:t>Section 10.1</w:t>
      </w:r>
      <w:r>
        <w:rPr>
          <w:rFonts w:ascii="Times New Roman;sans-serif" w:hAnsi="Times New Roman;sans-serif"/>
          <w:b w:val="false"/>
          <w:color w:val="000000"/>
          <w:sz w:val="22"/>
        </w:rPr>
        <w:t>, subject to the listing rules of any stock exchange on which the Common Stock may then be listed, it will use commercially reasonable efforts to deliver to the relevant Holder such Common Stock within two Business Days of the Redemption Date but shall not be in breach of its obligation to deliver such Common Stock for any purposes hereunder until such time as the minimum notice required under such listing rules following determination of the number of shares deliverable shall have lapsed.</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Remedies For Nonpayment</w:t>
      </w:r>
      <w:r>
        <w:rPr>
          <w:rFonts w:ascii="Times New Roman;sans-serif" w:hAnsi="Times New Roman;sans-serif"/>
          <w:b w:val="false"/>
          <w:color w:val="000000"/>
          <w:sz w:val="22"/>
        </w:rPr>
        <w:t xml:space="preserve">. If, on any Fundamental Change Repurchase Date or Redemption Date (or, if applicable, such later date as provided in this Certificate of Designations in relation to a Fundamental Change or Optional Redemption), all of the Shares elected to be repurchased or redeemed are not repurchased or redeemed in full by the Corporation by paying the entire applicable Fundamental Change Repurchase Price or Redemption Price then, until such shares are fully repurchased or redeemed and the aggregate Fundamental Change Repurchase Price or Redemption Price is paid in full, all of the unrepurchased or unredeemed Shares shall remain outstanding and continue to have the rights, preferences and privileges expressed herein, including the accrual and accumulation of dividends thereon as provided in </w:t>
      </w:r>
      <w:r>
        <w:rPr>
          <w:rFonts w:ascii="Times New Roman;sans-serif" w:hAnsi="Times New Roman;sans-serif"/>
          <w:b/>
          <w:color w:val="000000"/>
          <w:sz w:val="22"/>
        </w:rPr>
        <w:t>Section 4</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Annual Dividend Rate on all of the unrepurchased or unredeemed Shares shall automatically increase by 2.00% per annum on (and effective as of) the first calendar day following the applicable Fundamental Change Repurchase Date or Redemption Date and shall continue to increase by 2.00% per annum on each anniversary thereof, up to a total Annual Dividend Rate of 15% per annum, until such time as the full Fundamental Change Repurchase Price or Redemption Price, as applicable, has been paid in full in respect of all Shares to be repurchased or redeemed;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(x) no increase to the Annual Dividend Rate hereunder shall apply to the extent that the Corporation’s failure to pay the entire applicable Fundamental Change Repurchase Price or Redemption Price on the Fundamental Change Repurchase Date or Redemption Date (or such later date as provided in this Certificate of Designations) results from the limitations set forth in </w:t>
      </w:r>
      <w:r>
        <w:rPr>
          <w:rFonts w:ascii="Times New Roman;sans-serif" w:hAnsi="Times New Roman;sans-serif"/>
          <w:b/>
          <w:color w:val="000000"/>
          <w:sz w:val="22"/>
        </w:rPr>
        <w:t>Section 7.4</w:t>
      </w:r>
      <w:r>
        <w:rPr>
          <w:color w:val="000000"/>
        </w:rPr>
        <w:t xml:space="preserve"> </w:t>
      </w:r>
      <w:r>
        <w:rPr>
          <w:rFonts w:ascii="Times New Roman;sans-serif" w:hAnsi="Times New Roman;sans-serif"/>
          <w:b w:val="false"/>
          <w:color w:val="000000"/>
          <w:sz w:val="22"/>
        </w:rPr>
        <w:t>and (y) no increase to the Annual Dividend Rate shall be payable in respect of unrepurchased or unredeemed Shares in respect of any unpaid Fundamental Change Repurchase Price pursuant to this proviso for so long as the PIF Investor and its affiliates beneficially own and have the right to vote shares of Capital Stock of the Corporation representing a majority of the voting power of all classes of Capital Stock of the Corporation.</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Payments to Holders</w:t>
      </w:r>
      <w:r>
        <w:rPr>
          <w:rFonts w:ascii="Times New Roman;sans-serif" w:hAnsi="Times New Roman;sans-serif"/>
          <w:b w:val="false"/>
          <w:color w:val="000000"/>
          <w:sz w:val="22"/>
        </w:rPr>
        <w:t>. Any payments of cash made by the Corporation to the Holders on their shares of Series B Convertible Preferred Stock shall be payable to each such Holder by certified check or wire transfer of immediately available funds to the Holder, as determined by the Corporation at the time of such payment.</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Except as otherwise provided herein,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(a) to the Corporation, to its office at Lucid Group, Inc., 7373 Gateway Boulevard, Newark, CA 94560 (Attention: Legal Department, E-mail: Legal@lucidmotors.com) with a copy (which shall not constitute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lineRule="auto" w:line="288" w:before="240" w:after="120"/>
        <w:jc w:val="both"/>
        <w:rPr/>
      </w:pPr>
      <w:r>
        <w:rPr>
          <w:rFonts w:ascii="Times New Roman;sans-serif" w:hAnsi="Times New Roman;sans-serif"/>
          <w:b w:val="false"/>
          <w:color w:val="000000"/>
          <w:sz w:val="22"/>
        </w:rPr>
        <w:t xml:space="preserve">notice) to Skadden, Arps, Slate, Meagher &amp; Flom LLP, 525 University Avenue, Palo Alto, CA 94301 (Attention: Thomas J. Ivey, E-mail: thomas.ivey@skadden.com and Attention: Brian D. Paulson, E-mail: brian.paulson@skadden.com) and (b) to any stockholder, at such Holder’s address at it appears in the stock records of the Corporation (which may include the records of the Transfer Agent) (or (i) in the case of Global Preferred Shares, in accordance with the applicable procedures of DTC, or (ii) at such other address for a stockholder as shall be specified in a notice given in accordance with this </w:t>
      </w:r>
      <w:r>
        <w:rPr>
          <w:rFonts w:ascii="Times New Roman;sans-serif" w:hAnsi="Times New Roman;sans-serif"/>
          <w:b/>
          <w:color w:val="000000"/>
          <w:sz w:val="22"/>
        </w:rPr>
        <w:t>Section 13</w:t>
      </w:r>
      <w:r>
        <w:rPr>
          <w:rFonts w:ascii="Times New Roman;sans-serif" w:hAnsi="Times New Roman;sans-serif"/>
          <w:b w:val="false"/>
          <w:color w:val="000000"/>
          <w:sz w:val="22"/>
        </w:rPr>
        <w:t>).</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Calculations</w:t>
      </w:r>
      <w:r>
        <w:rPr>
          <w:rFonts w:ascii="Times New Roman;sans-serif" w:hAnsi="Times New Roman;sans-serif"/>
          <w:b w:val="false"/>
          <w:color w:val="000000"/>
          <w:sz w:val="22"/>
        </w:rPr>
        <w:t>. Except as otherwise provided in this Certificate of Designations, the Corporation will be responsible for making all calculations called for under this Certificate of Designations or the Series B Convertible Preferred Stock, including determinations of the Closing Price, the Daily VWAPs, the Relevant Price, the Minimum Consideration, the Accrued Value and accrued dividends on the Series B Convertible Preferred Stock, the Conversion Price (including any adjustments to the Conversion Price), any Redemption Price, the Conversion Share Cap, any Fundamental Change Repurchase Price and the Voting Cap (including any adjustments to the Minimum Price). The Corporation will make all calculations in good faith, and, absent manifest error, its calculations will be final and binding on all Holders.</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Amendment and Waiver</w:t>
      </w:r>
      <w:r>
        <w:rPr>
          <w:rFonts w:ascii="Times New Roman;sans-serif" w:hAnsi="Times New Roman;sans-serif"/>
          <w:b w:val="false"/>
          <w:color w:val="000000"/>
          <w:sz w:val="22"/>
        </w:rPr>
        <w:t>. Any provision of this Certificate of Designations may be amended, modified or waived only by an instrument in writing executed by the Corporation and the Required Holders, and any such written amendment, modification or waiver will be binding upon the Corporation and each Holder and each transferee or successor of each Holder.</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Book-Entry Form</w:t>
      </w:r>
      <w:r>
        <w:rPr>
          <w:rFonts w:ascii="Times New Roman;sans-serif" w:hAnsi="Times New Roman;sans-serif"/>
          <w:b w:val="false"/>
          <w:color w:val="000000"/>
          <w:sz w:val="22"/>
        </w:rPr>
        <w:t>. Shares of the Series B Convertible Preferred Stock may be issued (or reissued) in the form of one or more global certificates (“</w:t>
      </w:r>
      <w:r>
        <w:rPr>
          <w:rFonts w:ascii="Times New Roman;sans-serif" w:hAnsi="Times New Roman;sans-serif"/>
          <w:b/>
          <w:color w:val="000000"/>
          <w:sz w:val="22"/>
        </w:rPr>
        <w:t>Global Preferred Shares</w:t>
      </w:r>
      <w:r>
        <w:rPr>
          <w:color w:val="000000"/>
        </w:rPr>
        <w:t>”</w:t>
      </w:r>
      <w:r>
        <w:rPr>
          <w:rFonts w:ascii="Times New Roman;sans-serif" w:hAnsi="Times New Roman;sans-serif"/>
          <w:b w:val="false"/>
          <w:color w:val="000000"/>
          <w:sz w:val="22"/>
        </w:rPr>
        <w:t xml:space="preserve">) to be deposited on behalf of one or more Holders thereof with the Transfer Agent, as custodian for DTC (or with such other custodian as DTC may direct), and registered in the name of DTC or its nominee;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beneficial interest in Series B Convertible Preferred Stock held by an affiliate of the Corporation, within the meaning of Rule 144, shall be assigned a separate CUSIP number at any time such interest is held in the form of Global Preferred Shares. The number of shares of Series B Convertible Preferred Stock represented by Global Preferred Shares may from time to time be increased or decreased by adjustments made on the records of the Transfer Agent and DTC to reflect such changes as provided for herein. Members of, or participants in, DTC shall have no rights under the terms of the shares of Series B Convertible Preferred Stock with respect to any Global Preferred Shares held on their behalf by DTC or any custodian of DTC or under such Global Preferred Shares, and DTC may be treated by the Corporation, the Transfer Agent and any agent of the Corporation or the Transfer Agent as the absolute owner of such Global Preferred Shares for all purposes whatsoever. Notwithstanding the foregoing, nothing herein shall prevent the Corporation, the Transfer Agent or any agent of the Corporation or the Transfer Agent from giving effect to any written certification, proxy or other authorization furnished by DTC or impair, as between DTC and its members and participants, the operation of customary practices of DTC governing the exercise of the rights of a holder of a beneficial interest in any Global Preferred Shares.</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Tax Treatment</w:t>
      </w:r>
      <w:r>
        <w:rPr>
          <w:rFonts w:ascii="Times New Roman;sans-serif" w:hAnsi="Times New Roman;sans-serif"/>
          <w:b w:val="false"/>
          <w:color w:val="000000"/>
          <w:sz w:val="22"/>
        </w:rPr>
        <w:t>. The Corporation and each Holder, by its acceptance of any Shares hereunder, agree that (i) the Series B Convertible Preferred Stock is intended to be treated as stock that is not “preferred stock” within the meaning of Section 305 of the Internal Revenue Code of 1986, as amended, and applicable Treasury Regulations promulgated thereunder, and (ii) it will not take any positions or actions inconsistent with such treatment (including in tax filings) unless otherwise required following an audit in which the foregoing treatment was diligently defended.</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provision or provisions in this Certificate of Designations shall be held to be invalid, illegal or unenforceable as applied to any person or entity or circumstance for any reason whatsoever, then, to the fullest extent permitted by Law, the validity, legality and enforceability of such provision or provisions in any other circumstance and of the remaining provisions in this Certificate of Designations and the application of such provision or provisions to other persons or entities and circumstances shall not be in any way affected or impaired thereby and the invalid, illegal or unenforceable provision or the application thereof shall be modified in a manner that is valid, legal and enforceable and gives effect as nearly as is practicable to the intent of the invalid, illegal or unenforceable provision or the application thereof.</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Facts Ascertainable</w:t>
      </w:r>
      <w:r>
        <w:rPr>
          <w:rFonts w:ascii="Times New Roman;sans-serif" w:hAnsi="Times New Roman;sans-serif"/>
          <w:b w:val="false"/>
          <w:color w:val="000000"/>
          <w:sz w:val="22"/>
        </w:rPr>
        <w:t>. When the terms of this Certificate of Designations refer to a specific agreement or other document or a decision by any body, person or entity to determine the meaning or operation of a provision hereof, the secretary of the Corporation shall maintain a copy of such agreement, document or decision at the principal executive offices of the Corporation and a copy thereof shall be provided free of charge to any stockholder who makes a request therefor.</w:t>
      </w:r>
    </w:p>
    <w:p>
      <w:pPr>
        <w:pStyle w:val="TextBody"/>
        <w:bidi w:val="0"/>
        <w:spacing w:lineRule="auto" w:line="288" w:before="240" w:after="120"/>
        <w:ind w:left="0" w:right="0" w:firstLine="72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Certificate of Designations may be executed in any number of copies. Each signed copy will be an original, and all of them together represent the same agreement. Delivery of an executed counterpart of this Certificate of Designations by facsimile, electronically in portable document format or in any other format will be effective as delivery of a manually or electronically executed counterpart.</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has executed this Certificate of Designations of the Series B Convertible Preferred Stock this day of .</w:t>
      </w:r>
    </w:p>
    <w:p>
      <w:pPr>
        <w:pStyle w:val="TextBody"/>
        <w:bidi w:val="0"/>
        <w:spacing w:before="240" w:after="240"/>
        <w:ind w:left="0" w:right="0" w:firstLine="720"/>
        <w:jc w:val="both"/>
        <w:rPr/>
      </w:pPr>
      <w:r>
        <w:rPr/>
      </w:r>
    </w:p>
    <w:tbl>
      <w:tblPr>
        <w:tblW w:w="4920" w:type="dxa"/>
        <w:jc w:val="left"/>
        <w:tblInd w:w="0" w:type="dxa"/>
        <w:tblLayout w:type="fixed"/>
        <w:tblCellMar>
          <w:top w:w="28" w:type="dxa"/>
          <w:left w:w="28" w:type="dxa"/>
          <w:bottom w:w="28" w:type="dxa"/>
          <w:right w:w="28" w:type="dxa"/>
        </w:tblCellMar>
      </w:tblPr>
      <w:tblGrid>
        <w:gridCol w:w="124"/>
        <w:gridCol w:w="109"/>
        <w:gridCol w:w="109"/>
        <w:gridCol w:w="258"/>
        <w:gridCol w:w="258"/>
        <w:gridCol w:w="258"/>
        <w:gridCol w:w="258"/>
        <w:gridCol w:w="258"/>
        <w:gridCol w:w="258"/>
        <w:gridCol w:w="883"/>
        <w:gridCol w:w="883"/>
        <w:gridCol w:w="12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8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0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Gagan Dhingra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Interim Chief Financial Officer</w:t>
            </w:r>
          </w:p>
        </w:tc>
      </w:tr>
    </w:tbl>
    <w:p>
      <w:pPr>
        <w:pStyle w:val="TextBody"/>
        <w:bidi w:val="0"/>
        <w:spacing w:before="480" w:after="283"/>
        <w:ind w:left="0" w:right="0" w:firstLine="720"/>
        <w:jc w:val="both"/>
        <w:rPr/>
      </w:pPr>
      <w:r>
        <w:rPr/>
      </w:r>
    </w:p>
    <w:p>
      <w:pPr>
        <w:pStyle w:val="TextBody"/>
        <w:bidi w:val="0"/>
        <w:spacing w:before="240" w:after="283"/>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60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right"/>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FORM OF AMENDMENT TO INVESTOR RIGHTS AGREEMENT</w: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AMENDMENT NO. 4 TO INVESTOR RIGHTS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This Amendment No. 4 (this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effective as of the date of the Subscription Agreement (as defined below), is made to that certain Investor Rights Agreement, dated as of February 22, 2021, as amended from time to time, (the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by and among (i) Churchill Capital Corp IV, a Delaware corporation (“</w:t>
      </w:r>
      <w:r>
        <w:rPr>
          <w:rFonts w:ascii="Times New Roman;sans-serif" w:hAnsi="Times New Roman;sans-serif"/>
          <w:b/>
          <w:color w:val="000000"/>
          <w:sz w:val="22"/>
        </w:rPr>
        <w:t>PubCo</w:t>
      </w:r>
      <w:r>
        <w:rPr>
          <w:color w:val="000000"/>
        </w:rPr>
        <w:t>”</w:t>
      </w:r>
      <w:r>
        <w:rPr>
          <w:rFonts w:ascii="Times New Roman;sans-serif" w:hAnsi="Times New Roman;sans-serif"/>
          <w:b w:val="false"/>
          <w:color w:val="000000"/>
          <w:sz w:val="22"/>
        </w:rPr>
        <w:t>); (ii) Ayar Third Investment Company, a single shareholder limited liability company organized under the laws of the Kingdom of Saudi Arabia (“</w:t>
      </w:r>
      <w:r>
        <w:rPr>
          <w:rFonts w:ascii="Times New Roman;sans-serif" w:hAnsi="Times New Roman;sans-serif"/>
          <w:b/>
          <w:color w:val="000000"/>
          <w:sz w:val="22"/>
        </w:rPr>
        <w:t>Ayar</w:t>
      </w:r>
      <w:r>
        <w:rPr>
          <w:color w:val="000000"/>
        </w:rPr>
        <w:t>”</w:t>
      </w:r>
      <w:r>
        <w:rPr>
          <w:rFonts w:ascii="Times New Roman;sans-serif" w:hAnsi="Times New Roman;sans-serif"/>
          <w:b w:val="false"/>
          <w:color w:val="000000"/>
          <w:sz w:val="22"/>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in connection with the Business Combination, PubCo changed its name to “Lucid Group, Inc.”</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WHEREAS, as of the date hereof, PubCo entered into that certain Subscription Agreement (the “</w:t>
      </w:r>
      <w:r>
        <w:rPr>
          <w:rFonts w:ascii="Times New Roman;sans-serif" w:hAnsi="Times New Roman;sans-serif"/>
          <w:b/>
          <w:color w:val="000000"/>
          <w:sz w:val="22"/>
        </w:rPr>
        <w:t>Subscription Agreement</w:t>
      </w:r>
      <w:r>
        <w:rPr>
          <w:color w:val="000000"/>
        </w:rPr>
        <w:t>”</w:t>
      </w:r>
      <w:r>
        <w:rPr>
          <w:rFonts w:ascii="Times New Roman;sans-serif" w:hAnsi="Times New Roman;sans-serif"/>
          <w:b w:val="false"/>
          <w:color w:val="000000"/>
          <w:sz w:val="22"/>
        </w:rPr>
        <w:t>) with Ayar, and it is a condition to the issuance and sale of the shares of Series B Convertible Preferred Stock, par value $0.0001 per share (the “</w:t>
      </w:r>
      <w:r>
        <w:rPr>
          <w:rFonts w:ascii="Times New Roman;sans-serif" w:hAnsi="Times New Roman;sans-serif"/>
          <w:b/>
          <w:color w:val="000000"/>
          <w:sz w:val="22"/>
        </w:rPr>
        <w:t>Series B Convertible Preferred Stock</w:t>
      </w:r>
      <w:r>
        <w:rPr>
          <w:color w:val="000000"/>
        </w:rPr>
        <w:t>”</w:t>
      </w:r>
      <w:r>
        <w:rPr>
          <w:rFonts w:ascii="Times New Roman;sans-serif" w:hAnsi="Times New Roman;sans-serif"/>
          <w:b w:val="false"/>
          <w:color w:val="000000"/>
          <w:sz w:val="22"/>
        </w:rPr>
        <w:t>), by PubCo to Ayar pursuant to the Subscription Agreement (such shares, together with the shares of Common Stock issuable upon conversion, repurchase or redemption thereof, the “</w:t>
      </w:r>
      <w:r>
        <w:rPr>
          <w:rFonts w:ascii="Times New Roman;sans-serif" w:hAnsi="Times New Roman;sans-serif"/>
          <w:b/>
          <w:color w:val="000000"/>
          <w:sz w:val="22"/>
        </w:rPr>
        <w:t>Fourth Placement Shares</w:t>
      </w:r>
      <w:r>
        <w:rPr>
          <w:color w:val="000000"/>
        </w:rPr>
        <w:t>”</w:t>
      </w:r>
      <w:r>
        <w:rPr>
          <w:rFonts w:ascii="Times New Roman;sans-serif" w:hAnsi="Times New Roman;sans-serif"/>
          <w:b w:val="false"/>
          <w:color w:val="000000"/>
          <w:sz w:val="22"/>
        </w:rPr>
        <w:t>) that the Agreement be amended as set forth in this Amendment;</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Ayar holds more than fifty percent (50%) of the Registrable Securities Beneficially Owned by the Holders as of the date hereof; and</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Ayar and PubCo amend the Agreement as set forth in this Amendment.</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and sufficiency of which are hereby acknowledged, all of the parties hereto mutually agree, with effect as of the date hereof, to the following:</w:t>
      </w:r>
    </w:p>
    <w:p>
      <w:pPr>
        <w:pStyle w:val="TextBody"/>
        <w:bidi w:val="0"/>
        <w:spacing w:lineRule="auto" w:line="288" w:before="24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    The definition of “Registrable Securities” in Section 1.1 of the Agreement is amended to read:</w:t>
      </w:r>
    </w:p>
    <w:p>
      <w:pPr>
        <w:pStyle w:val="TextBody"/>
        <w:bidi w:val="0"/>
        <w:spacing w:lineRule="auto" w:line="288" w:before="240" w:after="240"/>
        <w:jc w:val="both"/>
        <w:rPr/>
      </w:pPr>
      <w:r>
        <w:rPr>
          <w:color w:val="000000"/>
        </w:rPr>
        <w:t>“</w:t>
      </w:r>
      <w:r>
        <w:rPr>
          <w:rFonts w:ascii="Times New Roman;sans-serif" w:hAnsi="Times New Roman;sans-serif"/>
          <w:b/>
          <w:color w:val="000000"/>
          <w:sz w:val="22"/>
        </w:rPr>
        <w:t>Registrable Securities</w:t>
      </w:r>
      <w:r>
        <w:rPr>
          <w:color w:val="000000"/>
        </w:rPr>
        <w:t xml:space="preserve">” </w:t>
      </w:r>
      <w:r>
        <w:rPr>
          <w:rFonts w:ascii="Times New Roman;sans-serif" w:hAnsi="Times New Roman;sans-serif"/>
          <w:b w:val="false"/>
          <w:color w:val="000000"/>
          <w:sz w:val="22"/>
        </w:rPr>
        <w:t xml:space="preserve">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61</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2"/>
        </w:rPr>
        <w:t xml:space="preserve">or reclassification or similar transaction, in each case Beneficially Owned by a Holder as of immediately following the Closing, and (d) with respect to Ayar only, the Placement Shares, the Second Placement Shares, the Third Placement Shares, and the Fourth Placement Shares; </w:t>
      </w:r>
      <w:r>
        <w:rPr>
          <w:rFonts w:ascii="Times New Roman;sans-serif" w:hAnsi="Times New Roman;sans-serif"/>
          <w:b w:val="false"/>
          <w:i/>
          <w:color w:val="000000"/>
          <w:sz w:val="22"/>
        </w:rPr>
        <w:t xml:space="preserve">provided, however, </w:t>
      </w:r>
      <w:r>
        <w:rPr>
          <w:rFonts w:ascii="Times New Roman;sans-serif" w:hAnsi="Times New Roman;sans-serif"/>
          <w:b w:val="false"/>
          <w:color w:val="000000"/>
          <w:sz w:val="22"/>
        </w:rPr>
        <w:t>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the Series A Convertible Preferred Stock, or the Series B Convertible Preferred Stock (although it shall include the shares of Common Stock issued or issuable upon the exercise or conversion thereof).</w:t>
      </w:r>
    </w:p>
    <w:p>
      <w:pPr>
        <w:pStyle w:val="TextBody"/>
        <w:bidi w:val="0"/>
        <w:spacing w:lineRule="auto" w:line="288" w:before="240" w:after="24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    A new section 3.18 is added at the end of Article III, which reads:</w:t>
      </w:r>
    </w:p>
    <w:p>
      <w:pPr>
        <w:pStyle w:val="TextBody"/>
        <w:bidi w:val="0"/>
        <w:spacing w:lineRule="auto" w:line="288" w:before="24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Section 3.18. Shelf Registration of Fourth Placement Shares.</w:t>
      </w:r>
    </w:p>
    <w:p>
      <w:pPr>
        <w:pStyle w:val="TextBody"/>
        <w:bidi w:val="0"/>
        <w:spacing w:lineRule="auto" w:line="288" w:before="240" w:after="240"/>
        <w:ind w:left="0" w:right="0" w:firstLine="720"/>
        <w:jc w:val="left"/>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Section 3.1 Not Applicable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Section 3.1(a) of the Investor Rights Agreement shall not apply to the Fourth Placement Shares. Prior to the Fourth Shelf Registration Deadline (as defined below), Sections 3.1(b) through 3.1(d) and 3.2 through 3.17 of the Investor Rights Agreement shall not apply to the Fourth Placement Shares.</w:t>
      </w:r>
    </w:p>
    <w:p>
      <w:pPr>
        <w:pStyle w:val="TextBody"/>
        <w:bidi w:val="0"/>
        <w:spacing w:lineRule="auto" w:line="288" w:before="240" w:after="240"/>
        <w:ind w:left="0" w:right="0" w:firstLine="720"/>
        <w:jc w:val="left"/>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Filing</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PubCo shall use its commercially reasonable efforts to file and cause to become effective under the Securities Act within six (6) months from the closing date (as defined in the Subscription Agreement) (the “</w:t>
      </w:r>
      <w:r>
        <w:rPr>
          <w:rFonts w:ascii="Times New Roman;sans-serif" w:hAnsi="Times New Roman;sans-serif"/>
          <w:b/>
          <w:color w:val="000000"/>
          <w:sz w:val="22"/>
        </w:rPr>
        <w:t>Fourth Shelf Registration Deadline</w:t>
      </w:r>
      <w:r>
        <w:rPr>
          <w:color w:val="000000"/>
        </w:rPr>
        <w:t>”</w:t>
      </w:r>
      <w:r>
        <w:rPr>
          <w:rFonts w:ascii="Times New Roman;sans-serif" w:hAnsi="Times New Roman;sans-serif"/>
          <w:b w:val="false"/>
          <w:color w:val="000000"/>
          <w:sz w:val="22"/>
        </w:rPr>
        <w:t xml:space="preserve">) a Shelf Registration Statement (it being agreed that the Shelf Registration shall be an Automatic Shelf Registration Statement if PubCo is a Well-Known Seasoned Issuer at the time of filing), or, if permitted, an amendment or a prospectus supplement to a Shelf Registration Statement then already filed, covering the resale on a delayed or continuous basis of all Fourth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62</w:t>
                      </w:r>
                    </w:p>
                  </w:txbxContent>
                </v:textbox>
                <w10:wrap type="none"/>
              </v:rect>
            </w:pict>
          </mc:Fallback>
        </mc:AlternateContent>
      </w:r>
    </w:p>
    <w:p>
      <w:pPr>
        <w:pStyle w:val="TextBody"/>
        <w:bidi w:val="0"/>
        <w:spacing w:lineRule="auto" w:line="288" w:before="24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to become effective prior to the expiration of the initial Shelf Registration Statement filed pursuant to this Section 3.18.</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the SEC prevents the Company from including any or all of the Registrable Securities on the Shelf Registration Statement due to limitations on the use of Rule 415 of the Securities Act for the resale of the Registrable Securities by Ayar, the Shelf Registration Statement shall register the resale of a number of shares of the Registrable Securities which is equal to the maximum number of shares as is permitted by the SEC, and, subject to the provisions of this Section 3.18(b), the Company shall continue to its use commercially reasonable efforts to register all remaining Registrable Securities as set forth in this Section 3.18(b). Notwithstanding anything herein to the contrary, if the SEC limits the Company’s ability to file, or prohibits or delays the filing of, a Shelf Registration Statement or a Subsequent Shelf Registration with respect to any or all the Registrable Securities, the Company’s compliance with such limitation, prohibition or delay solely to the extent of such limitation, prohibition or delay shall not be a breach or default by the Company under this Agreement and shall not be deemed a failure by the Company to use “commercially reasonable efforts” or “reasonable efforts” as set forth above or elsewhere in this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Sections 5.1, 5.3, 5.4, 5.5, 5.6, 5.7, 5.13 and 5.14 of the Agreement are hereby incorporated into this Amendment, </w:t>
      </w:r>
      <w:r>
        <w:rPr>
          <w:rFonts w:ascii="Times New Roman;sans-serif" w:hAnsi="Times New Roman;sans-serif"/>
          <w:b w:val="false"/>
          <w:i/>
          <w:color w:val="000000"/>
          <w:sz w:val="22"/>
        </w:rPr>
        <w:t xml:space="preserve">mutatis mutandis. </w:t>
      </w:r>
      <w:r>
        <w:rPr>
          <w:rFonts w:ascii="Times New Roman;sans-serif" w:hAnsi="Times New Roman;sans-serif"/>
          <w:b w:val="false"/>
          <w:color w:val="000000"/>
          <w:sz w:val="22"/>
        </w:rPr>
        <w:t>Except as modified and amended herein, all other terms and provisions of the Agreement will not be amended and will remain in full force and effect.</w:t>
      </w:r>
    </w:p>
    <w:p>
      <w:pPr>
        <w:pStyle w:val="TextBody"/>
        <w:bidi w:val="0"/>
        <w:spacing w:lineRule="auto" w:line="288" w:before="240" w:after="240"/>
        <w:jc w:val="left"/>
        <w:rPr>
          <w:rFonts w:ascii="Times New Roman;sans-serif" w:hAnsi="Times New Roman;sans-serif"/>
          <w:b w:val="false"/>
          <w:color w:val="000000"/>
          <w:sz w:val="22"/>
        </w:rPr>
      </w:pPr>
      <w:r>
        <w:rPr>
          <w:rFonts w:ascii="Times New Roman;sans-serif" w:hAnsi="Times New Roman;sans-serif"/>
          <w:b w:val="false"/>
          <w:color w:val="000000"/>
          <w:sz w:val="22"/>
        </w:rPr>
        <w:t>3.    Ayar hereby acknowledges and waives the Third Shelf Registration Deadline, provided that the Company uses its commercially reasonable efforts to file and cause to become effective under the Securities Act a Shelf Registration Statement, covering the resale on a delayed or continuous basis of the Third Placement Shares then issued to and Beneficially Owned by Ayar not yet covered by a registration statement, by no later than the end of the business day immediately after the date the Company files its Quarterly Report on Form 10-Q for the quarter ended September 30, 2024.</w:t>
      </w:r>
    </w:p>
    <w:p>
      <w:pPr>
        <w:pStyle w:val="TextBody"/>
        <w:bidi w:val="0"/>
        <w:spacing w:before="240" w:after="240"/>
        <w:ind w:left="0" w:right="0" w:firstLine="720"/>
        <w:jc w:val="both"/>
        <w:rPr/>
      </w:pPr>
      <w:r>
        <w:rPr/>
      </w:r>
    </w:p>
    <w:p>
      <w:pPr>
        <w:pStyle w:val="TextBody"/>
        <w:bidi w:val="0"/>
        <w:spacing w:lineRule="auto" w:line="288" w:before="24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63</w:t>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to be duly executed and delivered as of the date first above written.</w:t>
      </w:r>
    </w:p>
    <w:p>
      <w:pPr>
        <w:pStyle w:val="TextBody"/>
        <w:bidi w:val="0"/>
        <w:spacing w:before="240" w:after="240"/>
        <w:ind w:left="0" w:right="0" w:firstLine="720"/>
        <w:jc w:val="both"/>
        <w:rPr/>
      </w:pPr>
      <w:r>
        <w:rPr/>
      </w:r>
    </w:p>
    <w:tbl>
      <w:tblPr>
        <w:tblW w:w="4920" w:type="dxa"/>
        <w:jc w:val="left"/>
        <w:tblInd w:w="0" w:type="dxa"/>
        <w:tblLayout w:type="fixed"/>
        <w:tblCellMar>
          <w:top w:w="28" w:type="dxa"/>
          <w:left w:w="28" w:type="dxa"/>
          <w:bottom w:w="28" w:type="dxa"/>
          <w:right w:w="28" w:type="dxa"/>
        </w:tblCellMar>
      </w:tblPr>
      <w:tblGrid>
        <w:gridCol w:w="124"/>
        <w:gridCol w:w="109"/>
        <w:gridCol w:w="109"/>
        <w:gridCol w:w="258"/>
        <w:gridCol w:w="258"/>
        <w:gridCol w:w="258"/>
        <w:gridCol w:w="258"/>
        <w:gridCol w:w="258"/>
        <w:gridCol w:w="258"/>
        <w:gridCol w:w="883"/>
        <w:gridCol w:w="883"/>
        <w:gridCol w:w="12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8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0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Gagan Dhingra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Interim Chief Financial Officer</w:t>
            </w:r>
          </w:p>
        </w:tc>
      </w:tr>
    </w:tbl>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to be duly executed and delivered as of the date first above written.</w:t>
      </w:r>
    </w:p>
    <w:tbl>
      <w:tblPr>
        <w:tblW w:w="5240" w:type="dxa"/>
        <w:jc w:val="left"/>
        <w:tblInd w:w="0" w:type="dxa"/>
        <w:tblLayout w:type="fixed"/>
        <w:tblCellMar>
          <w:top w:w="28" w:type="dxa"/>
          <w:left w:w="28" w:type="dxa"/>
          <w:bottom w:w="28" w:type="dxa"/>
          <w:right w:w="28" w:type="dxa"/>
        </w:tblCellMar>
      </w:tblPr>
      <w:tblGrid>
        <w:gridCol w:w="124"/>
        <w:gridCol w:w="109"/>
        <w:gridCol w:w="109"/>
        <w:gridCol w:w="469"/>
        <w:gridCol w:w="469"/>
        <w:gridCol w:w="469"/>
        <w:gridCol w:w="469"/>
        <w:gridCol w:w="469"/>
        <w:gridCol w:w="469"/>
        <w:gridCol w:w="601"/>
        <w:gridCol w:w="601"/>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AYAR THIRD INVESTMENT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Turqi A. Alnowaiser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Authorized Manager</w:t>
            </w:r>
          </w:p>
        </w:tc>
      </w:tr>
    </w:tbl>
    <w:p>
      <w:pPr>
        <w:pStyle w:val="TextBody"/>
        <w:bidi w:val="0"/>
        <w:spacing w:before="480" w:after="283"/>
        <w:ind w:left="0" w:right="0" w:firstLine="720"/>
        <w:jc w:val="both"/>
        <w:rPr/>
      </w:pPr>
      <w:r>
        <w:rPr/>
      </w:r>
    </w:p>
    <w:p>
      <w:pPr>
        <w:pStyle w:val="TextBody"/>
        <w:bidi w:val="0"/>
        <w:spacing w:before="0" w:after="0"/>
        <w:jc w:val="both"/>
        <w:rPr/>
      </w:pPr>
      <w:r>
        <w:rPr/>
      </w:r>
    </w:p>
    <w:p>
      <w:pPr>
        <w:pStyle w:val="TextBody"/>
        <w:bidi w:val="0"/>
        <w:spacing w:before="240" w:after="240"/>
        <w:jc w:val="center"/>
        <w:rPr/>
      </w:pPr>
      <w:r>
        <w:rPr/>
      </w:r>
    </w:p>
    <w:p>
      <w:pPr>
        <w:pStyle w:val="TextBody"/>
        <w:bidi w:val="0"/>
        <w:spacing w:before="4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i/>
          <w:color w:val="000000"/>
          <w:sz w:val="22"/>
        </w:rPr>
      </w:pPr>
      <w:r>
        <w:rPr>
          <w:rFonts w:ascii="Times New Roman;sans-serif" w:hAnsi="Times New Roman;sans-serif"/>
          <w:b/>
          <w:i/>
          <w:color w:val="000000"/>
          <w:sz w:val="22"/>
        </w:rPr>
        <w:t>Execution Version</w:t>
      </w:r>
    </w:p>
    <w:p>
      <w:pPr>
        <w:pStyle w:val="TextBody"/>
        <w:bidi w:val="0"/>
        <w:spacing w:before="0" w:after="0"/>
        <w:jc w:val="both"/>
        <w:rPr/>
      </w:pPr>
      <w:r>
        <w:rPr/>
      </w:r>
    </w:p>
    <w:tbl>
      <w:tblPr>
        <w:tblW w:w="4289" w:type="dxa"/>
        <w:jc w:val="left"/>
        <w:tblInd w:w="0" w:type="dxa"/>
        <w:tblLayout w:type="fixed"/>
        <w:tblCellMar>
          <w:top w:w="28" w:type="dxa"/>
          <w:left w:w="28" w:type="dxa"/>
          <w:bottom w:w="28" w:type="dxa"/>
          <w:right w:w="28" w:type="dxa"/>
        </w:tblCellMar>
      </w:tblPr>
      <w:tblGrid>
        <w:gridCol w:w="1372"/>
        <w:gridCol w:w="1208"/>
        <w:gridCol w:w="1709"/>
      </w:tblGrid>
      <w:tr>
        <w:trPr/>
        <w:tc>
          <w:tcPr>
            <w:tcW w:w="137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CREDIT AGREEMENT</w:t>
              <w:br/>
              <w:br/>
              <w:t>dated as of</w:t>
              <w:br/>
              <w:br/>
              <w:t xml:space="preserve">August 4, 2024, </w:t>
              <w:br/>
              <w:br/>
              <w:t>among</w:t>
              <w:br/>
              <w:br/>
              <w:t>LUCID GROUP, INC.,</w:t>
              <w:br/>
              <w:br/>
              <w:t xml:space="preserve">as the Borrower </w:t>
              <w:br/>
              <w:br/>
              <w:t>THE LENDERS PARTY HERETO</w:t>
              <w:br/>
              <w:br/>
              <w:t>and</w:t>
              <w:br/>
              <w:br/>
              <w:t>AYAR THIRD INVESTMENT COMPANY,</w:t>
              <w:br/>
              <w:t>as Administrative Agent</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25780"/>
                <wp:effectExtent l="0" t="0" r="0" b="0"/>
                <wp:wrapNone/>
                <wp:docPr id="102" name="Frame7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p>
      <w:pPr>
        <w:pStyle w:val="TextBody"/>
        <w:bidi w:val="0"/>
        <w:spacing w:before="0" w:after="0"/>
        <w:jc w:val="left"/>
        <w:rPr/>
      </w:pPr>
      <w:r>
        <w:rPr/>
      </w:r>
    </w:p>
    <w:tbl>
      <w:tblPr>
        <w:tblW w:w="7626" w:type="dxa"/>
        <w:jc w:val="left"/>
        <w:tblInd w:w="0" w:type="dxa"/>
        <w:tblLayout w:type="fixed"/>
        <w:tblCellMar>
          <w:top w:w="28" w:type="dxa"/>
          <w:left w:w="28" w:type="dxa"/>
          <w:bottom w:w="28" w:type="dxa"/>
          <w:right w:w="28" w:type="dxa"/>
        </w:tblCellMar>
      </w:tblPr>
      <w:tblGrid>
        <w:gridCol w:w="280"/>
        <w:gridCol w:w="247"/>
        <w:gridCol w:w="247"/>
        <w:gridCol w:w="390"/>
        <w:gridCol w:w="390"/>
        <w:gridCol w:w="390"/>
        <w:gridCol w:w="1754"/>
        <w:gridCol w:w="1754"/>
        <w:gridCol w:w="1802"/>
        <w:gridCol w:w="109"/>
        <w:gridCol w:w="109"/>
        <w:gridCol w:w="154"/>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 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1.01.</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Terms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1.02.</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Classification of Loans and Borrowings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1.03.</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Terms Generally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1.04.</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Terms; GAAP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1.05.</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Condition Transactions; Certain Calculations and Tests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1.06.</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Calculations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1.07.</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1.08.</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Timing of Payment or Performance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r>
    </w:tbl>
    <w:tbl>
      <w:tblPr>
        <w:tblW w:w="8465" w:type="dxa"/>
        <w:jc w:val="left"/>
        <w:tblInd w:w="0" w:type="dxa"/>
        <w:tblLayout w:type="fixed"/>
        <w:tblCellMar>
          <w:top w:w="28" w:type="dxa"/>
          <w:left w:w="28" w:type="dxa"/>
          <w:bottom w:w="28" w:type="dxa"/>
          <w:right w:w="28" w:type="dxa"/>
        </w:tblCellMar>
      </w:tblPr>
      <w:tblGrid>
        <w:gridCol w:w="297"/>
        <w:gridCol w:w="261"/>
        <w:gridCol w:w="261"/>
        <w:gridCol w:w="390"/>
        <w:gridCol w:w="390"/>
        <w:gridCol w:w="390"/>
        <w:gridCol w:w="2033"/>
        <w:gridCol w:w="2033"/>
        <w:gridCol w:w="2038"/>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II THE CREDITS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2.01.</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2.02.</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and Borrowings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2.03.</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Requests for Borrowings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2.04.</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2.05.</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2.06.</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2.07.</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Borrowings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2.08.</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2.09.</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and Reduction of Commitments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2.10.</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Loans; Evidence of Debt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2.11.</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of Loans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2.12.</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2.13.</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2.14.</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Inability to Determine Term SOFR; Replacement of Benchmark; Illegality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2.15.</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Costs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2.16.</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Break Funding Payments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2.17.</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of Taxes; Gross-Up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2.18.</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Generally; Allocation of Proceeds; Sharing of Set-offs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2.19.</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Mitigation Obligations; Replacement of Lenders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2.20.</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Defaulting Lenders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2.21.</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Payments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bl>
    <w:tbl>
      <w:tblPr>
        <w:tblW w:w="9057" w:type="dxa"/>
        <w:jc w:val="left"/>
        <w:tblInd w:w="0" w:type="dxa"/>
        <w:tblLayout w:type="fixed"/>
        <w:tblCellMar>
          <w:top w:w="28" w:type="dxa"/>
          <w:left w:w="28" w:type="dxa"/>
          <w:bottom w:w="28" w:type="dxa"/>
          <w:right w:w="28" w:type="dxa"/>
        </w:tblCellMar>
      </w:tblPr>
      <w:tblGrid>
        <w:gridCol w:w="596"/>
        <w:gridCol w:w="523"/>
        <w:gridCol w:w="523"/>
        <w:gridCol w:w="523"/>
        <w:gridCol w:w="523"/>
        <w:gridCol w:w="523"/>
        <w:gridCol w:w="1809"/>
        <w:gridCol w:w="1809"/>
        <w:gridCol w:w="1856"/>
        <w:gridCol w:w="109"/>
        <w:gridCol w:w="109"/>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III REPRESENTATIONS AND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3.01.</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Existence and Power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3.02.</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 and Governmental Authorization; No Contravention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3.03.</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Binding Effect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3.04.</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Structure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3.05.</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Material Adverse Effect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3.06.</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3.07.</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Ownership of Property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3.08.</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3.09.</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Company Act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3.10.</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 Regulations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3.11.</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Laws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42925"/>
                <wp:effectExtent l="0" t="0" r="0" b="0"/>
                <wp:wrapNone/>
                <wp:docPr id="103" name="Frame7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7867"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987"/>
        <w:gridCol w:w="1987"/>
        <w:gridCol w:w="20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3.12.</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ERISA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3.14.</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Anti-Corruption Laws and Sanctions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3.15.</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Environmental Requirements; No Hazardous Materials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3.16.</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Data Security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3.17.</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3.18.</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Solvency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3.19.</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Disclosure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3.20.</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3.21.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Corrupt Practices Act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3.22.</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3.23.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Affected Financial Institution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bl>
    <w:tbl>
      <w:tblPr>
        <w:tblW w:w="3961" w:type="dxa"/>
        <w:jc w:val="left"/>
        <w:tblInd w:w="0" w:type="dxa"/>
        <w:tblLayout w:type="fixed"/>
        <w:tblCellMar>
          <w:top w:w="28" w:type="dxa"/>
          <w:left w:w="28" w:type="dxa"/>
          <w:bottom w:w="28" w:type="dxa"/>
          <w:right w:w="28" w:type="dxa"/>
        </w:tblCellMar>
      </w:tblPr>
      <w:tblGrid>
        <w:gridCol w:w="301"/>
        <w:gridCol w:w="264"/>
        <w:gridCol w:w="264"/>
        <w:gridCol w:w="390"/>
        <w:gridCol w:w="390"/>
        <w:gridCol w:w="390"/>
        <w:gridCol w:w="524"/>
        <w:gridCol w:w="524"/>
        <w:gridCol w:w="542"/>
        <w:gridCol w:w="109"/>
        <w:gridCol w:w="109"/>
        <w:gridCol w:w="154"/>
      </w:tblGrid>
      <w:tr>
        <w:trPr/>
        <w:tc>
          <w:tcPr>
            <w:tcW w:w="3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IV CONDITIONS.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4.01.</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Date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4.02.</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Credit Event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tbl>
      <w:tblPr>
        <w:tblW w:w="6390" w:type="dxa"/>
        <w:jc w:val="left"/>
        <w:tblInd w:w="0" w:type="dxa"/>
        <w:tblLayout w:type="fixed"/>
        <w:tblCellMar>
          <w:top w:w="28" w:type="dxa"/>
          <w:left w:w="28" w:type="dxa"/>
          <w:bottom w:w="28" w:type="dxa"/>
          <w:right w:w="28" w:type="dxa"/>
        </w:tblCellMar>
      </w:tblPr>
      <w:tblGrid>
        <w:gridCol w:w="454"/>
        <w:gridCol w:w="399"/>
        <w:gridCol w:w="399"/>
        <w:gridCol w:w="399"/>
        <w:gridCol w:w="399"/>
        <w:gridCol w:w="399"/>
        <w:gridCol w:w="1180"/>
        <w:gridCol w:w="1180"/>
        <w:gridCol w:w="1209"/>
        <w:gridCol w:w="109"/>
        <w:gridCol w:w="109"/>
        <w:gridCol w:w="154"/>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 AFFIRMATIVE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5.01.</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and Other Reports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5.02.</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of Existence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5.03.</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and Performance of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5.04.</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of Property; Insurance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5.05.</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Laws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5.06.</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Inspection of Property, Books and Records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5.07.</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5.08.</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5.09.</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5.10.</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5.11.</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5.12.</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Assurances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5.13.</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Covenant to Guarantee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5.14.</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Designation of Subsidiaries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5.15.</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 Closing Deliveries.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5.16.</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5.17.</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Conduct of Business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bl>
    <w:tbl>
      <w:tblPr>
        <w:tblW w:w="6719" w:type="dxa"/>
        <w:jc w:val="left"/>
        <w:tblInd w:w="0" w:type="dxa"/>
        <w:tblLayout w:type="fixed"/>
        <w:tblCellMar>
          <w:top w:w="28" w:type="dxa"/>
          <w:left w:w="28" w:type="dxa"/>
          <w:bottom w:w="28" w:type="dxa"/>
          <w:right w:w="28" w:type="dxa"/>
        </w:tblCellMar>
      </w:tblPr>
      <w:tblGrid>
        <w:gridCol w:w="419"/>
        <w:gridCol w:w="369"/>
        <w:gridCol w:w="369"/>
        <w:gridCol w:w="390"/>
        <w:gridCol w:w="390"/>
        <w:gridCol w:w="390"/>
        <w:gridCol w:w="1735"/>
        <w:gridCol w:w="1118"/>
        <w:gridCol w:w="1167"/>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 NEGATIVE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6.01.</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6.02.</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Liens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6.03.</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Distributions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6.04.</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Restrictive Agreements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6.05.</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Fundamental Changes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6.06.</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Dispose of any property other than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6.07.</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6.08.</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6.09.</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Modification of Organizational Documents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6.10.</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6.11.</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6.12.</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and Amendment of Other Debt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6.13.</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42925"/>
                <wp:effectExtent l="0" t="0" r="0" b="0"/>
                <wp:wrapNone/>
                <wp:docPr id="104" name="Frame7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tbl>
      <w:tblPr>
        <w:tblW w:w="4658"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924"/>
        <w:gridCol w:w="924"/>
        <w:gridCol w:w="92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6.14.</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Liquidity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6.15.</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and Leaseback Transactions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6.16.</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bl>
    <w:tbl>
      <w:tblPr>
        <w:tblW w:w="4164" w:type="dxa"/>
        <w:jc w:val="left"/>
        <w:tblInd w:w="0" w:type="dxa"/>
        <w:tblLayout w:type="fixed"/>
        <w:tblCellMar>
          <w:top w:w="28" w:type="dxa"/>
          <w:left w:w="28" w:type="dxa"/>
          <w:bottom w:w="28" w:type="dxa"/>
          <w:right w:w="28" w:type="dxa"/>
        </w:tblCellMar>
      </w:tblPr>
      <w:tblGrid>
        <w:gridCol w:w="401"/>
        <w:gridCol w:w="353"/>
        <w:gridCol w:w="353"/>
        <w:gridCol w:w="390"/>
        <w:gridCol w:w="390"/>
        <w:gridCol w:w="390"/>
        <w:gridCol w:w="505"/>
        <w:gridCol w:w="505"/>
        <w:gridCol w:w="505"/>
        <w:gridCol w:w="109"/>
        <w:gridCol w:w="109"/>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VII EVENTS OF DEFAULT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7.01.</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Events of Default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7.02.</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bl>
    <w:tbl>
      <w:tblPr>
        <w:tblW w:w="8561" w:type="dxa"/>
        <w:jc w:val="left"/>
        <w:tblInd w:w="0" w:type="dxa"/>
        <w:tblLayout w:type="fixed"/>
        <w:tblCellMar>
          <w:top w:w="28" w:type="dxa"/>
          <w:left w:w="28" w:type="dxa"/>
          <w:bottom w:w="28" w:type="dxa"/>
          <w:right w:w="28" w:type="dxa"/>
        </w:tblCellMar>
      </w:tblPr>
      <w:tblGrid>
        <w:gridCol w:w="514"/>
        <w:gridCol w:w="452"/>
        <w:gridCol w:w="452"/>
        <w:gridCol w:w="452"/>
        <w:gridCol w:w="452"/>
        <w:gridCol w:w="452"/>
        <w:gridCol w:w="1798"/>
        <w:gridCol w:w="1798"/>
        <w:gridCol w:w="1819"/>
        <w:gridCol w:w="109"/>
        <w:gridCol w:w="109"/>
        <w:gridCol w:w="154"/>
      </w:tblGrid>
      <w:tr>
        <w:trPr/>
        <w:tc>
          <w:tcPr>
            <w:tcW w:w="5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VIII THE ADMINISTRATIVE AGENT.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8.01.</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 and Authority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8.02.</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as a Lender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8.03.</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Exculpatory Provisions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8.04.</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Reliance by Administrative Agent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8.05.</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Delegation of Duties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8.06.</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Resignation of Administrative Agent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8.07.</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Non-Reliance on the Administrative Agent and the Other Lenders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8.08.</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8.09.</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Agent May File Proofs of Claim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8.10.</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Guaranty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8.11.</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8.12.</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8.13.</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of Erroneous Payments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r>
    </w:tbl>
    <w:tbl>
      <w:tblPr>
        <w:tblW w:w="8873" w:type="dxa"/>
        <w:jc w:val="left"/>
        <w:tblInd w:w="0" w:type="dxa"/>
        <w:tblLayout w:type="fixed"/>
        <w:tblCellMar>
          <w:top w:w="28" w:type="dxa"/>
          <w:left w:w="28" w:type="dxa"/>
          <w:bottom w:w="28" w:type="dxa"/>
          <w:right w:w="28" w:type="dxa"/>
        </w:tblCellMar>
      </w:tblPr>
      <w:tblGrid>
        <w:gridCol w:w="357"/>
        <w:gridCol w:w="313"/>
        <w:gridCol w:w="313"/>
        <w:gridCol w:w="390"/>
        <w:gridCol w:w="390"/>
        <w:gridCol w:w="390"/>
        <w:gridCol w:w="2059"/>
        <w:gridCol w:w="2059"/>
        <w:gridCol w:w="2136"/>
        <w:gridCol w:w="136"/>
        <w:gridCol w:w="136"/>
        <w:gridCol w:w="194"/>
      </w:tblGrid>
      <w:tr>
        <w:trPr/>
        <w:tc>
          <w:tcPr>
            <w:tcW w:w="3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84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IX MISCELLANEOUS.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9.01.</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9.02.</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Waivers; Amendments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9.03.</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Limitation of Liability; Indemnity;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9.04.</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Successors and Assigns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9.05.</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Survival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9.06.</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Counterparts; Integration; Effectiveness; Electronic Execution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9.07.</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Severability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9.08.</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Setoff</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9.09.</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Governing Law; Jurisdiction; Consent to Service of Process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9.10.</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WAIVER OF JURY TRIAL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9.11.</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Headings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9.12.</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9.13.</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Several Obligations; Nonreliance; Violation of Law</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9.14.</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PATRIOT Act; Beneficial Ownership</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9.15.</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9.16.</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9.17.</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Limitation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9.18.</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9.19.</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Acknowledgement and Consent to Bail-In of Affected Financial Institutions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9.20.</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Fiduciary Duty,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9.21.</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9.22.</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Acknowledgement Regarding Any Supported QFC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9.23.</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9.24.</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Liens and Guarantees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42925"/>
                <wp:effectExtent l="0" t="0" r="0" b="0"/>
                <wp:wrapNone/>
                <wp:docPr id="105" name="Frame8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0"/>
          <w:u w:val="single"/>
        </w:rPr>
        <w:t>SCHEDULES</w:t>
      </w:r>
      <w:r>
        <w:rPr>
          <w:rFonts w:ascii="Times New Roman;sans-serif" w:hAnsi="Times New Roman;sans-serif"/>
          <w:b w:val="false"/>
          <w:color w:val="000000"/>
          <w:sz w:val="20"/>
        </w:rPr>
        <w:t>:</w:t>
      </w:r>
    </w:p>
    <w:p>
      <w:pPr>
        <w:pStyle w:val="TextBody"/>
        <w:bidi w:val="0"/>
        <w:spacing w:before="0" w:after="0"/>
        <w:jc w:val="both"/>
        <w:rPr/>
      </w:pPr>
      <w:r>
        <w:rPr/>
      </w:r>
    </w:p>
    <w:tbl>
      <w:tblPr>
        <w:tblW w:w="4110" w:type="dxa"/>
        <w:jc w:val="left"/>
        <w:tblInd w:w="0" w:type="dxa"/>
        <w:tblLayout w:type="fixed"/>
        <w:tblCellMar>
          <w:top w:w="28" w:type="dxa"/>
          <w:left w:w="28" w:type="dxa"/>
          <w:bottom w:w="28" w:type="dxa"/>
          <w:right w:w="28" w:type="dxa"/>
        </w:tblCellMar>
      </w:tblPr>
      <w:tblGrid>
        <w:gridCol w:w="559"/>
        <w:gridCol w:w="491"/>
        <w:gridCol w:w="494"/>
        <w:gridCol w:w="115"/>
        <w:gridCol w:w="115"/>
        <w:gridCol w:w="116"/>
        <w:gridCol w:w="649"/>
        <w:gridCol w:w="649"/>
        <w:gridCol w:w="922"/>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1.01(a)</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Subsidiary Guarantors</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 1.01(b)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Unrestricted Subsidiaries</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 1.01(c)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Schedule</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3.04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Structure</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3.06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Litigation; Labor Matters</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3.07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Ownership of Property</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3.16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6.01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6.02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Liens</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6.07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6.15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9.01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Notices</w:t>
            </w:r>
          </w:p>
        </w:tc>
      </w:tr>
    </w:tbl>
    <w:p>
      <w:pPr>
        <w:pStyle w:val="TextBody"/>
        <w:bidi w:val="0"/>
        <w:spacing w:before="0" w:after="240"/>
        <w:ind w:left="0" w:right="0" w:hanging="1800"/>
        <w:jc w:val="both"/>
        <w:rPr/>
      </w:pPr>
      <w:r>
        <w:rPr/>
      </w:r>
    </w:p>
    <w:p>
      <w:pPr>
        <w:pStyle w:val="TextBody"/>
        <w:bidi w:val="0"/>
        <w:spacing w:lineRule="auto" w:line="288" w:before="0" w:after="240"/>
        <w:jc w:val="center"/>
        <w:rPr/>
      </w:pP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83"/>
        <w:gridCol w:w="337"/>
        <w:gridCol w:w="339"/>
        <w:gridCol w:w="115"/>
        <w:gridCol w:w="115"/>
        <w:gridCol w:w="116"/>
        <w:gridCol w:w="2571"/>
        <w:gridCol w:w="2568"/>
        <w:gridCol w:w="3661"/>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A</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Assignment and Assumption</w:t>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Borrowing Request </w:t>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C</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Intercompany Subordination Agreement </w:t>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D</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Compliance Certificate</w:t>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E-1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Certificate (For Foreign Lenders that are not Partnerships for U.S. Federal Income Tax Purposes)</w:t>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E-2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Certificate (For Foreign Participants that are not Partnerships for U.S. Federal Income Tax Purposes)</w:t>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E-3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Certificate (For Foreign Participants that are Partnerships for U.S. Federal Income Tax Purposes)</w:t>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E-4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Certificate (For Foreign that are Partnerships for U.S. Federal Income Tax Purposes)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42925"/>
                <wp:effectExtent l="0" t="0" r="0" b="0"/>
                <wp:wrapNone/>
                <wp:docPr id="106" name="Frame8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CREDIT AGREEMENT dated as of August 4, 2024 (as it may be amended, restated, supplemented or otherwise modified from time to time,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among LUCID GROUP, INC., as the Borrower (the “</w:t>
      </w:r>
      <w:r>
        <w:rPr>
          <w:rFonts w:ascii="Times New Roman;sans-serif" w:hAnsi="Times New Roman;sans-serif"/>
          <w:b/>
          <w:color w:val="000000"/>
          <w:sz w:val="22"/>
        </w:rPr>
        <w:t>Borrower</w:t>
      </w:r>
      <w:r>
        <w:rPr>
          <w:color w:val="000000"/>
        </w:rPr>
        <w:t>”</w:t>
      </w:r>
      <w:r>
        <w:rPr>
          <w:rFonts w:ascii="Times New Roman;sans-serif" w:hAnsi="Times New Roman;sans-serif"/>
          <w:b w:val="false"/>
          <w:color w:val="000000"/>
          <w:sz w:val="22"/>
        </w:rPr>
        <w:t xml:space="preserve">), the Lenders from time to time party hereto, and AYAR THIRD INVESTMENT COMPANY, as Administrative Agent.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has requested that the Lenders extend credit to the Borrower in the form of a delayed draw term loan credit facility with Delayed Draw Term Commitments in an original aggregate amount equal to $750,000,000;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Lenders have agreed to extend credit to the Borrower hereunder, subject to the terms and conditions set form herein.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sufficiency of which are hereby acknowledged, the parties hereto agree as follows:</w:t>
      </w:r>
    </w:p>
    <w:p>
      <w:pPr>
        <w:pStyle w:val="TextBody"/>
        <w:bidi w:val="0"/>
        <w:spacing w:lineRule="auto" w:line="319" w:before="0" w:after="240"/>
        <w:jc w:val="center"/>
        <w:rPr/>
      </w:pPr>
      <w:r>
        <w:rPr>
          <w:rFonts w:ascii="Times New Roman;sans-serif" w:hAnsi="Times New Roman;sans-serif"/>
          <w:b w:val="false"/>
          <w:color w:val="000000"/>
          <w:sz w:val="22"/>
        </w:rPr>
        <w:t>ARTICLE I</w:t>
      </w:r>
      <w:r>
        <w:rPr>
          <w:rFonts w:ascii="Times New Roman;sans-serif" w:hAnsi="Times New Roman;sans-serif"/>
          <w:b w:val="false"/>
          <w:color w:val="000000"/>
          <w:sz w:val="24"/>
        </w:rPr>
        <w:br/>
      </w:r>
      <w:r>
        <w:rPr>
          <w:rFonts w:ascii="Times New Roman;sans-serif" w:hAnsi="Times New Roman;sans-serif"/>
          <w:b w:val="false"/>
          <w:color w:val="000000"/>
          <w:sz w:val="22"/>
        </w:rPr>
        <w:t>DEFINITIONS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1.01.    </w:t>
      </w:r>
      <w:r>
        <w:rPr>
          <w:rFonts w:ascii="Times New Roman;sans-serif" w:hAnsi="Times New Roman;sans-serif"/>
          <w:b w:val="false"/>
          <w:i/>
          <w:color w:val="000000"/>
          <w:sz w:val="22"/>
        </w:rPr>
        <w:t>Defined Terms</w:t>
      </w:r>
      <w:r>
        <w:rPr>
          <w:rFonts w:ascii="Times New Roman;sans-serif" w:hAnsi="Times New Roman;sans-serif"/>
          <w:b w:val="false"/>
          <w:color w:val="000000"/>
          <w:sz w:val="22"/>
        </w:rPr>
        <w:t>. As used in this Agreement, the following terms have the meanings specified below: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ABL Credit Agreement</w:t>
      </w:r>
      <w:r>
        <w:rPr>
          <w:color w:val="000000"/>
        </w:rPr>
        <w:t xml:space="preserve">” </w:t>
      </w:r>
      <w:r>
        <w:rPr>
          <w:rFonts w:ascii="Times New Roman;sans-serif" w:hAnsi="Times New Roman;sans-serif"/>
          <w:b w:val="false"/>
          <w:color w:val="000000"/>
          <w:sz w:val="22"/>
        </w:rPr>
        <w:t>means that certain Credit Agreement, dated as of June 9, 2022 (as amended by Amendment No. 1 dated as of June 6, 2024 and as further amended, restated, amended and restated, supplemented or otherwise modified from time to time), among the Borrower, the other borrowers and lenders party thereto from time to time and Bank of America, N.A., as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ABR</w:t>
      </w:r>
      <w:r>
        <w:rPr>
          <w:color w:val="000000"/>
        </w:rPr>
        <w:t>”</w:t>
      </w:r>
      <w:r>
        <w:rPr>
          <w:rFonts w:ascii="Times New Roman;sans-serif" w:hAnsi="Times New Roman;sans-serif"/>
          <w:b w:val="false"/>
          <w:color w:val="000000"/>
          <w:sz w:val="22"/>
        </w:rPr>
        <w:t>, when used in reference to (a) a rate of interest, refers to the Alternate Base Rate, and (b) any Loan or Borrowing, refers to whether such Loan, or the Loans comprising such Borrowing, bear interest at a rate determined by reference to the Alternate Base Rate. All ABR Loans shall be denominated in Dollars.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Administrative Agent</w:t>
      </w:r>
      <w:r>
        <w:rPr>
          <w:color w:val="000000"/>
        </w:rPr>
        <w:t xml:space="preserve">” </w:t>
      </w:r>
      <w:r>
        <w:rPr>
          <w:rFonts w:ascii="Times New Roman;sans-serif" w:hAnsi="Times New Roman;sans-serif"/>
          <w:b w:val="false"/>
          <w:color w:val="000000"/>
          <w:sz w:val="22"/>
        </w:rPr>
        <w:t>shall mean Ayar Third Investment Company, in its capacity as administrative agent hereunder and under any of the other Loan Documents and its successors in such capacity.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Administrative Questionnaire</w:t>
      </w:r>
      <w:r>
        <w:rPr>
          <w:color w:val="000000"/>
        </w:rPr>
        <w:t xml:space="preserve">” </w:t>
      </w:r>
      <w:r>
        <w:rPr>
          <w:rFonts w:ascii="Times New Roman;sans-serif" w:hAnsi="Times New Roman;sans-serif"/>
          <w:b w:val="false"/>
          <w:color w:val="000000"/>
          <w:sz w:val="22"/>
        </w:rPr>
        <w:t>shall mean an Administrative Questionnaire in a form supplied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Affected Financial Institution</w:t>
      </w:r>
      <w:r>
        <w:rPr>
          <w:color w:val="000000"/>
        </w:rPr>
        <w:t xml:space="preserve">” </w:t>
      </w:r>
      <w:r>
        <w:rPr>
          <w:rFonts w:ascii="Times New Roman;sans-serif" w:hAnsi="Times New Roman;sans-serif"/>
          <w:b w:val="false"/>
          <w:color w:val="000000"/>
          <w:sz w:val="22"/>
        </w:rPr>
        <w:t>shall mean (a) any EEA Financial Institution or (b) any UK Financial Institution.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67665"/>
                <wp:effectExtent l="0" t="0" r="0" b="0"/>
                <wp:wrapNone/>
                <wp:docPr id="107" name="Frame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 xml:space="preserve">shall mean with respect to any Person (a) any other Person that directly or indirectly controls such Person and (b) any other Person that is controlled by or is under common control with such controlling Person;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Public Investment Fund of Saudi Arabia (and/or any direct or indirect controlling Person and/or Persons under direct or indirect common control) (other than the Borrower and its Subsidiaries) shall not constitute an Affiliate of the Borrower for purposes of this Agreement and the other Loan Documents (other than with respect to Section 9.12 (</w:t>
      </w:r>
      <w:r>
        <w:rPr>
          <w:rFonts w:ascii="Times New Roman;sans-serif" w:hAnsi="Times New Roman;sans-serif"/>
          <w:b w:val="false"/>
          <w:i/>
          <w:color w:val="000000"/>
          <w:sz w:val="22"/>
        </w:rPr>
        <w:t>Confidentiality</w:t>
      </w:r>
      <w:r>
        <w:rPr>
          <w:rFonts w:ascii="Times New Roman;sans-serif" w:hAnsi="Times New Roman;sans-serif"/>
          <w:b w:val="false"/>
          <w:color w:val="000000"/>
          <w:sz w:val="22"/>
        </w:rPr>
        <w:t xml:space="preserve">)). </w:t>
      </w:r>
      <w:r>
        <w:rPr>
          <w:rFonts w:ascii="Times New Roman;sans-serif" w:hAnsi="Times New Roman;sans-serif"/>
          <w:b w:val="false"/>
          <w:color w:val="000000"/>
          <w:sz w:val="22"/>
          <w:shd w:fill="FFFFFF" w:val="clear"/>
        </w:rPr>
        <w:t>For purposes of this definition, “</w:t>
      </w:r>
      <w:r>
        <w:rPr>
          <w:rFonts w:ascii="Times New Roman;sans-serif" w:hAnsi="Times New Roman;sans-serif"/>
          <w:b/>
          <w:color w:val="000000"/>
          <w:sz w:val="22"/>
        </w:rPr>
        <w:t>control</w:t>
      </w:r>
      <w:r>
        <w:rPr>
          <w:color w:val="000000"/>
          <w:shd w:fill="FFFFFF" w:val="clear"/>
        </w:rPr>
        <w:t xml:space="preserve">” </w:t>
      </w:r>
      <w:r>
        <w:rPr>
          <w:rFonts w:ascii="Times New Roman;sans-serif" w:hAnsi="Times New Roman;sans-serif"/>
          <w:b w:val="false"/>
          <w:color w:val="000000"/>
          <w:sz w:val="22"/>
          <w:shd w:fill="FFFFFF" w:val="clear"/>
        </w:rPr>
        <w:t>of a Person means the power, directly or indirectly, to direct or cause the direction of the management and policies of such Person, whether by contract or otherwise. For purpose of this definition, the terms “controlling” and “controlled” have meanings correlative to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Agent Parties</w:t>
      </w:r>
      <w:r>
        <w:rPr>
          <w:color w:val="000000"/>
        </w:rPr>
        <w:t xml:space="preserve">” </w:t>
      </w:r>
      <w:r>
        <w:rPr>
          <w:rFonts w:ascii="Times New Roman;sans-serif" w:hAnsi="Times New Roman;sans-serif"/>
          <w:b w:val="false"/>
          <w:color w:val="000000"/>
          <w:sz w:val="22"/>
        </w:rPr>
        <w:t>has the meaning assigned to such term in Section 9.01(d)(ii).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Agent-Related Person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9.03(d)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Aggregate Delayed Draw Term Commitment</w:t>
      </w:r>
      <w:r>
        <w:rPr>
          <w:color w:val="000000"/>
        </w:rPr>
        <w:t xml:space="preserve">” </w:t>
      </w:r>
      <w:r>
        <w:rPr>
          <w:rFonts w:ascii="Times New Roman;sans-serif" w:hAnsi="Times New Roman;sans-serif"/>
          <w:b w:val="false"/>
          <w:color w:val="000000"/>
          <w:sz w:val="22"/>
        </w:rPr>
        <w:t>shall mean, at any time, the aggregate of the Delayed Draw Commitments of all of the Lenders, as increased or reduced from time to time pursuant to the terms and conditions hereof. As of the Effective Date, the Aggregate Delayed Draw Commitment is $750,000,000.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Aggregate Delayed Draw Term Exposure</w:t>
      </w:r>
      <w:r>
        <w:rPr>
          <w:color w:val="000000"/>
        </w:rPr>
        <w:t xml:space="preserve">” </w:t>
      </w:r>
      <w:r>
        <w:rPr>
          <w:rFonts w:ascii="Times New Roman;sans-serif" w:hAnsi="Times New Roman;sans-serif"/>
          <w:b w:val="false"/>
          <w:color w:val="000000"/>
          <w:sz w:val="22"/>
        </w:rPr>
        <w:t>shall mean, at any time, the aggregate Delayed Draw Term Exposure of all the Lenders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Agreement Value</w:t>
      </w:r>
      <w:r>
        <w:rPr>
          <w:color w:val="000000"/>
        </w:rPr>
        <w:t xml:space="preserve">” </w:t>
      </w:r>
      <w:r>
        <w:rPr>
          <w:rFonts w:ascii="Times New Roman;sans-serif" w:hAnsi="Times New Roman;sans-serif"/>
          <w:b w:val="false"/>
          <w:color w:val="000000"/>
          <w:sz w:val="22"/>
        </w:rPr>
        <w:t>shall mean, for each Swap Agreement, on any date of determination, the maximum aggregate amount (giving effect to any netting agreements) that the Borrower or any Restricted Subsidiary would be required to pay if such Swap Agreement were terminated on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Alternate Base Rate</w:t>
      </w:r>
      <w:r>
        <w:rPr>
          <w:color w:val="000000"/>
        </w:rPr>
        <w:t xml:space="preserve">” </w:t>
      </w:r>
      <w:r>
        <w:rPr>
          <w:rFonts w:ascii="Times New Roman;sans-serif" w:hAnsi="Times New Roman;sans-serif"/>
          <w:b w:val="false"/>
          <w:color w:val="000000"/>
          <w:sz w:val="22"/>
        </w:rPr>
        <w:t xml:space="preserve">shall mean, for any day, a rate per annum equal to the greatest of (a) the Prime Rate in effect on such day, (b) the Federal Funds Effective Rate in effect on such day plus 0.50% and (c) the Term SOFR Rate for a one-month Interest Period on such day (or if such day is not a Business Day, the immediately preceding Business Day) plus 1%;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for the purpose of this definition, the Term SOFR Rate for any day shall be based on the Term SOFR Reference Rate at approximately 5:00 a.m. New York City time on such day (or any amended publication time for the Term SOFR Reference Rate, as specified by the Term SOFR Administrator in the Term SOFR Reference Rate methodology). Any change in the Alternate Base Rate due to a change in the Prime Rate, the Federal Funds Effective Rate or the Term SOFR Rate shall be effective from and including the effective date of such change in the Prime Rate, the Federal Funds Effective Rate or the Term SOFR Rate, respectively. If the Alternate Base Rate is being used as an alternate rate of interest pursuant to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(for the avoidance of doubt, only until the Benchmark Replacement has been determined pursuant to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then the Alternate Base Rate shall be the greater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and shall be determined without reference to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above. For the avoidance of doubt, if the Alternate Base Rate as determined pursuant to the foregoing would be less than 2.00%, such rate shall be deemed to be 2.00% for purposes of this Agreement.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Ancillary Document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9.06(b)</w:t>
      </w:r>
      <w:r>
        <w:rPr>
          <w:rFonts w:ascii="Times New Roman;sans-serif" w:hAnsi="Times New Roman;sans-serif"/>
          <w:b w:val="false"/>
          <w:color w:val="000000"/>
          <w:sz w:val="22"/>
        </w:rPr>
        <w: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01040"/>
                <wp:effectExtent l="0" t="0" r="0" b="0"/>
                <wp:wrapNone/>
                <wp:docPr id="108" name="Frame8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Anti-Corruption Laws</w:t>
      </w:r>
      <w:r>
        <w:rPr>
          <w:color w:val="000000"/>
        </w:rPr>
        <w:t xml:space="preserve">” </w:t>
      </w:r>
      <w:r>
        <w:rPr>
          <w:rFonts w:ascii="Times New Roman;sans-serif" w:hAnsi="Times New Roman;sans-serif"/>
          <w:b w:val="false"/>
          <w:color w:val="000000"/>
          <w:sz w:val="22"/>
        </w:rPr>
        <w:t>shall mean all laws, rules, and regulations of any jurisdiction applicable to the Borrower or any of its Subsidiaries from time to time concerning or relating to anti-bribery or anti-corruption, including the U.S. Foreign Corrupt Practices Act and the UK Bribery Act, in each case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Applicable Percentage</w:t>
      </w:r>
      <w:r>
        <w:rPr>
          <w:color w:val="000000"/>
        </w:rPr>
        <w:t xml:space="preserve">” </w:t>
      </w:r>
      <w:r>
        <w:rPr>
          <w:rFonts w:ascii="Times New Roman;sans-serif" w:hAnsi="Times New Roman;sans-serif"/>
          <w:b w:val="false"/>
          <w:color w:val="000000"/>
          <w:sz w:val="22"/>
        </w:rPr>
        <w:t xml:space="preserve">shall mean, with respect to any Lender, a percentage equal to a fraction (x) the numerator of which is the sum of such Lender’s remaining Delayed Draw Term Commitment and the aggregate amount of its Delayed Draw Term Loans and (y) the denominator of which is the remaining Aggregate Delayed Draw Term Commitment and the aggregate amount of Delayed Draw Term Loans of all Lenders;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in accordance with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xml:space="preserve">, so long as any Lender shall be a Defaulting Lender, such Defaulting Lender’s Commitment shall be disregarded in the calculations above.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Applicable Rate</w:t>
      </w:r>
      <w:r>
        <w:rPr>
          <w:color w:val="000000"/>
        </w:rPr>
        <w:t xml:space="preserve">” </w:t>
      </w:r>
      <w:r>
        <w:rPr>
          <w:rFonts w:ascii="Times New Roman;sans-serif" w:hAnsi="Times New Roman;sans-serif"/>
          <w:b w:val="false"/>
          <w:color w:val="000000"/>
          <w:sz w:val="22"/>
        </w:rPr>
        <w:t xml:space="preserve">shall mean, for any day, with respect to any Delayed Draw Term Loan, (i) 5.75% for Term SOFR Loans and (ii) 4.75% for ABR Loans.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Approved Fund</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Assignment and Assumption</w:t>
      </w:r>
      <w:r>
        <w:rPr>
          <w:color w:val="000000"/>
        </w:rPr>
        <w:t xml:space="preserve">” </w:t>
      </w:r>
      <w:r>
        <w:rPr>
          <w:rFonts w:ascii="Times New Roman;sans-serif" w:hAnsi="Times New Roman;sans-serif"/>
          <w:b w:val="false"/>
          <w:color w:val="000000"/>
          <w:sz w:val="22"/>
        </w:rPr>
        <w:t xml:space="preserve">shall mean an assignment and assumption agreement entered into by a Lender and an assignee (with the consent of any party whose consent is required by </w:t>
      </w:r>
      <w:r>
        <w:rPr>
          <w:rFonts w:ascii="Times New Roman;sans-serif" w:hAnsi="Times New Roman;sans-serif"/>
          <w:b w:val="false"/>
          <w:color w:val="000000"/>
          <w:sz w:val="22"/>
          <w:u w:val="single"/>
        </w:rPr>
        <w:t>Section 9.04</w:t>
      </w:r>
      <w:r>
        <w:rPr>
          <w:rFonts w:ascii="Times New Roman;sans-serif" w:hAnsi="Times New Roman;sans-serif"/>
          <w:b w:val="false"/>
          <w:color w:val="000000"/>
          <w:sz w:val="22"/>
        </w:rPr>
        <w:t>), and accepted by the Administrative Agent, in the form of Exhibit A 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Available Tenor</w:t>
      </w:r>
      <w:r>
        <w:rPr>
          <w:color w:val="000000"/>
        </w:rPr>
        <w:t xml:space="preserve">” </w:t>
      </w:r>
      <w:r>
        <w:rPr>
          <w:rFonts w:ascii="Times New Roman;sans-serif" w:hAnsi="Times New Roman;sans-serif"/>
          <w:b w:val="false"/>
          <w:color w:val="000000"/>
          <w:sz w:val="22"/>
        </w:rPr>
        <w:t>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as applicable, pursuant to this Agreement as of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Bail-In Action</w:t>
      </w:r>
      <w:r>
        <w:rPr>
          <w:color w:val="000000"/>
        </w:rPr>
        <w:t xml:space="preserve">” </w:t>
      </w:r>
      <w:r>
        <w:rPr>
          <w:rFonts w:ascii="Times New Roman;sans-serif" w:hAnsi="Times New Roman;sans-serif"/>
          <w:b w:val="false"/>
          <w:color w:val="000000"/>
          <w:sz w:val="22"/>
        </w:rPr>
        <w:t>shall mean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Bail-In Legislation</w:t>
      </w:r>
      <w:r>
        <w:rPr>
          <w:color w:val="000000"/>
        </w:rPr>
        <w:t xml:space="preserve">” </w:t>
      </w:r>
      <w:r>
        <w:rPr>
          <w:rFonts w:ascii="Times New Roman;sans-serif" w:hAnsi="Times New Roman;sans-serif"/>
          <w:b w:val="false"/>
          <w:color w:val="000000"/>
          <w:sz w:val="22"/>
        </w:rPr>
        <w:t>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Bankruptcy Code</w:t>
      </w:r>
      <w:r>
        <w:rPr>
          <w:color w:val="000000"/>
        </w:rPr>
        <w:t xml:space="preserve">” </w:t>
      </w:r>
      <w:r>
        <w:rPr>
          <w:rFonts w:ascii="Times New Roman;sans-serif" w:hAnsi="Times New Roman;sans-serif"/>
          <w:b w:val="false"/>
          <w:color w:val="000000"/>
          <w:sz w:val="22"/>
        </w:rPr>
        <w:t>means the United States Bankruptcy Code (11 U.S.C. §101 et seq.), as amended from time to time.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01040"/>
                <wp:effectExtent l="0" t="0" r="0" b="0"/>
                <wp:wrapNone/>
                <wp:docPr id="109" name="Frame8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Bankruptcy Event</w:t>
      </w:r>
      <w:r>
        <w:rPr>
          <w:color w:val="000000"/>
        </w:rPr>
        <w:t xml:space="preserve">” </w:t>
      </w:r>
      <w:r>
        <w:rPr>
          <w:rFonts w:ascii="Times New Roman;sans-serif" w:hAnsi="Times New Roman;sans-serif"/>
          <w:b w:val="false"/>
          <w:color w:val="000000"/>
          <w:sz w:val="22"/>
        </w:rPr>
        <w:t>shall mean, with respect to any Person, when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Benchmark</w:t>
      </w:r>
      <w:r>
        <w:rPr>
          <w:color w:val="000000"/>
        </w:rPr>
        <w:t xml:space="preserve">” </w:t>
      </w:r>
      <w:r>
        <w:rPr>
          <w:rFonts w:ascii="Times New Roman;sans-serif" w:hAnsi="Times New Roman;sans-serif"/>
          <w:b w:val="false"/>
          <w:color w:val="000000"/>
          <w:sz w:val="22"/>
        </w:rPr>
        <w:t xml:space="preserve">shall mean, initially, the Term SOFR Rate;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a Benchmark Transition Event and its related Benchmark Replacement Date have occurred with respect to such Term SOFR Rate or the then-current Benchmark, then “Benchmark” shall mean the applicable Benchmark Replacement to the extent that such Benchmark Replacement has replaced such prior benchmark rate pursuant to </w:t>
      </w:r>
      <w:r>
        <w:rPr>
          <w:rFonts w:ascii="Times New Roman;sans-serif" w:hAnsi="Times New Roman;sans-serif"/>
          <w:b w:val="false"/>
          <w:color w:val="000000"/>
          <w:sz w:val="22"/>
          <w:u w:val="single"/>
        </w:rPr>
        <w:t>Section 2.14(b)</w:t>
      </w:r>
      <w:r>
        <w:rPr>
          <w:rFonts w:ascii="Times New Roman;sans-serif" w:hAnsi="Times New Roman;sans-serif"/>
          <w:b w:val="false"/>
          <w:color w:val="000000"/>
          <w:sz w:val="22"/>
        </w:rPr>
        <w:t>. Any reference to “Benchmark” shall include, as applicable,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Benchmark Replacement</w:t>
      </w:r>
      <w:r>
        <w:rPr>
          <w:color w:val="000000"/>
        </w:rPr>
        <w:t xml:space="preserve">” </w:t>
      </w:r>
      <w:r>
        <w:rPr>
          <w:rFonts w:ascii="Times New Roman;sans-serif" w:hAnsi="Times New Roman;sans-serif"/>
          <w:b w:val="false"/>
          <w:color w:val="000000"/>
          <w:sz w:val="22"/>
        </w:rPr>
        <w:t xml:space="preserve">shall mean, for purposes of </w:t>
      </w:r>
      <w:r>
        <w:rPr>
          <w:rFonts w:ascii="Times New Roman;sans-serif" w:hAnsi="Times New Roman;sans-serif"/>
          <w:b w:val="false"/>
          <w:color w:val="000000"/>
          <w:sz w:val="22"/>
          <w:u w:val="single"/>
        </w:rPr>
        <w:t>Section 2.14(b)(ii)</w:t>
      </w:r>
      <w:r>
        <w:rPr>
          <w:rFonts w:ascii="Times New Roman;sans-serif" w:hAnsi="Times New Roman;sans-serif"/>
          <w:b w:val="false"/>
          <w:color w:val="000000"/>
          <w:sz w:val="22"/>
        </w:rPr>
        <w:t>, the first alternative set forth below that can be determined by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[reserved];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the sum of: (a) Daily SOFR and (b) the SOFR Adjustment;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If the Benchmark Replacement as determined pursuant to </w:t>
      </w:r>
      <w:r>
        <w:rPr>
          <w:rFonts w:ascii="Times New Roman;sans-serif" w:hAnsi="Times New Roman;sans-serif"/>
          <w:b w:val="false"/>
          <w:color w:val="000000"/>
          <w:sz w:val="22"/>
          <w:u w:val="single"/>
        </w:rPr>
        <w:t>clause (2)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w:t>
      </w:r>
      <w:r>
        <w:rPr>
          <w:color w:val="000000"/>
        </w:rPr>
        <w:t xml:space="preserve"> </w:t>
      </w:r>
      <w:r>
        <w:rPr>
          <w:rFonts w:ascii="Times New Roman;sans-serif" w:hAnsi="Times New Roman;sans-serif"/>
          <w:b w:val="false"/>
          <w:color w:val="000000"/>
          <w:sz w:val="22"/>
        </w:rPr>
        <w:t>above would be less than the applicable Floor, the Benchmark Replacement will be deemed to be such Floor for the purposes of this Agreement and the other Loan Documents.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01040"/>
                <wp:effectExtent l="0" t="0" r="0" b="0"/>
                <wp:wrapNone/>
                <wp:docPr id="110" name="Frame8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Benchmark Replacement Adjustment</w:t>
      </w:r>
      <w:r>
        <w:rPr>
          <w:color w:val="000000"/>
        </w:rPr>
        <w:t xml:space="preserve">” </w:t>
      </w:r>
      <w:r>
        <w:rPr>
          <w:rFonts w:ascii="Times New Roman;sans-serif" w:hAnsi="Times New Roman;sans-serif"/>
          <w:b w:val="false"/>
          <w:color w:val="000000"/>
          <w:sz w:val="22"/>
        </w:rPr>
        <w:t xml:space="preserve">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in the case of </w:t>
      </w:r>
      <w:r>
        <w:rPr>
          <w:rFonts w:ascii="Times New Roman;sans-serif" w:hAnsi="Times New Roman;sans-serif"/>
          <w:b w:val="false"/>
          <w:color w:val="000000"/>
          <w:sz w:val="22"/>
          <w:u w:val="single"/>
        </w:rPr>
        <w:t>clause (1)</w:t>
      </w:r>
      <w:r>
        <w:rPr>
          <w:color w:val="000000"/>
        </w:rPr>
        <w:t xml:space="preserve"> </w:t>
      </w:r>
      <w:r>
        <w:rPr>
          <w:rFonts w:ascii="Times New Roman;sans-serif" w:hAnsi="Times New Roman;sans-serif"/>
          <w:b w:val="false"/>
          <w:color w:val="000000"/>
          <w:sz w:val="22"/>
        </w:rPr>
        <w:t>above, such adjustment is displayed on a screen or other information service that publishes such Benchmark Replacement Adjustment from time to time as selected by the Administrative Agent (in consultation with the Borrower) in its reasonable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Benchmark Replacement Conforming Changes</w:t>
      </w:r>
      <w:r>
        <w:rPr>
          <w:color w:val="000000"/>
        </w:rPr>
        <w:t xml:space="preserve">” </w:t>
      </w:r>
      <w:r>
        <w:rPr>
          <w:rFonts w:ascii="Times New Roman;sans-serif" w:hAnsi="Times New Roman;sans-serif"/>
          <w:b w:val="false"/>
          <w:color w:val="000000"/>
          <w:sz w:val="22"/>
        </w:rPr>
        <w:t>shall mean, with respect to any technical, administrative or operational changes (including changes to the definition of “Alternate Base Rate”, “Business Day” or “Interest Period” timing and frequency of determining rates and making payments of interest, timing of borrowing requests or prepayment, conversion or continuation notices, applicability and length of lookback periods, the applicability of breakage provisions, and other technical, administrative or operational matters) that the Administrative Agent (in consultation with the Borrower)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(in consultation with the Borrower)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Benchmark Replacement Date</w:t>
      </w:r>
      <w:r>
        <w:rPr>
          <w:color w:val="000000"/>
        </w:rPr>
        <w:t xml:space="preserve">” </w:t>
      </w:r>
      <w:r>
        <w:rPr>
          <w:rFonts w:ascii="Times New Roman;sans-serif" w:hAnsi="Times New Roman;sans-serif"/>
          <w:b w:val="false"/>
          <w:color w:val="000000"/>
          <w:sz w:val="22"/>
        </w:rPr>
        <w:t>shall mean the earliest to occur of the following events with respect to the then-current Benchmark:</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(1)    in the case of </w:t>
      </w:r>
      <w:r>
        <w:rPr>
          <w:rFonts w:ascii="Times New Roman;sans-serif" w:hAnsi="Times New Roman;sans-serif"/>
          <w:b w:val="false"/>
          <w:color w:val="000000"/>
          <w:sz w:val="22"/>
          <w:u w:val="single"/>
        </w:rPr>
        <w:t>clause (1)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w:t>
      </w:r>
      <w:r>
        <w:rPr>
          <w:color w:val="000000"/>
        </w:rPr>
        <w:t xml:space="preserve"> </w:t>
      </w:r>
      <w:r>
        <w:rPr>
          <w:rFonts w:ascii="Times New Roman;sans-serif" w:hAnsi="Times New Roman;sans-serif"/>
          <w:b w:val="false"/>
          <w:color w:val="000000"/>
          <w:sz w:val="22"/>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and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01040"/>
                <wp:effectExtent l="0" t="0" r="0" b="0"/>
                <wp:wrapNone/>
                <wp:docPr id="111" name="Frame8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(2)    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or not to comply with the International Organization of Securities Commissions (IOSCO) Principles for Financial Benchmarks;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such non-representativeness, non-compliance, or non-alignment will be determined by reference to the most recent statement or publication referenced in such clause (3) and even if any Available Tenor of such Benchmark (or such component thereof) continues to be provided on such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For the avoidance of doubt, the “Benchmark Replacement Date” will be deemed to have occurred in the case of </w:t>
      </w:r>
      <w:r>
        <w:rPr>
          <w:rFonts w:ascii="Times New Roman;sans-serif" w:hAnsi="Times New Roman;sans-serif"/>
          <w:b w:val="false"/>
          <w:color w:val="000000"/>
          <w:sz w:val="22"/>
          <w:u w:val="single"/>
        </w:rPr>
        <w:t>clause (1)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w:t>
      </w:r>
      <w:r>
        <w:rPr>
          <w:color w:val="000000"/>
        </w:rPr>
        <w:t xml:space="preserve"> </w:t>
      </w:r>
      <w:r>
        <w:rPr>
          <w:rFonts w:ascii="Times New Roman;sans-serif" w:hAnsi="Times New Roman;sans-serif"/>
          <w:b w:val="false"/>
          <w:color w:val="000000"/>
          <w:sz w:val="22"/>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Benchmark Transition Event</w:t>
      </w:r>
      <w:r>
        <w:rPr>
          <w:color w:val="000000"/>
        </w:rPr>
        <w:t xml:space="preserve">” </w:t>
      </w:r>
      <w:r>
        <w:rPr>
          <w:rFonts w:ascii="Times New Roman;sans-serif" w:hAnsi="Times New Roman;sans-serif"/>
          <w:b w:val="false"/>
          <w:color w:val="000000"/>
          <w:sz w:val="22"/>
        </w:rPr>
        <w:t>shall mean the occurrence of one or more of the following events with respect to the then-current Benchmark:</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 or do not, or as a specified future date will not, comply with the International Organization of Securities Commissions (IOSCO) Principles for Financial Benchmarks.</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01040"/>
                <wp:effectExtent l="0" t="0" r="0" b="0"/>
                <wp:wrapNone/>
                <wp:docPr id="112" name="Frame8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Beneficial Ownership Certification</w:t>
      </w:r>
      <w:r>
        <w:rPr>
          <w:color w:val="000000"/>
        </w:rPr>
        <w:t xml:space="preserve">” </w:t>
      </w:r>
      <w:r>
        <w:rPr>
          <w:rFonts w:ascii="Times New Roman;sans-serif" w:hAnsi="Times New Roman;sans-serif"/>
          <w:b w:val="false"/>
          <w:color w:val="000000"/>
          <w:sz w:val="22"/>
        </w:rPr>
        <w:t>shall mean a certification regarding beneficial ownership as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Beneficial Ownership Regulation</w:t>
      </w:r>
      <w:r>
        <w:rPr>
          <w:color w:val="000000"/>
        </w:rPr>
        <w:t xml:space="preserve">” </w:t>
      </w:r>
      <w:r>
        <w:rPr>
          <w:rFonts w:ascii="Times New Roman;sans-serif" w:hAnsi="Times New Roman;sans-serif"/>
          <w:b w:val="false"/>
          <w:color w:val="000000"/>
          <w:sz w:val="22"/>
        </w:rPr>
        <w:t>shall mean 31 C.F.R. § 1010.230.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Benefit Plan</w:t>
      </w:r>
      <w:r>
        <w:rPr>
          <w:color w:val="000000"/>
        </w:rPr>
        <w:t xml:space="preserve">” </w:t>
      </w:r>
      <w:r>
        <w:rPr>
          <w:rFonts w:ascii="Times New Roman;sans-serif" w:hAnsi="Times New Roman;sans-serif"/>
          <w:b w:val="false"/>
          <w:color w:val="000000"/>
          <w:sz w:val="22"/>
        </w:rPr>
        <w:t>shall mean any of (a) an “employee benefit plan” (as defined in Section 3(3) of ERISA) that is subject to Title I of ERISA, (b) a “plan” as defined in Section 4975 of the Code to which Section 4975 of the Code applies, and (c) any Person whose assets include (for purposes of Section 3(42) of ERISA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BHC Act Affiliate</w:t>
      </w:r>
      <w:r>
        <w:rPr>
          <w:color w:val="000000"/>
        </w:rPr>
        <w:t xml:space="preserve">” </w:t>
      </w:r>
      <w:r>
        <w:rPr>
          <w:rFonts w:ascii="Times New Roman;sans-serif" w:hAnsi="Times New Roman;sans-serif"/>
          <w:b w:val="false"/>
          <w:color w:val="000000"/>
          <w:sz w:val="22"/>
        </w:rPr>
        <w:t>of a party shall mean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shall mean the Board of Governors of the Federal Reserve System of the U.S.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Bona Fide Debt Fund</w:t>
      </w:r>
      <w:r>
        <w:rPr>
          <w:color w:val="000000"/>
        </w:rPr>
        <w:t xml:space="preserve">” </w:t>
      </w:r>
      <w:r>
        <w:rPr>
          <w:rFonts w:ascii="Times New Roman;sans-serif" w:hAnsi="Times New Roman;sans-serif"/>
          <w:b w:val="false"/>
          <w:color w:val="000000"/>
          <w:sz w:val="22"/>
        </w:rPr>
        <w:t>means any fund or investment vehicle that is primarily engaged in the making, purchasing, holding or otherwise investing in commercial loans, bonds and other similar extensions of credit in the ordinary course.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Borrower</w:t>
      </w:r>
      <w:r>
        <w:rPr>
          <w:color w:val="000000"/>
        </w:rPr>
        <w:t xml:space="preserve">” </w:t>
      </w:r>
      <w:r>
        <w:rPr>
          <w:rFonts w:ascii="Times New Roman;sans-serif" w:hAnsi="Times New Roman;sans-serif"/>
          <w:b w:val="false"/>
          <w:color w:val="000000"/>
          <w:sz w:val="22"/>
        </w:rPr>
        <w:t xml:space="preserve">has the meaning specified therefor in the preamble to this Agreement.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Borrowing</w:t>
      </w:r>
      <w:r>
        <w:rPr>
          <w:color w:val="000000"/>
        </w:rPr>
        <w:t xml:space="preserve">” </w:t>
      </w:r>
      <w:r>
        <w:rPr>
          <w:rFonts w:ascii="Times New Roman;sans-serif" w:hAnsi="Times New Roman;sans-serif"/>
          <w:b w:val="false"/>
          <w:color w:val="000000"/>
          <w:sz w:val="22"/>
        </w:rPr>
        <w:t>shall mean Loans of the same Type, made on the same date and, in the case of Term SOFR Loans, as to which a single Interest Period is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Borrowing Request</w:t>
      </w:r>
      <w:r>
        <w:rPr>
          <w:color w:val="000000"/>
        </w:rPr>
        <w:t xml:space="preserve">” </w:t>
      </w:r>
      <w:r>
        <w:rPr>
          <w:rFonts w:ascii="Times New Roman;sans-serif" w:hAnsi="Times New Roman;sans-serif"/>
          <w:b w:val="false"/>
          <w:color w:val="000000"/>
          <w:sz w:val="22"/>
        </w:rPr>
        <w:t xml:space="preserve">shall mean a notice substantially in the form of Exhibit B or such other form as may be approved by the Administrative Agent (including any form on an Electronic System as shall be approved by the Administrative Agent) by the Borrower requesting any Borrowing in accordance with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Business Day</w:t>
      </w:r>
      <w:r>
        <w:rPr>
          <w:color w:val="000000"/>
        </w:rPr>
        <w:t xml:space="preserve">” </w:t>
      </w:r>
      <w:r>
        <w:rPr>
          <w:rFonts w:ascii="Times New Roman;sans-serif" w:hAnsi="Times New Roman;sans-serif"/>
          <w:b w:val="false"/>
          <w:color w:val="000000"/>
          <w:sz w:val="22"/>
        </w:rPr>
        <w:t xml:space="preserve">shall mean any day that is not a Saturday, Sunday or other day on which commercial banks in New York City and Saudi Arabia are authorized or required by law to remain closed;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such day relates any interest rate settings as to Loan the reference rate for which utilizes Term SOFR and for any notice periods related to the borrowing of a Term SOFR Loan, shall also mean any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Capital Lease</w:t>
      </w:r>
      <w:r>
        <w:rPr>
          <w:color w:val="000000"/>
        </w:rPr>
        <w:t xml:space="preserve">” </w:t>
      </w:r>
      <w:r>
        <w:rPr>
          <w:rFonts w:ascii="Times New Roman;sans-serif" w:hAnsi="Times New Roman;sans-serif"/>
          <w:b w:val="false"/>
          <w:color w:val="000000"/>
          <w:sz w:val="22"/>
        </w:rPr>
        <w:t xml:space="preserve">of any Person shall mean any lease of any property by such Person as lessee which would, in accordance with GAAP but subject to </w:t>
      </w:r>
      <w:r>
        <w:rPr>
          <w:rFonts w:ascii="Times New Roman;sans-serif" w:hAnsi="Times New Roman;sans-serif"/>
          <w:b w:val="false"/>
          <w:color w:val="000000"/>
          <w:sz w:val="22"/>
          <w:u w:val="single"/>
        </w:rPr>
        <w:t>Section 1.04(b)</w:t>
      </w:r>
      <w:r>
        <w:rPr>
          <w:rFonts w:ascii="Times New Roman;sans-serif" w:hAnsi="Times New Roman;sans-serif"/>
          <w:b w:val="false"/>
          <w:color w:val="000000"/>
          <w:sz w:val="22"/>
        </w:rPr>
        <w:t>, be required to be accounted for as a capital lease on the balance sheet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Capital Lease Obligations</w:t>
      </w:r>
      <w:r>
        <w:rPr>
          <w:color w:val="000000"/>
        </w:rPr>
        <w:t xml:space="preserve">” </w:t>
      </w:r>
      <w:r>
        <w:rPr>
          <w:rFonts w:ascii="Times New Roman;sans-serif" w:hAnsi="Times New Roman;sans-serif"/>
          <w:b w:val="false"/>
          <w:color w:val="000000"/>
          <w:sz w:val="22"/>
        </w:rPr>
        <w:t xml:space="preserve">shall mean, at any time, with respect to any Capital Lease, the amount of all obligations of such Person that is capitalized on a balance sheet of such Person prepared in accordance with GAAP but subject to </w:t>
      </w:r>
      <w:r>
        <w:rPr>
          <w:rFonts w:ascii="Times New Roman;sans-serif" w:hAnsi="Times New Roman;sans-serif"/>
          <w:b w:val="false"/>
          <w:color w:val="000000"/>
          <w:sz w:val="22"/>
          <w:u w:val="single"/>
        </w:rPr>
        <w:t>Section 1.04(b)</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01040"/>
                <wp:effectExtent l="0" t="0" r="0" b="0"/>
                <wp:wrapNone/>
                <wp:docPr id="113" name="Frame8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Casualty Event</w:t>
      </w:r>
      <w:r>
        <w:rPr>
          <w:color w:val="000000"/>
        </w:rPr>
        <w:t xml:space="preserve">” </w:t>
      </w:r>
      <w:r>
        <w:rPr>
          <w:rFonts w:ascii="Times New Roman;sans-serif" w:hAnsi="Times New Roman;sans-serif"/>
          <w:b w:val="false"/>
          <w:color w:val="000000"/>
          <w:sz w:val="22"/>
        </w:rPr>
        <w:t>shall mean any event that gives rise to the receipt by any Loan Party of any insurance proceeds or condemnation awards (or any agreement entered into in connection with any right to receive insurance proceeds or any current or potential condemnation proceeding) in respect of any equipment, fixed assets or real property (including any improvements thereon) or other assets the restoration, repairing, replacement or rebuilding of which would constitute a capital expenditure to restore, repair, replace or rebuild such equipment, fixed assets, real property or other assets.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color w:val="000000"/>
          <w:sz w:val="22"/>
        </w:rPr>
        <w:t>Change in Control</w:t>
      </w:r>
      <w:r>
        <w:rPr>
          <w:color w:val="000000"/>
        </w:rPr>
        <w:t xml:space="preserve">” </w:t>
      </w:r>
      <w:r>
        <w:rPr>
          <w:rFonts w:ascii="Times New Roman;sans-serif" w:hAnsi="Times New Roman;sans-serif"/>
          <w:b w:val="false"/>
          <w:color w:val="000000"/>
          <w:sz w:val="22"/>
        </w:rPr>
        <w:t>shall be deemed to have occurred if: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any “person” or “group” (within the meaning of Rules 13d-3 and 13d-5 under the Exchange Act, but excluding (i) any employee benefit plan of such Person and its subsidiaries and any Person or entity acting in its capacity as trustee, agent or other fiduciary or administrator of any such plan and (ii) any Permitted Party), acquires beneficial ownership of Voting Stock of the Borrower representing more than 35% of the aggregate ordinary voting power represented by the issued and outstanding Equity Interests of the Borrower (determined on a fully diluted basis but without giving effect to contingent voting rights that have not yet vested);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 “change of control” or similar event (which, in the case of Permitted Convertible Notes, shall include any “fundamental change,” “make-whole fundamental change” or other similar event risk provision) shall occur as provided in any document governing any Material Debt and in connection with such “change of control” or similar event, the Borrower shall be obligated to prepay, repurchase or offer to repurchase all of the affected Material Debt;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a “change of control” or similar event shall occur as provided in the ABL Credit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Change in Control Offer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2.11(c)</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Change in Control Repurchase Date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2.11(c)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Change in Law</w:t>
      </w:r>
      <w:r>
        <w:rPr>
          <w:color w:val="000000"/>
        </w:rPr>
        <w:t xml:space="preserve">” </w:t>
      </w:r>
      <w:r>
        <w:rPr>
          <w:rFonts w:ascii="Times New Roman;sans-serif" w:hAnsi="Times New Roman;sans-serif"/>
          <w:b w:val="false"/>
          <w:color w:val="000000"/>
          <w:sz w:val="22"/>
        </w:rPr>
        <w:t xml:space="preserve">shall mean the occurrence after the date of this Agreement (or, with respect to any Lender, such later date on which such Lender becomes a party to this Agreement) of any of the following: (a) the adoption of or taking effect of any law, rule, regulation or treaty; (b) any change in any law, rule, regulation or treaty or in the administration, interpretation or application thereof by any Governmental Authority; or (c) compliance by any Lender (or, for purposes of </w:t>
      </w:r>
      <w:r>
        <w:rPr>
          <w:rFonts w:ascii="Times New Roman;sans-serif" w:hAnsi="Times New Roman;sans-serif"/>
          <w:b w:val="false"/>
          <w:color w:val="000000"/>
          <w:sz w:val="22"/>
          <w:u w:val="single"/>
        </w:rPr>
        <w:t>Section 2.15(b)</w:t>
      </w:r>
      <w:r>
        <w:rPr>
          <w:rFonts w:ascii="Times New Roman;sans-serif" w:hAnsi="Times New Roman;sans-serif"/>
          <w:b w:val="false"/>
          <w:color w:val="000000"/>
          <w:sz w:val="22"/>
        </w:rPr>
        <w:t xml:space="preserve">, by any lending office of such Lender or by such Lender’s holding company, if any) with any request, guideline, requirement or directive (whether or not having the force of law) of any Governmental Authority made or issued after the date of this Agreement;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sans-serif" w:hAnsi="Times New Roman;sans-serif"/>
          <w:b/>
          <w:color w:val="000000"/>
          <w:sz w:val="22"/>
        </w:rPr>
        <w:t>Change in Law</w:t>
      </w:r>
      <w:r>
        <w:rPr>
          <w:color w:val="000000"/>
        </w:rPr>
        <w:t>”</w:t>
      </w:r>
      <w:r>
        <w:rPr>
          <w:rFonts w:ascii="Times New Roman;sans-serif" w:hAnsi="Times New Roman;sans-serif"/>
          <w:b w:val="false"/>
          <w:color w:val="000000"/>
          <w:sz w:val="22"/>
        </w:rPr>
        <w:t>, regardless of the date enacted, adopted, issued or implemented.</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01040"/>
                <wp:effectExtent l="0" t="0" r="0" b="0"/>
                <wp:wrapNone/>
                <wp:docPr id="114" name="Frame8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Charge</w:t>
      </w:r>
      <w:r>
        <w:rPr>
          <w:color w:val="000000"/>
        </w:rPr>
        <w:t xml:space="preserve">” </w:t>
      </w:r>
      <w:r>
        <w:rPr>
          <w:rFonts w:ascii="Times New Roman;sans-serif" w:hAnsi="Times New Roman;sans-serif"/>
          <w:b w:val="false"/>
          <w:color w:val="000000"/>
          <w:sz w:val="22"/>
        </w:rPr>
        <w:t>means any fee, loss, charge, expense, cost, accrual or reserve of any kind.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shall mean the Internal Revenue Code of 1986,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Commitment</w:t>
      </w:r>
      <w:r>
        <w:rPr>
          <w:color w:val="000000"/>
        </w:rPr>
        <w:t xml:space="preserve">” </w:t>
      </w:r>
      <w:r>
        <w:rPr>
          <w:rFonts w:ascii="Times New Roman;sans-serif" w:hAnsi="Times New Roman;sans-serif"/>
          <w:b w:val="false"/>
          <w:color w:val="000000"/>
          <w:sz w:val="22"/>
        </w:rPr>
        <w:t>shall mean, with respect to each Lender, the aggregate amount of such Lender’s Delayed Draw Term Commitment. The initial amount of each Lender’s Commitment is set forth on the Commitment Schedule or in the Assignment and Assumption pursuant to which such Lender shall have assumed its Commitment,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Commitment Schedule</w:t>
      </w:r>
      <w:r>
        <w:rPr>
          <w:color w:val="000000"/>
        </w:rPr>
        <w:t xml:space="preserve">” </w:t>
      </w:r>
      <w:r>
        <w:rPr>
          <w:rFonts w:ascii="Times New Roman;sans-serif" w:hAnsi="Times New Roman;sans-serif"/>
          <w:b w:val="false"/>
          <w:color w:val="000000"/>
          <w:sz w:val="22"/>
        </w:rPr>
        <w:t xml:space="preserve">shall mean the Schedule attached hereto as </w:t>
      </w:r>
      <w:r>
        <w:rPr>
          <w:rFonts w:ascii="Times New Roman;sans-serif" w:hAnsi="Times New Roman;sans-serif"/>
          <w:b w:val="false"/>
          <w:color w:val="000000"/>
          <w:sz w:val="22"/>
          <w:u w:val="single"/>
        </w:rPr>
        <w:t>Schedule 1.01(c)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Commodity Exchange Act</w:t>
      </w:r>
      <w:r>
        <w:rPr>
          <w:color w:val="000000"/>
        </w:rPr>
        <w:t xml:space="preserve">” </w:t>
      </w:r>
      <w:r>
        <w:rPr>
          <w:rFonts w:ascii="Times New Roman;sans-serif" w:hAnsi="Times New Roman;sans-serif"/>
          <w:b w:val="false"/>
          <w:color w:val="000000"/>
          <w:sz w:val="22"/>
        </w:rPr>
        <w:t>shall mean the Commodity Exchange Act (7 U.S.C. § 1 et seq.),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Communications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9.01(d)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Compliance Certificate</w:t>
      </w:r>
      <w:r>
        <w:rPr>
          <w:color w:val="000000"/>
        </w:rPr>
        <w:t xml:space="preserve">” </w:t>
      </w:r>
      <w:r>
        <w:rPr>
          <w:rFonts w:ascii="Times New Roman;sans-serif" w:hAnsi="Times New Roman;sans-serif"/>
          <w:b w:val="false"/>
          <w:color w:val="000000"/>
          <w:sz w:val="22"/>
        </w:rPr>
        <w:t>shall mean a certificate substantially in the form of Exhibit 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Connection Income Taxes</w:t>
      </w:r>
      <w:r>
        <w:rPr>
          <w:color w:val="000000"/>
        </w:rPr>
        <w:t xml:space="preserve">” </w:t>
      </w:r>
      <w:r>
        <w:rPr>
          <w:rFonts w:ascii="Times New Roman;sans-serif" w:hAnsi="Times New Roman;sans-serif"/>
          <w:b w:val="false"/>
          <w:color w:val="000000"/>
          <w:sz w:val="22"/>
        </w:rPr>
        <w:t>shall mean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Consolidated Total Assets</w:t>
      </w:r>
      <w:r>
        <w:rPr>
          <w:color w:val="000000"/>
        </w:rPr>
        <w:t xml:space="preserve">” </w:t>
      </w:r>
      <w:r>
        <w:rPr>
          <w:rFonts w:ascii="Times New Roman;sans-serif" w:hAnsi="Times New Roman;sans-serif"/>
          <w:b w:val="false"/>
          <w:color w:val="000000"/>
          <w:sz w:val="22"/>
        </w:rPr>
        <w:t xml:space="preserve">shall mean, as of any date of determination, the total assets of the Borrower and the Restricted Subsidiaries, determined on a consolidated basis in accordance with GAAP, as set forth on the consolidated balance sheet of the Borrower and the Restricted Subsidiaries as of the most recently delivered financial statements pursuant to </w:t>
      </w:r>
      <w:r>
        <w:rPr>
          <w:rFonts w:ascii="Times New Roman;sans-serif" w:hAnsi="Times New Roman;sans-serif"/>
          <w:b w:val="false"/>
          <w:color w:val="000000"/>
          <w:sz w:val="22"/>
          <w:u w:val="single"/>
        </w:rPr>
        <w:t>Sections 5.01(a)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Copyrights</w:t>
      </w:r>
      <w:r>
        <w:rPr>
          <w:color w:val="000000"/>
        </w:rPr>
        <w:t xml:space="preserve">” </w:t>
      </w:r>
      <w:r>
        <w:rPr>
          <w:rFonts w:ascii="Times New Roman;sans-serif" w:hAnsi="Times New Roman;sans-serif"/>
          <w:b w:val="false"/>
          <w:color w:val="000000"/>
          <w:sz w:val="22"/>
        </w:rPr>
        <w:t>shall mean all rights, title and interests (and all related IP Ancillary Rights) in or relating to copyrights and all mask work, database and design rights (including to the fullest extent arising under any Requirement of Law), whether or not registered or published and all registrations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Corresponding Tenor</w:t>
      </w:r>
      <w:r>
        <w:rPr>
          <w:color w:val="000000"/>
        </w:rPr>
        <w:t xml:space="preserve">” </w:t>
      </w:r>
      <w:r>
        <w:rPr>
          <w:rFonts w:ascii="Times New Roman;sans-serif" w:hAnsi="Times New Roman;sans-serif"/>
          <w:b w:val="false"/>
          <w:color w:val="000000"/>
          <w:sz w:val="22"/>
        </w:rPr>
        <w:t>with respect to any Available Tenor shall mean, as applicable, either a tenor (including overnight) or an interest payment period having approximately the same length (disregarding business day adjustment) as such Available Tenor.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Covered Entity</w:t>
      </w:r>
      <w:r>
        <w:rPr>
          <w:color w:val="000000"/>
        </w:rPr>
        <w:t xml:space="preserve">” </w:t>
      </w:r>
      <w:r>
        <w:rPr>
          <w:rFonts w:ascii="Times New Roman;sans-serif" w:hAnsi="Times New Roman;sans-serif"/>
          <w:b w:val="false"/>
          <w:color w:val="000000"/>
          <w:sz w:val="22"/>
        </w:rPr>
        <w:t>shall mean any of the following: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 “covered entity” as that term is defined in, and interpreted in accordance with, 12 C.F.R. § 252.82(b);</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a “covered bank” as that term is defined in, and interpreted in accordance with, 12 C.F.R. § 47.3(b); or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Covered Party</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9.22</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01040"/>
                <wp:effectExtent l="0" t="0" r="0" b="0"/>
                <wp:wrapNone/>
                <wp:docPr id="115" name="Frame9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Credit Extension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Credit Party</w:t>
      </w:r>
      <w:r>
        <w:rPr>
          <w:color w:val="000000"/>
        </w:rPr>
        <w:t xml:space="preserve">” </w:t>
      </w:r>
      <w:r>
        <w:rPr>
          <w:rFonts w:ascii="Times New Roman;sans-serif" w:hAnsi="Times New Roman;sans-serif"/>
          <w:b w:val="false"/>
          <w:color w:val="000000"/>
          <w:sz w:val="22"/>
        </w:rPr>
        <w:t>shall mean the Administrative Agent or any other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Daily SOFR</w:t>
      </w:r>
      <w:r>
        <w:rPr>
          <w:color w:val="000000"/>
        </w:rPr>
        <w:t xml:space="preserve">” </w:t>
      </w:r>
      <w:r>
        <w:rPr>
          <w:rFonts w:ascii="Times New Roman;sans-serif" w:hAnsi="Times New Roman;sans-serif"/>
          <w:b w:val="false"/>
          <w:color w:val="000000"/>
          <w:sz w:val="22"/>
        </w:rPr>
        <w:t>means the rate per annum equal to SOFR determined for any day pursuant to the definition thereof. Any change in Daily SOFR shall be effective from and including the date of such change without further notice. If the rate as so determined would be less than 0.0%, such rate shall be deemed to be 0.0% for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Debt</w:t>
      </w:r>
      <w:r>
        <w:rPr>
          <w:color w:val="000000"/>
        </w:rPr>
        <w:t xml:space="preserve">” </w:t>
      </w:r>
      <w:r>
        <w:rPr>
          <w:rFonts w:ascii="Times New Roman;sans-serif" w:hAnsi="Times New Roman;sans-serif"/>
          <w:b w:val="false"/>
          <w:color w:val="000000"/>
          <w:sz w:val="22"/>
        </w:rPr>
        <w:t xml:space="preserve">of a Person shall mean at any date, without duplication, (i) all obligations of such Person for borrowed money, (ii) all obligations of such Person evidenced by bonds, debentures, notes or other similar instruments, (iii) to the extent reflected as a liability on the balance sheet of such Person in accordance with GAAP, all obligations of such Person to pay the deferred purchase price of property or services, which purchase price is due more than 6 months after the date of (x) placing the property in service or taking delivery and title thereto or (y) completion of the service rendered, as applicable, (iv) all Capital Lease Obligations of such Person, (v) all obligations of such Person as account party under letters of credit or similar instrument, (vi) net obligations of such Person under Swap Agreements, valued at the Agreement Value thereof to the extent such obligations would appear as a net liability on a balance sheet of such Person (other than in the footnotes) prepared in accordance with GAAP, (vii) all Disqualified Equity Interests of such Person, (viii) all Guarantees of such Person in respect of the Debt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(vii)</w:t>
      </w:r>
      <w:r>
        <w:rPr>
          <w:color w:val="000000"/>
        </w:rPr>
        <w:t xml:space="preserve"> </w:t>
      </w:r>
      <w:r>
        <w:rPr>
          <w:rFonts w:ascii="Times New Roman;sans-serif" w:hAnsi="Times New Roman;sans-serif"/>
          <w:b w:val="false"/>
          <w:color w:val="000000"/>
          <w:sz w:val="22"/>
        </w:rPr>
        <w:t xml:space="preserve">above and (ix) all Debt of the types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(vii)</w:t>
      </w:r>
      <w:r>
        <w:rPr>
          <w:color w:val="000000"/>
        </w:rPr>
        <w:t xml:space="preserve"> </w:t>
      </w:r>
      <w:r>
        <w:rPr>
          <w:rFonts w:ascii="Times New Roman;sans-serif" w:hAnsi="Times New Roman;sans-serif"/>
          <w:b w:val="false"/>
          <w:color w:val="000000"/>
          <w:sz w:val="22"/>
        </w:rPr>
        <w:t xml:space="preserve">above secured by any Lien on any property owned by such Person, whether or not such Debt has been assumed by such Person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the Person has not assumed or otherwise become liable in respect of such Debt, such Debt shall be deemed to be in an amount equal to the lesser of (x) the aggregate unpaid amount of Debt secured by such Lien and (y) the fair market value of the property to which such Lien relates as determined in good faith by such Person);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notwithstanding the foregoing, Debt will be deemed not to include indebtedness, guarantees or obligations that are (1) trade payables incurred by such Person in accordance with customary practices and in the ordinary course of business of such Person, (2) earn outs, purchase price holdbacks or similar obligations until such obligation has become a liability of such Person on its balance sheet in accordance with GAAP and solely if not paid after becoming due and payable, (3) intercompany liabilities arising in the ordinary course of business, (4) intercompany loans and advances made by Loan Parties having a term not exceeding 364 days (inclusive of any roll over or extension of terms) and made in the ordinary course of business or consistent with past practice or industry norm and (5) Debt of any direct or indirect parent appearing on the balance sheet of such Person solely by reason of push down accounting under GAAP.</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01040"/>
                <wp:effectExtent l="0" t="0" r="0" b="0"/>
                <wp:wrapNone/>
                <wp:docPr id="116" name="Frame9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Accrual of interest, the accretion of accreted value, the payment of interest in the form of additional Debt with the same terms, the payment of dividends on Disqualified Equity Interests in the form of additional shares of Disqualified Equity Interests of the same class, accretion or amortization of original issue discount or liquidation preference and increases in the amount of Debt outstanding solely as a result of fluctuations in the exchange rate of currencies will not be deemed to be an incurrence of Debt for purposes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Guarantees of, or obligations in respect of letters of credit relating to, Debt which is otherwise included in the determination of a particular amount of Debt shall not be included in the determination of such amount of Debt; provided that the incurrence of the Debt represented by such guarantee or letter of credit, as the case may be, was permitted under this Agreement. With respect to any Debt consisting of Disqualified Equity Interests, the principal amount thereof shall be deemed to be the liquidation preference or the maximum fixed repurchase price, as the case may be. For the avoidance of doubt, in no event will Debt include any obligations in respect of any Issuer Option.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Debtor Relief Laws</w:t>
      </w:r>
      <w:r>
        <w:rPr>
          <w:color w:val="000000"/>
        </w:rPr>
        <w:t xml:space="preserve">” </w:t>
      </w:r>
      <w:r>
        <w:rPr>
          <w:rFonts w:ascii="Times New Roman;sans-serif" w:hAnsi="Times New Roman;sans-serif"/>
          <w:b w:val="false"/>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Default</w:t>
      </w:r>
      <w:r>
        <w:rPr>
          <w:color w:val="000000"/>
        </w:rPr>
        <w:t xml:space="preserve">” </w:t>
      </w:r>
      <w:r>
        <w:rPr>
          <w:rFonts w:ascii="Times New Roman;sans-serif" w:hAnsi="Times New Roman;sans-serif"/>
          <w:b w:val="false"/>
          <w:color w:val="000000"/>
          <w:sz w:val="22"/>
        </w:rPr>
        <w:t>shall mean any event or condition which constitutes an Event of Default or which upon notice, lapse of time or both would, unless cured or waived, become an Event of Default.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Default Right</w:t>
      </w:r>
      <w:r>
        <w:rPr>
          <w:color w:val="000000"/>
        </w:rPr>
        <w:t xml:space="preserve">” </w:t>
      </w:r>
      <w:r>
        <w:rPr>
          <w:rFonts w:ascii="Times New Roman;sans-serif" w:hAnsi="Times New Roman;sans-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Defaulting Lender</w:t>
      </w:r>
      <w:r>
        <w:rPr>
          <w:color w:val="000000"/>
        </w:rPr>
        <w:t xml:space="preserve">” </w:t>
      </w:r>
      <w:r>
        <w:rPr>
          <w:rFonts w:ascii="Times New Roman;sans-serif" w:hAnsi="Times New Roman;sans-serif"/>
          <w:b w:val="false"/>
          <w:color w:val="000000"/>
          <w:sz w:val="22"/>
        </w:rPr>
        <w:t xml:space="preserve">shall mean any Lender that (a) has failed, within two Business Days of the date required to be funded or paid, to (i) fund any portion of its Loans or (ii) pay over to any Credit Party any other amount required to be paid by it hereunder, unless, in the case of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under this Agreement, provided that such Lender shall cease to be a Defaulting Lender pursuant to this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upon such Credit Party’s receipt of such certification in form and substance satisfactory to it and the Administrative Agent, or (d) has become the subject of (i) a Bankruptcy Event or (ii) a Bail-In Action.</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01040"/>
                <wp:effectExtent l="0" t="0" r="0" b="0"/>
                <wp:wrapNone/>
                <wp:docPr id="117" name="Frame9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Delayed Draw Term Commitment</w:t>
      </w:r>
      <w:r>
        <w:rPr>
          <w:color w:val="000000"/>
        </w:rPr>
        <w:t xml:space="preserve">” </w:t>
      </w:r>
      <w:r>
        <w:rPr>
          <w:rFonts w:ascii="Times New Roman;sans-serif" w:hAnsi="Times New Roman;sans-serif"/>
          <w:b w:val="false"/>
          <w:color w:val="000000"/>
          <w:sz w:val="22"/>
        </w:rPr>
        <w:t xml:space="preserve">shall mean, with respect to each Lender, the commitment of such Lender to make Delayed Draw Term Loans to the Borrower hereunder, as such commitment may be reduced or increased from time to time pursuant to assignments by or to such Lender pursuant to </w:t>
      </w:r>
      <w:r>
        <w:rPr>
          <w:rFonts w:ascii="Times New Roman;sans-serif" w:hAnsi="Times New Roman;sans-serif"/>
          <w:b w:val="false"/>
          <w:color w:val="000000"/>
          <w:sz w:val="22"/>
          <w:u w:val="single"/>
        </w:rPr>
        <w:t>Section 9.04</w:t>
      </w:r>
      <w:r>
        <w:rPr>
          <w:rFonts w:ascii="Times New Roman;sans-serif" w:hAnsi="Times New Roman;sans-serif"/>
          <w:b w:val="false"/>
          <w:color w:val="000000"/>
          <w:sz w:val="22"/>
        </w:rPr>
        <w:t>. The initial amount of each Lender’s Delayed Draw Term Commitment is set forth on the Commitment Schedule, or in the Assignment and Assumption pursuant to which such Lender shall have assumed its Delayed Draw Term Commitment,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Delayed Draw Term Exposure</w:t>
      </w:r>
      <w:r>
        <w:rPr>
          <w:color w:val="000000"/>
        </w:rPr>
        <w:t xml:space="preserve">” </w:t>
      </w:r>
      <w:r>
        <w:rPr>
          <w:rFonts w:ascii="Times New Roman;sans-serif" w:hAnsi="Times New Roman;sans-serif"/>
          <w:b w:val="false"/>
          <w:color w:val="000000"/>
          <w:sz w:val="22"/>
        </w:rPr>
        <w:t>shall mean, with respect to any Lender at any time, the outstanding principal amount of such Lender’s Delayed Draw Term Loans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Delayed Draw Term Lender</w:t>
      </w:r>
      <w:r>
        <w:rPr>
          <w:color w:val="000000"/>
        </w:rPr>
        <w:t xml:space="preserve">” </w:t>
      </w:r>
      <w:r>
        <w:rPr>
          <w:rFonts w:ascii="Times New Roman;sans-serif" w:hAnsi="Times New Roman;sans-serif"/>
          <w:b w:val="false"/>
          <w:color w:val="000000"/>
          <w:sz w:val="22"/>
        </w:rPr>
        <w:t>shall mean, as of any date of determination, a Lender with a Delayed Draw Term Commitment or, if the Delayed Draw Term Commitments have terminated or expired, a Lender with Delayed Draw Term Exposure.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Delayed Draw Term Loan</w:t>
      </w:r>
      <w:r>
        <w:rPr>
          <w:color w:val="000000"/>
        </w:rPr>
        <w:t xml:space="preserve">” </w:t>
      </w:r>
      <w:r>
        <w:rPr>
          <w:rFonts w:ascii="Times New Roman;sans-serif" w:hAnsi="Times New Roman;sans-serif"/>
          <w:b w:val="false"/>
          <w:color w:val="000000"/>
          <w:sz w:val="22"/>
        </w:rPr>
        <w:t xml:space="preserve">shall mean a Loan made under a Delayed Draw Term Commitment pursuant to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Designated Non-Cash Consideration</w:t>
      </w:r>
      <w:r>
        <w:rPr>
          <w:color w:val="000000"/>
        </w:rPr>
        <w:t xml:space="preserve">” </w:t>
      </w:r>
      <w:r>
        <w:rPr>
          <w:rFonts w:ascii="Times New Roman;sans-serif" w:hAnsi="Times New Roman;sans-serif"/>
          <w:b w:val="false"/>
          <w:color w:val="000000"/>
          <w:sz w:val="22"/>
        </w:rPr>
        <w:t xml:space="preserve">shall mean the fair market value of non-cash consideration received by the Borrower or any Restricted Subsidiary in connection with a Disposition designated as Designated Non-Cash Consideration pursuant to a certificate of a Financial Officer of the Borrower setting forth the basis of such valuation, </w:t>
      </w:r>
      <w:r>
        <w:rPr>
          <w:rFonts w:ascii="Times New Roman;sans-serif" w:hAnsi="Times New Roman;sans-serif"/>
          <w:b w:val="false"/>
          <w:i/>
          <w:color w:val="000000"/>
          <w:sz w:val="22"/>
        </w:rPr>
        <w:t>less</w:t>
      </w:r>
      <w:r>
        <w:rPr>
          <w:color w:val="000000"/>
        </w:rPr>
        <w:t xml:space="preserve"> </w:t>
      </w:r>
      <w:r>
        <w:rPr>
          <w:rFonts w:ascii="Times New Roman;sans-serif" w:hAnsi="Times New Roman;sans-serif"/>
          <w:b w:val="false"/>
          <w:color w:val="000000"/>
          <w:sz w:val="22"/>
        </w:rPr>
        <w:t>the amount of cash or Permitted Investments received in connection with a subsequent sale of such Designated Non-Cash Consideration.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Disposition</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Dispose</w:t>
      </w:r>
      <w:r>
        <w:rPr>
          <w:color w:val="000000"/>
        </w:rPr>
        <w:t xml:space="preserve">” </w:t>
      </w:r>
      <w:r>
        <w:rPr>
          <w:rFonts w:ascii="Times New Roman;sans-serif" w:hAnsi="Times New Roman;sans-serif"/>
          <w:b w:val="false"/>
          <w:color w:val="000000"/>
          <w:sz w:val="22"/>
        </w:rPr>
        <w:t>shall mean the sale, transfer, or other disposition (in one transaction or in a series of transactions and whether effected pursuant to a division or otherwise) of any Property of any Person (including any sale and leaseback transaction, the sale of any Equity Interest owned by such Person and any issuance of Equity Interest by any subsidiary of such Person to any other Person).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01040"/>
                <wp:effectExtent l="0" t="0" r="0" b="0"/>
                <wp:wrapNone/>
                <wp:docPr id="118" name="Frame9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Disqualified Equity Interests</w:t>
      </w:r>
      <w:r>
        <w:rPr>
          <w:color w:val="000000"/>
        </w:rPr>
        <w:t xml:space="preserve">” </w:t>
      </w:r>
      <w:r>
        <w:rPr>
          <w:rFonts w:ascii="Times New Roman;sans-serif" w:hAnsi="Times New Roman;sans-serif"/>
          <w:b w:val="false"/>
          <w:color w:val="000000"/>
          <w:sz w:val="22"/>
        </w:rPr>
        <w:t xml:space="preserve">shall mean any Equity Interest that, by its terms (or by the terms of any security into which it is convertible or for which it is exchangeable), or upon the happening of any event, (a) matures or is mandatorily redeemable, pursuant to a sinking fund obligation or otherwise, or is redeemable at the option of the holder thereof, in whole or in part, or, other than with respect to Permitted Convertible Notes, requires the payment of any cash dividend or any other scheduled payment constituting a return of capital, in each case at any time on or prior to the date that is 91 days following the Maturity Date at the time of the issuance of such Equity Interest; </w:t>
      </w:r>
      <w:r>
        <w:rPr>
          <w:rFonts w:ascii="Times New Roman;sans-serif" w:hAnsi="Times New Roman;sans-serif"/>
          <w:b w:val="false"/>
          <w:i/>
          <w:color w:val="000000"/>
          <w:sz w:val="22"/>
        </w:rPr>
        <w:t>provided, however,</w:t>
      </w:r>
      <w:r>
        <w:rPr>
          <w:color w:val="000000"/>
        </w:rPr>
        <w:t xml:space="preserve"> </w:t>
      </w:r>
      <w:r>
        <w:rPr>
          <w:rFonts w:ascii="Times New Roman;sans-serif" w:hAnsi="Times New Roman;sans-serif"/>
          <w:b w:val="false"/>
          <w:color w:val="000000"/>
          <w:sz w:val="22"/>
        </w:rPr>
        <w:t xml:space="preserve">that (i) only the portion of such Equity Interest which so matures or is mandatorily redeemable, is so convertible or exchangeable or is so redeemable at the option of the holder thereof prior to such date shall be deemed to be a Disqualified Equity Interest, (ii) if such Equity Interests are issued to any current or former employees or other service providers or to any plan for the benefit of employees, directors, officers, members of management or consultants (including any equity or incentive compensation or benefit plan) of the Borrower or its subsidiaries or by any such compensation or plan to such current or former employees, other service providers, directors, officers, members of management or consultants, such Equity Interests shall not constitute Disqualified Equity Interests solely because they may be required to be repurchased by such Person in order to satisfy applicable statutory or regulatory obligations or as a result of such current or former employee’s, other service provider’s, director’s, officer’s, management member’s or consultant’s termination, death or disability, (iii) any class of Equity Interests of such Person that by its terms authorizes such Person to satisfy its obligations thereunder by delivery of Equity Interests that are not Disqualified Equity Interests shall not be deemed to be Disqualified Equity Interests, and (iv) Equity Interests will not constitute Disqualified Equity Interests solely because of provisions giving holders thereof the right to require repurchase or redemption upon an initial public offering, “asset sale” or “change of control” occurring prior to such date; or (b) is convertible into or exchangeable (unless at the sole option of the issuer thereof) for (i) Debt securities or (ii) any Equity Interest referred to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above, in each case at any time prior to the date that is 91 days following the Maturity Date at the time of the issuance of such Equity Interest.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Disqualified Lender</w:t>
      </w:r>
      <w:r>
        <w:rPr>
          <w:color w:val="000000"/>
        </w:rPr>
        <w:t xml:space="preserve">” </w:t>
      </w:r>
      <w:r>
        <w:rPr>
          <w:rFonts w:ascii="Times New Roman;sans-serif" w:hAnsi="Times New Roman;sans-serif"/>
          <w:b w:val="false"/>
          <w:color w:val="000000"/>
          <w:sz w:val="22"/>
        </w:rPr>
        <w:t xml:space="preserve">shall mean any (i) competitor of the Borrower or any of its subsidiaries and (ii) such other Person, in each case of the foregoing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identified in writing to the Administrative Agent prior to the Effective Date, and, in the case of the foregoing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the clearly identifiable (solely on the basis of the similarity of its name) Affiliates of any of the foregoing (other than any Affiliate that is a Bona Fide Debt Fund);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after the Effective Date, the Borrower shall be permitted, upon three Business Days’ prior notice to the Administrative Agent, to supplement in writing the list of competitors provided for in </w:t>
      </w:r>
      <w:r>
        <w:rPr>
          <w:rFonts w:ascii="Times New Roman;sans-serif" w:hAnsi="Times New Roman;sans-serif"/>
          <w:b w:val="false"/>
          <w:color w:val="000000"/>
          <w:sz w:val="22"/>
          <w:u w:val="single"/>
        </w:rPr>
        <w:t>clause</w:t>
      </w:r>
      <w:r>
        <w:rPr>
          <w:color w:val="000000"/>
          <w:u w:val="single"/>
          <w:shd w:fill="FFFFFF" w:val="clear"/>
        </w:rPr>
        <w:t xml:space="preserve"> </w:t>
      </w:r>
      <w:r>
        <w:rPr>
          <w:rFonts w:ascii="Times New Roman;sans-serif" w:hAnsi="Times New Roman;sans-serif"/>
          <w:b w:val="false"/>
          <w:color w:val="000000"/>
          <w:sz w:val="22"/>
          <w:u w:val="single"/>
          <w:shd w:fill="FFFFFF" w:val="clear"/>
        </w:rPr>
        <w:t>(i)</w:t>
      </w:r>
      <w:r>
        <w:rPr>
          <w:color w:val="000000"/>
          <w:shd w:fill="FFFFFF" w:val="clear"/>
        </w:rPr>
        <w:t xml:space="preserve"> </w:t>
      </w:r>
      <w:r>
        <w:rPr>
          <w:rFonts w:ascii="Times New Roman;sans-serif" w:hAnsi="Times New Roman;sans-serif"/>
          <w:b w:val="false"/>
          <w:color w:val="000000"/>
          <w:sz w:val="22"/>
        </w:rPr>
        <w:t>to include additional competitors and/or any Affiliates thereof (other than any Affiliate that is a Bona Fide Debt Fund) and to remove institutions from such list (such list, as so supplemented or modified from time to time, the “</w:t>
      </w:r>
      <w:r>
        <w:rPr>
          <w:rFonts w:ascii="Times New Roman;sans-serif" w:hAnsi="Times New Roman;sans-serif"/>
          <w:b/>
          <w:color w:val="000000"/>
          <w:sz w:val="22"/>
        </w:rPr>
        <w:t>Disqualified Institution List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 further,</w:t>
      </w:r>
      <w:r>
        <w:rPr>
          <w:color w:val="000000"/>
        </w:rPr>
        <w:t xml:space="preserve"> </w:t>
      </w:r>
      <w:r>
        <w:rPr>
          <w:rFonts w:ascii="Times New Roman;sans-serif" w:hAnsi="Times New Roman;sans-serif"/>
          <w:b w:val="false"/>
          <w:color w:val="000000"/>
          <w:sz w:val="22"/>
        </w:rPr>
        <w:t>that the foregoing shall not apply retroactively to disqualify any parties that have previously acquired an assignment or participation interest in the Loans to the extent such party was not a Disqualified Lender at the time of the applicable assignment or participation, as the case may be. The Administrative Agent will make available to a Lender, upon the request of such Lender, the Disqualified Institution List.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Dollars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refers to lawful currency of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Domestic Subsidiary</w:t>
      </w:r>
      <w:r>
        <w:rPr>
          <w:color w:val="000000"/>
        </w:rPr>
        <w:t xml:space="preserve">” </w:t>
      </w:r>
      <w:r>
        <w:rPr>
          <w:rFonts w:ascii="Times New Roman;sans-serif" w:hAnsi="Times New Roman;sans-serif"/>
          <w:b w:val="false"/>
          <w:color w:val="000000"/>
          <w:sz w:val="22"/>
        </w:rPr>
        <w:t>shall mean any Subsidiary incorporated or organized under the laws of the United States of America, any State thereof or the District of Columbia.</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01040"/>
                <wp:effectExtent l="0" t="0" r="0" b="0"/>
                <wp:wrapNone/>
                <wp:docPr id="119" name="Frame9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EEA Financial Institution</w:t>
      </w:r>
      <w:r>
        <w:rPr>
          <w:color w:val="000000"/>
        </w:rPr>
        <w:t xml:space="preserve">” </w:t>
      </w:r>
      <w:r>
        <w:rPr>
          <w:rFonts w:ascii="Times New Roman;sans-serif" w:hAnsi="Times New Roman;sans-serif"/>
          <w:b w:val="false"/>
          <w:color w:val="000000"/>
          <w:sz w:val="22"/>
        </w:rPr>
        <w:t xml:space="preserve">shall mean (a) any institution established in any EEA Member Country which is subject to the supervision of an EEA Resolution Authority, (b) any entity established in an EEA Member Country which is a parent of an institution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this definition, or (c) any institution established in an EEA Member Country which is a subsidiary of an institution described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EEA Member Country</w:t>
      </w:r>
      <w:r>
        <w:rPr>
          <w:color w:val="000000"/>
        </w:rPr>
        <w:t xml:space="preserve">” </w:t>
      </w:r>
      <w:r>
        <w:rPr>
          <w:rFonts w:ascii="Times New Roman;sans-serif" w:hAnsi="Times New Roman;sans-serif"/>
          <w:b w:val="false"/>
          <w:color w:val="000000"/>
          <w:sz w:val="22"/>
        </w:rPr>
        <w:t>shall mean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EEA Resolution Authority</w:t>
      </w:r>
      <w:r>
        <w:rPr>
          <w:color w:val="000000"/>
        </w:rPr>
        <w:t xml:space="preserve">” </w:t>
      </w:r>
      <w:r>
        <w:rPr>
          <w:rFonts w:ascii="Times New Roman;sans-serif" w:hAnsi="Times New Roman;sans-serif"/>
          <w:b w:val="false"/>
          <w:color w:val="000000"/>
          <w:sz w:val="22"/>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Effective Date</w:t>
      </w:r>
      <w:r>
        <w:rPr>
          <w:color w:val="000000"/>
        </w:rPr>
        <w:t xml:space="preserve">” </w:t>
      </w:r>
      <w:r>
        <w:rPr>
          <w:rFonts w:ascii="Times New Roman;sans-serif" w:hAnsi="Times New Roman;sans-serif"/>
          <w:b w:val="false"/>
          <w:color w:val="000000"/>
          <w:sz w:val="22"/>
        </w:rPr>
        <w:t xml:space="preserve">shall mean the date on which the conditions specified in </w:t>
      </w:r>
      <w:r>
        <w:rPr>
          <w:rFonts w:ascii="Times New Roman;sans-serif" w:hAnsi="Times New Roman;sans-serif"/>
          <w:b w:val="false"/>
          <w:color w:val="000000"/>
          <w:sz w:val="22"/>
          <w:u w:val="single"/>
        </w:rPr>
        <w:t>Section 4.01</w:t>
      </w:r>
      <w:r>
        <w:rPr>
          <w:color w:val="000000"/>
        </w:rPr>
        <w:t xml:space="preserve"> </w:t>
      </w:r>
      <w:r>
        <w:rPr>
          <w:rFonts w:ascii="Times New Roman;sans-serif" w:hAnsi="Times New Roman;sans-serif"/>
          <w:b w:val="false"/>
          <w:color w:val="000000"/>
          <w:sz w:val="22"/>
        </w:rPr>
        <w:t xml:space="preserve">are satisfied (or waived in accordance with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Electronic Signature</w:t>
      </w:r>
      <w:r>
        <w:rPr>
          <w:color w:val="000000"/>
        </w:rPr>
        <w:t xml:space="preserve">” </w:t>
      </w:r>
      <w:r>
        <w:rPr>
          <w:rFonts w:ascii="Times New Roman;sans-serif" w:hAnsi="Times New Roman;sans-serif"/>
          <w:b w:val="false"/>
          <w:color w:val="000000"/>
          <w:sz w:val="22"/>
        </w:rPr>
        <w:t>shall mean an electronic sound, symbol, or process attached to, or associated with, a contract or other record and adopted by a Person with the intent to sign, authenticate or accept such contract or record.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Electronic System</w:t>
      </w:r>
      <w:r>
        <w:rPr>
          <w:color w:val="000000"/>
        </w:rPr>
        <w:t xml:space="preserve">” </w:t>
      </w:r>
      <w:r>
        <w:rPr>
          <w:rFonts w:ascii="Times New Roman;sans-serif" w:hAnsi="Times New Roman;sans-serif"/>
          <w:b w:val="false"/>
          <w:color w:val="000000"/>
          <w:sz w:val="22"/>
        </w:rPr>
        <w:t>shall mean any electronic system, including e-mail, e-fax, web portal access for a Loan Party, Intralinks®, ClearPar®, Debt Domain, Syndtrak and any other Internet or extranet-based site, whether such electronic system is owned, operated or hosted by the Administrative Agent and any of its Related Parties or any other Person, providing for access to data protected by passcodes or other security system.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Environment</w:t>
      </w:r>
      <w:r>
        <w:rPr>
          <w:color w:val="000000"/>
        </w:rPr>
        <w:t xml:space="preserve">” </w:t>
      </w:r>
      <w:r>
        <w:rPr>
          <w:rFonts w:ascii="Times New Roman;sans-serif" w:hAnsi="Times New Roman;sans-serif"/>
          <w:b w:val="false"/>
          <w:color w:val="000000"/>
          <w:sz w:val="22"/>
        </w:rPr>
        <w:t xml:space="preserve">shall mean ambient air, indoor air, surface water, groundwater, drinking water, land surface, sediments, and subsurface strata &amp; natural resources such as wetlands, flora and fauna.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Environmental Laws</w:t>
      </w:r>
      <w:r>
        <w:rPr>
          <w:color w:val="000000"/>
        </w:rPr>
        <w:t xml:space="preserve">” </w:t>
      </w:r>
      <w:r>
        <w:rPr>
          <w:rFonts w:ascii="Times New Roman;sans-serif" w:hAnsi="Times New Roman;sans-serif"/>
          <w:b w:val="false"/>
          <w:color w:val="000000"/>
          <w:sz w:val="22"/>
        </w:rPr>
        <w:t>shall mean any Requirement of Law relating to pollution or protection of the environment, or human health and safety (as it relates to exposure to harmful or deleterious substances), or the generation, use, handling, transportation, treatment, storage, disposal or Release of harmful or deleterious substances.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Environmental Liability</w:t>
      </w:r>
      <w:r>
        <w:rPr>
          <w:color w:val="000000"/>
        </w:rPr>
        <w:t xml:space="preserve">” </w:t>
      </w:r>
      <w:r>
        <w:rPr>
          <w:rFonts w:ascii="Times New Roman;sans-serif" w:hAnsi="Times New Roman;sans-serif"/>
          <w:b w:val="false"/>
          <w:color w:val="000000"/>
          <w:sz w:val="22"/>
          <w:shd w:fill="FFFFFF" w:val="clear"/>
        </w:rPr>
        <w:t>shall mean all Liabilities arising out of or relating to (a) compliance or non-compliance with any Environmental Law, (b) the generation, use, handling, transportation, storage, treatment or disposal of, or the arrangement for such activities with respect to, any Hazardous Materials, (c) exposure to any Hazardous Materials, (d) the presence or Release of any Hazardous Materials or (e) any contract or agreement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Equity Interests</w:t>
      </w:r>
      <w:r>
        <w:rPr>
          <w:color w:val="000000"/>
        </w:rPr>
        <w:t xml:space="preserve">” </w:t>
      </w:r>
      <w:r>
        <w:rPr>
          <w:rFonts w:ascii="Times New Roman;sans-serif" w:hAnsi="Times New Roman;sans-serif"/>
          <w:b w:val="false"/>
          <w:color w:val="000000"/>
          <w:sz w:val="22"/>
        </w:rPr>
        <w:t>shall mean shares of capital stock, partnership interests, membership interests in a limited liability company, beneficial interests in a trust or other equity interests in any Person, and any option, warrant or other right entitling the holder thereof to purchase or otherwise acquire any such equity interest (excluding any agreement for the purchase of the equity interests of a Subsidiary), but excluding, for the avoidance of doubt, any Permitted Convertible Notes.</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01040"/>
                <wp:effectExtent l="0" t="0" r="0" b="0"/>
                <wp:wrapNone/>
                <wp:docPr id="120" name="Frame9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Equity Issuance</w:t>
      </w:r>
      <w:r>
        <w:rPr>
          <w:color w:val="000000"/>
        </w:rPr>
        <w:t xml:space="preserve">” </w:t>
      </w:r>
      <w:r>
        <w:rPr>
          <w:rFonts w:ascii="Times New Roman;sans-serif" w:hAnsi="Times New Roman;sans-serif"/>
          <w:b w:val="false"/>
          <w:color w:val="000000"/>
          <w:sz w:val="22"/>
        </w:rPr>
        <w:t>shall mean any issuance or sale by the Borrower of any Equity Interests.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ERISA</w:t>
      </w:r>
      <w:r>
        <w:rPr>
          <w:color w:val="000000"/>
        </w:rPr>
        <w:t xml:space="preserve">” </w:t>
      </w:r>
      <w:r>
        <w:rPr>
          <w:rFonts w:ascii="Times New Roman;sans-serif" w:hAnsi="Times New Roman;sans-serif"/>
          <w:b w:val="false"/>
          <w:color w:val="000000"/>
          <w:sz w:val="22"/>
        </w:rPr>
        <w:t>shall mean the Employee Retirement Income Security Act of 1974, as the same may be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ERISA Affiliate</w:t>
      </w:r>
      <w:r>
        <w:rPr>
          <w:color w:val="000000"/>
        </w:rPr>
        <w:t xml:space="preserve">” </w:t>
      </w:r>
      <w:r>
        <w:rPr>
          <w:rFonts w:ascii="Times New Roman;sans-serif" w:hAnsi="Times New Roman;sans-serif"/>
          <w:b w:val="false"/>
          <w:color w:val="000000"/>
          <w:sz w:val="22"/>
        </w:rPr>
        <w:t>shall mean any trade or business (whether or not incorporated) that, together with the Borrower, is treated as a single employer under Section 414(b) or (c) of the Code and, for purposes of provisions relating to Section 412 of the Code, any member of an affiliated service group within the meaning of Section 414(m) or 414(o)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ERISA Event</w:t>
      </w:r>
      <w:r>
        <w:rPr>
          <w:color w:val="000000"/>
        </w:rPr>
        <w:t xml:space="preserve">” </w:t>
      </w:r>
      <w:r>
        <w:rPr>
          <w:rFonts w:ascii="Times New Roman;sans-serif" w:hAnsi="Times New Roman;sans-serif"/>
          <w:b w:val="false"/>
          <w:color w:val="000000"/>
          <w:sz w:val="22"/>
        </w:rPr>
        <w:t>shall mean (a) any “reportable event”, as defined in Section 4043(c) of ERISA or the regulations issued thereunder, with respect to a Plan (other than an event for which the 30-day notice period is waived), (b) with respect to a Plan, the failure to satisfy the “minimum funding standard” within the meaning of Section 412 or 430 of the Code or Section 302 or 303 of ERISA, whether or not waived, or the failure to make by its due date a required installment under Section 430(j) of the Code or Section 303(j) of ERISA with respect to a Plan, (c) the failure of the Borrower or any ERISA Affiliate to timely make any required contribution to a Multiemployer Plan, (d) the filing pursuant to Section 412(c) of the Code or Section 302(c) of ERISA of an application for a waiver of the minimum funding standard with respect to any Plan, (e) the imposition of any liability under Title IV of ERISA upon the Borrower or any ERISA Affiliate with respect to the termination of any Plan, (f) the withdrawal or partial withdrawal (within the meaning of Title IV of ERISA) of the Borrower or any ERISA Affiliate from any Plan or Multiemployer Plan, (g) the filing of a notice of intent to terminate, the treatment of a Plan or Multiemployer Plan amendment as a termination under Sections 4041 or 4041A of ERISA, or the commencement of proceedings by the PBGC to terminate a Plan or Multiemployer Plan, (h) an event or condition that constitutes grounds under Section 4042 of ERISA for, and that would reasonably be expected to result in, the termination of, or the appointment of a trustee to administer, any Plan or Multiemployer Plan, (i) the occurrence of a non-exempt “prohibited transaction” (within the meaning of Section 4975 of the Code or Section 406 of ERISA) for which the Borrower or any of the Subsidiaries has or is reasonably expected to have any material liability, (j) the receipt by the Borrower or any ERISA Affiliate of notice from any Multiemployer Plan (1) imposing Withdrawal Liability on the Borrower or any ERISA Affiliate, (2) notifying the Borrower or any ERISA Affiliate that such Multiemployer Plan is, or is expected to be, in “insolvency” pursuant to Section 4245 of ERISA, if applicable or (3) notifying the Borrower or any ERISA Affiliate that such Multiemployer Plan is, or is expected to be, in “endangered” or “critical” status (within the meaning of Section 432 of the Code or Section 305 of ERISA, if applicable), (k) a determination that any Plan is, or is expected to be, in “at risk” status (as defined in Section 430(i)(4) of the Code or Section 303(i)(4) of ERISA, if applicable) or (l) the imposition of a Lien pursuant to Section 430(k) of the Code or Section 303(k) of ERISA with respect to any Plan.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EU Bail-In Legislation Schedule</w:t>
      </w:r>
      <w:r>
        <w:rPr>
          <w:color w:val="000000"/>
        </w:rPr>
        <w:t xml:space="preserve">” </w:t>
      </w:r>
      <w:r>
        <w:rPr>
          <w:rFonts w:ascii="Times New Roman;sans-serif" w:hAnsi="Times New Roman;sans-serif"/>
          <w:b w:val="false"/>
          <w:color w:val="000000"/>
          <w:sz w:val="22"/>
        </w:rPr>
        <w:t>shall mean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Event of Default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Excluded Subsidiary</w:t>
      </w:r>
      <w:r>
        <w:rPr>
          <w:color w:val="000000"/>
        </w:rPr>
        <w:t xml:space="preserve">” </w:t>
      </w:r>
      <w:r>
        <w:rPr>
          <w:rFonts w:ascii="Times New Roman;sans-serif" w:hAnsi="Times New Roman;sans-serif"/>
          <w:b w:val="false"/>
          <w:color w:val="000000"/>
          <w:sz w:val="22"/>
        </w:rPr>
        <w:t>shall mean any subsidiary of the Borrower:</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01040"/>
                <wp:effectExtent l="0" t="0" r="0" b="0"/>
                <wp:wrapNone/>
                <wp:docPr id="121" name="Frame9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that is not a Wholly Owned Subsidiary;</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that is an Immaterial Subsidiary;</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 xml:space="preserve">(iii)    that is prohibited from providing a Guarantee in respect of the Obligations by (x) any provision of any agreement, instrument or other undertaking to which such subsidiary is a party or by which it or any of its assets or property is bound existing on the date such Person became a subsidiary;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provision is not entered into for the purpose of qualifying as an “Excluded Subsidiary” under this Agreement or (y) applicable law;</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 xml:space="preserve">(iv)    that would require the consent, approval, license or authorization of any third party in order to provide a Guarantee in respect of the Obligations pursuant to any agreement, instrument or other undertaking referred to in </w:t>
      </w:r>
      <w:r>
        <w:rPr>
          <w:rFonts w:ascii="Times New Roman;sans-serif" w:hAnsi="Times New Roman;sans-serif"/>
          <w:b w:val="false"/>
          <w:color w:val="000000"/>
          <w:sz w:val="22"/>
          <w:u w:val="single"/>
        </w:rPr>
        <w:t>clause (iii)(x)</w:t>
      </w:r>
      <w:r>
        <w:rPr>
          <w:color w:val="000000"/>
        </w:rPr>
        <w:t xml:space="preserve"> </w:t>
      </w:r>
      <w:r>
        <w:rPr>
          <w:rFonts w:ascii="Times New Roman;sans-serif" w:hAnsi="Times New Roman;sans-serif"/>
          <w:b w:val="false"/>
          <w:color w:val="000000"/>
          <w:sz w:val="22"/>
        </w:rPr>
        <w:t>above or applicable law (in each case, to the extent such consent, approval, license or authorization has not been received);</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(v)    that is a Foreign Holdco;</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(vi)    that is (x) a Foreign Subsidiary or (y) a Domestic Subsidiary of a Foreign Subsidiary that is a “controlled foreign corporation” within the meaning of Section 957(a) of the Code;</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 xml:space="preserve">(vii)    that is newly formed for the purpose of consummating a merger transaction pursuant to an acquisition permitted by this Agreement, which Subsidiary at no time holds any assets or liabilities other than any merger consideration contributed to it substantially contemporaneously with the closing of such merger transaction (it being understood that any surviving Subsidiary of such merger transaction shall not constitute an Excluded Subsidiary under this </w:t>
      </w:r>
      <w:r>
        <w:rPr>
          <w:rFonts w:ascii="Times New Roman;sans-serif" w:hAnsi="Times New Roman;sans-serif"/>
          <w:b w:val="false"/>
          <w:color w:val="000000"/>
          <w:sz w:val="22"/>
          <w:u w:val="single"/>
        </w:rPr>
        <w:t>clause (vii)</w:t>
      </w:r>
      <w:r>
        <w:rPr>
          <w:rFonts w:ascii="Times New Roman;sans-serif" w:hAnsi="Times New Roman;sans-serif"/>
          <w:b w:val="false"/>
          <w:color w:val="000000"/>
          <w:sz w:val="22"/>
        </w:rPr>
        <w:t>);</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(viii)    to the extent the provision a Guarantee by such subsidiary in respect of the Obligations would reasonably be expected to result in material adverse tax consequences to the Borrower or any of its Subsidiaries as reasonably determined by the Borrower in good faith in consultation with the Administrative Agent;</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(ix)    that is an Unrestricted Subsidiary;</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(x)    that does not own any assets (other than de minimis assets) that are not Intellectual Property, so long as such subsidiary is not an obligor in respect of any Permitted Additional Indebtedness;</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(xi)    with respect to which, as reasonably determined by the Administrative Agent and the Borrower, the burden or cost or other consequences (including material adverse tax consequences) of providing a Guarantee outweighs the benefits to the Lenders; or</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(xii)    any not-for-profit Subsidiaries, captive insurance companies, broker-dealer Subsidiaries, Receivables Subsidiary or other Special Purpose Entities (each, a “</w:t>
      </w:r>
      <w:r>
        <w:rPr>
          <w:rFonts w:ascii="Times New Roman;sans-serif" w:hAnsi="Times New Roman;sans-serif"/>
          <w:b/>
          <w:color w:val="000000"/>
          <w:sz w:val="22"/>
        </w:rPr>
        <w:t>Limited Purpose Subsidiary</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01040"/>
                <wp:effectExtent l="0" t="0" r="0" b="0"/>
                <wp:wrapNone/>
                <wp:docPr id="122" name="Frame9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Borrower, in its sole discretion, may cause any Restricted Subsidiary that qualifies as an Excluded Subsidiary under any of the clauses above to become a Guarantor in accordance with the definition thereof (pursuant to documentation reasonably acceptable to the Administrative Agent and subject to customary restrictions under applicable local law and completion of any requested “know your customer” and similar requirements of the Administrative Agent and the Lenders and the requirements of </w:t>
      </w:r>
      <w:r>
        <w:rPr>
          <w:rFonts w:ascii="Times New Roman;sans-serif" w:hAnsi="Times New Roman;sans-serif"/>
          <w:b w:val="false"/>
          <w:color w:val="000000"/>
          <w:sz w:val="22"/>
          <w:u w:val="single"/>
        </w:rPr>
        <w:t>Section 5.13</w:t>
      </w:r>
      <w:r>
        <w:rPr>
          <w:color w:val="000000"/>
        </w:rPr>
        <w:t xml:space="preserve"> </w:t>
      </w:r>
      <w:r>
        <w:rPr>
          <w:rFonts w:ascii="Times New Roman;sans-serif" w:hAnsi="Times New Roman;sans-serif"/>
          <w:b w:val="false"/>
          <w:color w:val="000000"/>
          <w:sz w:val="22"/>
        </w:rPr>
        <w:t>as if such Subsidiary were required to comply with such Section as a Domestic Subsidiary) and thereafter such Subsidiary shall not constitute an “Excluded Subsidiary” (unless and until the Borrower elects, in its sole discretion, to designate such Persons as an Excluded Subsidiary).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2"/>
        </w:rPr>
        <w:t>Excluded Taxes</w:t>
      </w:r>
      <w:r>
        <w:rPr>
          <w:color w:val="000000"/>
          <w:shd w:fill="FFFFFF" w:val="clear"/>
        </w:rPr>
        <w:t xml:space="preserve">” </w:t>
      </w:r>
      <w:r>
        <w:rPr>
          <w:rFonts w:ascii="Times New Roman;sans-serif" w:hAnsi="Times New Roman;sans-serif"/>
          <w:b w:val="false"/>
          <w:color w:val="000000"/>
          <w:sz w:val="22"/>
          <w:shd w:fill="FFFFFF" w:val="clear"/>
        </w:rPr>
        <w:t>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r>
        <w:rPr>
          <w:color w:val="000000"/>
        </w:rPr>
        <w:t xml:space="preserve"> </w:t>
      </w:r>
      <w:r>
        <w:rPr>
          <w:rFonts w:ascii="Times New Roman;sans-serif" w:hAnsi="Times New Roman;sans-serif"/>
          <w:b w:val="false"/>
          <w:color w:val="000000"/>
          <w:sz w:val="22"/>
        </w:rPr>
        <w:t xml:space="preserve">(b)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ans-serif" w:hAnsi="Times New Roman;sans-serif"/>
          <w:b w:val="false"/>
          <w:color w:val="000000"/>
          <w:sz w:val="22"/>
          <w:u w:val="single"/>
        </w:rPr>
        <w:t>Section 2.19(b)</w:t>
      </w:r>
      <w:r>
        <w:rPr>
          <w:rFonts w:ascii="Times New Roman;sans-serif" w:hAnsi="Times New Roman;sans-serif"/>
          <w:b w:val="false"/>
          <w:color w:val="000000"/>
          <w:sz w:val="22"/>
        </w:rPr>
        <w:t xml:space="preserve">) or (ii) such Lender changes its lending office, except in each case to the extent that, pursuant to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w:t>
      </w:r>
      <w:r>
        <w:rPr>
          <w:rFonts w:ascii="Times New Roman;sans-serif" w:hAnsi="Times New Roman;sans-serif"/>
          <w:b w:val="false"/>
          <w:color w:val="000000"/>
          <w:sz w:val="22"/>
          <w:u w:val="single"/>
        </w:rPr>
        <w:t>Section 2.17(f)</w:t>
      </w:r>
      <w:r>
        <w:rPr>
          <w:rFonts w:ascii="Times New Roman;sans-serif" w:hAnsi="Times New Roman;sans-serif"/>
          <w:b w:val="false"/>
          <w:color w:val="000000"/>
          <w:sz w:val="22"/>
        </w:rPr>
        <w:t>; and (d) any withholding Taxes imposed under FATCA.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Existing Convertible Notes</w:t>
      </w:r>
      <w:r>
        <w:rPr>
          <w:color w:val="000000"/>
        </w:rPr>
        <w:t xml:space="preserve">” </w:t>
      </w:r>
      <w:r>
        <w:rPr>
          <w:rFonts w:ascii="Times New Roman;sans-serif" w:hAnsi="Times New Roman;sans-serif"/>
          <w:b w:val="false"/>
          <w:color w:val="000000"/>
          <w:sz w:val="22"/>
        </w:rPr>
        <w:t>shall mean the 1.25% convertible senior notes issued by the Borrower and due in December 2026 in an aggregate principal amount of aggregate of $2,012,500,000.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fair market value</w:t>
      </w:r>
      <w:r>
        <w:rPr>
          <w:color w:val="000000"/>
        </w:rPr>
        <w:t xml:space="preserve">” </w:t>
      </w:r>
      <w:r>
        <w:rPr>
          <w:rFonts w:ascii="Times New Roman;sans-serif" w:hAnsi="Times New Roman;sans-serif"/>
          <w:b w:val="false"/>
          <w:color w:val="000000"/>
          <w:sz w:val="22"/>
        </w:rPr>
        <w:t xml:space="preserve">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as determined in good faith by the Borrower.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FATCA</w:t>
      </w:r>
      <w:r>
        <w:rPr>
          <w:color w:val="000000"/>
        </w:rPr>
        <w:t xml:space="preserve">” </w:t>
      </w:r>
      <w:r>
        <w:rPr>
          <w:rFonts w:ascii="Times New Roman;sans-serif" w:hAnsi="Times New Roman;sans-serif"/>
          <w:b w:val="false"/>
          <w:color w:val="000000"/>
          <w:sz w:val="22"/>
        </w:rPr>
        <w:t>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thereto, including any intergovernmental agreements and any fiscal or regulatory legislation, rules or practices adopted pursuant to such intergovernmental agreements and implementing such Sections of the Code.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01040"/>
                <wp:effectExtent l="0" t="0" r="0" b="0"/>
                <wp:wrapNone/>
                <wp:docPr id="123" name="Frame9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Federal Funds Effective Rate</w:t>
      </w:r>
      <w:r>
        <w:rPr>
          <w:color w:val="000000"/>
        </w:rPr>
        <w:t xml:space="preserve">” </w:t>
      </w:r>
      <w:r>
        <w:rPr>
          <w:rFonts w:ascii="Times New Roman;sans-serif" w:hAnsi="Times New Roman;sans-serif"/>
          <w:b w:val="false"/>
          <w:color w:val="000000"/>
          <w:sz w:val="22"/>
        </w:rPr>
        <w:t>shall mean,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Financial Officer</w:t>
      </w:r>
      <w:r>
        <w:rPr>
          <w:color w:val="000000"/>
        </w:rPr>
        <w:t xml:space="preserve">” </w:t>
      </w:r>
      <w:r>
        <w:rPr>
          <w:rFonts w:ascii="Times New Roman;sans-serif" w:hAnsi="Times New Roman;sans-serif"/>
          <w:b w:val="false"/>
          <w:color w:val="000000"/>
          <w:sz w:val="22"/>
        </w:rPr>
        <w:t>of any Person shall mean the chief financial officer, principal accounting officer, treasurer, controller, vice president - tax and treasury or any manager with similar responsibilities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Fiscal Year</w:t>
      </w:r>
      <w:r>
        <w:rPr>
          <w:color w:val="000000"/>
        </w:rPr>
        <w:t xml:space="preserve">” </w:t>
      </w:r>
      <w:r>
        <w:rPr>
          <w:rFonts w:ascii="Times New Roman;sans-serif" w:hAnsi="Times New Roman;sans-serif"/>
          <w:b w:val="false"/>
          <w:color w:val="000000"/>
          <w:sz w:val="22"/>
        </w:rPr>
        <w:t>shall mean, with respect to the Borrower and the Restricted Subsidiaries, a fiscal year ending on December 31 of each calendar year.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Floor</w:t>
      </w:r>
      <w:r>
        <w:rPr>
          <w:color w:val="000000"/>
        </w:rPr>
        <w:t xml:space="preserve">” </w:t>
      </w:r>
      <w:r>
        <w:rPr>
          <w:rFonts w:ascii="Times New Roman;sans-serif" w:hAnsi="Times New Roman;sans-serif"/>
          <w:b w:val="false"/>
          <w:color w:val="000000"/>
          <w:sz w:val="22"/>
        </w:rPr>
        <w:t>means 1.00% per annum.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Foreign Holdco</w:t>
      </w:r>
      <w:r>
        <w:rPr>
          <w:color w:val="000000"/>
        </w:rPr>
        <w:t xml:space="preserve">” </w:t>
      </w:r>
      <w:r>
        <w:rPr>
          <w:rFonts w:ascii="Times New Roman;sans-serif" w:hAnsi="Times New Roman;sans-serif"/>
          <w:b w:val="false"/>
          <w:color w:val="000000"/>
          <w:sz w:val="22"/>
        </w:rPr>
        <w:t>shall mean any direct or indirect subsidiary of the Borrower that has no material assets other than Equity Interests, or Equity Interests and Debt, of one or more direct or indirect Foreign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Foreign Lender</w:t>
      </w:r>
      <w:r>
        <w:rPr>
          <w:color w:val="000000"/>
        </w:rPr>
        <w:t xml:space="preserve">” </w:t>
      </w:r>
      <w:r>
        <w:rPr>
          <w:rFonts w:ascii="Times New Roman;sans-serif" w:hAnsi="Times New Roman;sans-serif"/>
          <w:b w:val="false"/>
          <w:color w:val="000000"/>
          <w:sz w:val="22"/>
        </w:rPr>
        <w:t>shall mean (a) if the Borrower is a U.S. Person, a Lender, with respect to such Borrower, that is not a U.S. Person, and (b) if the Borrower is not a U.S. Person, a Lender, with respect to such Borrower, that is resident or organized under the laws of a jurisdiction other than that in which such Borrower is resident for tax purposes.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Foreign Subsidiary</w:t>
      </w:r>
      <w:r>
        <w:rPr>
          <w:color w:val="000000"/>
        </w:rPr>
        <w:t xml:space="preserve">” </w:t>
      </w:r>
      <w:r>
        <w:rPr>
          <w:rFonts w:ascii="Times New Roman;sans-serif" w:hAnsi="Times New Roman;sans-serif"/>
          <w:b w:val="false"/>
          <w:color w:val="000000"/>
          <w:sz w:val="22"/>
        </w:rPr>
        <w:t>shall mean any Subsidiary that is not a Domestic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Funding Account</w:t>
      </w:r>
      <w:r>
        <w:rPr>
          <w:color w:val="000000"/>
        </w:rPr>
        <w:t xml:space="preserve">” </w:t>
      </w:r>
      <w:r>
        <w:rPr>
          <w:rFonts w:ascii="Times New Roman;sans-serif" w:hAnsi="Times New Roman;sans-serif"/>
          <w:b w:val="false"/>
          <w:color w:val="000000"/>
          <w:sz w:val="22"/>
        </w:rPr>
        <w:t>means one or more deposit account(s) designated in writing by the Borrower to the Administrative Agent from time to time into which the Administrative Agent and the Lenders are authorized by the Borrower to transfer the proceeds of any Borrowings requested or authorized pursuant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GAAP</w:t>
      </w:r>
      <w:r>
        <w:rPr>
          <w:color w:val="000000"/>
        </w:rPr>
        <w:t xml:space="preserve">” </w:t>
      </w:r>
      <w:r>
        <w:rPr>
          <w:rFonts w:ascii="Times New Roman;sans-serif" w:hAnsi="Times New Roman;sans-serif"/>
          <w:b w:val="false"/>
          <w:color w:val="000000"/>
          <w:sz w:val="22"/>
        </w:rPr>
        <w:t>shall mean United States generally accepted accounting principles as in effect from time to time (except as otherwise expressly provided 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Government Official</w:t>
      </w:r>
      <w:r>
        <w:rPr>
          <w:color w:val="000000"/>
        </w:rPr>
        <w:t xml:space="preserve">” </w:t>
      </w:r>
      <w:r>
        <w:rPr>
          <w:rFonts w:ascii="Times New Roman;sans-serif" w:hAnsi="Times New Roman;sans-serif"/>
          <w:b w:val="false"/>
          <w:color w:val="000000"/>
          <w:sz w:val="22"/>
        </w:rPr>
        <w:t xml:space="preserve">shall have the meaning assigned to such term in </w:t>
      </w:r>
      <w:r>
        <w:rPr>
          <w:rFonts w:ascii="Times New Roman;sans-serif" w:hAnsi="Times New Roman;sans-serif"/>
          <w:b w:val="false"/>
          <w:color w:val="000000"/>
          <w:sz w:val="22"/>
          <w:u w:val="single"/>
        </w:rPr>
        <w:t>Section 3.21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Governmental Authority</w:t>
      </w:r>
      <w:r>
        <w:rPr>
          <w:color w:val="000000"/>
        </w:rPr>
        <w:t xml:space="preserve">” </w:t>
      </w:r>
      <w:r>
        <w:rPr>
          <w:rFonts w:ascii="Times New Roman;sans-serif" w:hAnsi="Times New Roman;sans-serif"/>
          <w:b w:val="false"/>
          <w:color w:val="000000"/>
          <w:sz w:val="22"/>
        </w:rPr>
        <w:t>shall mean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01040"/>
                <wp:effectExtent l="0" t="0" r="0" b="0"/>
                <wp:wrapNone/>
                <wp:docPr id="124" name="Frame9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Guarantee</w:t>
      </w:r>
      <w:r>
        <w:rPr>
          <w:color w:val="000000"/>
        </w:rPr>
        <w:t xml:space="preserve">” </w:t>
      </w:r>
      <w:r>
        <w:rPr>
          <w:rFonts w:ascii="Times New Roman;sans-serif" w:hAnsi="Times New Roman;sans-serif"/>
          <w:b w:val="false"/>
          <w:color w:val="000000"/>
          <w:sz w:val="22"/>
        </w:rPr>
        <w:t>of or by any Person shall mean any obligation, contingent or otherwise, of such Person guaranteeing or having the economic effect of guaranteeing any Debt or other obligation of any other Person (the “</w:t>
      </w:r>
      <w:r>
        <w:rPr>
          <w:rFonts w:ascii="Times New Roman;sans-serif" w:hAnsi="Times New Roman;sans-serif"/>
          <w:b/>
          <w:color w:val="000000"/>
          <w:sz w:val="22"/>
        </w:rPr>
        <w:t>primary obligor</w:t>
      </w:r>
      <w:r>
        <w:rPr>
          <w:color w:val="000000"/>
        </w:rPr>
        <w:t>”</w:t>
      </w:r>
      <w:r>
        <w:rPr>
          <w:rFonts w:ascii="Times New Roman;sans-serif" w:hAnsi="Times New Roman;sans-serif"/>
          <w:b w:val="false"/>
          <w:color w:val="000000"/>
          <w:sz w:val="22"/>
        </w:rPr>
        <w:t>) in any manner, whether directly or indirectly, and including any obligation of such Person, direct or indirect, (a) to purchase or pay (or advance or supply funds for the purchase or payment of) such Debt or other obligation or to purchase (or to advance or supply funds for the purchase of) any security for the payment of such Debt or other obligation, (b) to purchase or lease property, securities or services for the purpose of assuring the owner of such Debt or other obligation of the payment of such Debt or other obligation or (c) to maintain working capital, equity capital or any other financial statement condition or liquidity of the primary obligor so as to enable the primary obligor to pay such Debt or other obligation; provided, however, that the term “</w:t>
      </w:r>
      <w:r>
        <w:rPr>
          <w:rFonts w:ascii="Times New Roman;sans-serif" w:hAnsi="Times New Roman;sans-serif"/>
          <w:b/>
          <w:color w:val="000000"/>
          <w:sz w:val="22"/>
        </w:rPr>
        <w:t>Guarantee</w:t>
      </w:r>
      <w:r>
        <w:rPr>
          <w:color w:val="000000"/>
        </w:rPr>
        <w:t xml:space="preserve">” </w:t>
      </w:r>
      <w:r>
        <w:rPr>
          <w:rFonts w:ascii="Times New Roman;sans-serif" w:hAnsi="Times New Roman;sans-serif"/>
          <w:b w:val="false"/>
          <w:color w:val="000000"/>
          <w:sz w:val="22"/>
        </w:rPr>
        <w:t>shall not include endorsements for collection or deposit in the ordinary course of business and reasonable indemnity obligations in effect on the Effective Date or entered into in connection with any acquisition or disposition of assets permitted by this Agreement (other than such obligations with respect to Debt).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amount of any Guarantee will be deemed to be an amount equal to the stated or determinable amount of the Debt in respect of which such Guarantee is made or, if not stated or determinable, the maximum reasonably anticipated liability in respect thereof (assuming such Person is required to perform thereunder) as determined by such Person in good faith.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Guarantee Agreement</w:t>
      </w:r>
      <w:r>
        <w:rPr>
          <w:color w:val="000000"/>
        </w:rPr>
        <w:t xml:space="preserve">” </w:t>
      </w:r>
      <w:r>
        <w:rPr>
          <w:rFonts w:ascii="Times New Roman;sans-serif" w:hAnsi="Times New Roman;sans-serif"/>
          <w:b w:val="false"/>
          <w:color w:val="000000"/>
          <w:sz w:val="22"/>
        </w:rPr>
        <w:t>shall mean the Guarantee Agreement, dated as of the Effective Date, among the Subsidiary Guarantors from time to time party thereto and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Guarantors</w:t>
      </w:r>
      <w:r>
        <w:rPr>
          <w:color w:val="000000"/>
        </w:rPr>
        <w:t xml:space="preserve">” </w:t>
      </w:r>
      <w:r>
        <w:rPr>
          <w:rFonts w:ascii="Times New Roman;sans-serif" w:hAnsi="Times New Roman;sans-serif"/>
          <w:b w:val="false"/>
          <w:color w:val="000000"/>
          <w:sz w:val="22"/>
        </w:rPr>
        <w:t>shall mean the Subsidiary Guarantors.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Hazardous Materials</w:t>
      </w:r>
      <w:r>
        <w:rPr>
          <w:color w:val="000000"/>
        </w:rPr>
        <w:t xml:space="preserve">” </w:t>
      </w:r>
      <w:r>
        <w:rPr>
          <w:rFonts w:ascii="Times New Roman;sans-serif" w:hAnsi="Times New Roman;sans-serif"/>
          <w:b w:val="false"/>
          <w:color w:val="000000"/>
          <w:sz w:val="22"/>
        </w:rPr>
        <w:t>shall mean (a) any petroleum products or byproducts and all other hydrocarbons, asbestos or asbestos containing materials, polychlorinated biphenyls, per- and polyfluoroalkyl substances, chlorofluorocarbons and all other ozone depleting substances, and (b) any other chemical, material, pollutant, contaminant, substance or waste that is prohibited or regulated by or pursuant to any Environmental Law due to its harmful or deleterious character (including microbial matter, mycotoxins, mold and mold spores).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Immaterial Subsidiary</w:t>
      </w:r>
      <w:r>
        <w:rPr>
          <w:color w:val="000000"/>
        </w:rPr>
        <w:t xml:space="preserve">” </w:t>
      </w:r>
      <w:r>
        <w:rPr>
          <w:rFonts w:ascii="Times New Roman;sans-serif" w:hAnsi="Times New Roman;sans-serif"/>
          <w:b w:val="false"/>
          <w:color w:val="000000"/>
          <w:sz w:val="22"/>
        </w:rPr>
        <w:t>shall mean any Restricted Subsidiary that, together with its subsidiaries that are Restricted Subsidiaries and every other Immaterial Subsidiary, (i) did not, as of the most recently ended Test Period, have total assets with a value in excess of 5.0% of Consolidated Total Assets and (ii) did not, during the most recently ended Test Period, have revenues in excess of 5.0% of the consolidated total revenues of the Borrower and its Subsidiaries for such period (and the Borrower will designate in writing to the Administrative Agent from time to time the Restricted Subsidiaries that will cease to be treated as “Immaterial Subsidiaries” in order to comply with the foregoing limitations).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Indemnified Taxes</w:t>
      </w:r>
      <w:r>
        <w:rPr>
          <w:color w:val="000000"/>
        </w:rPr>
        <w:t xml:space="preserve">” </w:t>
      </w:r>
      <w:r>
        <w:rPr>
          <w:rFonts w:ascii="Times New Roman;sans-serif" w:hAnsi="Times New Roman;sans-serif"/>
          <w:b w:val="false"/>
          <w:color w:val="000000"/>
          <w:sz w:val="22"/>
        </w:rPr>
        <w:t xml:space="preserve">shall mean (a) Taxes, other than Excluded Taxes, imposed on or with respect to any payment made by, or on account of any obligation of any Loan Party under any Loan Document and (b) to the extent not otherwise described in the foregoing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hereof, Other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Indemnitee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9.03(c)</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01040"/>
                <wp:effectExtent l="0" t="0" r="0" b="0"/>
                <wp:wrapNone/>
                <wp:docPr id="125" name="Frame10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Ineligible Institution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9.04(b)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Information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9.12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Integration Costs</w:t>
      </w:r>
      <w:r>
        <w:rPr>
          <w:color w:val="000000"/>
        </w:rPr>
        <w:t xml:space="preserve">” </w:t>
      </w:r>
      <w:r>
        <w:rPr>
          <w:rFonts w:ascii="Times New Roman;sans-serif" w:hAnsi="Times New Roman;sans-serif"/>
          <w:b w:val="false"/>
          <w:color w:val="000000"/>
          <w:sz w:val="22"/>
        </w:rPr>
        <w:t>shall mean non-recurring integration costs incurred in connection with any Permitted Acquisition or similar Investment.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Intellectual Property</w:t>
      </w:r>
      <w:r>
        <w:rPr>
          <w:color w:val="000000"/>
        </w:rPr>
        <w:t xml:space="preserve">” </w:t>
      </w:r>
      <w:r>
        <w:rPr>
          <w:rFonts w:ascii="Times New Roman;sans-serif" w:hAnsi="Times New Roman;sans-serif"/>
          <w:b w:val="false"/>
          <w:color w:val="000000"/>
          <w:sz w:val="22"/>
        </w:rPr>
        <w:t>shall mean all Copyrights, Patents, Trademarks, Internet Domain Names, Trade Secrets and IP Licenses and any other intellectual property rights (and all IP Ancillary Rights related thereto) to the fullest extent arising under any Requirement of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Intercompany Subordination Agreement</w:t>
      </w:r>
      <w:r>
        <w:rPr>
          <w:color w:val="000000"/>
        </w:rPr>
        <w:t xml:space="preserve">” </w:t>
      </w:r>
      <w:r>
        <w:rPr>
          <w:rFonts w:ascii="Times New Roman;sans-serif" w:hAnsi="Times New Roman;sans-serif"/>
          <w:b w:val="false"/>
          <w:color w:val="000000"/>
          <w:sz w:val="22"/>
        </w:rPr>
        <w:t xml:space="preserve">shall mean any intercompany subordination agreement, among the Loan Parties party thereto, the Restricted Subsidiaries party thereto, and the Administrative Agent, substantially in the form of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Interest Charges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9.17</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Interest Payment Date</w:t>
      </w:r>
      <w:r>
        <w:rPr>
          <w:color w:val="000000"/>
        </w:rPr>
        <w:t xml:space="preserve">” </w:t>
      </w:r>
      <w:r>
        <w:rPr>
          <w:rFonts w:ascii="Times New Roman;sans-serif" w:hAnsi="Times New Roman;sans-serif"/>
          <w:b w:val="false"/>
          <w:color w:val="000000"/>
          <w:sz w:val="22"/>
        </w:rPr>
        <w:t>shall mean (a) with respect to any ABR Loan, the first calendar day of each fiscal quarter and the Maturity Date, and (b) with respect to any Term SOFR Loan, the last day of the Interest Period applicable to the Borrowing of which such Loan is a part and the Maturity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Interest Period</w:t>
      </w:r>
      <w:r>
        <w:rPr>
          <w:color w:val="000000"/>
        </w:rPr>
        <w:t xml:space="preserve">” </w:t>
      </w:r>
      <w:r>
        <w:rPr>
          <w:rFonts w:ascii="Times New Roman;sans-serif" w:hAnsi="Times New Roman;sans-serif"/>
          <w:b w:val="false"/>
          <w:color w:val="000000"/>
          <w:sz w:val="22"/>
        </w:rPr>
        <w:t xml:space="preserve">shall mean, with respect to any Term SOFR Borrowing, the period commencing on the date of such Term SOFR Borrowing and ending (a) on the numerically corresponding day in the calendar month that is three months thereafter or (b) at the election of the Borrower in the Borrowing Request, the date on which the current Interest Period with respect to another Term SOFR Borrowing ends;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Internet Domain Name</w:t>
      </w:r>
      <w:r>
        <w:rPr>
          <w:color w:val="000000"/>
        </w:rPr>
        <w:t xml:space="preserve">” </w:t>
      </w:r>
      <w:r>
        <w:rPr>
          <w:rFonts w:ascii="Times New Roman;sans-serif" w:hAnsi="Times New Roman;sans-serif"/>
          <w:b w:val="false"/>
          <w:color w:val="000000"/>
          <w:sz w:val="22"/>
        </w:rPr>
        <w:t>shall mean all rights, title and interests (and all related IP Ancillary Rights) in or relating to internet domain names (including to the fullest extent arising under any Requirement of Law), together with all goodwill associated therewith.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Investments</w:t>
      </w:r>
      <w:r>
        <w:rPr>
          <w:color w:val="000000"/>
        </w:rPr>
        <w:t xml:space="preserve">” </w:t>
      </w:r>
      <w:r>
        <w:rPr>
          <w:rFonts w:ascii="Times New Roman;sans-serif" w:hAnsi="Times New Roman;sans-serif"/>
          <w:b w:val="false"/>
          <w:color w:val="000000"/>
          <w:sz w:val="22"/>
        </w:rPr>
        <w:t>shall mean, as to any Person, any direct or indirect acquisition or investment by such Person, whether by means of (a) the purchase or other acquisition of Equity Interests or debt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the Debt of such Person or (c) the purchase or other acquisition (in one transaction or series of transactions) of all or substantially all of the property and assets or business of another Person or assets constituting a business unit, line of business or division of such Person. For purposes of the definition of “</w:t>
      </w:r>
      <w:r>
        <w:rPr>
          <w:rFonts w:ascii="Times New Roman;sans-serif" w:hAnsi="Times New Roman;sans-serif"/>
          <w:b/>
          <w:color w:val="000000"/>
          <w:sz w:val="22"/>
        </w:rPr>
        <w:t>Unrestricted Subsidiary</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01040"/>
                <wp:effectExtent l="0" t="0" r="0" b="0"/>
                <wp:wrapNone/>
                <wp:docPr id="126" name="Frame10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“Investments” shall include the portion (proportionate to the Borrower’s direct or indirect Equity Interest in such subsidiary) of the fair market value of the net assets of a subsidiary of the Borrower at the time that such subsidiary is designated an Unrestricted Subsidiary;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any property transferred to or from an Unrestricted Subsidiary shall be valued at its fair market value at the time of such transfer, in each case as determined in good faith by the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The amount, as of any date of determination, of (i) any Investment in the form of a loan or an advance shall be the principal amount thereof outstanding on such date,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any payments actually received by such investor representing interest in respect of such Investment,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or maximum amount thereof, in each case in respect of which such Guarantee is made or, if not stated or determinable, the maximum reasonably anticipated liability in respect thereof, as determined in good faith by the Borrower,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any payments actually received by such investor representing a return or reduction of capital of, or dividends, share buybacks, or other distributions in respect of, such Investment, but without any other adjustment for increases or decreases in value of, or write-ups, write-downs or write-offs with respect to, such Investment after the date of such Investment and (iv) any Investment (other than any Investment referred to in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w:t>
      </w:r>
      <w:r>
        <w:rPr>
          <w:color w:val="000000"/>
        </w:rPr>
        <w:t>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w:t>
      </w:r>
      <w:r>
        <w:rPr>
          <w:rFonts w:ascii="Times New Roman;sans-serif" w:hAnsi="Times New Roman;sans-serif"/>
          <w:b w:val="false"/>
          <w:color w:val="000000"/>
          <w:sz w:val="22"/>
        </w:rPr>
        <w:t xml:space="preserve">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(1) the cost of all additions thereto,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(2) the amount of any portion of such Investment that has been repaid to (or on behalf of) the investor as a repayment of principal or a return of capital, and of any payments actually received by (or on behalf of) such investor representing interest, dividends or other distributions in respect of such Investment, but without any other adjustment for increases or decreases in value of, or write-ups, write-downs or write-offs with respect to, such Investment after the date of such Investment. For purposes of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xml:space="preserve">, if an Investment involves the acquisition of more than one Person, the amount of such Investment shall be allocated among the acquired Persons in accordance with GAAP;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pending the final determination of the amounts to be so allocated in accordance with GAAP, such allocation shall be as reasonably determined by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IP Ancillary Rights</w:t>
      </w:r>
      <w:r>
        <w:rPr>
          <w:color w:val="000000"/>
        </w:rPr>
        <w:t xml:space="preserve">” </w:t>
      </w:r>
      <w:r>
        <w:rPr>
          <w:rFonts w:ascii="Times New Roman;sans-serif" w:hAnsi="Times New Roman;sans-serif"/>
          <w:b w:val="false"/>
          <w:color w:val="000000"/>
          <w:sz w:val="22"/>
        </w:rPr>
        <w:t>shall mean, with respect to any Intellectual Property, as applicable, all foreign counterparts to, and all divisionals, reversions, continuations, continuations-in-part, reissues, reexaminations, renewals and extensions of, such Intellectual Property, and, in each case, all rights to obtain or enforce any other IP Ancillary Right.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IP License</w:t>
      </w:r>
      <w:r>
        <w:rPr>
          <w:color w:val="000000"/>
        </w:rPr>
        <w:t xml:space="preserve">” </w:t>
      </w:r>
      <w:r>
        <w:rPr>
          <w:rFonts w:ascii="Times New Roman;sans-serif" w:hAnsi="Times New Roman;sans-serif"/>
          <w:b w:val="false"/>
          <w:color w:val="000000"/>
          <w:sz w:val="22"/>
        </w:rPr>
        <w:t>shall mean all licenses granting any right to exploit any Intellectual Property.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IRS</w:t>
      </w:r>
      <w:r>
        <w:rPr>
          <w:color w:val="000000"/>
        </w:rPr>
        <w:t xml:space="preserve">” </w:t>
      </w:r>
      <w:r>
        <w:rPr>
          <w:rFonts w:ascii="Times New Roman;sans-serif" w:hAnsi="Times New Roman;sans-serif"/>
          <w:b w:val="false"/>
          <w:color w:val="000000"/>
          <w:sz w:val="22"/>
        </w:rPr>
        <w:t>shall mean the United States Internal Revenue Service.</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01040"/>
                <wp:effectExtent l="0" t="0" r="0" b="0"/>
                <wp:wrapNone/>
                <wp:docPr id="127" name="Frame10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Issuer Option</w:t>
      </w:r>
      <w:r>
        <w:rPr>
          <w:color w:val="000000"/>
        </w:rPr>
        <w:t xml:space="preserve">” </w:t>
      </w:r>
      <w:r>
        <w:rPr>
          <w:rFonts w:ascii="Times New Roman;sans-serif" w:hAnsi="Times New Roman;sans-serif"/>
          <w:b w:val="false"/>
          <w:color w:val="000000"/>
          <w:sz w:val="22"/>
        </w:rPr>
        <w:t>shall mean (a) any Note Hedge Option and (b) any Upper Strike Warrant.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Junior Financing</w:t>
      </w:r>
      <w:r>
        <w:rPr>
          <w:color w:val="000000"/>
        </w:rPr>
        <w:t xml:space="preserve">” </w:t>
      </w:r>
      <w:r>
        <w:rPr>
          <w:rFonts w:ascii="Times New Roman;sans-serif" w:hAnsi="Times New Roman;sans-serif"/>
          <w:b w:val="false"/>
          <w:color w:val="000000"/>
          <w:sz w:val="22"/>
        </w:rPr>
        <w:t>shall mean any Debt of the Loan Parties that is contractually subordinated in right of payment to the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Junior Financing Documentation</w:t>
      </w:r>
      <w:r>
        <w:rPr>
          <w:color w:val="000000"/>
        </w:rPr>
        <w:t xml:space="preserve">” </w:t>
      </w:r>
      <w:r>
        <w:rPr>
          <w:rFonts w:ascii="Times New Roman;sans-serif" w:hAnsi="Times New Roman;sans-serif"/>
          <w:b w:val="false"/>
          <w:color w:val="000000"/>
          <w:sz w:val="22"/>
        </w:rPr>
        <w:t>shall mean any documentation governing the Junior Financing.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Jurisdictional Requirements</w:t>
      </w:r>
      <w:r>
        <w:rPr>
          <w:color w:val="000000"/>
        </w:rPr>
        <w:t xml:space="preserve">” </w:t>
      </w:r>
      <w:r>
        <w:rPr>
          <w:rFonts w:ascii="Times New Roman;sans-serif" w:hAnsi="Times New Roman;sans-serif"/>
          <w:b w:val="false"/>
          <w:color w:val="000000"/>
          <w:sz w:val="22"/>
        </w:rPr>
        <w:t>shall have the meaning assigned to such term in S</w:t>
      </w:r>
      <w:r>
        <w:rPr>
          <w:rFonts w:ascii="Times New Roman;sans-serif" w:hAnsi="Times New Roman;sans-serif"/>
          <w:b w:val="false"/>
          <w:color w:val="000000"/>
          <w:sz w:val="22"/>
          <w:u w:val="single"/>
        </w:rPr>
        <w:t>ection 6.05(a)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LC Instrument</w:t>
      </w:r>
      <w:r>
        <w:rPr>
          <w:color w:val="000000"/>
        </w:rPr>
        <w:t xml:space="preserve">” </w:t>
      </w:r>
      <w:r>
        <w:rPr>
          <w:rFonts w:ascii="Times New Roman;sans-serif" w:hAnsi="Times New Roman;sans-serif"/>
          <w:b w:val="false"/>
          <w:color w:val="000000"/>
          <w:sz w:val="22"/>
        </w:rPr>
        <w:t>means any letter of credit, letter of guarantee, bank guarantee, bankers’ acceptance, performance bond, surety bond or other similar document or instrument.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LCT Election</w:t>
      </w:r>
      <w:r>
        <w:rPr>
          <w:color w:val="000000"/>
        </w:rPr>
        <w:t xml:space="preserve">” </w:t>
      </w:r>
      <w:r>
        <w:rPr>
          <w:rFonts w:ascii="Times New Roman;sans-serif" w:hAnsi="Times New Roman;sans-serif"/>
          <w:b w:val="false"/>
          <w:color w:val="000000"/>
          <w:sz w:val="22"/>
        </w:rPr>
        <w:t xml:space="preserve">shall have the meaning assigned to such term in </w:t>
      </w:r>
      <w:r>
        <w:rPr>
          <w:rFonts w:ascii="Times New Roman;sans-serif" w:hAnsi="Times New Roman;sans-serif"/>
          <w:b w:val="false"/>
          <w:color w:val="000000"/>
          <w:sz w:val="22"/>
          <w:u w:val="single"/>
        </w:rPr>
        <w:t>Section 1.05(a)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LCT Test Date</w:t>
      </w:r>
      <w:r>
        <w:rPr>
          <w:color w:val="000000"/>
        </w:rPr>
        <w:t xml:space="preserve">” </w:t>
      </w:r>
      <w:r>
        <w:rPr>
          <w:rFonts w:ascii="Times New Roman;sans-serif" w:hAnsi="Times New Roman;sans-serif"/>
          <w:b w:val="false"/>
          <w:color w:val="000000"/>
          <w:sz w:val="22"/>
        </w:rPr>
        <w:t xml:space="preserve">shall have the meaning assigned to such term in </w:t>
      </w:r>
      <w:r>
        <w:rPr>
          <w:rFonts w:ascii="Times New Roman;sans-serif" w:hAnsi="Times New Roman;sans-serif"/>
          <w:b w:val="false"/>
          <w:color w:val="000000"/>
          <w:sz w:val="22"/>
          <w:u w:val="single"/>
        </w:rPr>
        <w:t>Section 1.05(a)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Lender-Related Person</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9.03(b)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Lender Recipient Party</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8.13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Lenders</w:t>
      </w:r>
      <w:r>
        <w:rPr>
          <w:color w:val="000000"/>
        </w:rPr>
        <w:t xml:space="preserve">” </w:t>
      </w:r>
      <w:r>
        <w:rPr>
          <w:rFonts w:ascii="Times New Roman;sans-serif" w:hAnsi="Times New Roman;sans-serif"/>
          <w:b w:val="false"/>
          <w:color w:val="000000"/>
          <w:sz w:val="22"/>
        </w:rPr>
        <w:t xml:space="preserve">shall mean the Persons listed on the Commitment Schedule and any other Person that shall have become a Lender hereunder pursuant to an Assignment and Assumption, other than any such Person that ceases to be a Lender hereunder pursuant to an Assignment and Assumption.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Liabilities</w:t>
      </w:r>
      <w:r>
        <w:rPr>
          <w:color w:val="000000"/>
        </w:rPr>
        <w:t xml:space="preserve">” </w:t>
      </w:r>
      <w:r>
        <w:rPr>
          <w:rFonts w:ascii="Times New Roman;sans-serif" w:hAnsi="Times New Roman;sans-serif"/>
          <w:b w:val="false"/>
          <w:color w:val="000000"/>
          <w:sz w:val="22"/>
        </w:rPr>
        <w:t>shall mean all claims (including intraparty claims), actions, suits, judgments, orders, demands, damages, losses, liabilities,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Licensed Intellectual Property</w:t>
      </w:r>
      <w:r>
        <w:rPr>
          <w:color w:val="000000"/>
        </w:rPr>
        <w:t xml:space="preserve">” </w:t>
      </w:r>
      <w:r>
        <w:rPr>
          <w:rFonts w:ascii="Times New Roman;sans-serif" w:hAnsi="Times New Roman;sans-serif"/>
          <w:b w:val="false"/>
          <w:color w:val="000000"/>
          <w:sz w:val="22"/>
        </w:rPr>
        <w:t>shall mean all Intellectual Property owned by a third party and licensed or sublicensed to a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Lien</w:t>
      </w:r>
      <w:r>
        <w:rPr>
          <w:color w:val="000000"/>
        </w:rPr>
        <w:t xml:space="preserve">” </w:t>
      </w:r>
      <w:r>
        <w:rPr>
          <w:rFonts w:ascii="Times New Roman;sans-serif" w:hAnsi="Times New Roman;sans-serif"/>
          <w:b w:val="false"/>
          <w:color w:val="000000"/>
          <w:sz w:val="22"/>
        </w:rPr>
        <w:t>shall mean, with respect to any asset, any mortgage, deed of trust, deed to secure debt, lien, pledge, charge, security interest or encumbrance of any kind, or any other type of preferential arrangement that has the practical effect of creating a security interest, in respect of such asset. For the purposes of this Agreement and the other Loan Documents, the Borrower or any of its Subsidiaries shall be deemed to own, subject to a Lien, any asset which any of them has acquired or holds subject to the interest of a vendor or lessor under any conditional sale agreement, Capital Lease or other title retention agreement (other than non-exclusive licenses) relating to such asset. Notwithstanding the foregoing, in no event will an operating lease or agreement to sell be deemed to constitute a Lien.</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01040"/>
                <wp:effectExtent l="0" t="0" r="0" b="0"/>
                <wp:wrapNone/>
                <wp:docPr id="128" name="Frame10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Limited Condition Eligible Transaction</w:t>
      </w:r>
      <w:r>
        <w:rPr>
          <w:color w:val="000000"/>
        </w:rPr>
        <w:t xml:space="preserve">” </w:t>
      </w:r>
      <w:r>
        <w:rPr>
          <w:rFonts w:ascii="Times New Roman;sans-serif" w:hAnsi="Times New Roman;sans-serif"/>
          <w:b w:val="false"/>
          <w:color w:val="000000"/>
          <w:sz w:val="22"/>
        </w:rPr>
        <w:t>shall mean (a) any Investment or acquisition by the Borrower or one or more of the Restricted Subsidiaries, including by way of merger or amalgamation, of any assets, business or Person permitted pursuant to this Agreement (and including the incurrence or assumption of Debt in connection therewith) whose consummation is not conditioned on the availability of, or on obtaining, third party financing and (b) any redemption, repurchase, defeasance, satisfaction and discharge or repayment permitted under this Agreement of Debt requiring the giving of advance irrevocable notice of such redemption, repurchase, defeasance, satisfaction and discharge or repayment.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Limited Condition Transaction</w:t>
      </w:r>
      <w:r>
        <w:rPr>
          <w:color w:val="000000"/>
        </w:rPr>
        <w:t xml:space="preserve">” </w:t>
      </w:r>
      <w:r>
        <w:rPr>
          <w:rFonts w:ascii="Times New Roman;sans-serif" w:hAnsi="Times New Roman;sans-serif"/>
          <w:b w:val="false"/>
          <w:color w:val="000000"/>
          <w:sz w:val="22"/>
        </w:rPr>
        <w:t>shall mean any Limited Condition Eligible Transaction with respect to which the Borrower has made an LCT Election.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Limited Purpose Subsidiary</w:t>
      </w:r>
      <w:r>
        <w:rPr>
          <w:color w:val="000000"/>
        </w:rPr>
        <w:t xml:space="preserve">” </w:t>
      </w:r>
      <w:r>
        <w:rPr>
          <w:rFonts w:ascii="Times New Roman;sans-serif" w:hAnsi="Times New Roman;sans-serif"/>
          <w:b w:val="false"/>
          <w:color w:val="000000"/>
          <w:sz w:val="22"/>
        </w:rPr>
        <w:t>has the meaning assigned to such term in the definition of “Excluded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Liquidity</w:t>
      </w:r>
      <w:r>
        <w:rPr>
          <w:color w:val="000000"/>
        </w:rPr>
        <w:t xml:space="preserve">” </w:t>
      </w:r>
      <w:r>
        <w:rPr>
          <w:rFonts w:ascii="Times New Roman;sans-serif" w:hAnsi="Times New Roman;sans-serif"/>
          <w:b w:val="false"/>
          <w:color w:val="000000"/>
          <w:sz w:val="22"/>
        </w:rPr>
        <w:t xml:space="preserve">shall mean, on any date of determination, an amount equal to the sum of, without duplication, (a) Availability (as defined in the ABL Credit Agreement as in effect on the Effective Date) as of such date,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(b) the aggregate amount of unrestricted cash and unrestricted Permitted Investments of the Borrower and the Restricted Subsidiaries (which, for the avoidance of doubt, shall in each case of this clause (b) include cash restricted in favor of any Secured Party (as defined in the ABL Credit Agreement));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aggregate amount of unrestricted cash and unrestricted Permitted Investments of Foreign Subsidiaries shall not at any time exceed 25% of all Liquidity (calculated after giving effect to the inclusion of such assets for the Foreign Subsidiaries) (such amounts, “</w:t>
      </w:r>
      <w:r>
        <w:rPr>
          <w:rFonts w:ascii="Times New Roman;sans-serif" w:hAnsi="Times New Roman;sans-serif"/>
          <w:b/>
          <w:color w:val="000000"/>
          <w:sz w:val="22"/>
        </w:rPr>
        <w:t>Foreign Liquidity</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 further</w:t>
      </w:r>
      <w:r>
        <w:rPr>
          <w:rFonts w:ascii="Times New Roman;sans-serif" w:hAnsi="Times New Roman;sans-serif"/>
          <w:b w:val="false"/>
          <w:color w:val="000000"/>
          <w:sz w:val="22"/>
        </w:rPr>
        <w:t>, that such Foreign Liquidity shall be calculated net of any applicable Taxes or other amounts that would be payable or reserved against as a result of repatriating such amounts. With respect to any amounts included in the calculation of “Liquidity” (whether Foreign Liquidity or otherwise) that are held in an account that is not maintained with the Administrative Agent or the Administrative Agent (as defined in the ABL Credit Agreement) (or, in each case, an Affiliate thereof), the Administrative Agent shall (x) be entitled to reasonably request cash reporting on a daily basis with respect to any such account or (y) be reasonably satisfied in its reasonable discretion with any other method of verifying the amounts on deposit therein.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Loan Documents</w:t>
      </w:r>
      <w:r>
        <w:rPr>
          <w:color w:val="000000"/>
        </w:rPr>
        <w:t xml:space="preserve">” </w:t>
      </w:r>
      <w:r>
        <w:rPr>
          <w:rFonts w:ascii="Times New Roman;sans-serif" w:hAnsi="Times New Roman;sans-serif"/>
          <w:b w:val="false"/>
          <w:color w:val="000000"/>
          <w:sz w:val="22"/>
        </w:rPr>
        <w:t xml:space="preserve">shall mean, collectively, this Agreement, any promissory notes issued pursuant to this Agreement and all other agreements, instruments, documents and certificates, including those identified in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xml:space="preserve">, executed by or on behalf of any Loan Party, and delivered to, or in favor of, the Administrative Agent or any Lender and required pursuant to the foregoing.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Loan Parties</w:t>
      </w:r>
      <w:r>
        <w:rPr>
          <w:color w:val="000000"/>
        </w:rPr>
        <w:t xml:space="preserve">” </w:t>
      </w:r>
      <w:r>
        <w:rPr>
          <w:rFonts w:ascii="Times New Roman;sans-serif" w:hAnsi="Times New Roman;sans-serif"/>
          <w:b w:val="false"/>
          <w:color w:val="000000"/>
          <w:sz w:val="22"/>
        </w:rPr>
        <w:t>shall mean, collectively, the Borrower and the Subsidiary Guarantors and their successors and assigns, and the term “</w:t>
      </w:r>
      <w:r>
        <w:rPr>
          <w:rFonts w:ascii="Times New Roman;sans-serif" w:hAnsi="Times New Roman;sans-serif"/>
          <w:b/>
          <w:color w:val="000000"/>
          <w:sz w:val="22"/>
        </w:rPr>
        <w:t>Loan Party</w:t>
      </w:r>
      <w:r>
        <w:rPr>
          <w:color w:val="000000"/>
        </w:rPr>
        <w:t xml:space="preserve">” </w:t>
      </w:r>
      <w:r>
        <w:rPr>
          <w:rFonts w:ascii="Times New Roman;sans-serif" w:hAnsi="Times New Roman;sans-serif"/>
          <w:b w:val="false"/>
          <w:color w:val="000000"/>
          <w:sz w:val="22"/>
        </w:rPr>
        <w:t>shall mean any one of them or all of them individually,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Loans</w:t>
      </w:r>
      <w:r>
        <w:rPr>
          <w:color w:val="000000"/>
        </w:rPr>
        <w:t xml:space="preserve">” </w:t>
      </w:r>
      <w:r>
        <w:rPr>
          <w:rFonts w:ascii="Times New Roman;sans-serif" w:hAnsi="Times New Roman;sans-serif"/>
          <w:b w:val="false"/>
          <w:color w:val="000000"/>
          <w:sz w:val="22"/>
        </w:rPr>
        <w:t>shall mean the Delayed Draw Term Loans made by the Lenders pursuant to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01040"/>
                <wp:effectExtent l="0" t="0" r="0" b="0"/>
                <wp:wrapNone/>
                <wp:docPr id="129" name="Frame10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Margin Stock</w:t>
      </w:r>
      <w:r>
        <w:rPr>
          <w:color w:val="000000"/>
        </w:rPr>
        <w:t xml:space="preserve">” </w:t>
      </w:r>
      <w:r>
        <w:rPr>
          <w:rFonts w:ascii="Times New Roman;sans-serif" w:hAnsi="Times New Roman;sans-serif"/>
          <w:b w:val="false"/>
          <w:color w:val="000000"/>
          <w:sz w:val="22"/>
        </w:rPr>
        <w:t>shall have the meaning assigned to such term in Regulation U.</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Material Adverse Effect</w:t>
      </w:r>
      <w:r>
        <w:rPr>
          <w:color w:val="000000"/>
        </w:rPr>
        <w:t xml:space="preserve">” </w:t>
      </w:r>
      <w:r>
        <w:rPr>
          <w:rFonts w:ascii="Times New Roman;sans-serif" w:hAnsi="Times New Roman;sans-serif"/>
          <w:b w:val="false"/>
          <w:color w:val="000000"/>
          <w:sz w:val="22"/>
        </w:rPr>
        <w:t>shall mean (a) a material adverse effect on the financial condition, results of operations or business of the Borrower and the Restricted Subsidiaries, taken as a whole, (b) a material impairment of the ability of the Borrower and the other Loan Parties, taken as a whole, to perform any of their respective payment obligations under the Loan Documents, taken as a whole, or (c) a material adverse effect on the material rights and remedies of or benefits available to, taken as a whole, the Administrative Agent and the Lenders under the Loan Documents (taken as a whole).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Material Debt</w:t>
      </w:r>
      <w:r>
        <w:rPr>
          <w:color w:val="000000"/>
        </w:rPr>
        <w:t xml:space="preserve">” </w:t>
      </w:r>
      <w:r>
        <w:rPr>
          <w:rFonts w:ascii="Times New Roman;sans-serif" w:hAnsi="Times New Roman;sans-serif"/>
          <w:b w:val="false"/>
          <w:color w:val="000000"/>
          <w:sz w:val="22"/>
        </w:rPr>
        <w:t xml:space="preserve">shall mean (a) Loans outstanding under the ABL Credit Agreement and the Loan Documents (as defined in ABL Credit Agreement) and (b) Money Borrowed of any one or more of the Loan Parties or any of their respective Restricted Subsidiaries in an aggregate principal amount in excess of $200,000,000;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in no event shall any of the following be Material Debt: (i) Debt under a Loan Document, (ii) Capital Leases, (iii) obligations under any Permitted Receivables Financing, (iv) intercompany Debt and (v) Debt under any Swap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Material IP</w:t>
      </w:r>
      <w:r>
        <w:rPr>
          <w:color w:val="000000"/>
        </w:rPr>
        <w:t xml:space="preserve">” </w:t>
      </w:r>
      <w:r>
        <w:rPr>
          <w:rFonts w:ascii="Times New Roman;sans-serif" w:hAnsi="Times New Roman;sans-serif"/>
          <w:b w:val="false"/>
          <w:color w:val="000000"/>
          <w:sz w:val="22"/>
        </w:rPr>
        <w:t>means any Intellectual Property that is material to the conduct of the business of the Borrower and its Restricted Subsidiaries, taken as a whole (as determined by the Borrower in good faith).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Material IP Subsidiary</w:t>
      </w:r>
      <w:r>
        <w:rPr>
          <w:color w:val="000000"/>
        </w:rPr>
        <w:t xml:space="preserve">” </w:t>
      </w:r>
      <w:r>
        <w:rPr>
          <w:rFonts w:ascii="Times New Roman;sans-serif" w:hAnsi="Times New Roman;sans-serif"/>
          <w:b w:val="false"/>
          <w:color w:val="000000"/>
          <w:sz w:val="22"/>
        </w:rPr>
        <w:t>means each Subsidiary that owns, directly or indirectly through one or more of its subsidiaries, any Material IP.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Material Subsidiary</w:t>
      </w:r>
      <w:r>
        <w:rPr>
          <w:color w:val="000000"/>
        </w:rPr>
        <w:t xml:space="preserve">” </w:t>
      </w:r>
      <w:r>
        <w:rPr>
          <w:rFonts w:ascii="Times New Roman;sans-serif" w:hAnsi="Times New Roman;sans-serif"/>
          <w:b w:val="false"/>
          <w:color w:val="000000"/>
          <w:sz w:val="22"/>
        </w:rPr>
        <w:t>shall mean any Restricted Subsidiary other than an Immaterial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Maturity Date</w:t>
      </w:r>
      <w:r>
        <w:rPr>
          <w:color w:val="000000"/>
        </w:rPr>
        <w:t xml:space="preserve">” </w:t>
      </w:r>
      <w:r>
        <w:rPr>
          <w:rFonts w:ascii="Times New Roman;sans-serif" w:hAnsi="Times New Roman;sans-serif"/>
          <w:b w:val="false"/>
          <w:color w:val="000000"/>
          <w:sz w:val="22"/>
        </w:rPr>
        <w:t>shall mean August 4, 2029.</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Maximum Rate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9.17</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Money Borrowed</w:t>
      </w:r>
      <w:r>
        <w:rPr>
          <w:color w:val="000000"/>
        </w:rPr>
        <w:t xml:space="preserve">” </w:t>
      </w:r>
      <w:r>
        <w:rPr>
          <w:rFonts w:ascii="Times New Roman;sans-serif" w:hAnsi="Times New Roman;sans-serif"/>
          <w:b w:val="false"/>
          <w:color w:val="000000"/>
          <w:sz w:val="22"/>
        </w:rPr>
        <w:t>shall mean (a) Debt for borrowed money arising from the lending of money by any third party to any Loan Party or any of their respective Subsidiaries, (b) Debt, whether or not in any such case arising from the lending by any third party of money to any Loan Party or any of their respective Subsidiaries, (i) which is represented by notes payable or drafts accepted that evidence extensions of credit or (ii) which constitutes obligations evidenced by bonds, debentures, notes or similar instruments, (c) reimbursement obligations with respect to letters of credit or guaranties of letters of credit, and (d) without duplication to any Debt under clauses (a), (b) or (c) hereof, Debt of any Loan Party or any of their respective Subsidiaries under any guarantee of obligations that would constitute Debt for Money Borrowed under clauses (a), (b) or (c) hereof, if owed directly by any Loan Party or any of their respective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Moody’s</w:t>
      </w:r>
      <w:r>
        <w:rPr>
          <w:color w:val="000000"/>
        </w:rPr>
        <w:t xml:space="preserve">” </w:t>
      </w:r>
      <w:r>
        <w:rPr>
          <w:rFonts w:ascii="Times New Roman;sans-serif" w:hAnsi="Times New Roman;sans-serif"/>
          <w:b w:val="false"/>
          <w:color w:val="000000"/>
          <w:sz w:val="22"/>
        </w:rPr>
        <w:t>shall mean Moody’s Investors Service, Inc.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Multiemployer Plan</w:t>
      </w:r>
      <w:r>
        <w:rPr>
          <w:color w:val="000000"/>
        </w:rPr>
        <w:t xml:space="preserve">” </w:t>
      </w:r>
      <w:r>
        <w:rPr>
          <w:rFonts w:ascii="Times New Roman;sans-serif" w:hAnsi="Times New Roman;sans-serif"/>
          <w:b w:val="false"/>
          <w:color w:val="000000"/>
          <w:sz w:val="22"/>
        </w:rPr>
        <w:t>shall mean a “multiemployer plan” as defined in Section 3(37) or Section 4001(a)(3) of ERISA and in respect of which the Borrower makes or is obligated to make contributions, or with respect to which the Borrower has liability under Section 4212(c) of ERISA (including on account of any ERISA Affiliate).</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01040"/>
                <wp:effectExtent l="0" t="0" r="0" b="0"/>
                <wp:wrapNone/>
                <wp:docPr id="130" name="Frame10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Net Cash Proceeds</w:t>
      </w:r>
      <w:r>
        <w:rPr>
          <w:color w:val="000000"/>
        </w:rPr>
        <w:t xml:space="preserve">” </w:t>
      </w:r>
      <w:r>
        <w:rPr>
          <w:rFonts w:ascii="Times New Roman;sans-serif" w:hAnsi="Times New Roman;sans-serif"/>
          <w:b w:val="false"/>
          <w:color w:val="000000"/>
          <w:sz w:val="22"/>
        </w:rPr>
        <w:t>means in connection with the incurrence or issuance of Indebtedness, the aggregate cash proceeds received from such issuance or incurrence, as applicable, net of underwriting discounts, underwriting and arrangement fees, upfront fees, original issue discount, attorneys’ fees and other taxes, fees, costs and expenses paid or actually incurred therewith.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Non-Consenting Lender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9.02(d)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Note Hedge Option</w:t>
      </w:r>
      <w:r>
        <w:rPr>
          <w:color w:val="000000"/>
        </w:rPr>
        <w:t xml:space="preserve">” </w:t>
      </w:r>
      <w:r>
        <w:rPr>
          <w:rFonts w:ascii="Times New Roman;sans-serif" w:hAnsi="Times New Roman;sans-serif"/>
          <w:b w:val="false"/>
          <w:color w:val="000000"/>
          <w:sz w:val="22"/>
        </w:rPr>
        <w:t>shall mean any hedging agreement (including, but not limited to, any bond hedge transaction, call option, transaction, or capped call transaction), with respect to Permitted Stock, purchased by the Borrower (or any parent company thereof) (with respect to Permitted Convertible Notes issued by the Borrower (or any parent company thereof, as the case may be)) in connection with the issuance of Permitted Convertible Notes (whether such transaction is settled in shares of Permitted Stock, the cash value of such shares or a combination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NYFRB</w:t>
      </w:r>
      <w:r>
        <w:rPr>
          <w:color w:val="000000"/>
        </w:rPr>
        <w:t xml:space="preserve">” </w:t>
      </w:r>
      <w:r>
        <w:rPr>
          <w:rFonts w:ascii="Times New Roman;sans-serif" w:hAnsi="Times New Roman;sans-serif"/>
          <w:b w:val="false"/>
          <w:color w:val="000000"/>
          <w:sz w:val="22"/>
        </w:rPr>
        <w:t>shall mean the Federal Reserve Bank of New York.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NYFRB’s Website</w:t>
      </w:r>
      <w:r>
        <w:rPr>
          <w:color w:val="000000"/>
        </w:rPr>
        <w:t xml:space="preserve">” </w:t>
      </w:r>
      <w:r>
        <w:rPr>
          <w:rFonts w:ascii="Times New Roman;sans-serif" w:hAnsi="Times New Roman;sans-serif"/>
          <w:b w:val="false"/>
          <w:color w:val="000000"/>
          <w:sz w:val="22"/>
        </w:rPr>
        <w:t>shall mean the website of the NYFRB at http://www.newyorkfed.org, or any successor source.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Obligations</w:t>
      </w:r>
      <w:r>
        <w:rPr>
          <w:color w:val="000000"/>
        </w:rPr>
        <w:t xml:space="preserve">” </w:t>
      </w:r>
      <w:r>
        <w:rPr>
          <w:rFonts w:ascii="Times New Roman;sans-serif" w:hAnsi="Times New Roman;sans-serif"/>
          <w:b w:val="false"/>
          <w:color w:val="000000"/>
          <w:sz w:val="22"/>
        </w:rPr>
        <w:t>shall mean all unpaid principal of and accrued and unpaid interest (including PIK Interest) on the Loans,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(including any Prepayment Premium) of any of the Loan Parties to any of the Lenders, the Administrative Agent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in respect of any other instruments at any time evidencing any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Organizational Documents</w:t>
      </w:r>
      <w:r>
        <w:rPr>
          <w:color w:val="000000"/>
        </w:rPr>
        <w:t xml:space="preserve">” </w:t>
      </w:r>
      <w:r>
        <w:rPr>
          <w:rFonts w:ascii="Times New Roman;sans-serif" w:hAnsi="Times New Roman;sans-serif"/>
          <w:b w:val="false"/>
          <w:color w:val="000000"/>
          <w:sz w:val="22"/>
        </w:rPr>
        <w:t>shall mean (a) for any corporation, the certificate or articles of incorporation, the bylaws, any certificate of determination or instrument relating to the rights of preferred shareholders of such corporation and any shareholder rights agreement, (b) for any partnership, the partnership agreement and, if applicable, certificate of limited partnership, (c) for any limited liability company, the operating agreement and articles or certificate of formation or (d) any other document setting forth the manner of election or duties of the officers, directors, managers or other similar persons, or the designation, amount or relative rights, limitations and preference of the Equity Interests (other than options and warrants) of a Person, or, in each case, the equivalent in any applicable jurisdiction.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01040"/>
                <wp:effectExtent l="0" t="0" r="0" b="0"/>
                <wp:wrapNone/>
                <wp:docPr id="131" name="Frame10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Other Connection Taxes</w:t>
      </w:r>
      <w:r>
        <w:rPr>
          <w:color w:val="000000"/>
        </w:rPr>
        <w:t xml:space="preserve">” </w:t>
      </w:r>
      <w:r>
        <w:rPr>
          <w:rFonts w:ascii="Times New Roman;sans-serif" w:hAnsi="Times New Roman;sans-serif"/>
          <w:b w:val="false"/>
          <w:color w:val="000000"/>
          <w:sz w:val="22"/>
        </w:rPr>
        <w:t>shall mean,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any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Other Taxes</w:t>
      </w:r>
      <w:r>
        <w:rPr>
          <w:color w:val="000000"/>
        </w:rPr>
        <w:t xml:space="preserve">” </w:t>
      </w:r>
      <w:r>
        <w:rPr>
          <w:rFonts w:ascii="Times New Roman;sans-serif" w:hAnsi="Times New Roman;sans-serif"/>
          <w:b w:val="false"/>
          <w:color w:val="000000"/>
          <w:sz w:val="22"/>
        </w:rPr>
        <w:t xml:space="preserve">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2"/>
          <w:u w:val="single"/>
        </w:rPr>
        <w:t>Section 2.19</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Owned Intellectual Property</w:t>
      </w:r>
      <w:r>
        <w:rPr>
          <w:color w:val="000000"/>
        </w:rPr>
        <w:t xml:space="preserve">” </w:t>
      </w:r>
      <w:r>
        <w:rPr>
          <w:rFonts w:ascii="Times New Roman;sans-serif" w:hAnsi="Times New Roman;sans-serif"/>
          <w:b w:val="false"/>
          <w:color w:val="000000"/>
          <w:sz w:val="22"/>
        </w:rPr>
        <w:t>shall mean all Intellectual Property owned by a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Paid in Full</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Payment in Full</w:t>
      </w:r>
      <w:r>
        <w:rPr>
          <w:color w:val="000000"/>
        </w:rPr>
        <w:t xml:space="preserve">” </w:t>
      </w:r>
      <w:r>
        <w:rPr>
          <w:rFonts w:ascii="Times New Roman;sans-serif" w:hAnsi="Times New Roman;sans-serif"/>
          <w:b w:val="false"/>
          <w:color w:val="000000"/>
          <w:sz w:val="22"/>
        </w:rPr>
        <w:t>shall mean, (a) the indefeasible payment in full in cash of all outstanding Loans, together with accrued and unpaid interest thereon, (b) the indefeasible payment in full in cash of the accrued and unpaid fees, (c) the indefeasible payment in full in cash of all reimbursable expenses and other Obligations (other than Unliquidated Obligations for which no claim has been made and other obligations expressly stated to survive such payment and termination of this Agreement), together with accrued and unpaid interest thereon and (d) the termination of all Commitments.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Parent Entity</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Participant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9.04(c)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Participant Register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9.04(d)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Patent</w:t>
      </w:r>
      <w:r>
        <w:rPr>
          <w:color w:val="000000"/>
        </w:rPr>
        <w:t xml:space="preserve">” </w:t>
      </w:r>
      <w:r>
        <w:rPr>
          <w:rFonts w:ascii="Times New Roman;sans-serif" w:hAnsi="Times New Roman;sans-serif"/>
          <w:b w:val="false"/>
          <w:color w:val="000000"/>
          <w:sz w:val="22"/>
        </w:rPr>
        <w:t>shall mean all rights, title and interests (and all related IP Ancillary Rights) in or relating to letters patents and design letters patents (including to the fullest extent arising under any Requirement of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PBGC</w:t>
      </w:r>
      <w:r>
        <w:rPr>
          <w:color w:val="000000"/>
        </w:rPr>
        <w:t xml:space="preserve">” </w:t>
      </w:r>
      <w:r>
        <w:rPr>
          <w:rFonts w:ascii="Times New Roman;sans-serif" w:hAnsi="Times New Roman;sans-serif"/>
          <w:b w:val="false"/>
          <w:color w:val="000000"/>
          <w:sz w:val="22"/>
        </w:rPr>
        <w:t>shall mean the Pension Benefit Guaranty Corporation referred to and defined in ERISA and any successor entity performing similar functions.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Acquisition</w:t>
      </w:r>
      <w:r>
        <w:rPr>
          <w:color w:val="000000"/>
        </w:rPr>
        <w:t xml:space="preserve">” </w:t>
      </w:r>
      <w:r>
        <w:rPr>
          <w:rFonts w:ascii="Times New Roman;sans-serif" w:hAnsi="Times New Roman;sans-serif"/>
          <w:b w:val="false"/>
          <w:color w:val="000000"/>
          <w:sz w:val="22"/>
        </w:rPr>
        <w:t xml:space="preserve">shall have the meaning assigned to such term in </w:t>
      </w:r>
      <w:r>
        <w:rPr>
          <w:rFonts w:ascii="Times New Roman;sans-serif" w:hAnsi="Times New Roman;sans-serif"/>
          <w:b w:val="false"/>
          <w:color w:val="000000"/>
          <w:sz w:val="22"/>
          <w:u w:val="single"/>
        </w:rPr>
        <w:t>Section 6.07(f)</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Additional Indebtedness</w:t>
      </w:r>
      <w:r>
        <w:rPr>
          <w:color w:val="000000"/>
        </w:rPr>
        <w:t xml:space="preserve">” </w:t>
      </w:r>
      <w:r>
        <w:rPr>
          <w:rFonts w:ascii="Times New Roman;sans-serif" w:hAnsi="Times New Roman;sans-serif"/>
          <w:b w:val="false"/>
          <w:color w:val="000000"/>
          <w:sz w:val="22"/>
        </w:rPr>
        <w:t>shall mean Permitted Additional Unsecured Indebtedness and Permitted Additional Secured Indebtedness.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Additional Indebtedness Documents</w:t>
      </w:r>
      <w:r>
        <w:rPr>
          <w:color w:val="000000"/>
        </w:rPr>
        <w:t xml:space="preserve">” </w:t>
      </w:r>
      <w:r>
        <w:rPr>
          <w:rFonts w:ascii="Times New Roman;sans-serif" w:hAnsi="Times New Roman;sans-serif"/>
          <w:b w:val="false"/>
          <w:color w:val="000000"/>
          <w:sz w:val="22"/>
        </w:rPr>
        <w:t>shall mean Permitted Additional Unsecured Indebtedness Documents and Permitted Additional Secured Indebtedness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Additional Secured Indebtedness</w:t>
      </w:r>
      <w:r>
        <w:rPr>
          <w:color w:val="000000"/>
        </w:rPr>
        <w:t xml:space="preserve">” </w:t>
      </w:r>
      <w:r>
        <w:rPr>
          <w:rFonts w:ascii="Times New Roman;sans-serif" w:hAnsi="Times New Roman;sans-serif"/>
          <w:b w:val="false"/>
          <w:color w:val="000000"/>
          <w:sz w:val="22"/>
        </w:rPr>
        <w:t xml:space="preserve">shall mean Debt incurred or issued under </w:t>
      </w:r>
      <w:r>
        <w:rPr>
          <w:rFonts w:ascii="Times New Roman;sans-serif" w:hAnsi="Times New Roman;sans-serif"/>
          <w:b w:val="false"/>
          <w:color w:val="000000"/>
          <w:sz w:val="22"/>
          <w:u w:val="single"/>
        </w:rPr>
        <w:t>Section 6.01(s)(vi)(B)</w:t>
      </w:r>
      <w:r>
        <w:rPr>
          <w:color w:val="000000"/>
        </w:rPr>
        <w:t xml:space="preserve"> </w:t>
      </w:r>
      <w:r>
        <w:rPr>
          <w:rFonts w:ascii="Times New Roman;sans-serif" w:hAnsi="Times New Roman;sans-serif"/>
          <w:b w:val="false"/>
          <w:color w:val="000000"/>
          <w:sz w:val="22"/>
        </w:rPr>
        <w:t>and is secured by any assets of the Borrower or its Subsidiaries.</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01040"/>
                <wp:effectExtent l="0" t="0" r="0" b="0"/>
                <wp:wrapNone/>
                <wp:docPr id="132" name="Frame10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Additional Secured Indebtedness Documents</w:t>
      </w:r>
      <w:r>
        <w:rPr>
          <w:color w:val="000000"/>
        </w:rPr>
        <w:t xml:space="preserve">” </w:t>
      </w:r>
      <w:r>
        <w:rPr>
          <w:rFonts w:ascii="Times New Roman;sans-serif" w:hAnsi="Times New Roman;sans-serif"/>
          <w:b w:val="false"/>
          <w:color w:val="000000"/>
          <w:sz w:val="22"/>
        </w:rPr>
        <w:t>shall mean on and after the execution and delivery thereof, each note, indenture, purchase agreement, loan agreement, credit agreement, guaranty, security agreement, pledge agreement, mortgage, other collateral document and other document relating to the incurrence or issuance of any Permitted Additional Secured Indebtedness, as the same may be amended, modified, restated, renewed, extended and/or supplemented from time to time in accordance with the terms hereof and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Additional Unsecured Indebtedness</w:t>
      </w:r>
      <w:r>
        <w:rPr>
          <w:color w:val="000000"/>
        </w:rPr>
        <w:t xml:space="preserve">” </w:t>
      </w:r>
      <w:r>
        <w:rPr>
          <w:rFonts w:ascii="Times New Roman;sans-serif" w:hAnsi="Times New Roman;sans-serif"/>
          <w:b w:val="false"/>
          <w:color w:val="000000"/>
          <w:sz w:val="22"/>
        </w:rPr>
        <w:t xml:space="preserve">shall mean Debt incurred or issued under </w:t>
      </w:r>
      <w:r>
        <w:rPr>
          <w:rFonts w:ascii="Times New Roman;sans-serif" w:hAnsi="Times New Roman;sans-serif"/>
          <w:b w:val="false"/>
          <w:color w:val="000000"/>
          <w:sz w:val="22"/>
          <w:u w:val="single"/>
        </w:rPr>
        <w:t>Section 6.01(s)(vi)(A)</w:t>
      </w:r>
      <w:r>
        <w:rPr>
          <w:color w:val="000000"/>
        </w:rPr>
        <w:t xml:space="preserve"> </w:t>
      </w:r>
      <w:r>
        <w:rPr>
          <w:rFonts w:ascii="Times New Roman;sans-serif" w:hAnsi="Times New Roman;sans-serif"/>
          <w:b w:val="false"/>
          <w:color w:val="000000"/>
          <w:sz w:val="22"/>
        </w:rPr>
        <w:t>and is unsecured.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Additional Unsecured Indebtedness Documents</w:t>
      </w:r>
      <w:r>
        <w:rPr>
          <w:color w:val="000000"/>
        </w:rPr>
        <w:t xml:space="preserve">” </w:t>
      </w:r>
      <w:r>
        <w:rPr>
          <w:rFonts w:ascii="Times New Roman;sans-serif" w:hAnsi="Times New Roman;sans-serif"/>
          <w:b w:val="false"/>
          <w:color w:val="000000"/>
          <w:sz w:val="22"/>
        </w:rPr>
        <w:t>shall mean, on and after the execution and delivery thereof, each note, indenture, purchase agreement, loan agreement, credit agreement, guaranty and other document relating to the incurrence or issuance of any Permitted Additional Unsecured Indebtedness, as the same may be amended, modified, restated, renewed, extended and/or supplemented from time to time in accordance with the terms hereof and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Common Stock</w:t>
      </w:r>
      <w:r>
        <w:rPr>
          <w:color w:val="000000"/>
        </w:rPr>
        <w:t xml:space="preserve">” </w:t>
      </w:r>
      <w:r>
        <w:rPr>
          <w:rFonts w:ascii="Times New Roman;sans-serif" w:hAnsi="Times New Roman;sans-serif"/>
          <w:b w:val="false"/>
          <w:color w:val="000000"/>
          <w:sz w:val="22"/>
        </w:rPr>
        <w:t>shall mean, with respect to Permitted Convertible Notes issued by the Borrower, authorized shares of common stock of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Contest</w:t>
      </w:r>
      <w:r>
        <w:rPr>
          <w:color w:val="000000"/>
        </w:rPr>
        <w:t xml:space="preserve">” </w:t>
      </w:r>
      <w:r>
        <w:rPr>
          <w:rFonts w:ascii="Times New Roman;sans-serif" w:hAnsi="Times New Roman;sans-serif"/>
          <w:b w:val="false"/>
          <w:color w:val="000000"/>
          <w:sz w:val="22"/>
        </w:rPr>
        <w:t xml:space="preserve">shall mean a contest maintained in good faith by the Borrower or its Subsidiaries by appropriate proceedings promptly instituted and diligently conducted and with respect to which such reserve or other appropriate provision, if any, as shall be required in conformity with GAAP shall have been made;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that any enforcement action by the holder of the obligation that is the subject of such contest is effectively stayed during such challenge.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Convertible Notes</w:t>
      </w:r>
      <w:r>
        <w:rPr>
          <w:color w:val="000000"/>
        </w:rPr>
        <w:t xml:space="preserve">” </w:t>
      </w:r>
      <w:r>
        <w:rPr>
          <w:rFonts w:ascii="Times New Roman;sans-serif" w:hAnsi="Times New Roman;sans-serif"/>
          <w:b w:val="false"/>
          <w:color w:val="000000"/>
          <w:sz w:val="22"/>
        </w:rPr>
        <w:t xml:space="preserve">shall mean, collectively, (i) the Existing Convertible Notes and (ii) any other unsecured convertible senior debt securities of the Borrower or any Restricted Subsidiary issued pursuant to, and containing the requirements of, Section 6.01(s) or Section 6.01(t), as applicable, and </w:t>
      </w:r>
      <w:r>
        <w:rPr>
          <w:rFonts w:ascii="Times New Roman;sans-serif" w:hAnsi="Times New Roman;sans-serif"/>
          <w:b w:val="false"/>
          <w:color w:val="000000"/>
          <w:sz w:val="22"/>
          <w:u w:val="single"/>
        </w:rPr>
        <w:t>Section 6.01(s)</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6.01(t)</w:t>
      </w:r>
      <w:r>
        <w:rPr>
          <w:color w:val="000000"/>
        </w:rPr>
        <w:t xml:space="preserve"> </w:t>
      </w:r>
      <w:r>
        <w:rPr>
          <w:rFonts w:ascii="Times New Roman;sans-serif" w:hAnsi="Times New Roman;sans-serif"/>
          <w:b w:val="false"/>
          <w:color w:val="000000"/>
          <w:sz w:val="22"/>
        </w:rPr>
        <w:t>of the ABL Credit Agreement (as in effect on the Effective Date), as applicable, which unsecured convertible senior securities are convertible into Equity Interests of the Borrower (or any direct or indirect parent of the Borrower), cash or a combination of cash and Equity Interests of the Borrower (or any direct or indirect parent of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Convertible Notes Documents</w:t>
      </w:r>
      <w:r>
        <w:rPr>
          <w:color w:val="000000"/>
        </w:rPr>
        <w:t xml:space="preserve">” </w:t>
      </w:r>
      <w:r>
        <w:rPr>
          <w:rFonts w:ascii="Times New Roman;sans-serif" w:hAnsi="Times New Roman;sans-serif"/>
          <w:b w:val="false"/>
          <w:color w:val="000000"/>
          <w:sz w:val="22"/>
        </w:rPr>
        <w:t>shall mean any Permitted Convertible Notes and any Permitted Convertible Notes Indenture.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Convertible Notes Indenture</w:t>
      </w:r>
      <w:r>
        <w:rPr>
          <w:color w:val="000000"/>
        </w:rPr>
        <w:t xml:space="preserve">” </w:t>
      </w:r>
      <w:r>
        <w:rPr>
          <w:rFonts w:ascii="Times New Roman;sans-serif" w:hAnsi="Times New Roman;sans-serif"/>
          <w:b w:val="false"/>
          <w:color w:val="000000"/>
          <w:sz w:val="22"/>
        </w:rPr>
        <w:t>shall mean each indenture (or similar document) pursuant to which any Permitted Convertible Notes are issued.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Encumbrances</w:t>
      </w:r>
      <w:r>
        <w:rPr>
          <w:color w:val="000000"/>
        </w:rPr>
        <w:t xml:space="preserve">” </w:t>
      </w:r>
      <w:r>
        <w:rPr>
          <w:rFonts w:ascii="Times New Roman;sans-serif" w:hAnsi="Times New Roman;sans-serif"/>
          <w:b w:val="false"/>
          <w:color w:val="000000"/>
          <w:sz w:val="22"/>
        </w:rPr>
        <w:t>shall mean:</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(a)    Liens imposed by law and other non-consensual Liens, in each case, for taxes, assessments or other governmental charges or levies (i) not at the time delinquent or (ii) the subject of a Permitted Contest;</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01040"/>
                <wp:effectExtent l="0" t="0" r="0" b="0"/>
                <wp:wrapNone/>
                <wp:docPr id="133" name="Frame10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(b)    carriers’, warehousemen’s, mechanics’, landlords’ mortgagee’s, materialmen’s, repairmen’s, vendor’s and other similar Liens and agricultural and similar Liens, in each case, imposed by law or otherwise non-consensual, arising in the ordinary course of business, and which are securing obligations which are not overdue by more than thirty (30) days or which are the subject of a Permitted Contest;</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(c)    pledges and deposits made in the ordinary course of business in compliance with the Federal Employers Liability Act or any other workers’ compensation, unemployment insurance and other social security or similar laws or regulations;</w:t>
      </w:r>
    </w:p>
    <w:p>
      <w:pPr>
        <w:pStyle w:val="TextBody"/>
        <w:bidi w:val="0"/>
        <w:spacing w:lineRule="auto" w:line="288" w:before="0" w:after="240"/>
        <w:ind w:left="0" w:right="0" w:firstLine="990"/>
        <w:jc w:val="both"/>
        <w:rPr/>
      </w:pPr>
      <w:r>
        <w:rPr>
          <w:rFonts w:ascii="Times New Roman;sans-serif" w:hAnsi="Times New Roman;sans-serif"/>
          <w:b w:val="false"/>
          <w:color w:val="000000"/>
          <w:sz w:val="22"/>
        </w:rPr>
        <w:t xml:space="preserve">(d)    judgments and other similar Liens in respect of judgments, orders for the payment of money or other court proceedings that do not constitute an Event of Default under </w:t>
      </w:r>
      <w:r>
        <w:rPr>
          <w:rFonts w:ascii="Times New Roman;sans-serif" w:hAnsi="Times New Roman;sans-serif"/>
          <w:b w:val="false"/>
          <w:color w:val="000000"/>
          <w:sz w:val="22"/>
          <w:u w:val="single"/>
        </w:rPr>
        <w:t>clause (k)</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(e)    (i) easements, zoning restrictions, licenses, rights-of-way, site plan agreements, development agreements, cross easement or reciprocal agreements, and other non-monetary encumbrances on real property that do not materially detract from the value of the affected property or interfere in any material respect with the ordinary conduct of business of the Borrower or any Subsidiary (taken as a whole) or the operation of such real property for its intended purpose or (ii) title defects or irregularities with respect to Real Estate which are of a minor nature and which in the aggregate do not materially detract from the value of the affected property or interfere in any material respect with the ordinary conduct of business of the Borrower or any Subsidiary or the operation of such real property for its intended purpose;</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(f)    ground leases in respect of Real Estate on which facilities or equipment owned or leased by the Borrower or any of the Restricted Subsidiaries are located;</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(g)    Liens in favor of customs and revenue authorities arising as a matter of law which secure payment of customs duties in connection with the importation of goods in the ordinary course of business;</w:t>
      </w:r>
    </w:p>
    <w:p>
      <w:pPr>
        <w:pStyle w:val="TextBody"/>
        <w:bidi w:val="0"/>
        <w:spacing w:lineRule="auto" w:line="288" w:before="0" w:after="240"/>
        <w:ind w:left="0" w:right="0" w:firstLine="990"/>
        <w:jc w:val="both"/>
        <w:rPr/>
      </w:pPr>
      <w:r>
        <w:rPr>
          <w:rFonts w:ascii="Times New Roman;sans-serif" w:hAnsi="Times New Roman;sans-serif"/>
          <w:b w:val="false"/>
          <w:color w:val="000000"/>
          <w:sz w:val="22"/>
        </w:rPr>
        <w:t xml:space="preserve">(h)    licenses and sublicenses, and grants and permits, including in respect of Intellectual Property and software, granted by the Borrower or any Restricted Subsidiary and leases and subleases (by the Borrower or any Restricted Subsidiary as lessor or sublessor) to third parties, in each case in the ordinary course of business and not interfering in any material respect with the business of the Borrower and the Restricted Subsidiaries, taken as a whole; </w:t>
      </w:r>
      <w:r>
        <w:rPr>
          <w:rFonts w:ascii="Times New Roman;sans-serif" w:hAnsi="Times New Roman;sans-serif"/>
          <w:b w:val="false"/>
          <w:i/>
          <w:color w:val="000000"/>
          <w:sz w:val="22"/>
        </w:rPr>
        <w:t>provided, however,</w:t>
      </w:r>
      <w:r>
        <w:rPr>
          <w:color w:val="000000"/>
        </w:rPr>
        <w:t xml:space="preserve"> </w:t>
      </w:r>
      <w:r>
        <w:rPr>
          <w:rFonts w:ascii="Times New Roman;sans-serif" w:hAnsi="Times New Roman;sans-serif"/>
          <w:b w:val="false"/>
          <w:color w:val="000000"/>
          <w:sz w:val="22"/>
        </w:rPr>
        <w:t>unless approved by the Administrative Agent, such leases shall not grant to the lessee any options to purchase or rights of first refusal or first offer to purchase;</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(i)    with respect to leasehold interests, mortgages, obligations, Liens and other encumbrances incurred, created, assumed or permitted to exist and arising by, through or under a landlord, ground lessor or owner of the leased property, with or without consent of the lessee;</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(j)    Liens in favor of a credit card processor or a payment processor arising in the ordinary course of business under any processor agreement; and</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(k)    Liens arising from precautionary UCC financing statements or any similar filings, including those made in respect of the sale of Permitted Receivables Financing Assets and related assets in connection with any Permitted Receivables Financing.</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01040"/>
                <wp:effectExtent l="0" t="0" r="0" b="0"/>
                <wp:wrapNone/>
                <wp:docPr id="134" name="Frame10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Investments</w:t>
      </w:r>
      <w:r>
        <w:rPr>
          <w:color w:val="000000"/>
        </w:rPr>
        <w:t xml:space="preserve">” </w:t>
      </w:r>
      <w:r>
        <w:rPr>
          <w:rFonts w:ascii="Times New Roman;sans-serif" w:hAnsi="Times New Roman;sans-serif"/>
          <w:b w:val="false"/>
          <w:color w:val="000000"/>
          <w:sz w:val="22"/>
        </w:rPr>
        <w:t>shall mean:</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(b)    investments in commercial paper maturing within 270 days from the date of acquisition thereof and having, at such date of acquisition, one of the two highest credit ratings obtainable from S&amp;P or from Moody’s;</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(c)    investments in certificates of deposit, banker’s acceptances and time deposits maturing within one year from the date of acquisition thereof issued or guaranteed by or placed with, and money market deposit accounts issued or offered by, the Administrative Agent, any Lender or any domestic office of any commercial bank organized under the laws of the United States of America or any State thereof that has a combined capital and surplus and undivided profits of not less than $500,000,000 and that issues (or the parent of which issues) commercial paper rated at least “Prime 1” (or then equivalent grade) by Moody’s or “A-1” (or then equivalent grade) by S&amp;P;</w:t>
      </w:r>
    </w:p>
    <w:p>
      <w:pPr>
        <w:pStyle w:val="TextBody"/>
        <w:bidi w:val="0"/>
        <w:spacing w:lineRule="auto" w:line="288" w:before="0" w:after="240"/>
        <w:ind w:left="0" w:right="0" w:firstLine="990"/>
        <w:jc w:val="both"/>
        <w:rPr/>
      </w:pPr>
      <w:r>
        <w:rPr>
          <w:rFonts w:ascii="Times New Roman;sans-serif" w:hAnsi="Times New Roman;sans-serif"/>
          <w:b w:val="false"/>
          <w:color w:val="000000"/>
          <w:sz w:val="22"/>
        </w:rPr>
        <w:t xml:space="preserve">(d)    fully collateralized repurchase agreements with a term of not more than 30 days for securities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and entered into with a financial institution satisfying the criteria of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above;</w:t>
      </w:r>
    </w:p>
    <w:p>
      <w:pPr>
        <w:pStyle w:val="TextBody"/>
        <w:bidi w:val="0"/>
        <w:spacing w:lineRule="auto" w:line="288" w:before="0" w:after="240"/>
        <w:ind w:left="0" w:right="0" w:firstLine="990"/>
        <w:jc w:val="both"/>
        <w:rPr/>
      </w:pPr>
      <w:r>
        <w:rPr>
          <w:rFonts w:ascii="Times New Roman;sans-serif" w:hAnsi="Times New Roman;sans-serif"/>
          <w:b w:val="false"/>
          <w:color w:val="000000"/>
          <w:sz w:val="22"/>
        </w:rPr>
        <w:t xml:space="preserve">(e)    investments in “money market funds” within the meaning of Rule 2a-7 of the Investment Company Act of 1940, as amended, substantially all of whose assets are invested in investments of the type described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above; and</w:t>
      </w:r>
    </w:p>
    <w:p>
      <w:pPr>
        <w:pStyle w:val="TextBody"/>
        <w:bidi w:val="0"/>
        <w:spacing w:lineRule="auto" w:line="288" w:before="0" w:after="240"/>
        <w:ind w:left="0" w:right="0" w:firstLine="990"/>
        <w:jc w:val="both"/>
        <w:rPr>
          <w:rFonts w:ascii="Times New Roman;sans-serif" w:hAnsi="Times New Roman;sans-serif"/>
          <w:b w:val="false"/>
          <w:color w:val="000000"/>
          <w:sz w:val="22"/>
        </w:rPr>
      </w:pPr>
      <w:r>
        <w:rPr>
          <w:rFonts w:ascii="Times New Roman;sans-serif" w:hAnsi="Times New Roman;sans-serif"/>
          <w:b w:val="false"/>
          <w:color w:val="000000"/>
          <w:sz w:val="22"/>
        </w:rPr>
        <w:t>(f)    other short-term investments utilized by Foreign Subsidiaries in accordance with normal investment practices for cash management in investments of a type analogous to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Lien</w:t>
      </w:r>
      <w:r>
        <w:rPr>
          <w:color w:val="000000"/>
        </w:rPr>
        <w:t xml:space="preserve">” </w:t>
      </w:r>
      <w:r>
        <w:rPr>
          <w:rFonts w:ascii="Times New Roman;sans-serif" w:hAnsi="Times New Roman;sans-serif"/>
          <w:b w:val="false"/>
          <w:color w:val="000000"/>
          <w:sz w:val="22"/>
        </w:rPr>
        <w:t xml:space="preserve">shall mean a Lien permitted by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Party</w:t>
      </w:r>
      <w:r>
        <w:rPr>
          <w:color w:val="000000"/>
        </w:rPr>
        <w:t xml:space="preserve">” </w:t>
      </w:r>
      <w:r>
        <w:rPr>
          <w:rFonts w:ascii="Times New Roman;sans-serif" w:hAnsi="Times New Roman;sans-serif"/>
          <w:b w:val="false"/>
          <w:color w:val="000000"/>
          <w:sz w:val="22"/>
        </w:rPr>
        <w:t>means Ayar Third Investment Company, The Public Investment Fund of Saudi Arabia, any of their respective Affiliates, any Permitted Transferee of any of the foregoing, or any general partnership, limited partnership, limited liability company, corporation or other entity exclusively owned by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Payee</w:t>
      </w:r>
      <w:r>
        <w:rPr>
          <w:color w:val="000000"/>
        </w:rPr>
        <w:t xml:space="preserve">” </w:t>
      </w:r>
      <w:r>
        <w:rPr>
          <w:rFonts w:ascii="Times New Roman;sans-serif" w:hAnsi="Times New Roman;sans-serif"/>
          <w:b w:val="false"/>
          <w:color w:val="000000"/>
          <w:sz w:val="22"/>
        </w:rPr>
        <w:t>means, collectively (i) any future, current or former officer, director, manager, member, member of management, employee, consultant, distributor or independent contractor of the Borrower, any Subsidiary or any direct or indirect parent company thereof or (ii) any Affiliate, Permitted Transferee or other transferee of any of the foregoing Persons listed in clause (i).</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01040"/>
                <wp:effectExtent l="0" t="0" r="0" b="0"/>
                <wp:wrapNone/>
                <wp:docPr id="135" name="Frame11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Receivables Financing</w:t>
      </w:r>
      <w:r>
        <w:rPr>
          <w:color w:val="000000"/>
        </w:rPr>
        <w:t xml:space="preserve">” </w:t>
      </w:r>
      <w:r>
        <w:rPr>
          <w:rFonts w:ascii="Times New Roman;sans-serif" w:hAnsi="Times New Roman;sans-serif"/>
          <w:b w:val="false"/>
          <w:color w:val="000000"/>
          <w:sz w:val="22"/>
        </w:rPr>
        <w:t>means any securitization or other similar financing (including any factoring or receivables program or sale transaction) of Permitted Receivables Financing Assets that is non-recourse to the Borrower and the other Restricted Subsidiaries (except for (i) recourse to any Foreign Subsidiary that owns the assets underlying such financing (or have sold such assets in connection with such financing), (ii) any customary limited recourse pursuant to the Standard Securitization Undertakings or, to the extent applicable only to Foreign Subsidiaries, recourse that is customary in the relevant local market, (iii) any performance undertaking or Guarantee, to the extent applicable only to Foreign Subsidiaries that is customary in the relevant local market and (iv) an unsecured parent Guarantee by the Borrower or any Restricted Subsidiary that is a parent company of a Foreign Subsidiary of obligations of such Subsidiaries), and in each case, reasonable extensions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Receivables Financing Assets</w:t>
      </w:r>
      <w:r>
        <w:rPr>
          <w:color w:val="000000"/>
        </w:rPr>
        <w:t xml:space="preserve">” </w:t>
      </w:r>
      <w:r>
        <w:rPr>
          <w:rFonts w:ascii="Times New Roman;sans-serif" w:hAnsi="Times New Roman;sans-serif"/>
          <w:b w:val="false"/>
          <w:color w:val="000000"/>
          <w:sz w:val="22"/>
        </w:rPr>
        <w:t xml:space="preserve">means (a) any accounts receivable, credit card receivable, loan receivables, mortgage receivables, receivables or loans relating to the financing of insurance premiums, royalty, patent or other revenue streams and other rights to payment or related assets and the proceeds thereof and (b) all Related Security, in each case in connection with a Permitted Receivables Financing.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Refinancing</w:t>
      </w:r>
      <w:r>
        <w:rPr>
          <w:color w:val="000000"/>
        </w:rPr>
        <w:t xml:space="preserve">” </w:t>
      </w:r>
      <w:r>
        <w:rPr>
          <w:rFonts w:ascii="Times New Roman;sans-serif" w:hAnsi="Times New Roman;sans-serif"/>
          <w:b w:val="false"/>
          <w:color w:val="000000"/>
          <w:sz w:val="22"/>
        </w:rPr>
        <w:t xml:space="preserve">shall mean Debt constituting a refinancing or extension of Debt permitted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hereunder that (a) has an aggregate outstanding principal amount not greater than the aggregate principal amount of the Debt being refinanced or extended plus an amount equal to accrued and unpaid interest and any premium thereon paid in connection with such refinancing or extension and other reasonable amounts paid and fees and expenses reasonably incurred, in connection therewith, (b) has a weighted average maturity (measured as of the date of such refinancing or extension) and maturity no shorter than that of the Debt being refinanced or extended, (c) is not secured by a Lien on any assets other than the collateral securing the Debt being refinanced or extended, and is not secured by a Lien having higher priority than the Lien securing the Debt being refinanced or extended, (d) the obligors of which shall not include any Person that is not at the time of such refinancing an obligor of the Debt being refinanced or extended, (e) is subordinated to the Obligations to at least the same extent as the Debt being refinanced or extended and (f) is otherwise on terms no less favorable to the Loan Parties, taken as a whole, than those of the Debt being refinanced or extended.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Reorganization</w:t>
      </w:r>
      <w:r>
        <w:rPr>
          <w:color w:val="000000"/>
        </w:rPr>
        <w:t xml:space="preserve">” </w:t>
      </w:r>
      <w:r>
        <w:rPr>
          <w:rFonts w:ascii="Times New Roman;sans-serif" w:hAnsi="Times New Roman;sans-serif"/>
          <w:b w:val="false"/>
          <w:color w:val="000000"/>
          <w:sz w:val="22"/>
        </w:rPr>
        <w:t>means, to the extent not otherwise permitted under this Agreement, any corporate reorganization (or similar transaction or event) undertaken (each, a “</w:t>
      </w:r>
      <w:r>
        <w:rPr>
          <w:rFonts w:ascii="Times New Roman;sans-serif" w:hAnsi="Times New Roman;sans-serif"/>
          <w:b/>
          <w:color w:val="000000"/>
          <w:sz w:val="22"/>
        </w:rPr>
        <w:t>Reorganization</w:t>
      </w:r>
      <w:r>
        <w:rPr>
          <w:color w:val="000000"/>
        </w:rPr>
        <w:t>”</w:t>
      </w:r>
      <w:r>
        <w:rPr>
          <w:rFonts w:ascii="Times New Roman;sans-serif" w:hAnsi="Times New Roman;sans-serif"/>
          <w:b w:val="false"/>
          <w:color w:val="000000"/>
          <w:sz w:val="22"/>
        </w:rPr>
        <w:t xml:space="preserve">), and each step reasonably undertaken to effect such Reorganization;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in connection therewith, (a) no Specified Event of Default is continuing immediately prior to such Reorganization and immediately after giving effect thereto as determined on the applicable date in accordance with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and (b) after giving effect to such Reorganization, the Guarantees of the Obligations, taken as a whole, would not be materially impaired.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Stock</w:t>
      </w:r>
      <w:r>
        <w:rPr>
          <w:color w:val="000000"/>
        </w:rPr>
        <w:t xml:space="preserve">” </w:t>
      </w:r>
      <w:r>
        <w:rPr>
          <w:rFonts w:ascii="Times New Roman;sans-serif" w:hAnsi="Times New Roman;sans-serif"/>
          <w:b w:val="false"/>
          <w:color w:val="000000"/>
          <w:sz w:val="22"/>
        </w:rPr>
        <w:t>shall mean Permitted Common Stock and Qualified Preferred Stock.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01040"/>
                <wp:effectExtent l="0" t="0" r="0" b="0"/>
                <wp:wrapNone/>
                <wp:docPr id="136" name="Frame11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Permitted Transferees</w:t>
      </w:r>
      <w:r>
        <w:rPr>
          <w:color w:val="000000"/>
        </w:rPr>
        <w:t xml:space="preserve">” </w:t>
      </w:r>
      <w:r>
        <w:rPr>
          <w:rFonts w:ascii="Times New Roman;sans-serif" w:hAnsi="Times New Roman;sans-serif"/>
          <w:b w:val="false"/>
          <w:color w:val="000000"/>
          <w:sz w:val="22"/>
        </w:rPr>
        <w:t xml:space="preserve">means, with respect to any Person that is a natural Person (and any Permitted Transferee of such Person), (a) such Person’s immediate family, including his or her spouse, ex-spouse, children, step-children, grandchildren and their respective lineal descendants, parent, step-parent, grandparent, domestic partner, former domestic partner, sibling or step-sibling (and any lineal descendant thereof), mother-in-law, father-in-law, son-in-law and daughter-in-law (including adoptive relationships), (b) any trust, partnership, estate planning vehicle or other legal entity the beneficiaries of which are persons referred to in the preceding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and (c) such Person’s estate, heirs, legatees, distributees, executors and/or administrators upon the death of such Person, or any private foundation or fund that is controlled thereby, and any other Person who was an Affiliate of such Person upon the death of such Person and who, upon such death, directly or indirectly owned Equity Interests in the Borrower or any direct or indirect parent company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shall mean any natural person, corporation, business,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PIK Interest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2.13(e)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Plan</w:t>
      </w:r>
      <w:r>
        <w:rPr>
          <w:color w:val="000000"/>
        </w:rPr>
        <w:t xml:space="preserve">” </w:t>
      </w:r>
      <w:r>
        <w:rPr>
          <w:rFonts w:ascii="Times New Roman;sans-serif" w:hAnsi="Times New Roman;sans-serif"/>
          <w:b w:val="false"/>
          <w:color w:val="000000"/>
          <w:sz w:val="22"/>
        </w:rPr>
        <w:t>shall mean any “employee pension benefit plan” as defined in Section 3(2) of ERISA (other than a Multiemployer Plan) subject to the provisions of Title IV of ERISA or Sections 412 and 430 of the Code or Section 302 of ERISA, and in respect of which the Borrower or any ERISA Affiliate is (or if such Plan were terminated, would under Section 4062 or Section 4069 of ERISA be deemed to be) an “employer” as defined in Section 3(5)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Platform</w:t>
      </w:r>
      <w:r>
        <w:rPr>
          <w:color w:val="000000"/>
        </w:rPr>
        <w:t xml:space="preserve">” </w:t>
      </w:r>
      <w:r>
        <w:rPr>
          <w:rFonts w:ascii="Times New Roman;sans-serif" w:hAnsi="Times New Roman;sans-serif"/>
          <w:b w:val="false"/>
          <w:color w:val="000000"/>
          <w:sz w:val="22"/>
        </w:rPr>
        <w:t>shall mean Debt Domain, Intralinks, Syndtrak or a substantially similar electronic transmission system.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Preferred Equity</w:t>
      </w:r>
      <w:r>
        <w:rPr>
          <w:color w:val="000000"/>
        </w:rPr>
        <w:t>”</w:t>
      </w:r>
      <w:r>
        <w:rPr>
          <w:rFonts w:ascii="Times New Roman;sans-serif" w:hAnsi="Times New Roman;sans-serif"/>
          <w:b w:val="false"/>
          <w:color w:val="000000"/>
          <w:sz w:val="22"/>
        </w:rPr>
        <w:t>, as applied to the Equity Interests of any Person, shall mean Equity Interests of such Person (other than common Equity Interests of such Person) of any class or classes (however designed) that ranks prior, as to the payment of dividends or as to the distribution of assets upon any voluntary or involuntary liquidation, dissolution or winding up of such Person, to shares of Equity Interests of any other class of such Person, and shall include any Qualified Preferred Stock, but shall exclude any Permitted Convertible Notes.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Prepayment Premium</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2.11(b)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Prepayment Premium Triggering Event</w:t>
      </w:r>
      <w:r>
        <w:rPr>
          <w:color w:val="000000"/>
        </w:rPr>
        <w:t xml:space="preserve">” </w:t>
      </w:r>
      <w:r>
        <w:rPr>
          <w:rFonts w:ascii="Times New Roman;sans-serif" w:hAnsi="Times New Roman;sans-serif"/>
          <w:b w:val="false"/>
          <w:color w:val="000000"/>
          <w:sz w:val="22"/>
        </w:rPr>
        <w:t xml:space="preserve">means (A) any voluntary prepayment of Term Loans pursuant to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 xml:space="preserve">or otherwise, (B) any mandatory prepayment of Loans pursuant to </w:t>
      </w:r>
      <w:r>
        <w:rPr>
          <w:rFonts w:ascii="Times New Roman;sans-serif" w:hAnsi="Times New Roman;sans-serif"/>
          <w:b w:val="false"/>
          <w:color w:val="000000"/>
          <w:sz w:val="22"/>
          <w:u w:val="single"/>
        </w:rPr>
        <w:t>Section 2.11(b)</w:t>
      </w:r>
      <w:r>
        <w:rPr>
          <w:rFonts w:ascii="Times New Roman;sans-serif" w:hAnsi="Times New Roman;sans-serif"/>
          <w:b w:val="false"/>
          <w:color w:val="000000"/>
          <w:sz w:val="22"/>
        </w:rPr>
        <w:t xml:space="preserve">, (C) any mandatory assignment of Loans pursuant to </w:t>
      </w:r>
      <w:r>
        <w:rPr>
          <w:rFonts w:ascii="Times New Roman;sans-serif" w:hAnsi="Times New Roman;sans-serif"/>
          <w:b w:val="false"/>
          <w:color w:val="000000"/>
          <w:sz w:val="22"/>
          <w:u w:val="single"/>
        </w:rPr>
        <w:t>Section 2.19(b)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9.02(d)</w:t>
      </w:r>
      <w:r>
        <w:rPr>
          <w:rFonts w:ascii="Times New Roman;sans-serif" w:hAnsi="Times New Roman;sans-serif"/>
          <w:b w:val="false"/>
          <w:color w:val="000000"/>
          <w:sz w:val="22"/>
        </w:rPr>
        <w:t>, and/or (D) an acceleration of Loans (after an Event of Default, by operation of law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Prime Rate</w:t>
      </w:r>
      <w:r>
        <w:rPr>
          <w:color w:val="000000"/>
        </w:rPr>
        <w:t xml:space="preserve">” </w:t>
      </w:r>
      <w:r>
        <w:rPr>
          <w:rFonts w:ascii="Times New Roman;sans-serif" w:hAnsi="Times New Roman;sans-serif"/>
          <w:b w:val="false"/>
          <w:color w:val="000000"/>
          <w:sz w:val="22"/>
        </w:rPr>
        <w:t>shall mean the rate of interest last quoted by The Wall Street Journal as the “prime Rate” in the U.S. or, in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01040"/>
                <wp:effectExtent l="0" t="0" r="0" b="0"/>
                <wp:wrapNone/>
                <wp:docPr id="137" name="Frame11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pro forma basis</w:t>
      </w:r>
      <w:r>
        <w:rPr>
          <w:rFonts w:ascii="Times New Roman;sans-serif" w:hAnsi="Times New Roman;sans-serif"/>
          <w:b w:val="false"/>
          <w:color w:val="000000"/>
          <w:sz w:val="22"/>
        </w:rPr>
        <w:t>,” “</w:t>
      </w:r>
      <w:r>
        <w:rPr>
          <w:rFonts w:ascii="Times New Roman;sans-serif" w:hAnsi="Times New Roman;sans-serif"/>
          <w:b/>
          <w:color w:val="000000"/>
          <w:sz w:val="22"/>
        </w:rPr>
        <w:t>pro forma compliance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pro forma effect</w:t>
      </w:r>
      <w:r>
        <w:rPr>
          <w:color w:val="000000"/>
        </w:rPr>
        <w:t xml:space="preserve">” </w:t>
      </w:r>
      <w:r>
        <w:rPr>
          <w:rFonts w:ascii="Times New Roman;sans-serif" w:hAnsi="Times New Roman;sans-serif"/>
          <w:b w:val="false"/>
          <w:color w:val="000000"/>
          <w:sz w:val="22"/>
        </w:rPr>
        <w:t>mean, as to any Person, for any events as described below that occur subsequent to the commencement of the Test Period for which the effect of such events is being calculated, and giving effect to the events for which such calculation is being made, such calculation as will give pro forma effect to such events as if such events occurred as of the first day (or, in the case of Consolidated Total Assets, or with respect to any determination pertaining to the balance sheet, including the acquisition of cash and Permitted Investments in connection with an acquisition of a Person, business line, unit, division or product line, the last day) of such Test Period (the “</w:t>
      </w:r>
      <w:r>
        <w:rPr>
          <w:rFonts w:ascii="Times New Roman;sans-serif" w:hAnsi="Times New Roman;sans-serif"/>
          <w:b/>
          <w:color w:val="000000"/>
          <w:sz w:val="22"/>
        </w:rPr>
        <w:t>Reference Period</w:t>
      </w:r>
      <w:r>
        <w:rPr>
          <w:color w:val="000000"/>
        </w:rPr>
        <w:t>”</w:t>
      </w:r>
      <w:r>
        <w:rPr>
          <w:rFonts w:ascii="Times New Roman;sans-serif" w:hAnsi="Times New Roman;sans-serif"/>
          <w:b w:val="false"/>
          <w:color w:val="000000"/>
          <w:sz w:val="22"/>
        </w:rPr>
        <w:t xml:space="preserve">): (a) in making any determination on a pro forma basis, of pro forma compliance or of pro forma effect, (x) all Debt (including Debt issued, incurred or assumed as a result of, or to finance, any relevant transactions and for which the pro forma effect is being calculated, whether incurred under the Loan Documents or otherwise) issued, incurred, assumed, retired or repaid during the Reference Period (or with respect to Debt retired or repaid, during the Reference Period or subsequent to the end of the Reference Period and prior to, or simultaneously with, the event for which the calculation of any such ratio is made) shall be deemed to have been issued, incurred, assumed, retired or repaid at the beginning of such period and (y) (1) interest expense of such Person attributable to interest on any Debt for which pro forma effect is being given as provided in preceding clause (x) bearing floating interest rates shall be computed on a pro forma basis with an implied rate of interest for purposes of this definition determined by utilizing the rate that is or would be in effect with respect to such Debt at the relevant date of determination (taking into account any interest hedging arrangements applicable to such Debt), (2) interest expense of such Person attributable to any Capital Lease Obligation shall be deemed to accrue at an interest rate determined in accordance with GAAP and (3) interest expense of such Person attributable to any Debt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(b)(i) in the case of (A) any Disposition of all or substantially all of the Equity Interests of any Restricted Subsidiary or any division and/or product line of the Borrower or any Restricted Subsidiary or (B) any designation of a Restricted Subsidiary as an Unrestricted Subsidiary, income statement items (whether positive or negative) attributable to the property or Person subject to such Specified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Restricted Subsidiary described in the definition of the term “Specified Transaction”, income statement items (whether positive or negative) attributable to the property or Person subject to such Specified Transaction shall be included as of the first day of the applicable Test Period with respect to any test or covenant for which the relevant determination is being made; (c) the acquisition of any assets (including cash and Permitted Investments) included in calculating Consolidated Total Assets, whether pursuant to any Specified Transactions or any Person becoming a subsidiary or merging, amalgamating or consolidating with or into the Borrower or any of its subsidiaries, or the Disposition of any assets (including cash and Permitted Investments) included in calculating Consolidated Total Assets described in the definition of “Specified Transaction” shall be deemed to have occurred as of the last day of the applicable Test Period with respect to any test or covenant for which such calculation is being made; and (d) notwithstanding anything to the contrary in this definition or in any classification under GAAP of any Person, business, assets or operations in respect of which a definitive agreement for the asset sale, transfer, disposition or lease thereof has been entered into as discontinued operations, no pro forma effect shall be given to the classification thereof as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01040"/>
                <wp:effectExtent l="0" t="0" r="0" b="0"/>
                <wp:wrapNone/>
                <wp:docPr id="138" name="Frame11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discontinued operations until such asset sale, transfer, disposition or lease shall have been consummated.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Whenever a financial ratio or test or covenant is to be calculated on a pro forma basis, the reference to the “Test Period” for purposes of calculating such financial ratio or test shall be deemed to be a reference to, and shall be based on, the most recently ended Test Period for which financial statements of the Borrower were delivered pursuant to </w:t>
      </w:r>
      <w:r>
        <w:rPr>
          <w:rFonts w:ascii="Times New Roman;sans-serif" w:hAnsi="Times New Roman;sans-serif"/>
          <w:b w:val="false"/>
          <w:color w:val="000000"/>
          <w:sz w:val="22"/>
          <w:u w:val="single"/>
        </w:rPr>
        <w:t>Section 5.01(a)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or, at the election of the Borrower, are internally available.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Property</w:t>
      </w:r>
      <w:r>
        <w:rPr>
          <w:color w:val="000000"/>
        </w:rPr>
        <w:t xml:space="preserve">” </w:t>
      </w:r>
      <w:r>
        <w:rPr>
          <w:rFonts w:ascii="Times New Roman;sans-serif" w:hAnsi="Times New Roman;sans-serif"/>
          <w:b w:val="false"/>
          <w:color w:val="000000"/>
          <w:sz w:val="22"/>
        </w:rPr>
        <w:t>shall mean any interest in any kind of property or asset, whether real, personal or mixed, and whether tangible or intangible.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Public Company Costs</w:t>
      </w:r>
      <w:r>
        <w:rPr>
          <w:color w:val="000000"/>
        </w:rPr>
        <w:t xml:space="preserve">” </w:t>
      </w:r>
      <w:r>
        <w:rPr>
          <w:rFonts w:ascii="Times New Roman;sans-serif" w:hAnsi="Times New Roman;sans-serif"/>
          <w:b w:val="false"/>
          <w:color w:val="000000"/>
          <w:sz w:val="22"/>
        </w:rPr>
        <w:t>means costs relating to compliance with the Sarbanes-Oxley Act of 2002, as amended, and other expenses arising out of or incidental to the Borrower’s status (or any relevant parent of the Borrower’s status) as a reporting company, including costs, fees and expenses (including legal, accounting and other professional fees) relating to compliance with provisions of the Securities Act and the Exchange Act, the rules of securities exchange companies with listed equity securities, directors’ compensation, fees and expense reimbursement, shareholder meetings and reports to shareholders, directors’ and officers’ insurance and other executive costs, legal and other professional fees, and listing fees.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 (D).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QFC Credit Support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9.22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Qualified Capital Stock</w:t>
      </w:r>
      <w:r>
        <w:rPr>
          <w:color w:val="000000"/>
        </w:rPr>
        <w:t xml:space="preserve">” </w:t>
      </w:r>
      <w:r>
        <w:rPr>
          <w:rFonts w:ascii="Times New Roman;sans-serif" w:hAnsi="Times New Roman;sans-serif"/>
          <w:b w:val="false"/>
          <w:color w:val="000000"/>
          <w:sz w:val="22"/>
        </w:rPr>
        <w:t>of any Person shall mean any Equity Interest of such Person that is not a Disqualified Equity Interest.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Qualified Preferred Stock</w:t>
      </w:r>
      <w:r>
        <w:rPr>
          <w:color w:val="000000"/>
        </w:rPr>
        <w:t xml:space="preserve">” </w:t>
      </w:r>
      <w:r>
        <w:rPr>
          <w:rFonts w:ascii="Times New Roman;sans-serif" w:hAnsi="Times New Roman;sans-serif"/>
          <w:b w:val="false"/>
          <w:color w:val="000000"/>
          <w:sz w:val="22"/>
        </w:rPr>
        <w:t>shall mean any Preferred Equity of the Borrower that constitutes Qualified Capital Stock, in each case, so long as the terms of any such Preferred Equity (and the terms of any Equity Interests into which such Preferred Equity is convertible or for which it is exchangeable, either mandatorily or at the option of the holder thereof) (x) do not require the cash payment of dividends or distributions that would otherwise be prohibited by the terms of this Agreement and (y) do not contain any covenants (other than periodic reporting requirements) that are more restrictive, taken as a whole, than the covenants contained in this Agreement (as reasonably determined by the Borrower in good faith).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Real Estate</w:t>
      </w:r>
      <w:r>
        <w:rPr>
          <w:color w:val="000000"/>
        </w:rPr>
        <w:t xml:space="preserve">” </w:t>
      </w:r>
      <w:r>
        <w:rPr>
          <w:rFonts w:ascii="Times New Roman;sans-serif" w:hAnsi="Times New Roman;sans-serif"/>
          <w:b w:val="false"/>
          <w:color w:val="000000"/>
          <w:sz w:val="22"/>
        </w:rPr>
        <w:t>shall mean any real property owned, leased or subleased by any Loan Party or any subsidiary of any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Receivables Subsidiary</w:t>
      </w:r>
      <w:r>
        <w:rPr>
          <w:color w:val="000000"/>
        </w:rPr>
        <w:t xml:space="preserve">” </w:t>
      </w:r>
      <w:r>
        <w:rPr>
          <w:rFonts w:ascii="Times New Roman;sans-serif" w:hAnsi="Times New Roman;sans-serif"/>
          <w:b w:val="false"/>
          <w:color w:val="000000"/>
          <w:sz w:val="22"/>
        </w:rPr>
        <w:t>means (i) any Special Purpose Entity established in connection with a Permitted Receivables Financing and (ii) any Foreign Subsidiary involved in a Permitted Receivables Financing.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Recipient</w:t>
      </w:r>
      <w:r>
        <w:rPr>
          <w:color w:val="000000"/>
        </w:rPr>
        <w:t xml:space="preserve">” </w:t>
      </w:r>
      <w:r>
        <w:rPr>
          <w:rFonts w:ascii="Times New Roman;sans-serif" w:hAnsi="Times New Roman;sans-serif"/>
          <w:b w:val="false"/>
          <w:color w:val="000000"/>
          <w:sz w:val="22"/>
        </w:rPr>
        <w:t>shall mean, as applicable, (a) the Administrative Agent and (b) any Lender, or any combination thereof (as the context requires).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01040"/>
                <wp:effectExtent l="0" t="0" r="0" b="0"/>
                <wp:wrapNone/>
                <wp:docPr id="139" name="Frame11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Refinance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refinance</w:t>
      </w:r>
      <w:r>
        <w:rPr>
          <w:color w:val="000000"/>
        </w:rPr>
        <w:t xml:space="preserve">” </w:t>
      </w:r>
      <w:r>
        <w:rPr>
          <w:rFonts w:ascii="Times New Roman;sans-serif" w:hAnsi="Times New Roman;sans-serif"/>
          <w:b w:val="false"/>
          <w:color w:val="000000"/>
          <w:sz w:val="22"/>
        </w:rPr>
        <w:t>shall mean, in respect of any indebtedness, to refinance, replace, defease, refund or repay, or to issue other indebtedness or enter into alternative financing arrangements, in exchange or replacement for, such indebtedness in whole or in part, including by adding or replacing lenders, creditors, agents, borrowers and/or guarantors. “</w:t>
      </w:r>
      <w:r>
        <w:rPr>
          <w:rFonts w:ascii="Times New Roman;sans-serif" w:hAnsi="Times New Roman;sans-serif"/>
          <w:b/>
          <w:color w:val="000000"/>
          <w:sz w:val="22"/>
        </w:rPr>
        <w:t>Refinanced</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refinanced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Refinancing</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refinancing</w:t>
      </w:r>
      <w:r>
        <w:rPr>
          <w:color w:val="000000"/>
        </w:rPr>
        <w:t xml:space="preserve">” </w:t>
      </w:r>
      <w:r>
        <w:rPr>
          <w:rFonts w:ascii="Times New Roman;sans-serif" w:hAnsi="Times New Roman;sans-serif"/>
          <w:b w:val="false"/>
          <w:color w:val="000000"/>
          <w:sz w:val="22"/>
        </w:rPr>
        <w:t>shall have correlative meanings.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Refunding Capital Stock</w:t>
      </w:r>
      <w:r>
        <w:rPr>
          <w:color w:val="000000"/>
        </w:rPr>
        <w:t xml:space="preserve">” </w:t>
      </w:r>
      <w:r>
        <w:rPr>
          <w:rFonts w:ascii="Times New Roman;sans-serif" w:hAnsi="Times New Roman;sans-serif"/>
          <w:b w:val="false"/>
          <w:color w:val="000000"/>
          <w:sz w:val="22"/>
        </w:rPr>
        <w:t xml:space="preserve">shall have the meaning assigned to such term in </w:t>
      </w:r>
      <w:r>
        <w:rPr>
          <w:rFonts w:ascii="Times New Roman;sans-serif" w:hAnsi="Times New Roman;sans-serif"/>
          <w:b w:val="false"/>
          <w:color w:val="000000"/>
          <w:sz w:val="22"/>
          <w:u w:val="single"/>
        </w:rPr>
        <w:t>Section 6.03(l)</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Register</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9.04(b)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Regulation T</w:t>
      </w:r>
      <w:r>
        <w:rPr>
          <w:color w:val="000000"/>
        </w:rPr>
        <w:t xml:space="preserve">” </w:t>
      </w:r>
      <w:r>
        <w:rPr>
          <w:rFonts w:ascii="Times New Roman;sans-serif" w:hAnsi="Times New Roman;sans-serif"/>
          <w:b w:val="false"/>
          <w:color w:val="000000"/>
          <w:sz w:val="22"/>
        </w:rPr>
        <w:t>shall mean Regulation T of the Board as from time to time in effect and all official rulings and interpretations thereunder or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Regulation U</w:t>
      </w:r>
      <w:r>
        <w:rPr>
          <w:color w:val="000000"/>
        </w:rPr>
        <w:t xml:space="preserve">” </w:t>
      </w:r>
      <w:r>
        <w:rPr>
          <w:rFonts w:ascii="Times New Roman;sans-serif" w:hAnsi="Times New Roman;sans-serif"/>
          <w:b w:val="false"/>
          <w:color w:val="000000"/>
          <w:sz w:val="22"/>
        </w:rPr>
        <w:t>shall mean Regulation U of the Board as from time to time in effect and all official rulings and interpretations thereunder or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Regulation X</w:t>
      </w:r>
      <w:r>
        <w:rPr>
          <w:color w:val="000000"/>
        </w:rPr>
        <w:t xml:space="preserve">” </w:t>
      </w:r>
      <w:r>
        <w:rPr>
          <w:rFonts w:ascii="Times New Roman;sans-serif" w:hAnsi="Times New Roman;sans-serif"/>
          <w:b w:val="false"/>
          <w:color w:val="000000"/>
          <w:sz w:val="22"/>
        </w:rPr>
        <w:t>shall mean Regulation X of the Board as from time to time in effect and all official rulings and interpretations thereunder or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Related Parties</w:t>
      </w:r>
      <w:r>
        <w:rPr>
          <w:color w:val="000000"/>
        </w:rPr>
        <w:t xml:space="preserve">” </w:t>
      </w:r>
      <w:r>
        <w:rPr>
          <w:rFonts w:ascii="Times New Roman;sans-serif" w:hAnsi="Times New Roman;sans-serif"/>
          <w:b w:val="false"/>
          <w:color w:val="000000"/>
          <w:sz w:val="22"/>
        </w:rPr>
        <w:t>shall mean, with respect to any specified Person, such Person’s Affiliates and the respective directors, officers, partners, members, trustees, employees, agents, administrators, managers, representatives and advisors of such Person and such Person’s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Related Security</w:t>
      </w:r>
      <w:r>
        <w:rPr>
          <w:color w:val="000000"/>
        </w:rPr>
        <w:t xml:space="preserve">” </w:t>
      </w:r>
      <w:r>
        <w:rPr>
          <w:rFonts w:ascii="Times New Roman;sans-serif" w:hAnsi="Times New Roman;sans-serif"/>
          <w:b w:val="false"/>
          <w:color w:val="000000"/>
          <w:sz w:val="22"/>
        </w:rPr>
        <w:t>means, with respect to any accounts receivable, revenue stream or other right of payment, (a) all of the interest in the inventory and goods (including returned or repossessed inventory or goods), if any, the financing or lease of which gave rise to such accounts receivable, revenue stream or other right of payment and all insurance contracts with respect thereto, (b) all other security interests or liens and property subject thereto from time to time, if any, purporting to secure payment of such accounts receivable, revenue stream or other right of payment, whether pursuant to the contract related thereto or otherwise, together with all financing statements and security agreements describing any collateral securing such accounts receivable, revenue stream or other right of payment, (c) all guaranties, letters of credit, letter-of-credit rights, supporting obligations, insurance and other agreements or arrangements of whatever character from time to time supporting or securing payment of such accounts receivable, revenue stream or other right of payment, whether pursuant to the contract related thereto or otherwise, (d) all service contracts and other contracts and agreements associated with such accounts receivable, revenue stream or other right of payment, (e) all records related thereto, and all of the applicable Receivables Subsidiary’s right, title and interest in, to and under the applicable documentation.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Release</w:t>
      </w:r>
      <w:r>
        <w:rPr>
          <w:color w:val="000000"/>
        </w:rPr>
        <w:t xml:space="preserve">” </w:t>
      </w:r>
      <w:r>
        <w:rPr>
          <w:rFonts w:ascii="Times New Roman;sans-serif" w:hAnsi="Times New Roman;sans-serif"/>
          <w:b w:val="false"/>
          <w:color w:val="000000"/>
          <w:sz w:val="22"/>
        </w:rPr>
        <w:t>shall mean any release, threatened release, spill, emission, leaking, pumping, pouring, emitting, emptying, escape, injection, deposit, disposal, discharge, dispersal, dumping, leaching or migration into or through the Environment or within, from or into any equipment, fixture, building or structure.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Relevant Governmental Body</w:t>
      </w:r>
      <w:r>
        <w:rPr>
          <w:color w:val="000000"/>
        </w:rPr>
        <w:t xml:space="preserve">” </w:t>
      </w:r>
      <w:r>
        <w:rPr>
          <w:rFonts w:ascii="Times New Roman;sans-serif" w:hAnsi="Times New Roman;sans-serif"/>
          <w:b w:val="false"/>
          <w:color w:val="000000"/>
          <w:sz w:val="22"/>
        </w:rPr>
        <w:t xml:space="preserve">shall mean the Federal Reserve Board or the NYFRB, or a committee officially endorsed or convened by the Federal Reserve Board or the NYFRB, or, in each case, any successor thereto. </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01040"/>
                <wp:effectExtent l="0" t="0" r="0" b="0"/>
                <wp:wrapNone/>
                <wp:docPr id="140" name="Frame11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Removal Effective Date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8.06(b)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Reorganization</w:t>
      </w:r>
      <w:r>
        <w:rPr>
          <w:color w:val="000000"/>
        </w:rPr>
        <w:t xml:space="preserve">” </w:t>
      </w:r>
      <w:r>
        <w:rPr>
          <w:rFonts w:ascii="Times New Roman;sans-serif" w:hAnsi="Times New Roman;sans-serif"/>
          <w:b w:val="false"/>
          <w:color w:val="000000"/>
          <w:sz w:val="22"/>
        </w:rPr>
        <w:t>has the meaning assigned to such term in the definition of “Permitted Reorganization”.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Required Lenders</w:t>
      </w:r>
      <w:r>
        <w:rPr>
          <w:color w:val="000000"/>
        </w:rPr>
        <w:t xml:space="preserve">” </w:t>
      </w:r>
      <w:r>
        <w:rPr>
          <w:rFonts w:ascii="Times New Roman;sans-serif" w:hAnsi="Times New Roman;sans-serif"/>
          <w:b w:val="false"/>
          <w:color w:val="000000"/>
          <w:sz w:val="22"/>
        </w:rPr>
        <w:t>shall mean, at any time, Lenders (other than Defaulting Lenders) having Delayed Draw Term Exposure and unused Commitments representing more than 50% of the sum of the Aggregate Delayed Draw Term Exposure and unused Commitments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Requirement of Law</w:t>
      </w:r>
      <w:r>
        <w:rPr>
          <w:color w:val="000000"/>
        </w:rPr>
        <w:t xml:space="preserve">” </w:t>
      </w:r>
      <w:r>
        <w:rPr>
          <w:rFonts w:ascii="Times New Roman;sans-serif" w:hAnsi="Times New Roman;sans-serif"/>
          <w:b w:val="false"/>
          <w:color w:val="000000"/>
          <w:sz w:val="22"/>
        </w:rPr>
        <w:t>shall mean, with respect to any Person, (a) the charter, articles or certificate of organization or incorporation and bylaws or other organizational or governing documents of such Person and (b) any statute, law (including common law), treaty, rule, regulation, code, ordinance, order, decree, writ, judgment, injunction or determination of any arbitrator or court or other Governmental Authority, in each case applicable to or binding upon such Person or any of its property or to which such Person or any of its property is subject.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Rescindable Amounts</w:t>
      </w:r>
      <w:r>
        <w:rPr>
          <w:color w:val="000000"/>
        </w:rPr>
        <w:t xml:space="preserve">” </w:t>
      </w:r>
      <w:r>
        <w:rPr>
          <w:rFonts w:ascii="Times New Roman;sans-serif" w:hAnsi="Times New Roman;sans-serif"/>
          <w:b w:val="false"/>
          <w:color w:val="000000"/>
          <w:sz w:val="22"/>
        </w:rPr>
        <w:t>shall mean, with respect to any payment that the Administrative Agent makes for the account of the Lenders hereunder as to which the Administrative Agent determines (which determination shall be conclusive absent manifest error) that any of the following applies: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Resignation Effective Date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8.06(a)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Resolution Authority</w:t>
      </w:r>
      <w:r>
        <w:rPr>
          <w:color w:val="000000"/>
        </w:rPr>
        <w:t xml:space="preserve">” </w:t>
      </w:r>
      <w:r>
        <w:rPr>
          <w:rFonts w:ascii="Times New Roman;sans-serif" w:hAnsi="Times New Roman;sans-serif"/>
          <w:b w:val="false"/>
          <w:color w:val="000000"/>
          <w:sz w:val="22"/>
        </w:rPr>
        <w:t>shall mean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Responsible Officer</w:t>
      </w:r>
      <w:r>
        <w:rPr>
          <w:color w:val="000000"/>
        </w:rPr>
        <w:t xml:space="preserve">” </w:t>
      </w:r>
      <w:r>
        <w:rPr>
          <w:rFonts w:ascii="Times New Roman;sans-serif" w:hAnsi="Times New Roman;sans-serif"/>
          <w:b w:val="false"/>
          <w:color w:val="000000"/>
          <w:sz w:val="22"/>
        </w:rPr>
        <w:t>shall mean with respect to any Person, such Person’s chief executive officer, president, vice president, chief operating officer, secretary, assistant secretary or Financial Officer, director, manager or other officer having substantially the same authority and responsibility with respect to the matters at hand (or having substantially the same knowledge of the contents of the certificate, document or other document being delivered).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Restricted Debt Payment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6.12(a)</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01040"/>
                <wp:effectExtent l="0" t="0" r="0" b="0"/>
                <wp:wrapNone/>
                <wp:docPr id="141" name="Frame11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Restricted Distribution</w:t>
      </w:r>
      <w:r>
        <w:rPr>
          <w:color w:val="000000"/>
        </w:rPr>
        <w:t xml:space="preserve">” </w:t>
      </w:r>
      <w:r>
        <w:rPr>
          <w:rFonts w:ascii="Times New Roman;sans-serif" w:hAnsi="Times New Roman;sans-serif"/>
          <w:b w:val="false"/>
          <w:color w:val="000000"/>
          <w:sz w:val="22"/>
        </w:rPr>
        <w:t>shall mean as to any Person (i) any dividend or other distribution on any Equity Interest in such Person (except those payable solely in its equity interests of the same class) or (ii) any payment by such Person (except those payable solely by issuance of common stock of such Person) on account of the purchase, redemption, retirement, defeasance, surrender or acquisition of any Equity Interests in such Person or any claim respecting the purchase or sale of any Equity Interest in such Person. For the avoidance of doubt, no Satisfaction of Conversion Obligation of Permitted Convertible Notes up to the principal amount of such Permitted Convertible Notes, nor the purchase, sale or performance of obligations under any Issuer Option, shall constitute a Restricted Distribution.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Restricted Subsidiary</w:t>
      </w:r>
      <w:r>
        <w:rPr>
          <w:color w:val="000000"/>
        </w:rPr>
        <w:t xml:space="preserve">” </w:t>
      </w:r>
      <w:r>
        <w:rPr>
          <w:rFonts w:ascii="Times New Roman;sans-serif" w:hAnsi="Times New Roman;sans-serif"/>
          <w:b w:val="false"/>
          <w:color w:val="000000"/>
          <w:sz w:val="22"/>
        </w:rPr>
        <w:t>shall mean, collectively, any existing or future direct or indirect subsidiary of the Borrower, other than any Unrestricted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Retired Capital Stock</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6.03(l)(i)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S&amp;P</w:t>
      </w:r>
      <w:r>
        <w:rPr>
          <w:color w:val="000000"/>
        </w:rPr>
        <w:t xml:space="preserve">” </w:t>
      </w:r>
      <w:r>
        <w:rPr>
          <w:rFonts w:ascii="Times New Roman;sans-serif" w:hAnsi="Times New Roman;sans-serif"/>
          <w:b w:val="false"/>
          <w:color w:val="000000"/>
          <w:sz w:val="22"/>
        </w:rPr>
        <w:t>shall mean Standard &amp; Poor’s Ratings Services, a Standard &amp; Poor’s Financial Services LLC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Sale Leaseback Transaction</w:t>
      </w:r>
      <w:r>
        <w:rPr>
          <w:color w:val="000000"/>
        </w:rPr>
        <w:t xml:space="preserve">” </w:t>
      </w:r>
      <w:r>
        <w:rPr>
          <w:rFonts w:ascii="Times New Roman;sans-serif" w:hAnsi="Times New Roman;sans-serif"/>
          <w:b w:val="false"/>
          <w:color w:val="000000"/>
          <w:sz w:val="22"/>
        </w:rPr>
        <w:t>means a sale leaseback transaction with respect to all or any portion of any real property, equipment or capital assets owned by the Borrower or any Restricted Subsidiary or other property customarily included in such transactions.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Sanctioned Country</w:t>
      </w:r>
      <w:r>
        <w:rPr>
          <w:color w:val="000000"/>
        </w:rPr>
        <w:t xml:space="preserve">” </w:t>
      </w:r>
      <w:r>
        <w:rPr>
          <w:rFonts w:ascii="Times New Roman;sans-serif" w:hAnsi="Times New Roman;sans-serif"/>
          <w:b w:val="false"/>
          <w:color w:val="000000"/>
          <w:sz w:val="22"/>
        </w:rPr>
        <w:t>shall mean, at any time, a country, region or territory which is itself the subject or target of any Sanctions (which, as of the Effective Date, shall include Cuba, Iran, North Korea, the Crimea Region of Ukraine, Syria, the so-called Donetsk People’s Republic and the so-called Luhansk People’s Republic).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Sanctioned Person</w:t>
      </w:r>
      <w:r>
        <w:rPr>
          <w:color w:val="000000"/>
        </w:rPr>
        <w:t xml:space="preserve">” </w:t>
      </w:r>
      <w:r>
        <w:rPr>
          <w:rFonts w:ascii="Times New Roman;sans-serif" w:hAnsi="Times New Roman;sans-serif"/>
          <w:b w:val="false"/>
          <w:color w:val="000000"/>
          <w:sz w:val="22"/>
        </w:rPr>
        <w:t xml:space="preserve">shall mean,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His Majesty’s Treasury of the United Kingdom, (b) any Person operating, organized or resident in a Sanctioned Country, (c) any Person owned or controlled by any such Person or Persons described in the foregoing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any Person otherwise the subject of any Sanctions.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Sanctions</w:t>
      </w:r>
      <w:r>
        <w:rPr>
          <w:color w:val="000000"/>
        </w:rPr>
        <w:t xml:space="preserve">” </w:t>
      </w:r>
      <w:r>
        <w:rPr>
          <w:rFonts w:ascii="Times New Roman;sans-serif" w:hAnsi="Times New Roman;sans-serif"/>
          <w:b w:val="false"/>
          <w:color w:val="000000"/>
          <w:sz w:val="22"/>
        </w:rPr>
        <w:t>shall mean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Satisfaction of Conversion Obligation</w:t>
      </w:r>
      <w:r>
        <w:rPr>
          <w:color w:val="000000"/>
        </w:rPr>
        <w:t xml:space="preserve">” </w:t>
      </w:r>
      <w:r>
        <w:rPr>
          <w:rFonts w:ascii="Times New Roman;sans-serif" w:hAnsi="Times New Roman;sans-serif"/>
          <w:b w:val="false"/>
          <w:color w:val="000000"/>
          <w:sz w:val="22"/>
        </w:rPr>
        <w:t>shall mean any settlement upon conversion of Permitted Convertible Notes consisting of Permitted Stock, cash or a combination of cash and Permitted Stock.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Scheduled Unavailability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2.14(g)(B)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shall mean the Securities and Exchange Commission of the U.S.</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01040"/>
                <wp:effectExtent l="0" t="0" r="0" b="0"/>
                <wp:wrapNone/>
                <wp:docPr id="142" name="Frame11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SOFR</w:t>
      </w:r>
      <w:r>
        <w:rPr>
          <w:color w:val="000000"/>
        </w:rPr>
        <w:t xml:space="preserve">” </w:t>
      </w:r>
      <w:r>
        <w:rPr>
          <w:rFonts w:ascii="Times New Roman;sans-serif" w:hAnsi="Times New Roman;sans-serif"/>
          <w:b w:val="false"/>
          <w:color w:val="000000"/>
          <w:sz w:val="22"/>
        </w:rPr>
        <w:t>shall mean a rate equal to the secured overnight financing rate as administered by the NYFRB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SOFR Adjustment</w:t>
      </w:r>
      <w:r>
        <w:rPr>
          <w:color w:val="000000"/>
        </w:rPr>
        <w:t xml:space="preserve">” </w:t>
      </w:r>
      <w:r>
        <w:rPr>
          <w:rFonts w:ascii="Times New Roman;sans-serif" w:hAnsi="Times New Roman;sans-serif"/>
          <w:b w:val="false"/>
          <w:color w:val="000000"/>
          <w:sz w:val="22"/>
        </w:rPr>
        <w:t>shall mean 0.10% (10 basis points) per annum.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Solvent</w:t>
      </w:r>
      <w:r>
        <w:rPr>
          <w:color w:val="000000"/>
        </w:rPr>
        <w:t xml:space="preserve">” </w:t>
      </w:r>
      <w:r>
        <w:rPr>
          <w:rFonts w:ascii="Times New Roman;sans-serif" w:hAnsi="Times New Roman;sans-serif"/>
          <w:b w:val="false"/>
          <w:color w:val="000000"/>
          <w:sz w:val="22"/>
        </w:rPr>
        <w:t>shall mean, with respect to any Person on any date of determination, (a) the fair value and the present saleable value of any and all property of such Person and its subsidiaries, on a consolidated basis, is greater than the probable liability on existing debts of such Person and its subsidiaries, on a consolidated basis, as they become absolute and mature, (b) such Person and its subsidiaries, on a consolidated basis, are able to pay their debts (including contingent and subordinated liabilities) as they become absolute and mature, (c) such Person and its subsidiaries do not intend to, nor believes that they will, incur debts that would be beyond their ability to pay as such debts mature and (d) such Person and its subsidiaries, on a consolidated basis, are not engaged in businesses or transactions, nor about to engage in businesses or transactions, for which any property remaining would constitute unreasonably small capital. For purposes of this definition, the amount of any contingent liability at any time shall be computed as the amount that would reasonably be expected to become an actual and matured liability.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Special Purpose Entity</w:t>
      </w:r>
      <w:r>
        <w:rPr>
          <w:color w:val="000000"/>
        </w:rPr>
        <w:t xml:space="preserve">” </w:t>
      </w:r>
      <w:r>
        <w:rPr>
          <w:rFonts w:ascii="Times New Roman;sans-serif" w:hAnsi="Times New Roman;sans-serif"/>
          <w:b w:val="false"/>
          <w:color w:val="000000"/>
          <w:sz w:val="22"/>
        </w:rPr>
        <w:t>means a direct or indirect Subsidiary of any Loan Party, whose Organizational Documents contain restrictions on its purpose and activities intended to preserve its separateness from such Loan Party and/or one or more Subsidiaries of such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Specified Event of Default</w:t>
      </w:r>
      <w:r>
        <w:rPr>
          <w:color w:val="000000"/>
        </w:rPr>
        <w:t xml:space="preserve">” </w:t>
      </w:r>
      <w:r>
        <w:rPr>
          <w:rFonts w:ascii="Times New Roman;sans-serif" w:hAnsi="Times New Roman;sans-serif"/>
          <w:b w:val="false"/>
          <w:color w:val="000000"/>
          <w:sz w:val="22"/>
        </w:rPr>
        <w:t xml:space="preserve">shall mean any Event of Default under </w:t>
      </w:r>
      <w:r>
        <w:rPr>
          <w:rFonts w:ascii="Times New Roman;sans-serif" w:hAnsi="Times New Roman;sans-serif"/>
          <w:b w:val="false"/>
          <w:color w:val="000000"/>
          <w:sz w:val="22"/>
          <w:u w:val="single"/>
        </w:rPr>
        <w:t>clauses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Specified Transaction</w:t>
      </w:r>
      <w:r>
        <w:rPr>
          <w:color w:val="000000"/>
        </w:rPr>
        <w:t xml:space="preserve">” </w:t>
      </w:r>
      <w:r>
        <w:rPr>
          <w:rFonts w:ascii="Times New Roman;sans-serif" w:hAnsi="Times New Roman;sans-serif"/>
          <w:b w:val="false"/>
          <w:color w:val="000000"/>
          <w:sz w:val="22"/>
        </w:rPr>
        <w:t>means, with respect to any period during the Transactions, any Investment, Disposition, incurrence or repayment of Debt, Restricted Distribution, subsidiary designation, operating improvements, restructurings, cost saving initiatives or other initiatives or any other event that by the terms of the loan documents requires pro forma compliance with a test or covenant hereunder or requires such test or covenant to be calculated on a “pro forma basis” or after giving “pro forma effect” to such event.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Standard Securitization Undertakings</w:t>
      </w:r>
      <w:r>
        <w:rPr>
          <w:color w:val="000000"/>
        </w:rPr>
        <w:t xml:space="preserve">” </w:t>
      </w:r>
      <w:r>
        <w:rPr>
          <w:rFonts w:ascii="Times New Roman;sans-serif" w:hAnsi="Times New Roman;sans-serif"/>
          <w:b w:val="false"/>
          <w:color w:val="000000"/>
          <w:sz w:val="22"/>
        </w:rPr>
        <w:t>means all representations, warranties, covenants, pledges, transfers, purchases, dispositions, guaranties and indemnities (including repurchase obligations (and/or any guarantees thereof) in the event of a breach of representation or warranty, covenant or otherwise (including, without limitation, as a result of a receivable or a portion thereof becoming subject to any asserted defense, dispute, offset or counterclaim of any kind as a result of any action taken by, any failure to take any action by or other event relating to the applicable person)) and other undertakings made or provided, and servicing obligations undertaken by any Subsidiary that the Borrower has determined in good faith to be customary in connection with a Permitted Receivables Financing.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Statements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2.18(g)</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Subject Indebtedness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9.02(b)</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01040"/>
                <wp:effectExtent l="0" t="0" r="0" b="0"/>
                <wp:wrapNone/>
                <wp:docPr id="143" name="Frame11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subsidiary</w:t>
      </w:r>
      <w:r>
        <w:rPr>
          <w:color w:val="000000"/>
        </w:rPr>
        <w:t xml:space="preserve">” </w:t>
      </w:r>
      <w:r>
        <w:rPr>
          <w:rFonts w:ascii="Times New Roman;sans-serif" w:hAnsi="Times New Roman;sans-serif"/>
          <w:b w:val="false"/>
          <w:color w:val="000000"/>
          <w:sz w:val="22"/>
        </w:rPr>
        <w:t>shall mean, with respect to any Person (herein referred to as the “parent”), any corporation, partnership, limited liability company, association or other business entity (a) of which securities or other ownership interests representing more than 50% of the equity or more than 50% of the ordinary voting power or more than 50% of the general partnership interests are, at the time any determination is being made, owned, controlled or held, or (b) that is, at the time any determination is made, otherwise controlled by the parent or one or more subsidiaries of the parent or by the parent and one or more subsidiaries of the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Subsidiary</w:t>
      </w:r>
      <w:r>
        <w:rPr>
          <w:color w:val="000000"/>
        </w:rPr>
        <w:t xml:space="preserve">” </w:t>
      </w:r>
      <w:r>
        <w:rPr>
          <w:rFonts w:ascii="Times New Roman;sans-serif" w:hAnsi="Times New Roman;sans-serif"/>
          <w:b w:val="false"/>
          <w:color w:val="000000"/>
          <w:sz w:val="22"/>
        </w:rPr>
        <w:t>shall mean any subsidiary of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Subsidiary Guarantor</w:t>
      </w:r>
      <w:r>
        <w:rPr>
          <w:color w:val="000000"/>
        </w:rPr>
        <w:t xml:space="preserve">” </w:t>
      </w:r>
      <w:r>
        <w:rPr>
          <w:rFonts w:ascii="Times New Roman;sans-serif" w:hAnsi="Times New Roman;sans-serif"/>
          <w:b w:val="false"/>
          <w:color w:val="000000"/>
          <w:sz w:val="22"/>
        </w:rPr>
        <w:t xml:space="preserve">shall mean each Subsidiary that is listed on </w:t>
      </w:r>
      <w:r>
        <w:rPr>
          <w:rFonts w:ascii="Times New Roman;sans-serif" w:hAnsi="Times New Roman;sans-serif"/>
          <w:b w:val="false"/>
          <w:color w:val="000000"/>
          <w:sz w:val="22"/>
          <w:u w:val="single"/>
        </w:rPr>
        <w:t>Schedule 1.01(b)</w:t>
      </w:r>
      <w:r>
        <w:rPr>
          <w:rFonts w:ascii="Times New Roman;sans-serif" w:hAnsi="Times New Roman;sans-serif"/>
          <w:b w:val="false"/>
          <w:color w:val="000000"/>
          <w:sz w:val="22"/>
        </w:rPr>
        <w:t>, and each other Subsidiary of the Borrower that is or becomes a party to the Guarantee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Supported QFC</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9.22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Swap Agreement</w:t>
      </w:r>
      <w:r>
        <w:rPr>
          <w:color w:val="000000"/>
        </w:rPr>
        <w:t xml:space="preserve">” </w:t>
      </w:r>
      <w:r>
        <w:rPr>
          <w:rFonts w:ascii="Times New Roman;sans-serif" w:hAnsi="Times New Roman;sans-serif"/>
          <w:b w:val="false"/>
          <w:color w:val="000000"/>
          <w:sz w:val="22"/>
        </w:rPr>
        <w:t xml:space="preserve">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phantom stock or similar plan providing for payments only on account of services provided by any Permitted Payee shall be a Swap Agreement. For the avoidance of doubt, in no event will Swap Agreements include any Issuer Option or obligation in respect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Taxes</w:t>
      </w:r>
      <w:r>
        <w:rPr>
          <w:color w:val="000000"/>
        </w:rPr>
        <w:t xml:space="preserve">” </w:t>
      </w:r>
      <w:r>
        <w:rPr>
          <w:rFonts w:ascii="Times New Roman;sans-serif" w:hAnsi="Times New Roman;sans-serif"/>
          <w:b w:val="false"/>
          <w:color w:val="000000"/>
          <w:sz w:val="22"/>
        </w:rPr>
        <w:t>shall mean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Tax Group</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6.03(m)</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Tax Restructuring</w:t>
      </w:r>
      <w:r>
        <w:rPr>
          <w:color w:val="000000"/>
        </w:rPr>
        <w:t xml:space="preserve">” </w:t>
      </w:r>
      <w:r>
        <w:rPr>
          <w:rFonts w:ascii="Times New Roman;sans-serif" w:hAnsi="Times New Roman;sans-serif"/>
          <w:b w:val="false"/>
          <w:color w:val="000000"/>
          <w:sz w:val="22"/>
        </w:rPr>
        <w:t>means any reorganizations and other activities related to tax planning and tax reorganization (as determined by the Borrower in good faith) entered into after the Effective Date so long as such Tax Restructuring does not materially impair the Guarantee taken as a whole.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Term SOFR</w:t>
      </w:r>
      <w:r>
        <w:rPr>
          <w:color w:val="000000"/>
        </w:rPr>
        <w:t xml:space="preserve">” </w:t>
      </w:r>
      <w:r>
        <w:rPr>
          <w:rFonts w:ascii="Times New Roman;sans-serif" w:hAnsi="Times New Roman;sans-serif"/>
          <w:b w:val="false"/>
          <w:color w:val="000000"/>
          <w:sz w:val="22"/>
        </w:rPr>
        <w:t xml:space="preserve">shall mean,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01040"/>
                <wp:effectExtent l="0" t="0" r="0" b="0"/>
                <wp:wrapNone/>
                <wp:docPr id="144" name="Frame11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for any calculation with respect to a Term SOFR Loan, the Term SOFR Reference Rate for a tenor comparable to the applicable Interest Period on the day (such day, the </w:t>
      </w:r>
      <w:r>
        <w:rPr>
          <w:color w:val="000000"/>
        </w:rPr>
        <w:t>“</w:t>
      </w:r>
      <w:r>
        <w:rPr>
          <w:rFonts w:ascii="Times New Roman;sans-serif" w:hAnsi="Times New Roman;sans-serif"/>
          <w:b/>
          <w:color w:val="000000"/>
          <w:sz w:val="22"/>
        </w:rPr>
        <w:t>Periodic Term SOFR Determination Day”</w:t>
      </w:r>
      <w:r>
        <w:rPr>
          <w:rFonts w:ascii="Times New Roman;sans-serif" w:hAnsi="Times New Roman;sans-serif"/>
          <w:b w:val="false"/>
          <w:color w:val="000000"/>
          <w:sz w:val="22"/>
        </w:rPr>
        <w:t xml:space="preserve">) that is two (2) Business Days prior to the first day of such applicable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in each case,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the SOFR Adjustment for such Interest Period;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for any calculation with respect to an ABR Loan on any day, the Term SOFR Reference Rate for a tenor of one month on the day (such day the </w:t>
      </w:r>
      <w:r>
        <w:rPr>
          <w:color w:val="000000"/>
        </w:rPr>
        <w:t>“</w:t>
      </w:r>
      <w:r>
        <w:rPr>
          <w:rFonts w:ascii="Times New Roman;sans-serif" w:hAnsi="Times New Roman;sans-serif"/>
          <w:b/>
          <w:color w:val="000000"/>
          <w:sz w:val="22"/>
        </w:rPr>
        <w:t>ABR Term SOFR Determination Day”</w:t>
      </w:r>
      <w:r>
        <w:rPr>
          <w:rFonts w:ascii="Times New Roman;sans-serif" w:hAnsi="Times New Roman;sans-serif"/>
          <w:b w:val="false"/>
          <w:color w:val="000000"/>
          <w:sz w:val="22"/>
        </w:rPr>
        <w:t>) that is two (2)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as long as such first preceding Business Day is not more than three (3) Business Days prior to such ABR Term SOFR Determination Day;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provided, further, that if Term SOFR determined as provided above (including pursuant to the proviso under clause (a) or clause (b) above) shall ever be less than the Floor, then Term SOFR shall be deemed to be the Floor.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Term SOFR Administrator</w:t>
      </w:r>
      <w:r>
        <w:rPr>
          <w:color w:val="000000"/>
        </w:rPr>
        <w:t xml:space="preserve">” </w:t>
      </w:r>
      <w:r>
        <w:rPr>
          <w:rFonts w:ascii="Times New Roman;sans-serif" w:hAnsi="Times New Roman;sans-serif"/>
          <w:b w:val="false"/>
          <w:color w:val="000000"/>
          <w:sz w:val="22"/>
        </w:rPr>
        <w:t>shall mean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Term SOFR Loan</w:t>
      </w:r>
      <w:r>
        <w:rPr>
          <w:color w:val="000000"/>
        </w:rPr>
        <w:t xml:space="preserve">” </w:t>
      </w:r>
      <w:r>
        <w:rPr>
          <w:rFonts w:ascii="Times New Roman;sans-serif" w:hAnsi="Times New Roman;sans-serif"/>
          <w:b w:val="false"/>
          <w:color w:val="000000"/>
          <w:sz w:val="22"/>
        </w:rPr>
        <w:t>shall mean a Loan bearing interest based on the Term SOFR Rate, other than pursuant to clause (c) of the definition of “</w:t>
      </w:r>
      <w:r>
        <w:rPr>
          <w:rFonts w:ascii="Times New Roman;sans-serif" w:hAnsi="Times New Roman;sans-serif"/>
          <w:b/>
          <w:color w:val="000000"/>
          <w:sz w:val="22"/>
        </w:rPr>
        <w:t>Alternate Base Rate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Term SOFR Rate</w:t>
      </w:r>
      <w:r>
        <w:rPr>
          <w:color w:val="000000"/>
        </w:rPr>
        <w:t xml:space="preserve">” </w:t>
      </w:r>
      <w:r>
        <w:rPr>
          <w:rFonts w:ascii="Times New Roman;sans-serif" w:hAnsi="Times New Roman;sans-serif"/>
          <w:b w:val="false"/>
          <w:color w:val="000000"/>
          <w:sz w:val="22"/>
        </w:rPr>
        <w:t xml:space="preserve">shall mean, with respect to any tenor, an interest rate per annum equal to Term SOFR for such tenor;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Term SOFR as so determined would be less than zero, Term SOFR will be deemed to be zero for the purposes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Term SOFR Reference Rate</w:t>
      </w:r>
      <w:r>
        <w:rPr>
          <w:color w:val="000000"/>
        </w:rPr>
        <w:t xml:space="preserve">” </w:t>
      </w:r>
      <w:r>
        <w:rPr>
          <w:rFonts w:ascii="Times New Roman;sans-serif" w:hAnsi="Times New Roman;sans-serif"/>
          <w:b w:val="false"/>
          <w:color w:val="000000"/>
          <w:sz w:val="22"/>
        </w:rPr>
        <w:t>shall mean the forward-looking term rate based on SOFR.</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01040"/>
                <wp:effectExtent l="0" t="0" r="0" b="0"/>
                <wp:wrapNone/>
                <wp:docPr id="145" name="Frame12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Test Period</w:t>
      </w:r>
      <w:r>
        <w:rPr>
          <w:color w:val="000000"/>
        </w:rPr>
        <w:t xml:space="preserve">” </w:t>
      </w:r>
      <w:r>
        <w:rPr>
          <w:rFonts w:ascii="Times New Roman;sans-serif" w:hAnsi="Times New Roman;sans-serif"/>
          <w:b w:val="false"/>
          <w:color w:val="000000"/>
          <w:sz w:val="22"/>
        </w:rPr>
        <w:t xml:space="preserve">shall mean, as of any date of determination, the most recently completed four consecutive fiscal quarters of the Borrower ending on or prior to such date for which financial statements have been delivered pursuant to </w:t>
      </w:r>
      <w:r>
        <w:rPr>
          <w:rFonts w:ascii="Times New Roman;sans-serif" w:hAnsi="Times New Roman;sans-serif"/>
          <w:b w:val="false"/>
          <w:color w:val="000000"/>
          <w:sz w:val="22"/>
          <w:u w:val="single"/>
        </w:rPr>
        <w:t>Section 5.01(a)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5.01(b)</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prior to the first date on which financial statements have been delivered pursuant to </w:t>
      </w:r>
      <w:r>
        <w:rPr>
          <w:rFonts w:ascii="Times New Roman;sans-serif" w:hAnsi="Times New Roman;sans-serif"/>
          <w:b w:val="false"/>
          <w:color w:val="000000"/>
          <w:sz w:val="22"/>
          <w:u w:val="single"/>
        </w:rPr>
        <w:t>Section 5.01(a)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5.01(b)</w:t>
      </w:r>
      <w:r>
        <w:rPr>
          <w:color w:val="000000"/>
        </w:rPr>
        <w:t xml:space="preserve"> </w:t>
      </w:r>
      <w:r>
        <w:rPr>
          <w:rFonts w:ascii="Times New Roman;sans-serif" w:hAnsi="Times New Roman;sans-serif"/>
          <w:b w:val="false"/>
          <w:color w:val="000000"/>
          <w:sz w:val="22"/>
        </w:rPr>
        <w:t>(or, with respect to the quarterly financial statements for the period ended June 30, 2024, pursuant to the 10-Q delivered (or deemed delivered) by the Borrower covering the relevant period), the Test Period in effect shall be the period of four consecutive fiscal quarters of the Borrower ended March 31, 2024.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Threshold Amount</w:t>
      </w:r>
      <w:r>
        <w:rPr>
          <w:color w:val="000000"/>
        </w:rPr>
        <w:t xml:space="preserve">” </w:t>
      </w:r>
      <w:r>
        <w:rPr>
          <w:rFonts w:ascii="Times New Roman;sans-serif" w:hAnsi="Times New Roman;sans-serif"/>
          <w:b w:val="false"/>
          <w:color w:val="000000"/>
          <w:sz w:val="22"/>
        </w:rPr>
        <w:t>shall mean, as of any date of determination, $100,000,000.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Trade Secret</w:t>
      </w:r>
      <w:r>
        <w:rPr>
          <w:color w:val="000000"/>
        </w:rPr>
        <w:t xml:space="preserve">” </w:t>
      </w:r>
      <w:r>
        <w:rPr>
          <w:rFonts w:ascii="Times New Roman;sans-serif" w:hAnsi="Times New Roman;sans-serif"/>
          <w:b w:val="false"/>
          <w:color w:val="000000"/>
          <w:sz w:val="22"/>
        </w:rPr>
        <w:t>shall mean all rights, title and interests (and all related IP Ancillary Rights) in or relating to trade secrets (including to the fullest extent arising under any Requirement of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Trademark</w:t>
      </w:r>
      <w:r>
        <w:rPr>
          <w:color w:val="000000"/>
        </w:rPr>
        <w:t xml:space="preserve">” </w:t>
      </w:r>
      <w:r>
        <w:rPr>
          <w:rFonts w:ascii="Times New Roman;sans-serif" w:hAnsi="Times New Roman;sans-serif"/>
          <w:b w:val="false"/>
          <w:color w:val="000000"/>
          <w:sz w:val="22"/>
        </w:rPr>
        <w:t>shall mean all rights, title and interests (and all related IP Ancillary Rights) in or relating to trademarks, trade names, corporate names, company names, business names, fictitious business names, trade styles, service marks, logos and other source or business identifiers (including to the fullest extent arising under any Requirement of Law), together with all goodwill associated therewith, all registrations and recordations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Transaction Costs</w:t>
      </w:r>
      <w:r>
        <w:rPr>
          <w:color w:val="000000"/>
        </w:rPr>
        <w:t xml:space="preserve">” </w:t>
      </w:r>
      <w:r>
        <w:rPr>
          <w:rFonts w:ascii="Times New Roman;sans-serif" w:hAnsi="Times New Roman;sans-serif"/>
          <w:b w:val="false"/>
          <w:color w:val="000000"/>
          <w:sz w:val="22"/>
        </w:rPr>
        <w:t>shall mean all fees, costs and expenses incurred in connection with the Transactions.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Transactions</w:t>
      </w:r>
      <w:r>
        <w:rPr>
          <w:color w:val="000000"/>
        </w:rPr>
        <w:t xml:space="preserve">” </w:t>
      </w:r>
      <w:r>
        <w:rPr>
          <w:rFonts w:ascii="Times New Roman;sans-serif" w:hAnsi="Times New Roman;sans-serif"/>
          <w:b w:val="false"/>
          <w:color w:val="000000"/>
          <w:sz w:val="22"/>
        </w:rPr>
        <w:t>shall mean the execution, delivery and performance by the Borrower of this Agreement and the other Loan Documents, the borrowing of Loans and other credit extensions, and the use of the proceeds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Type</w:t>
      </w:r>
      <w:r>
        <w:rPr>
          <w:color w:val="000000"/>
        </w:rPr>
        <w:t>”</w:t>
      </w:r>
      <w:r>
        <w:rPr>
          <w:rFonts w:ascii="Times New Roman;sans-serif" w:hAnsi="Times New Roman;sans-serif"/>
          <w:b w:val="false"/>
          <w:color w:val="000000"/>
          <w:sz w:val="22"/>
        </w:rPr>
        <w:t>, when used in reference to any Loan or Borrowing, refers to whether the rate of interest on such Loan, or on the Loans comprising such Borrowing, is determined by reference to the Term SOFR Rate or the Alternate Base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UK Financial Institutions</w:t>
      </w:r>
      <w:r>
        <w:rPr>
          <w:color w:val="000000"/>
        </w:rPr>
        <w:t xml:space="preserve">” </w:t>
      </w:r>
      <w:r>
        <w:rPr>
          <w:rFonts w:ascii="Times New Roman;sans-serif" w:hAnsi="Times New Roman;sans-serif"/>
          <w:b w:val="false"/>
          <w:color w:val="000000"/>
          <w:sz w:val="22"/>
        </w:rPr>
        <w:t>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UK Resolution Authority</w:t>
      </w:r>
      <w:r>
        <w:rPr>
          <w:color w:val="000000"/>
        </w:rPr>
        <w:t xml:space="preserve">” </w:t>
      </w:r>
      <w:r>
        <w:rPr>
          <w:rFonts w:ascii="Times New Roman;sans-serif" w:hAnsi="Times New Roman;sans-serif"/>
          <w:b w:val="false"/>
          <w:color w:val="000000"/>
          <w:sz w:val="22"/>
        </w:rPr>
        <w:t>shall mean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Unadjusted Benchmark Replacement</w:t>
      </w:r>
      <w:r>
        <w:rPr>
          <w:color w:val="000000"/>
        </w:rPr>
        <w:t xml:space="preserve">” </w:t>
      </w:r>
      <w:r>
        <w:rPr>
          <w:rFonts w:ascii="Times New Roman;sans-serif" w:hAnsi="Times New Roman;sans-serif"/>
          <w:b w:val="false"/>
          <w:color w:val="000000"/>
          <w:sz w:val="22"/>
        </w:rPr>
        <w:t>shall mean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Undrawn Fee Rate</w:t>
      </w:r>
      <w:r>
        <w:rPr>
          <w:color w:val="000000"/>
        </w:rPr>
        <w:t xml:space="preserve">” </w:t>
      </w:r>
      <w:r>
        <w:rPr>
          <w:rFonts w:ascii="Times New Roman;sans-serif" w:hAnsi="Times New Roman;sans-serif"/>
          <w:b w:val="false"/>
          <w:color w:val="000000"/>
          <w:sz w:val="22"/>
        </w:rPr>
        <w:t>shall mean, for any date, with respect to the undrawn fees payable hereunder, a rate per annum equal to 0.50%.</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701040"/>
                <wp:effectExtent l="0" t="0" r="0" b="0"/>
                <wp:wrapNone/>
                <wp:docPr id="146" name="Frame12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Unliquidated Obligations</w:t>
      </w:r>
      <w:r>
        <w:rPr>
          <w:color w:val="000000"/>
        </w:rPr>
        <w:t xml:space="preserve">” </w:t>
      </w:r>
      <w:r>
        <w:rPr>
          <w:rFonts w:ascii="Times New Roman;sans-serif" w:hAnsi="Times New Roman;sans-serif"/>
          <w:b w:val="false"/>
          <w:color w:val="000000"/>
          <w:sz w:val="22"/>
        </w:rPr>
        <w:t>shall mean, at any time, any Obligations (or portion thereof) that are contingent in nature or unliquidated at such time, including any obligation (including any guarantee) that is contingent in nature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Unrestricted Subsidiary</w:t>
      </w:r>
      <w:r>
        <w:rPr>
          <w:color w:val="000000"/>
        </w:rPr>
        <w:t xml:space="preserve">” </w:t>
      </w:r>
      <w:r>
        <w:rPr>
          <w:rFonts w:ascii="Times New Roman;sans-serif" w:hAnsi="Times New Roman;sans-serif"/>
          <w:b w:val="false"/>
          <w:color w:val="000000"/>
          <w:sz w:val="22"/>
        </w:rPr>
        <w:t xml:space="preserve">shall mean (a) as of the Effective Date, each subsidiary of the Borrower listed on </w:t>
      </w:r>
      <w:r>
        <w:rPr>
          <w:rFonts w:ascii="Times New Roman;sans-serif" w:hAnsi="Times New Roman;sans-serif"/>
          <w:b w:val="false"/>
          <w:color w:val="000000"/>
          <w:sz w:val="22"/>
          <w:u w:val="single"/>
        </w:rPr>
        <w:t>Schedule 1.01(b)</w:t>
      </w:r>
      <w:r>
        <w:rPr>
          <w:rFonts w:ascii="Times New Roman;sans-serif" w:hAnsi="Times New Roman;sans-serif"/>
          <w:b w:val="false"/>
          <w:color w:val="000000"/>
          <w:sz w:val="22"/>
        </w:rPr>
        <w:t xml:space="preserve">, (b) any subsidiary of the Borrower designated by the Borrower as an Unrestricted Subsidiary pursuant to </w:t>
      </w:r>
      <w:r>
        <w:rPr>
          <w:rFonts w:ascii="Times New Roman;sans-serif" w:hAnsi="Times New Roman;sans-serif"/>
          <w:b w:val="false"/>
          <w:color w:val="000000"/>
          <w:sz w:val="22"/>
          <w:u w:val="single"/>
        </w:rPr>
        <w:t>Section 5.14</w:t>
      </w:r>
      <w:r>
        <w:rPr>
          <w:color w:val="000000"/>
        </w:rPr>
        <w:t xml:space="preserve"> </w:t>
      </w:r>
      <w:r>
        <w:rPr>
          <w:rFonts w:ascii="Times New Roman;sans-serif" w:hAnsi="Times New Roman;sans-serif"/>
          <w:b w:val="false"/>
          <w:color w:val="000000"/>
          <w:sz w:val="22"/>
        </w:rPr>
        <w:t xml:space="preserve">subsequent to the Effective Date and (c) any subsidiary of an Unrestricted Subsidiary;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notwithstanding the foregoing </w:t>
      </w:r>
      <w:r>
        <w:rPr>
          <w:rFonts w:ascii="Times New Roman;sans-serif" w:hAnsi="Times New Roman;sans-serif"/>
          <w:b w:val="false"/>
          <w:color w:val="000000"/>
          <w:sz w:val="22"/>
          <w:u w:val="single"/>
        </w:rPr>
        <w:t>clauses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in no event shall any subsidiary that owns any Equity Interest of the Borrower, any Restricted Subsidiary or any Material IP Subsidiary, in each case, be an Unrestricted Subsidiary and (ii) subject to the provisions of </w:t>
      </w:r>
      <w:r>
        <w:rPr>
          <w:rFonts w:ascii="Times New Roman;sans-serif" w:hAnsi="Times New Roman;sans-serif"/>
          <w:b w:val="false"/>
          <w:color w:val="000000"/>
          <w:sz w:val="22"/>
          <w:u w:val="single"/>
        </w:rPr>
        <w:t>Section 5.14</w:t>
      </w:r>
      <w:r>
        <w:rPr>
          <w:rFonts w:ascii="Times New Roman;sans-serif" w:hAnsi="Times New Roman;sans-serif"/>
          <w:b w:val="false"/>
          <w:color w:val="000000"/>
          <w:sz w:val="22"/>
        </w:rPr>
        <w:t>, any subsidiary that is redesignated as a Restricted Subsidiary shall cease to be an Unrestricted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Upper Strike Warrant</w:t>
      </w:r>
      <w:r>
        <w:rPr>
          <w:color w:val="000000"/>
        </w:rPr>
        <w:t xml:space="preserve">” </w:t>
      </w:r>
      <w:r>
        <w:rPr>
          <w:rFonts w:ascii="Times New Roman;sans-serif" w:hAnsi="Times New Roman;sans-serif"/>
          <w:b w:val="false"/>
          <w:color w:val="000000"/>
          <w:sz w:val="22"/>
        </w:rPr>
        <w:t>shall mean any call option, warrant or right to purchase (or substantially equivalent derivative transaction) with respect to Permitted Stock sold by the Borrower in connection with the issuance of Permitted Convertible Notes by the Borrower (or any parent company thereof) (whether such option, warrant, right to purchase (or similar transaction) is settled in shares, cash or a combination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U.S.</w:t>
      </w:r>
      <w:r>
        <w:rPr>
          <w:color w:val="000000"/>
        </w:rPr>
        <w:t xml:space="preserve">” </w:t>
      </w:r>
      <w:r>
        <w:rPr>
          <w:rFonts w:ascii="Times New Roman;sans-serif" w:hAnsi="Times New Roman;sans-serif"/>
          <w:b w:val="false"/>
          <w:color w:val="000000"/>
          <w:sz w:val="22"/>
        </w:rPr>
        <w:t>shall mean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U.S. Person</w:t>
      </w:r>
      <w:r>
        <w:rPr>
          <w:color w:val="000000"/>
        </w:rPr>
        <w:t xml:space="preserve">” </w:t>
      </w:r>
      <w:r>
        <w:rPr>
          <w:rFonts w:ascii="Times New Roman;sans-serif" w:hAnsi="Times New Roman;sans-serif"/>
          <w:b w:val="false"/>
          <w:color w:val="000000"/>
          <w:sz w:val="22"/>
        </w:rPr>
        <w:t>shall mean a “United States person” within the meaning of Section 7701(a)(30)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U.S. Special Resolution Regime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9.22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U.S. Tax Compliance Certificate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2.17(f)(ii)(B)(3)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USA PATRIOT Act</w:t>
      </w:r>
      <w:r>
        <w:rPr>
          <w:color w:val="000000"/>
        </w:rPr>
        <w:t xml:space="preserve">” </w:t>
      </w:r>
      <w:r>
        <w:rPr>
          <w:rFonts w:ascii="Times New Roman;sans-serif" w:hAnsi="Times New Roman;sans-serif"/>
          <w:b w:val="false"/>
          <w:color w:val="000000"/>
          <w:sz w:val="22"/>
        </w:rPr>
        <w:t>shall mean the Uniting and Strengthening America by Providing Appropriate Tools Required to Intercept and Obstruct Terrorism Act of 2001.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Voting Stock</w:t>
      </w:r>
      <w:r>
        <w:rPr>
          <w:color w:val="000000"/>
        </w:rPr>
        <w:t xml:space="preserve">” </w:t>
      </w:r>
      <w:r>
        <w:rPr>
          <w:rFonts w:ascii="Times New Roman;sans-serif" w:hAnsi="Times New Roman;sans-serif"/>
          <w:b w:val="false"/>
          <w:color w:val="000000"/>
          <w:sz w:val="22"/>
        </w:rPr>
        <w:t>shall mean, as of any date, the Equity Interests of any Person that are at the time entitled to appoint or to vote (without regard to the occurrence of any contingency) in the election of the board of directors, board of managers or other equivalent governing body of such Person (or, if such Person is owned or managed by a single entity, the board of directors, board of managers or other governing body of such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Wholly Owned Subsidiary</w:t>
      </w:r>
      <w:r>
        <w:rPr>
          <w:color w:val="000000"/>
        </w:rPr>
        <w:t xml:space="preserve">” </w:t>
      </w:r>
      <w:r>
        <w:rPr>
          <w:rFonts w:ascii="Times New Roman;sans-serif" w:hAnsi="Times New Roman;sans-serif"/>
          <w:b w:val="false"/>
          <w:color w:val="000000"/>
          <w:sz w:val="22"/>
        </w:rPr>
        <w:t>of any Person shall mean a subsidiary of such Person of which securities (except for directors’ qualifying shares) or other ownership interests representing 100% of the Equity Interests are, at the time any determination is being made, owned, controlled or held by such Person or one or more wholly owned subsidiaries of such Person or by such Person and one or more wholly owned subsidiaries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Withdrawal Liability</w:t>
      </w:r>
      <w:r>
        <w:rPr>
          <w:color w:val="000000"/>
        </w:rPr>
        <w:t xml:space="preserve">” </w:t>
      </w:r>
      <w:r>
        <w:rPr>
          <w:rFonts w:ascii="Times New Roman;sans-serif" w:hAnsi="Times New Roman;sans-serif"/>
          <w:b w:val="false"/>
          <w:color w:val="000000"/>
          <w:sz w:val="22"/>
        </w:rPr>
        <w:t>shall mean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Withholding Agent</w:t>
      </w:r>
      <w:r>
        <w:rPr>
          <w:color w:val="000000"/>
        </w:rPr>
        <w:t xml:space="preserve">” </w:t>
      </w:r>
      <w:r>
        <w:rPr>
          <w:rFonts w:ascii="Times New Roman;sans-serif" w:hAnsi="Times New Roman;sans-serif"/>
          <w:b w:val="false"/>
          <w:color w:val="000000"/>
          <w:sz w:val="22"/>
        </w:rPr>
        <w:t>shall mean any Loan Party and the Administrative Agent.</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01040"/>
                <wp:effectExtent l="0" t="0" r="0" b="0"/>
                <wp:wrapNone/>
                <wp:docPr id="147" name="Frame12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Write-Down and Conversion Powers</w:t>
      </w:r>
      <w:r>
        <w:rPr>
          <w:color w:val="000000"/>
        </w:rPr>
        <w:t xml:space="preserve">” </w:t>
      </w:r>
      <w:r>
        <w:rPr>
          <w:rFonts w:ascii="Times New Roman;sans-serif" w:hAnsi="Times New Roman;sans-serif"/>
          <w:b w:val="false"/>
          <w:color w:val="000000"/>
          <w:sz w:val="22"/>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1.02.    </w:t>
      </w:r>
      <w:r>
        <w:rPr>
          <w:rFonts w:ascii="Times New Roman;sans-serif" w:hAnsi="Times New Roman;sans-serif"/>
          <w:b w:val="false"/>
          <w:i/>
          <w:color w:val="000000"/>
          <w:sz w:val="22"/>
        </w:rPr>
        <w:t>Classification of Loans and Borrowings</w:t>
      </w:r>
      <w:r>
        <w:rPr>
          <w:rFonts w:ascii="Times New Roman;sans-serif" w:hAnsi="Times New Roman;sans-serif"/>
          <w:b w:val="false"/>
          <w:color w:val="000000"/>
          <w:sz w:val="22"/>
        </w:rPr>
        <w:t>. For purposes of this Agreement, Loans may be classified and referred to by Type (e.g., a “</w:t>
      </w:r>
      <w:r>
        <w:rPr>
          <w:rFonts w:ascii="Times New Roman;sans-serif" w:hAnsi="Times New Roman;sans-serif"/>
          <w:b/>
          <w:color w:val="000000"/>
          <w:sz w:val="22"/>
        </w:rPr>
        <w:t>Term SOFR Loan</w:t>
      </w:r>
      <w:r>
        <w:rPr>
          <w:color w:val="000000"/>
        </w:rPr>
        <w:t>”</w:t>
      </w:r>
      <w:r>
        <w:rPr>
          <w:rFonts w:ascii="Times New Roman;sans-serif" w:hAnsi="Times New Roman;sans-serif"/>
          <w:b w:val="false"/>
          <w:color w:val="000000"/>
          <w:sz w:val="22"/>
        </w:rPr>
        <w:t>). Borrowings also may be classified and referred to by Type (e.g., a “</w:t>
      </w:r>
      <w:r>
        <w:rPr>
          <w:rFonts w:ascii="Times New Roman;sans-serif" w:hAnsi="Times New Roman;sans-serif"/>
          <w:b/>
          <w:color w:val="000000"/>
          <w:sz w:val="22"/>
        </w:rPr>
        <w:t>Term SOFR Borrowing</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1.03.    </w:t>
      </w:r>
      <w:r>
        <w:rPr>
          <w:rFonts w:ascii="Times New Roman;sans-serif" w:hAnsi="Times New Roman;sans-serif"/>
          <w:b w:val="false"/>
          <w:i/>
          <w:color w:val="000000"/>
          <w:sz w:val="22"/>
        </w:rPr>
        <w:t>Terms Generally</w:t>
      </w:r>
      <w:r>
        <w:rPr>
          <w:rFonts w:ascii="Times New Roman;sans-serif" w:hAnsi="Times New Roman;sans-serif"/>
          <w:b w:val="false"/>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01040"/>
                <wp:effectExtent l="0" t="0" r="0" b="0"/>
                <wp:wrapNone/>
                <wp:docPr id="148" name="Frame12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1.04.    </w:t>
      </w:r>
      <w:r>
        <w:rPr>
          <w:rFonts w:ascii="Times New Roman;sans-serif" w:hAnsi="Times New Roman;sans-serif"/>
          <w:b w:val="false"/>
          <w:i/>
          <w:color w:val="000000"/>
          <w:sz w:val="22"/>
        </w:rPr>
        <w:t>Accounting Terms; GAAP</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(a)    Except as otherwise expressly provided herein, all terms of an accounting or financial nature shall be construed in accordance with GAAP as in effect from time to time; </w:t>
      </w:r>
      <w:r>
        <w:rPr>
          <w:rFonts w:ascii="Times New Roman;sans-serif" w:hAnsi="Times New Roman;sans-serif"/>
          <w:b w:val="false"/>
          <w:i/>
          <w:color w:val="000000"/>
          <w:sz w:val="22"/>
        </w:rPr>
        <w:t>provided, however,</w:t>
      </w:r>
      <w:r>
        <w:rPr>
          <w:color w:val="000000"/>
        </w:rPr>
        <w:t xml:space="preserve"> </w:t>
      </w:r>
      <w:r>
        <w:rPr>
          <w:rFonts w:ascii="Times New Roman;sans-serif" w:hAnsi="Times New Roman;sans-serif"/>
          <w:b w:val="false"/>
          <w:color w:val="000000"/>
          <w:sz w:val="22"/>
        </w:rPr>
        <w:t xml:space="preserve">that if the Borrower notifies the Administrative Agent that the Borrower wishes to amend any covenant in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 xml:space="preserve">or any related definition to eliminate the effect of any change in GAAP occurring after the Effective Date on the operation of such covenant (or if the Administrative Agent notifies the Borrower that the Required Lenders wish to amend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Lease Treatment. Notwithstanding anything to the contrary contained in </w:t>
      </w:r>
      <w:r>
        <w:rPr>
          <w:rFonts w:ascii="Times New Roman;sans-serif" w:hAnsi="Times New Roman;sans-serif"/>
          <w:b w:val="false"/>
          <w:color w:val="000000"/>
          <w:sz w:val="22"/>
          <w:u w:val="single"/>
        </w:rPr>
        <w:t>Section 1.04(a)</w:t>
      </w:r>
      <w:r>
        <w:rPr>
          <w:color w:val="000000"/>
        </w:rPr>
        <w:t xml:space="preserve"> </w:t>
      </w:r>
      <w:r>
        <w:rPr>
          <w:rFonts w:ascii="Times New Roman;sans-serif" w:hAnsi="Times New Roman;sans-serif"/>
          <w:b w:val="false"/>
          <w:color w:val="000000"/>
          <w:sz w:val="22"/>
        </w:rPr>
        <w:t>above or the definition of “</w:t>
      </w:r>
      <w:r>
        <w:rPr>
          <w:rFonts w:ascii="Times New Roman;sans-serif" w:hAnsi="Times New Roman;sans-serif"/>
          <w:b/>
          <w:color w:val="000000"/>
          <w:sz w:val="22"/>
        </w:rPr>
        <w:t>Capital Lease Obligations</w:t>
      </w:r>
      <w:r>
        <w:rPr>
          <w:color w:val="000000"/>
        </w:rPr>
        <w:t>”</w:t>
      </w:r>
      <w:r>
        <w:rPr>
          <w:rFonts w:ascii="Times New Roman;sans-serif" w:hAnsi="Times New Roman;sans-serif"/>
          <w:b w:val="false"/>
          <w:color w:val="000000"/>
          <w:sz w:val="22"/>
        </w:rPr>
        <w:t>, only those leases that would constitute capital leases prior to the implementation of ASC 842 shall be considered Capital Leases, and all calculations and deliverables under this Agreement or any other Loan Document shall be made in accordance therewith (provided that all financial statements delivered to the Administrative Agent in accordance with the terms of this Agreement after the date of such accounting change shall contain a schedule showing the adjustments necessary to reconcile such financial statements with GAAP as in effect immediately prior to such accounting change).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01040"/>
                <wp:effectExtent l="0" t="0" r="0" b="0"/>
                <wp:wrapNone/>
                <wp:docPr id="149" name="Frame12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1.05.    </w:t>
      </w:r>
      <w:r>
        <w:rPr>
          <w:rFonts w:ascii="Times New Roman;sans-serif" w:hAnsi="Times New Roman;sans-serif"/>
          <w:b w:val="false"/>
          <w:i/>
          <w:color w:val="000000"/>
          <w:sz w:val="22"/>
          <w:shd w:fill="FFFFFF" w:val="clear"/>
        </w:rPr>
        <w:t>Limited Condition Transactions; Certain Calculations and Tests</w:t>
      </w:r>
      <w:r>
        <w:rPr>
          <w:rFonts w:ascii="Times New Roman;sans-serif" w:hAnsi="Times New Roman;sans-serif"/>
          <w:b w:val="false"/>
          <w:color w:val="000000"/>
          <w:sz w:val="22"/>
          <w:shd w:fill="FFFFFF" w:val="clear"/>
        </w:rPr>
        <w:t xml:space="preserve">.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shd w:fill="FFFFFF" w:val="clear"/>
        </w:rPr>
        <w:t xml:space="preserve">In connection with any action being taken solely in connection with a Limited Condition Transaction (including any contemplated incurrence or assumption of Debt in connection therewith, for purposes of (a) determining compliance with any financial ratio or test (including, without limitation, </w:t>
      </w:r>
      <w:r>
        <w:rPr>
          <w:rFonts w:ascii="Times New Roman;sans-serif" w:hAnsi="Times New Roman;sans-serif"/>
          <w:b w:val="false"/>
          <w:color w:val="000000"/>
          <w:sz w:val="22"/>
          <w:u w:val="single"/>
          <w:shd w:fill="FFFFFF" w:val="clear"/>
        </w:rPr>
        <w:t>Section 6.14</w:t>
      </w:r>
      <w:r>
        <w:rPr>
          <w:color w:val="000000"/>
          <w:shd w:fill="FFFFFF" w:val="clear"/>
        </w:rPr>
        <w:t xml:space="preserve"> </w:t>
      </w:r>
      <w:r>
        <w:rPr>
          <w:rFonts w:ascii="Times New Roman;sans-serif" w:hAnsi="Times New Roman;sans-serif"/>
          <w:b w:val="false"/>
          <w:color w:val="000000"/>
          <w:sz w:val="22"/>
          <w:shd w:fill="FFFFFF" w:val="clear"/>
        </w:rPr>
        <w:t xml:space="preserve">and/or any cap expressed as a percentage of Consolidated Total Assets), (b) testing availability under baskets set forth in this Agreement or (c) determining the accuracy of representations and warranties and/or whether a Default or Event of Default shall have occurred and be continuing (other than with respect to </w:t>
      </w:r>
      <w:r>
        <w:rPr>
          <w:rFonts w:ascii="Times New Roman;sans-serif" w:hAnsi="Times New Roman;sans-serif"/>
          <w:b w:val="false"/>
          <w:color w:val="000000"/>
          <w:sz w:val="22"/>
          <w:u w:val="single"/>
          <w:shd w:fill="FFFFFF" w:val="clear"/>
        </w:rPr>
        <w:t>Section 4.02</w:t>
      </w:r>
      <w:r>
        <w:rPr>
          <w:rFonts w:ascii="Times New Roman;sans-serif" w:hAnsi="Times New Roman;sans-serif"/>
          <w:b w:val="false"/>
          <w:color w:val="000000"/>
          <w:sz w:val="22"/>
          <w:shd w:fill="FFFFFF" w:val="clear"/>
        </w:rPr>
        <w:t>), in each case, at the option of the Borrower (the Borrower’s election to exercise such option in connection with any Limited Condition Transaction, an “</w:t>
      </w:r>
      <w:r>
        <w:rPr>
          <w:rFonts w:ascii="Times New Roman;sans-serif" w:hAnsi="Times New Roman;sans-serif"/>
          <w:b/>
          <w:color w:val="000000"/>
          <w:sz w:val="22"/>
          <w:shd w:fill="FFFFFF" w:val="clear"/>
        </w:rPr>
        <w:t>LCT Election</w:t>
      </w:r>
      <w:r>
        <w:rPr>
          <w:color w:val="000000"/>
          <w:shd w:fill="FFFFFF" w:val="clear"/>
        </w:rPr>
        <w:t>”</w:t>
      </w:r>
      <w:r>
        <w:rPr>
          <w:rFonts w:ascii="Times New Roman;sans-serif" w:hAnsi="Times New Roman;sans-serif"/>
          <w:b w:val="false"/>
          <w:color w:val="000000"/>
          <w:sz w:val="22"/>
          <w:shd w:fill="FFFFFF" w:val="clear"/>
        </w:rPr>
        <w:t xml:space="preserve">), the date of determination of whether any such action is permitted hereunder shall be deemed to be the date the definitive agreements with respect to such Limited Condition Transaction are entered into, in the case of a Limited Condition Eligible Transaction described in </w:t>
      </w:r>
      <w:r>
        <w:rPr>
          <w:rFonts w:ascii="Times New Roman;sans-serif" w:hAnsi="Times New Roman;sans-serif"/>
          <w:b w:val="false"/>
          <w:color w:val="000000"/>
          <w:sz w:val="22"/>
          <w:u w:val="single"/>
          <w:shd w:fill="FFFFFF" w:val="clear"/>
        </w:rPr>
        <w:t>clause (a)</w:t>
      </w:r>
      <w:r>
        <w:rPr>
          <w:color w:val="000000"/>
          <w:shd w:fill="FFFFFF" w:val="clear"/>
        </w:rPr>
        <w:t xml:space="preserve"> </w:t>
      </w:r>
      <w:r>
        <w:rPr>
          <w:rFonts w:ascii="Times New Roman;sans-serif" w:hAnsi="Times New Roman;sans-serif"/>
          <w:b w:val="false"/>
          <w:color w:val="000000"/>
          <w:sz w:val="22"/>
          <w:shd w:fill="FFFFFF" w:val="clear"/>
        </w:rPr>
        <w:t xml:space="preserve">of the definition thereof, or the date on which irrevocable notice of the applicable repayment or redemption of Debt is delivered, in the case of a Limited Condition Eligible Transaction described in </w:t>
      </w:r>
      <w:r>
        <w:rPr>
          <w:rFonts w:ascii="Times New Roman;sans-serif" w:hAnsi="Times New Roman;sans-serif"/>
          <w:b w:val="false"/>
          <w:color w:val="000000"/>
          <w:sz w:val="22"/>
          <w:u w:val="single"/>
          <w:shd w:fill="FFFFFF" w:val="clear"/>
        </w:rPr>
        <w:t>clause (b)</w:t>
      </w:r>
      <w:r>
        <w:rPr>
          <w:color w:val="000000"/>
          <w:shd w:fill="FFFFFF" w:val="clear"/>
        </w:rPr>
        <w:t xml:space="preserve"> </w:t>
      </w:r>
      <w:r>
        <w:rPr>
          <w:rFonts w:ascii="Times New Roman;sans-serif" w:hAnsi="Times New Roman;sans-serif"/>
          <w:b w:val="false"/>
          <w:color w:val="000000"/>
          <w:sz w:val="22"/>
          <w:shd w:fill="FFFFFF" w:val="clear"/>
        </w:rPr>
        <w:t>of the definition thereof (in each case, the “</w:t>
      </w:r>
      <w:r>
        <w:rPr>
          <w:rFonts w:ascii="Times New Roman;sans-serif" w:hAnsi="Times New Roman;sans-serif"/>
          <w:b/>
          <w:color w:val="000000"/>
          <w:sz w:val="22"/>
          <w:shd w:fill="FFFFFF" w:val="clear"/>
        </w:rPr>
        <w:t>LCT Test Date</w:t>
      </w:r>
      <w:r>
        <w:rPr>
          <w:color w:val="000000"/>
          <w:shd w:fill="FFFFFF" w:val="clear"/>
        </w:rPr>
        <w:t>”</w:t>
      </w:r>
      <w:r>
        <w:rPr>
          <w:rFonts w:ascii="Times New Roman;sans-serif" w:hAnsi="Times New Roman;sans-serif"/>
          <w:b w:val="false"/>
          <w:color w:val="000000"/>
          <w:sz w:val="22"/>
          <w:shd w:fill="FFFFFF" w:val="clear"/>
        </w:rPr>
        <w:t xml:space="preserve">), and if, after giving pro forma effect to the Limited Condition Transaction and the other transactions to be entered into in connection therewith (including any incurrence of Debt or Liens and the use of proceeds thereof) as if they had occurred at the beginning of the most recent period of four consecutive fiscal quarters ending on or prior to the LCT Test Date (or, if such date is not the last day of any fiscal quarter, the most recently completed Test Period), the Borrower could have taken such action on the relevant LCT Test Date in compliance with such ratio, basket or requirement with respect to the accuracy of representations and warranties or absence of Defaults or Events of Default, such ratio, basket or requirement shall be deemed to have been complied with. If the Borrower has made an LCT Election for any Limited Condition Transaction, then, in connection with any subsequent calculation of the ratios or baskets on or following the relevant LCT Test Date and prior to the earlier of (i) the date on which such Limited Condition Transaction is consummated or (ii) </w:t>
      </w:r>
      <w:r>
        <w:rPr>
          <w:rFonts w:ascii="Times New Roman;sans-serif" w:hAnsi="Times New Roman;sans-serif"/>
          <w:b w:val="false"/>
          <w:color w:val="000000"/>
          <w:sz w:val="22"/>
        </w:rPr>
        <w:t>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Debt or Liens and the use of proceeds thereof) have been consummated.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[reserved].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01040"/>
                <wp:effectExtent l="0" t="0" r="0" b="0"/>
                <wp:wrapNone/>
                <wp:docPr id="150" name="Frame12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Notwithstanding anything to the contrary herein, for purposes of the covenants described in </w:t>
      </w:r>
      <w:r>
        <w:rPr>
          <w:rFonts w:ascii="Times New Roman;sans-serif" w:hAnsi="Times New Roman;sans-serif"/>
          <w:b w:val="false"/>
          <w:color w:val="000000"/>
          <w:sz w:val="22"/>
          <w:u w:val="single"/>
        </w:rPr>
        <w:t>Article VI</w:t>
      </w:r>
      <w:r>
        <w:rPr>
          <w:rFonts w:ascii="Times New Roman;sans-serif" w:hAnsi="Times New Roman;sans-serif"/>
          <w:b w:val="false"/>
          <w:color w:val="000000"/>
          <w:sz w:val="22"/>
        </w:rPr>
        <w:t xml:space="preserve">, if any transaction or action would be permitted pursuant to one or more provisions described therein, the Borrower may divide and classify such transaction or action within any covenant in any manner that complies with the covenants set forth therein, and may later divide and reclassify any such transaction or action so long as the transaction or action (as so divided and/or reclassified) would be permitted to be made in reliance on the applicable exception as of the date of such reclassification;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any financial ratio or test governing any applicable amounts incurred or transactions entered into (or consummated) in reliance on a provision of this Agreement that requires compliance with a financial ratio or test</w:t>
      </w:r>
      <w:r>
        <w:rPr>
          <w:color w:val="000000"/>
        </w:rPr>
        <w:t xml:space="preserve"> </w:t>
      </w:r>
      <w:r>
        <w:rPr>
          <w:rFonts w:ascii="Times New Roman;sans-serif" w:hAnsi="Times New Roman;sans-serif"/>
          <w:b w:val="false"/>
          <w:color w:val="000000"/>
          <w:sz w:val="22"/>
        </w:rPr>
        <w:t>would be satisfied in any subsequent period following the utilization of any amounts incurred or transactions entered into (or consummated) in reliance on a provision of this Agreement that does not require compliance with a financial ratio or test, such reclassification shall be deemed to have automatically occurred if not elected by the Borrower. It is understood and agreed that any Debt, Lien, Restricted Distribution, Restricted Debt Payment, Investment, and/or Disposition need not be permitted solely by reference to one category of permitted Debt, Lien, Restricted Distribution, Restricted Debt Payment, Investment, and/or Disposition a within the same covenant, but may instead be permitted in part under any combination thereof or under any other available exception within the same covenant. This Section 1.05(c) shall not apply to any transaction or event permitted pursuant to the satisfaction of the Payment Conditions (as defined in the ABL Credit Agreement), including Section 6.01(h), Section 6.03(h), Section 6.07(t) and Section 6.12(a)(vi).</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1.06.    </w:t>
      </w:r>
      <w:r>
        <w:rPr>
          <w:rFonts w:ascii="Times New Roman;sans-serif" w:hAnsi="Times New Roman;sans-serif"/>
          <w:b w:val="false"/>
          <w:i/>
          <w:color w:val="000000"/>
          <w:sz w:val="22"/>
        </w:rPr>
        <w:t xml:space="preserve">Pro Forma Calculations. </w:t>
      </w:r>
      <w:r>
        <w:rPr>
          <w:rFonts w:ascii="Times New Roman;sans-serif" w:hAnsi="Times New Roman;sans-serif"/>
          <w:b w:val="false"/>
          <w:color w:val="000000"/>
          <w:sz w:val="22"/>
        </w:rPr>
        <w:t>(a) Notwithstanding anything to the contrary herein, all financial ratios and tests shall be calculated in the manner prescribed by this Section 1.06.</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In the event that the Borrower or any Restricted Subsidiary incurs, assumes, guarantees, redeems, repays, retires or extinguishes any Debt included in the calculation of any financial test or ratio (other than Debt incurred or repaid under any revolving credit facility unless such Debt has been permanently repaid and has not been replaced but including the Debt issued, incurred or assumed as a result of, or to finance, any relevant transaction and for which any financial ratio or test is being calculated), subsequent to the end of the period of four consecutive fiscal quarters for which any financial test or ratio is being calculated but prior to or simultaneously with the event for which the calculation of any such ratio is made, then such financial test or ratio shall be calculated giving pro forma effect to such incurrence, assumption, guarantee, redemption, repayment, retirement or extinguishment of Debt and the application of the proceeds of such Debt, as if the same had occurred on the last day of the applicable Test Period.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01040"/>
                <wp:effectExtent l="0" t="0" r="0" b="0"/>
                <wp:wrapNone/>
                <wp:docPr id="151" name="Frame12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For purposes of calculating any financial test or ratio, Specified Transactions that have been made by the Borrower or any Restricted Subsidiary during the applicable Test Period or subsequent to such Test Period and prior to or simultaneously with the event for which the calculation of any such ratio is made shall be calculated on a pro forma basis assuming that all such Specified Transactions had occurred on the first day of the applicable Test Period. If since the beginning of any such Test Period any Person that subsequently became a Restricted Subsidiary or was merged, amalgamated or consolidated with or into the Borrower or any Restricted Subsidiary since the beginning of such Test Period shall have made any Specified Transaction that would have required adjustment pursuant to this Section, the then applicable financial test or ratio shall be calculated giving pro forma effect thereto for such period as if such Specified Transaction occurred at the beginning of the applicable Test Period. If since the beginning of such Test Period any Restricted Subsidiary is designated an Unrestricted Subsidiary or any Unrestricted Subsidiary is redesignated as a Restricted Subsidiary, then such ratio shall be calculated giving pro forma effect thereto for such period as if such designation had occurred at the beginning of the applicable Test Period.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1.07.    </w:t>
      </w:r>
      <w:r>
        <w:rPr>
          <w:rFonts w:ascii="Times New Roman;sans-serif" w:hAnsi="Times New Roman;sans-serif"/>
          <w:b w:val="false"/>
          <w:i/>
          <w:color w:val="000000"/>
          <w:sz w:val="22"/>
        </w:rPr>
        <w:t>Divisions</w:t>
      </w:r>
      <w:r>
        <w:rPr>
          <w:rFonts w:ascii="Times New Roman;sans-serif" w:hAnsi="Times New Roman;sans-serif"/>
          <w:b w:val="false"/>
          <w:color w:val="000000"/>
          <w:sz w:val="22"/>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1.08.    </w:t>
      </w:r>
      <w:r>
        <w:rPr>
          <w:rFonts w:ascii="Times New Roman;sans-serif" w:hAnsi="Times New Roman;sans-serif"/>
          <w:b w:val="false"/>
          <w:i/>
          <w:color w:val="000000"/>
          <w:sz w:val="22"/>
        </w:rPr>
        <w:t>Timing of Payment or Performance</w:t>
      </w:r>
      <w:r>
        <w:rPr>
          <w:rFonts w:ascii="Times New Roman;sans-serif" w:hAnsi="Times New Roman;sans-serif"/>
          <w:b w:val="false"/>
          <w:color w:val="000000"/>
          <w:sz w:val="22"/>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pStyle w:val="TextBody"/>
        <w:bidi w:val="0"/>
        <w:spacing w:lineRule="auto" w:line="319" w:before="0" w:after="240"/>
        <w:jc w:val="center"/>
        <w:rPr/>
      </w:pPr>
      <w:r>
        <w:rPr>
          <w:rFonts w:ascii="Times New Roman;sans-serif" w:hAnsi="Times New Roman;sans-serif"/>
          <w:b w:val="false"/>
          <w:color w:val="000000"/>
          <w:sz w:val="22"/>
        </w:rPr>
        <w:t>ARTICLE II</w:t>
      </w:r>
      <w:r>
        <w:rPr>
          <w:rFonts w:ascii="Times New Roman;sans-serif" w:hAnsi="Times New Roman;sans-serif"/>
          <w:b w:val="false"/>
          <w:color w:val="000000"/>
          <w:sz w:val="24"/>
        </w:rPr>
        <w:br/>
      </w:r>
      <w:r>
        <w:rPr>
          <w:rFonts w:ascii="Times New Roman;sans-serif" w:hAnsi="Times New Roman;sans-serif"/>
          <w:b w:val="false"/>
          <w:color w:val="000000"/>
          <w:sz w:val="22"/>
        </w:rPr>
        <w:t>THE CREDITS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2.01.    </w:t>
      </w:r>
      <w:r>
        <w:rPr>
          <w:rFonts w:ascii="Times New Roman;sans-serif" w:hAnsi="Times New Roman;sans-serif"/>
          <w:b w:val="false"/>
          <w:i/>
          <w:color w:val="000000"/>
          <w:sz w:val="22"/>
        </w:rPr>
        <w:t>Commitments</w:t>
      </w:r>
      <w:r>
        <w:rPr>
          <w:rFonts w:ascii="Times New Roman;sans-serif" w:hAnsi="Times New Roman;sans-serif"/>
          <w:b w:val="false"/>
          <w:color w:val="000000"/>
          <w:sz w:val="22"/>
        </w:rPr>
        <w:t xml:space="preserve">. Subject to the terms and conditions set forth herein, each Lender severally (and not jointly) agrees to make Delayed Draw Term Loans to the Borrower in no more than ten (10) separate advances on any Business Day prior to 20 Business Days prior to the Maturity Date, as requested by the Borrower pursuant to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 xml:space="preserve">, in an aggregate amount not to exceed the amount of such Lender’s Delayed Draw Term Commitment. Delayed Draw Term Loans repaid or prepaid may not be reborrowed.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701040"/>
                <wp:effectExtent l="0" t="0" r="0" b="0"/>
                <wp:wrapNone/>
                <wp:docPr id="152" name="Frame12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2.02.    </w:t>
      </w:r>
      <w:r>
        <w:rPr>
          <w:rFonts w:ascii="Times New Roman;sans-serif" w:hAnsi="Times New Roman;sans-serif"/>
          <w:b w:val="false"/>
          <w:i/>
          <w:color w:val="000000"/>
          <w:sz w:val="22"/>
        </w:rPr>
        <w:t>Loans and Borrowings</w:t>
      </w:r>
      <w:r>
        <w:rPr>
          <w:rFonts w:ascii="Times New Roman;sans-serif" w:hAnsi="Times New Roman;sans-serif"/>
          <w:b w:val="false"/>
          <w:color w:val="000000"/>
          <w:sz w:val="22"/>
        </w:rPr>
        <w:t xml:space="preserve">. (a) Each Delayed Draw Term Loan shall be made as part of a Borrowing consisting of Delayed Draw Term Loans of the same Type made by the Lenders ratably in accordance with their respective Delayed Draw Term Commitments. The failure of any Lender to make any Delayed Draw Term Loan required to be made by it shall not relieve any other Lender of its obligations hereunder;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Delayed Draw Term Commitments of the Lenders are several and no Lender shall be responsible for any other Lender’s failure to make Delayed Draw Term Loans as required.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Subject to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each Delayed Draw Term Borrowing shall be comprised entirely of ABR Loans or Term SOFR Loans as the Borrower may request in accordance herewith. Each Lender at its option may make any Term SOFR Loan by causing any domestic or foreign branch or Affiliate of such Lender to make such Loan (and in the case of an Affiliate, the provisions of </w:t>
      </w:r>
      <w:r>
        <w:rPr>
          <w:rFonts w:ascii="Times New Roman;sans-serif" w:hAnsi="Times New Roman;sans-serif"/>
          <w:b w:val="false"/>
          <w:color w:val="000000"/>
          <w:sz w:val="22"/>
          <w:u w:val="single"/>
        </w:rPr>
        <w:t>Sections 2.14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shall apply to such Affiliate to the same extent as to such Lender);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any exercise of such option shall not affect the obligation of the Borrower to repay such Loan in accordance with the terms of this Agreement. Borrowings of ABR Loans shall be permitted only as expressly provided in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At the commencement of each Interest Period for any Term SOFR Borrowing, such Borrowing shall be in an aggregate amount that is an integral multiple of $25,000,000 and not less than $50,000,000. ABR Borrowings may be in any amount. Borrowings of more than one Type may be outstanding at the same time;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there shall not at any time be more than a total of ten (10) Term SOFR Borrowings outstanding.</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(d)    Notwithstanding any other provision of this Agreement, the Borrower shall not be entitled to request any Borrowing if the Interest Period requested with respect thereto would end after the Maturity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2.03.    </w:t>
      </w:r>
      <w:r>
        <w:rPr>
          <w:rFonts w:ascii="Times New Roman;sans-serif" w:hAnsi="Times New Roman;sans-serif"/>
          <w:b w:val="false"/>
          <w:i/>
          <w:color w:val="000000"/>
          <w:sz w:val="22"/>
        </w:rPr>
        <w:t>Requests for Borrowings</w:t>
      </w:r>
      <w:r>
        <w:rPr>
          <w:rFonts w:ascii="Times New Roman;sans-serif" w:hAnsi="Times New Roman;sans-serif"/>
          <w:b w:val="false"/>
          <w:color w:val="000000"/>
          <w:sz w:val="22"/>
        </w:rPr>
        <w:t xml:space="preserve">. To request a Borrowing, the Borrower shall notify the Administrative Agent of such request either in writing (delivered by hand or facsimile) in a Borrowing Request or such other form approved by the Administrative Agent and signed by the Borrower or by telephone or through Electronic System, if arrangements for doing so have been approved by the Administrative Agent, not later than 10:00 a.m.., New York City time, ten (10) Business Days before the date of the proposed Borrowing. Each such telephonic Borrowing Request shall be irrevocable and shall be confirmed promptly by hand delivery, facsimile or a communication through Electronic System to the Administrative Agent of a written Borrowing Request in a form approved by the Administrative Agent and signed by the Borrower. Each such telephonic and written Borrowing Request shall specify the following information in compliance with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the aggregate amount of the requested Borrowing and a breakdown of the separate wires comprising such Borrowing;</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the date of such Borrowing, which shall be a Business Day; and</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(iii)    whether such Borrowing is to be an ABR Borrowing or a Term SOFR Borrowing; and</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(iv)    in the case of a SOFR Borrowing, the initial Interest Period to be applicable thereto (which shall be three months or, at Borrower’s election, coterminous with another Term SOFR Borrowing).</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01040"/>
                <wp:effectExtent l="0" t="0" r="0" b="0"/>
                <wp:wrapNone/>
                <wp:docPr id="153" name="Frame12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Borrowing shall be made in Dollars. Promptly following receipt of a Borrowing Request in accordance with this Section, the Administrative Agent shall advise each Lender of the details thereof and of the amount of such Lender’s Loan to be made as part of the requested Borrowing.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2.04.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2.05.    </w:t>
      </w:r>
      <w:r>
        <w:rPr>
          <w:rFonts w:ascii="Times New Roman;sans-serif" w:hAnsi="Times New Roman;sans-serif"/>
          <w:b w:val="false"/>
          <w:i/>
          <w:color w:val="000000"/>
          <w:sz w:val="22"/>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2.06.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2.07.    </w:t>
      </w:r>
      <w:r>
        <w:rPr>
          <w:rFonts w:ascii="Times New Roman;sans-serif" w:hAnsi="Times New Roman;sans-serif"/>
          <w:b w:val="false"/>
          <w:i/>
          <w:color w:val="000000"/>
          <w:sz w:val="22"/>
        </w:rPr>
        <w:t>Funding of Borrowings</w:t>
      </w:r>
      <w:r>
        <w:rPr>
          <w:rFonts w:ascii="Times New Roman;sans-serif" w:hAnsi="Times New Roman;sans-serif"/>
          <w:b w:val="false"/>
          <w:color w:val="000000"/>
          <w:sz w:val="22"/>
        </w:rPr>
        <w:t>. (a) Each Lender shall make each Loan to be made by such Lender hereunder on the proposed date thereof by wire transfer of immediately available funds by 2:00 p.m., New York City time, to the account of the Administrative Agent most recently designated by it for such purpose by notice to the Lenders in an amount equal to such Lender’s Applicable Percentage. The Administrative Agent will make such Loans available to the Borrower by promptly crediting the amounts so received, in like funds, to the Funding Account.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sans-serif" w:hAnsi="Times New Roman;sans-serif"/>
          <w:b w:val="false"/>
          <w:color w:val="000000"/>
          <w:sz w:val="22"/>
          <w:u w:val="single"/>
        </w:rPr>
        <w:t>paragraph (a)</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2.07</w:t>
      </w:r>
      <w:r>
        <w:rPr>
          <w:color w:val="000000"/>
        </w:rPr>
        <w:t xml:space="preserve"> </w:t>
      </w:r>
      <w:r>
        <w:rPr>
          <w:rFonts w:ascii="Times New Roman;sans-serif" w:hAnsi="Times New Roman;sans-serif"/>
          <w:b w:val="false"/>
          <w:color w:val="000000"/>
          <w:sz w:val="22"/>
        </w:rPr>
        <w:t>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2.08.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2.09.    </w:t>
      </w:r>
      <w:r>
        <w:rPr>
          <w:rFonts w:ascii="Times New Roman;sans-serif" w:hAnsi="Times New Roman;sans-serif"/>
          <w:b w:val="false"/>
          <w:i/>
          <w:color w:val="000000"/>
          <w:sz w:val="22"/>
        </w:rPr>
        <w:t>Termination and Reduction of Commitments</w:t>
      </w:r>
      <w:r>
        <w:rPr>
          <w:rFonts w:ascii="Times New Roman;sans-serif" w:hAnsi="Times New Roman;sans-serif"/>
          <w:b w:val="false"/>
          <w:color w:val="000000"/>
          <w:sz w:val="22"/>
        </w:rPr>
        <w:t xml:space="preserve">. (a) Unless previously terminated, the Delayed Draw Term Commitments shall terminate on the Maturity Date.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The Borrower may at any time terminate the Delayed Draw Term Commitments upon the Payment in Full of the Obligations.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(c)    The Borrower may from time to time, at its election, terminate the Delayed Draw Term Commitments in full (but not in part).</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01040"/>
                <wp:effectExtent l="0" t="0" r="0" b="0"/>
                <wp:wrapNone/>
                <wp:docPr id="154" name="Frame12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The Borrower shall notify the Administrative Agent of any election to terminate or reduce the Commitments under </w:t>
      </w:r>
      <w:r>
        <w:rPr>
          <w:rFonts w:ascii="Times New Roman;sans-serif" w:hAnsi="Times New Roman;sans-serif"/>
          <w:b w:val="false"/>
          <w:color w:val="000000"/>
          <w:sz w:val="22"/>
          <w:u w:val="single"/>
        </w:rPr>
        <w:t>paragraph</w:t>
      </w:r>
      <w:r>
        <w:rPr>
          <w:color w:val="000000"/>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sans-serif" w:hAnsi="Times New Roman;sans-serif"/>
          <w:b w:val="false"/>
          <w:color w:val="000000"/>
          <w:sz w:val="22"/>
          <w:u w:val="single"/>
        </w:rPr>
        <w:t>Section 2.09</w:t>
      </w:r>
      <w:r>
        <w:rPr>
          <w:color w:val="000000"/>
        </w:rPr>
        <w:t xml:space="preserve"> </w:t>
      </w:r>
      <w:r>
        <w:rPr>
          <w:rFonts w:ascii="Times New Roman;sans-serif" w:hAnsi="Times New Roman;sans-serif"/>
          <w:b w:val="false"/>
          <w:color w:val="000000"/>
          <w:sz w:val="22"/>
        </w:rPr>
        <w:t xml:space="preserve">shall be irrevocable;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 notice of termination of the Commitments delivered by the Borrower may state that such notice is conditioned upon the effectiveness of other indebtedness or any other event,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2.10.    </w:t>
      </w:r>
      <w:r>
        <w:rPr>
          <w:rFonts w:ascii="Times New Roman;sans-serif" w:hAnsi="Times New Roman;sans-serif"/>
          <w:b w:val="false"/>
          <w:i/>
          <w:color w:val="000000"/>
          <w:sz w:val="22"/>
        </w:rPr>
        <w:t>Repayment of Loans; Evidence of Debt</w:t>
      </w:r>
      <w:r>
        <w:rPr>
          <w:rFonts w:ascii="Times New Roman;sans-serif" w:hAnsi="Times New Roman;sans-serif"/>
          <w:b w:val="false"/>
          <w:color w:val="000000"/>
          <w:sz w:val="22"/>
        </w:rPr>
        <w:t>. (a) The Borrower hereby unconditionally promise to pay to the Administrative Agent for the account of each Lender the then unpaid principal amount of each Loan on the Maturity Date.</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[Reserved].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(c)    Each Lender shall maintain in accordance with its usual practice an account or accounts evidencing the Debt of the Borrower to such Lender resulting from each Loan made by such Lender, including the amounts of principal and interest payable and paid to such Lender from time to time hereunder.</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(d)    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(e)    The entries made in the accounts maintained pursuant to </w:t>
      </w:r>
      <w:r>
        <w:rPr>
          <w:rFonts w:ascii="Times New Roman;sans-serif" w:hAnsi="Times New Roman;sans-serif"/>
          <w:b w:val="false"/>
          <w:color w:val="000000"/>
          <w:sz w:val="22"/>
          <w:u w:val="single"/>
        </w:rPr>
        <w:t>paragraph (c)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of this Section shall be prima facie evidence of the existence and amounts of the obligations recorded therein;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(f)    Any Lender may request that Loans made by it be evidenced by a promissory note. In such event, the Borrower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sans-serif" w:hAnsi="Times New Roman;sans-serif"/>
          <w:b w:val="false"/>
          <w:color w:val="000000"/>
          <w:sz w:val="22"/>
          <w:u w:val="single"/>
        </w:rPr>
        <w:t>Section 9.04</w:t>
      </w:r>
      <w:r>
        <w:rPr>
          <w:rFonts w:ascii="Times New Roman;sans-serif" w:hAnsi="Times New Roman;sans-serif"/>
          <w:b w:val="false"/>
          <w:color w:val="000000"/>
          <w:sz w:val="22"/>
        </w:rPr>
        <w:t>) be represented by one or more promissory notes in such form payable to the order of the payee named therein (or, if such promissory note is a registered note, to such payee and its registered assigns).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2.11.    </w:t>
      </w:r>
      <w:r>
        <w:rPr>
          <w:rFonts w:ascii="Times New Roman;sans-serif" w:hAnsi="Times New Roman;sans-serif"/>
          <w:b w:val="false"/>
          <w:i/>
          <w:color w:val="000000"/>
          <w:sz w:val="22"/>
        </w:rPr>
        <w:t>Prepayment of Loans</w:t>
      </w:r>
      <w:r>
        <w:rPr>
          <w:rFonts w:ascii="Times New Roman;sans-serif" w:hAnsi="Times New Roman;sans-serif"/>
          <w:b w:val="false"/>
          <w:color w:val="000000"/>
          <w:sz w:val="22"/>
        </w:rPr>
        <w:t xml:space="preserve">. (a) The Borrower shall have the right at any time and from time to time to prepay any Borrowing in whole or in part, subject to prior notice in accordance with </w:t>
      </w:r>
      <w:r>
        <w:rPr>
          <w:rFonts w:ascii="Times New Roman;sans-serif" w:hAnsi="Times New Roman;sans-serif"/>
          <w:b w:val="false"/>
          <w:color w:val="000000"/>
          <w:sz w:val="22"/>
          <w:u w:val="single"/>
        </w:rPr>
        <w:t>paragraph (d)</w:t>
      </w:r>
      <w:r>
        <w:rPr>
          <w:color w:val="000000"/>
        </w:rPr>
        <w:t xml:space="preserve"> </w:t>
      </w:r>
      <w:r>
        <w:rPr>
          <w:rFonts w:ascii="Times New Roman;sans-serif" w:hAnsi="Times New Roman;sans-serif"/>
          <w:b w:val="false"/>
          <w:color w:val="000000"/>
          <w:sz w:val="22"/>
        </w:rPr>
        <w:t xml:space="preserve">of this Section and, if applicable, payment of any break funding expenses under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 xml:space="preserve">and Prepayment Premium under </w:t>
      </w:r>
      <w:r>
        <w:rPr>
          <w:rFonts w:ascii="Times New Roman;sans-serif" w:hAnsi="Times New Roman;sans-serif"/>
          <w:b w:val="false"/>
          <w:color w:val="000000"/>
          <w:sz w:val="22"/>
          <w:u w:val="single"/>
        </w:rPr>
        <w:t>Section 2.11(c)</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01040"/>
                <wp:effectExtent l="0" t="0" r="0" b="0"/>
                <wp:wrapNone/>
                <wp:docPr id="155" name="Frame13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Upon the incurrence or issuance of any Debt not expressly permitted by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 xml:space="preserve">, the Borrower shall, on the next Business Day, prepay the Loans in an aggregate amount equal to one hundred percent (100%) of the Net Cash Proceeds received in respect of such Indebtedness, subject to payment of the Prepayment Premium under </w:t>
      </w:r>
      <w:r>
        <w:rPr>
          <w:rFonts w:ascii="Times New Roman;sans-serif" w:hAnsi="Times New Roman;sans-serif"/>
          <w:b w:val="false"/>
          <w:color w:val="000000"/>
          <w:sz w:val="22"/>
          <w:u w:val="single"/>
        </w:rPr>
        <w:t>Section 2.11(c)</w:t>
      </w:r>
      <w:r>
        <w:rPr>
          <w:color w:val="000000"/>
        </w:rPr>
        <w:t xml:space="preserve"> </w:t>
      </w:r>
      <w:r>
        <w:rPr>
          <w:rFonts w:ascii="Times New Roman;sans-serif" w:hAnsi="Times New Roman;sans-serif"/>
          <w:b w:val="false"/>
          <w:color w:val="000000"/>
          <w:sz w:val="22"/>
        </w:rPr>
        <w:t>(if applicable).</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(c)     In the event of the occurrence of any Prepayment Premium Triggering Event that occurs on or prior to the date that is two (2) years after the Effective Date, the Borrower shall pay to the Administrative Agent, for the ratable account of each Lender, a premium equal to 120% of the aggregate principal amount of Loans subject to such Prepayment Premium Triggering Event (the “</w:t>
      </w:r>
      <w:r>
        <w:rPr>
          <w:rFonts w:ascii="Times New Roman;sans-serif" w:hAnsi="Times New Roman;sans-serif"/>
          <w:b w:val="false"/>
          <w:color w:val="000000"/>
          <w:sz w:val="22"/>
          <w:u w:val="single"/>
        </w:rPr>
        <w:t>Prepayment Premium</w:t>
      </w:r>
      <w:r>
        <w:rPr>
          <w:color w:val="000000"/>
        </w:rPr>
        <w:t>”</w:t>
      </w:r>
      <w:r>
        <w:rPr>
          <w:rFonts w:ascii="Times New Roman;sans-serif" w:hAnsi="Times New Roman;sans-serif"/>
          <w:b w:val="false"/>
          <w:color w:val="000000"/>
          <w:sz w:val="22"/>
        </w:rPr>
        <w:t xml:space="preserve">). The Prepayment Premium shall become immediately due and payable as detailed in this </w:t>
      </w:r>
      <w:r>
        <w:rPr>
          <w:rFonts w:ascii="Times New Roman;sans-serif" w:hAnsi="Times New Roman;sans-serif"/>
          <w:b w:val="false"/>
          <w:color w:val="000000"/>
          <w:sz w:val="22"/>
          <w:u w:val="single"/>
        </w:rPr>
        <w:t>Section 2.11(c)</w:t>
      </w:r>
      <w:r>
        <w:rPr>
          <w:rFonts w:ascii="Times New Roman;sans-serif" w:hAnsi="Times New Roman;sans-serif"/>
          <w:b w:val="false"/>
          <w:color w:val="000000"/>
          <w:sz w:val="22"/>
        </w:rPr>
        <w:t>, shall constitute an Obligation and shall be due and payable by the Borrower immediately prior to and notwithstanding any automatic acceleration of the outstanding principal of the Loans and all other accrued liabilities contemplated hereunder and under the other Loan Documents.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(d)    Upon the occurrence of a Change in Control, each Lender shall have the right, at such Lender’s option, to require the Borrower to purchase (the “</w:t>
      </w:r>
      <w:r>
        <w:rPr>
          <w:rFonts w:ascii="Times New Roman;sans-serif" w:hAnsi="Times New Roman;sans-serif"/>
          <w:b/>
          <w:color w:val="000000"/>
          <w:sz w:val="22"/>
        </w:rPr>
        <w:t>Change in Control Offer</w:t>
      </w:r>
      <w:r>
        <w:rPr>
          <w:color w:val="000000"/>
        </w:rPr>
        <w:t>”</w:t>
      </w:r>
      <w:r>
        <w:rPr>
          <w:rFonts w:ascii="Times New Roman;sans-serif" w:hAnsi="Times New Roman;sans-serif"/>
          <w:b w:val="false"/>
          <w:color w:val="000000"/>
          <w:sz w:val="22"/>
        </w:rPr>
        <w:t>) all or any part of such Lender’s Loans and terminate such Lender’s Delayed Draw Term Commitments on a date (the “</w:t>
      </w:r>
      <w:r>
        <w:rPr>
          <w:rFonts w:ascii="Times New Roman;sans-serif" w:hAnsi="Times New Roman;sans-serif"/>
          <w:b/>
          <w:color w:val="000000"/>
          <w:sz w:val="22"/>
        </w:rPr>
        <w:t>Change in Control Repurchase Date</w:t>
      </w:r>
      <w:r>
        <w:rPr>
          <w:color w:val="000000"/>
        </w:rPr>
        <w:t>”</w:t>
      </w:r>
      <w:r>
        <w:rPr>
          <w:rFonts w:ascii="Times New Roman;sans-serif" w:hAnsi="Times New Roman;sans-serif"/>
          <w:b w:val="false"/>
          <w:color w:val="000000"/>
          <w:sz w:val="22"/>
        </w:rPr>
        <w:t>) that is no later than 30 days after notice of the Change in Control, with such purchase of Loans being at a price equal to 120% of the principal amount of the Loans held by such Lender plus accrued and unpaid interest (including PIK Interest), if any, to, but excluding, the Change in Control Repurchase Date. On or before the tenth (10</w:t>
      </w:r>
      <w:r>
        <w:rPr>
          <w:rFonts w:ascii="Times New Roman;sans-serif" w:hAnsi="Times New Roman;sans-serif"/>
          <w:b w:val="false"/>
          <w:color w:val="000000"/>
          <w:sz w:val="14"/>
        </w:rPr>
        <w:t>th</w:t>
      </w:r>
      <w:r>
        <w:rPr>
          <w:rFonts w:ascii="Times New Roman;sans-serif" w:hAnsi="Times New Roman;sans-serif"/>
          <w:b w:val="false"/>
          <w:color w:val="000000"/>
          <w:sz w:val="22"/>
        </w:rPr>
        <w:t xml:space="preserve">) day after any Change in Control, the Borrower shall provide written notice to the Administrative Agent regarding the Change in Control and the repurchase right. The notice shall state the Change in Control Repurchase Date, the date by which the purchase right must be exercised and the price for the Loans. To exercise such right, a Lender must deliver, at least five (5) days prior to the Change in Control Repurchase Date, written notice to the Borrower of the Lender’s exercise of such right;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xml:space="preserve">, that if mandated by applicable Law, a Lender may be permitted to deliver such written notice nearer to the Change in Control Repurchase Date than may be specified by the Borrower. Notices may be delivered prior to the occurrence of a Change in Control stating that the Change in Control Offer is conditional on the occurrence of such Change in Control, and, if applicable, shall state that, in the Borrower’s discretion, the Change in Control Repurchase Date may be delayed until such time as the Change in Control shall occur, or that such repurchase may not occur and such notice may be rescinded in the event that the Borrower shall determine that such condition will not be satisfied by the Change in Control Repurchase Date, or by the Change in Control Repurchase Date as so delayed. The Borrower will not be required to make a Change in Control Offer following a Change in Control if a third party makes the Change in Control Offer in the manner, at the times and otherwise in compliance with the requirements set forth in this </w:t>
      </w:r>
      <w:r>
        <w:rPr>
          <w:rFonts w:ascii="Times New Roman;sans-serif" w:hAnsi="Times New Roman;sans-serif"/>
          <w:b w:val="false"/>
          <w:color w:val="000000"/>
          <w:sz w:val="22"/>
          <w:u w:val="single"/>
        </w:rPr>
        <w:t>Section 2.11(c)</w:t>
      </w:r>
      <w:r>
        <w:rPr>
          <w:color w:val="000000"/>
        </w:rPr>
        <w:t xml:space="preserve"> </w:t>
      </w:r>
      <w:r>
        <w:rPr>
          <w:rFonts w:ascii="Times New Roman;sans-serif" w:hAnsi="Times New Roman;sans-serif"/>
          <w:b w:val="false"/>
          <w:color w:val="000000"/>
          <w:sz w:val="22"/>
        </w:rPr>
        <w:t>and purchases all such Loans validly tendered for purchase and not validly withdrawn under such Change in Control Offer.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701040"/>
                <wp:effectExtent l="0" t="0" r="0" b="0"/>
                <wp:wrapNone/>
                <wp:docPr id="156" name="Frame13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(e)    The Borrower shall notify the Administrative Agent by telephone (confirmed by facsimile) or through Electronic System, if arrangements for doing so have been approved by the Administrative Agent, of any prepayment under Section 2.11(a) not later than 10:00 a.m., New York time, three (3) Business Days before the date of prepayment (or such later date in the Administrative Agent’s sole discretion). Each such notice shall be irrevocable and shall specify the prepayment date and the principal amount of each Borrowing or portion thereof to be prepaid;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a notice of prepayment is given in connection with a conditional notice of termination of the Commitments as contemplated by </w:t>
      </w:r>
      <w:r>
        <w:rPr>
          <w:rFonts w:ascii="Times New Roman;sans-serif" w:hAnsi="Times New Roman;sans-serif"/>
          <w:b w:val="false"/>
          <w:color w:val="000000"/>
          <w:sz w:val="22"/>
          <w:u w:val="single"/>
        </w:rPr>
        <w:t>Section 2.09</w:t>
      </w:r>
      <w:r>
        <w:rPr>
          <w:rFonts w:ascii="Times New Roman;sans-serif" w:hAnsi="Times New Roman;sans-serif"/>
          <w:b w:val="false"/>
          <w:color w:val="000000"/>
          <w:sz w:val="22"/>
        </w:rPr>
        <w:t xml:space="preserve">, then such notice of prepayment may be revoked if such notice of termination is revoked in accordance with </w:t>
      </w:r>
      <w:r>
        <w:rPr>
          <w:rFonts w:ascii="Times New Roman;sans-serif" w:hAnsi="Times New Roman;sans-serif"/>
          <w:b w:val="false"/>
          <w:color w:val="000000"/>
          <w:sz w:val="22"/>
          <w:u w:val="single"/>
        </w:rPr>
        <w:t>Section 2.09</w:t>
      </w:r>
      <w:r>
        <w:rPr>
          <w:rFonts w:ascii="Times New Roman;sans-serif" w:hAnsi="Times New Roman;sans-serif"/>
          <w:b w:val="false"/>
          <w:color w:val="000000"/>
          <w:sz w:val="22"/>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 xml:space="preserve">. Each prepayment of a Borrowing shall be applied ratably to the Loans included in the prepaid Borrowing. Prepayments shall be accompanied by (i) accrued interest to the extent required by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(ii) break funding payments pursuant to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and (iii) if applicable, the Prepayment Premium.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2.12.    </w:t>
      </w:r>
      <w:r>
        <w:rPr>
          <w:rFonts w:ascii="Times New Roman;sans-serif" w:hAnsi="Times New Roman;sans-serif"/>
          <w:b w:val="false"/>
          <w:i/>
          <w:color w:val="000000"/>
          <w:sz w:val="22"/>
        </w:rPr>
        <w:t>Fees</w:t>
      </w:r>
      <w:r>
        <w:rPr>
          <w:rFonts w:ascii="Times New Roman;sans-serif" w:hAnsi="Times New Roman;sans-serif"/>
          <w:b w:val="false"/>
          <w:color w:val="000000"/>
          <w:sz w:val="22"/>
        </w:rPr>
        <w:t xml:space="preserve">. (a) On the Effective Date, the Borrower agrees to pay to the Administrative Agent, for the ratable account of each Lender, an upfront fee in an amount equal to 0.75% of the Aggregate Delayed Draw Term Commitments on the Effective Date (whether or not any Delayed Draw Term Loans are funded on the Effective Date). The parties hereto intend that for U.S. federal income tax purposes, the foregoing upfront fee shall be treated as the payment of option premium in a manner consistent with Revenue Ruling 81-160, 1981-1 C.B. 312 and the parties hereto shall not take any action or any position on any tax return (including on any IRS Form 1099 or any other information return), in each case, inconsistent with such treatment, unless otherwise required by law.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The Borrower agrees to pay to the Administrative Agent for the ratable account of each Lender an undrawn fee, for the period from and including the Effective Date but excluding the date on which the Aggregate Delayed Draw Term Commitments terminate, equal to (x) the average daily balance of the unused amount of the Aggregate Delayed Draw Term Commitments multiplied by (ii) the Undrawn Fee Rate. Accrued undrawn fees shall be payable in arrears on the first calendar day of each fiscal quarter and on the date on which the Delayed Draw Term Commitments terminate, commencing on the first such date to occur after the Effective Date. All undrawn fees shall be computed on the basis of a year of 360 days and shall be payable for the actual number of days elapsed (including the first day but excluding the last day). The parties hereto intend that for U.S. federal income tax purposes, the foregoing undrawn fee shall be treated as the payment of option premium in a manner consistent with Revenue Ruling 81-160, 1981-1 C.B. 312 and the parties hereto shall not take any action or any position on any tax return (including on any IRS Form 1099 or any other information return), in each case, inconsistent with such treatment, unless otherwise required by law.</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(c)    The Borrower agrees to pay to the Administrative Agent, for its own account, fees payable in the amounts and at the times separately agreed upon between the Borrower and the Administrative Agent.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All fees payable hereunder shall be paid on the dates due in Dollars, in immediately available funds, to the Administrative Agent for distribution, in the case of upfront </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01040"/>
                <wp:effectExtent l="0" t="0" r="0" b="0"/>
                <wp:wrapNone/>
                <wp:docPr id="157" name="Frame13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fees, undrawn fees and participation fees, to the Delayed Draw Term Lenders. Fees paid shall not be refundable under any circumstances.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2.13.    </w:t>
      </w:r>
      <w:r>
        <w:rPr>
          <w:rFonts w:ascii="Times New Roman;sans-serif" w:hAnsi="Times New Roman;sans-serif"/>
          <w:b w:val="false"/>
          <w:i/>
          <w:color w:val="000000"/>
          <w:sz w:val="22"/>
        </w:rPr>
        <w:t>Interest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The Loans comprising each ABR Borrowing shall bear interest at the Alternate Base Rate plus the Applicable Rate.</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(i) The Loans comprising each Term SOFR Borrowing shall bear interest at the Term SOFR Rate for the Interest Period in effect for such Borrowing (which shall be three months) plus the Applicable Rate.</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(c)    [Reserved].</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Notwithstanding the foregoing, upon the occurrence and during the continuation of a Specified Event of Default, the Administrative Agent or the Required Lenders may, at their option, by written notice to the Borrower (which notice may be revoked at the option of the Required Lenders notwithstanding any provision of </w:t>
      </w:r>
      <w:r>
        <w:rPr>
          <w:rFonts w:ascii="Times New Roman;sans-serif" w:hAnsi="Times New Roman;sans-serif"/>
          <w:b w:val="false"/>
          <w:color w:val="000000"/>
          <w:sz w:val="22"/>
          <w:u w:val="single"/>
        </w:rPr>
        <w:t>Section 9.02</w:t>
      </w:r>
      <w:r>
        <w:rPr>
          <w:color w:val="000000"/>
        </w:rPr>
        <w:t xml:space="preserve"> </w:t>
      </w:r>
      <w:r>
        <w:rPr>
          <w:rFonts w:ascii="Times New Roman;sans-serif" w:hAnsi="Times New Roman;sans-serif"/>
          <w:b w:val="false"/>
          <w:color w:val="000000"/>
          <w:sz w:val="22"/>
        </w:rPr>
        <w:t>requiring the consent of “each Lender affected thereby” for reductions in interest rates), declare that all Term Loans and other amounts outstanding hereunder shall accrue at 2% plus the rate applicable to such fee or other obligation as provided hereunder.</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(e)    Accrued interest on each Loan (for ABR Loans, accrued through the last day of the prior calendar quarter) shall be payable in arrears in cash on each Interest Payment Date for such Loan and upon termination of the Commitments;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interest accrued pursuant to </w:t>
      </w:r>
      <w:r>
        <w:rPr>
          <w:rFonts w:ascii="Times New Roman;sans-serif" w:hAnsi="Times New Roman;sans-serif"/>
          <w:b w:val="false"/>
          <w:color w:val="000000"/>
          <w:sz w:val="22"/>
          <w:u w:val="single"/>
        </w:rPr>
        <w:t>paragraph (d)</w:t>
      </w:r>
      <w:r>
        <w:rPr>
          <w:color w:val="000000"/>
        </w:rPr>
        <w:t xml:space="preserve"> </w:t>
      </w:r>
      <w:r>
        <w:rPr>
          <w:rFonts w:ascii="Times New Roman;sans-serif" w:hAnsi="Times New Roman;sans-serif"/>
          <w:b w:val="false"/>
          <w:color w:val="000000"/>
          <w:sz w:val="22"/>
        </w:rPr>
        <w:t>of this Section shall be payable on demand, (ii) in the event of any repayment or prepayment of any Loan, accrued interest on the principal amount repaid or prepaid shall be payable on the date of such repayment or prepayment and (iii) the Borrower may, at its option, elect to pay interest accrued on the principal balance of the Loans by increasing the outstanding principal amount of the Loans by the amount of interest accrued during such Interest Period on such principal amount (“</w:t>
      </w:r>
      <w:r>
        <w:rPr>
          <w:rFonts w:ascii="Times New Roman;sans-serif" w:hAnsi="Times New Roman;sans-serif"/>
          <w:b w:val="false"/>
          <w:color w:val="000000"/>
          <w:sz w:val="22"/>
          <w:u w:val="single"/>
        </w:rPr>
        <w:t>PIK Interest</w:t>
      </w:r>
      <w:r>
        <w:rPr>
          <w:color w:val="000000"/>
        </w:rPr>
        <w:t>”</w:t>
      </w:r>
      <w:r>
        <w:rPr>
          <w:rFonts w:ascii="Times New Roman;sans-serif" w:hAnsi="Times New Roman;sans-serif"/>
          <w:b w:val="false"/>
          <w:color w:val="000000"/>
          <w:sz w:val="22"/>
        </w:rPr>
        <w:t xml:space="preserve">). Any election to apply PIK Interest or cash interest to any portion of the applicable principal amount for any Interest Payment Date must be made by the Borrower in writing by delivering a notice to the Administrative Agent at least five (5) Business Days prior to such Interest Payment Date (or such later date in the Administrative Agent’s sole discretion);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in the absence of such an election the Borrower shall be deemed to have elected to make a PIK Interest payment. Upon adding the PIK Interest to the principal amount of the Loans on the Interest Payment Date such PIK Interest is due, the Administrative Agent is authorized and instructed to record the amount of such PIK Interest on the Register as an increase in the aggregate Loans ratably among the Lenders (based on their outstanding Loans). Once any PIK Interest is added to the principal amount of the Loans, the outstanding amount of the Loans, as increased by such PIK Interest, shall be subject to all of the same terms and conditions (including the Applicable Rate and, if applicable, the Prepayment Premium) as are applicable to the Loans under this Agreement and the other Loan Documents immediately prior to such increase.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701040"/>
                <wp:effectExtent l="0" t="0" r="0" b="0"/>
                <wp:wrapNone/>
                <wp:docPr id="158" name="Frame13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(f)    All interest hereunder computed by reference to the Alternate Base Rate at times when the Alternate Base Rate is based on the Prime Rate or by reference to an interest rate reasonably determined by the Administrative Agent shall be computed on the basis of a year of 365 days (or 366 days in a leap year), and in each case shall be payable for the actual number of days elapsed. All interest hereunder computed by reference to the Term SOFR Rate shall be computed on the basis of a year of 365 days, and in each case shall be payable for the actual number of days elapsed. The applicable Alternate Base Rate and the Term SOFR Rate shall be determined by the Administrative Agent, and such determination shall be conclusive absent manifest error.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2.14.    </w:t>
      </w:r>
      <w:r>
        <w:rPr>
          <w:rFonts w:ascii="Times New Roman;sans-serif" w:hAnsi="Times New Roman;sans-serif"/>
          <w:b w:val="false"/>
          <w:i/>
          <w:color w:val="000000"/>
          <w:sz w:val="22"/>
        </w:rPr>
        <w:t>Inability to Determine Term SOFR; Replacement of Benchmark; Illegality</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(a)    </w:t>
      </w:r>
      <w:r>
        <w:rPr>
          <w:rFonts w:ascii="Times New Roman;sans-serif" w:hAnsi="Times New Roman;sans-serif"/>
          <w:b w:val="false"/>
          <w:i/>
          <w:color w:val="000000"/>
          <w:sz w:val="22"/>
        </w:rPr>
        <w:t>Inability to Determine Term SOFR</w:t>
      </w:r>
      <w:r>
        <w:rPr>
          <w:rFonts w:ascii="Times New Roman;sans-serif" w:hAnsi="Times New Roman;sans-serif"/>
          <w:b w:val="false"/>
          <w:color w:val="000000"/>
          <w:sz w:val="22"/>
        </w:rPr>
        <w:t>. If at any time prior to the commencement of any Interest Period for a Term SOFR Borrowing:</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 xml:space="preserve">(i)    the Administrative Agent determines (which determination shall be conclusive and binding absent manifest error, but shall be made only after consultation with the Borrower) that adequate and reasonable means do not exist for ascertaining the Term SOFR Rate for such Interest Period;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that no Benchmark Transition Event shall have occurred at such time; or</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the Administrative Agent is advised by the Required Lenders that the Term SOFR Rate for such Interest Period will not adequately and fairly reflect the cost to such Lenders (or Lender) of making or maintaining their Loans (or its Loan) included in such Borrowing for such Interest Period;</w:t>
      </w:r>
    </w:p>
    <w:p>
      <w:pPr>
        <w:pStyle w:val="TextBody"/>
        <w:bidi w:val="0"/>
        <w:spacing w:lineRule="auto" w:line="288" w:before="0" w:after="240"/>
        <w:jc w:val="both"/>
        <w:rPr/>
      </w:pPr>
      <w:r>
        <w:rPr>
          <w:rFonts w:ascii="Times New Roman;sans-serif" w:hAnsi="Times New Roman;sans-serif"/>
          <w:b w:val="false"/>
          <w:color w:val="000000"/>
          <w:sz w:val="22"/>
        </w:rPr>
        <w:t xml:space="preserve">then the Administrative Agent shall give notice thereof to the Borrower and the Lenders through Electronic System as provided in </w:t>
      </w:r>
      <w:r>
        <w:rPr>
          <w:rFonts w:ascii="Times New Roman;sans-serif" w:hAnsi="Times New Roman;sans-serif"/>
          <w:b w:val="false"/>
          <w:color w:val="000000"/>
          <w:sz w:val="22"/>
          <w:u w:val="single"/>
        </w:rPr>
        <w:t>Section 9.01</w:t>
      </w:r>
      <w:r>
        <w:rPr>
          <w:color w:val="000000"/>
        </w:rPr>
        <w:t xml:space="preserve"> </w:t>
      </w:r>
      <w:r>
        <w:rPr>
          <w:rFonts w:ascii="Times New Roman;sans-serif" w:hAnsi="Times New Roman;sans-serif"/>
          <w:b w:val="false"/>
          <w:color w:val="000000"/>
          <w:sz w:val="22"/>
        </w:rPr>
        <w:t>as promptly as practicable thereafter, whereupon (A) no Loans may be made as Term SOFR Loans, (B) any Borrowing Request given by the Borrower with respect to Term SOFR Loans shall be deemed to be rescinded by the Borrower and (C) the utilization of the Term SOFR component in determining the Alternate Base Rate shall be suspended, in each case, until the Administrative Agent revokes such notice (which the Administrative Agent agrees to do promptly upon such circumstances ceasing to exist).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01040"/>
                <wp:effectExtent l="0" t="0" r="0" b="0"/>
                <wp:wrapNone/>
                <wp:docPr id="159" name="Frame13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(b)    </w:t>
      </w:r>
      <w:r>
        <w:rPr>
          <w:rFonts w:ascii="Times New Roman;sans-serif" w:hAnsi="Times New Roman;sans-serif"/>
          <w:b w:val="false"/>
          <w:i/>
          <w:color w:val="000000"/>
          <w:sz w:val="22"/>
        </w:rPr>
        <w:t>Replacement of Benchmark</w:t>
      </w:r>
      <w:r>
        <w:rPr>
          <w:rFonts w:ascii="Times New Roman;sans-serif" w:hAnsi="Times New Roman;sans-serif"/>
          <w:b w:val="false"/>
          <w:color w:val="000000"/>
          <w:sz w:val="22"/>
        </w:rPr>
        <w:t xml:space="preserve">. Notwithstanding anything to the contrary herein or in any other Loan Document: </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Upon the occurrence of a Benchmark Transition Event in respect of any setting of the then-current Benchmark, then (x) if a Benchmark Replacement is determined in accordance with clause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Loans to be made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ABR Loans. During the period referenced in the foregoing sentence, the component of the Alternate Base Rate based upon the Benchmark will not be used in any determination of the Alternate Base Rate.</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(c)    </w:t>
      </w:r>
      <w:r>
        <w:rPr>
          <w:rFonts w:ascii="Times New Roman;sans-serif" w:hAnsi="Times New Roman;sans-serif"/>
          <w:b w:val="false"/>
          <w:i/>
          <w:color w:val="000000"/>
          <w:sz w:val="22"/>
        </w:rPr>
        <w:t xml:space="preserve">Benchmark Replacement Conforming Changes. </w:t>
      </w:r>
      <w:r>
        <w:rPr>
          <w:rFonts w:ascii="Times New Roman;sans-serif" w:hAnsi="Times New Roman;sans-serif"/>
          <w:b w:val="false"/>
          <w:color w:val="000000"/>
          <w:sz w:val="22"/>
        </w:rPr>
        <w:t>In connection with the implementation and administration of a Benchmark Replacement,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01040"/>
                <wp:effectExtent l="0" t="0" r="0" b="0"/>
                <wp:wrapNone/>
                <wp:docPr id="160" name="Frame13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(e)    </w:t>
      </w:r>
      <w:r>
        <w:rPr>
          <w:rFonts w:ascii="Times New Roman;sans-serif" w:hAnsi="Times New Roman;sans-serif"/>
          <w:b w:val="false"/>
          <w:i/>
          <w:color w:val="000000"/>
          <w:sz w:val="22"/>
        </w:rPr>
        <w:t xml:space="preserve">Unavailability of Tenor of Benchmark. </w:t>
      </w:r>
      <w:r>
        <w:rPr>
          <w:rFonts w:ascii="Times New Roman;sans-serif" w:hAnsi="Times New Roman;sans-serif"/>
          <w:b w:val="false"/>
          <w:color w:val="000000"/>
          <w:sz w:val="22"/>
        </w:rPr>
        <w:t>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[Reserved].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(g)    [Reserved].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(h)    [Reserved].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01040"/>
                <wp:effectExtent l="0" t="0" r="0" b="0"/>
                <wp:wrapNone/>
                <wp:docPr id="161" name="Frame13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(i)    </w:t>
      </w:r>
      <w:r>
        <w:rPr>
          <w:rFonts w:ascii="Times New Roman;sans-serif" w:hAnsi="Times New Roman;sans-serif"/>
          <w:b w:val="false"/>
          <w:i/>
          <w:color w:val="000000"/>
          <w:sz w:val="22"/>
          <w:u w:val="single"/>
        </w:rPr>
        <w:t>Disclaimer</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The Administrative Agent does not warrant or accept any responsibility for, and shall not have any liability with respect to (i) the administration, submission or any other matter related to the secured overnight financing rate or other rates in the definition of “Term SOFR Rate” or with respect to any alternative or successor rate thereto, or replacement rate thereof (including, without limitation any Benchmark Replacement implemented hereunder, or the selection of such rate and any related spread or other adjustment), (ii) the composition or characteristics of any such Benchmark Replacement, including whether it is similar to, or produces the same value or economic equivalence to Term SOFR or any other Benchmark or have the same volume or liquidity as did Term SOFR or any other Benchmark, (iii) any actions or use of its discretion or other decisions or determinations made with respect to any matters covered by this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including, without limitation, whether or not a Benchmark Transition Event or any of the events listed in </w:t>
      </w:r>
      <w:r>
        <w:rPr>
          <w:rFonts w:ascii="Times New Roman;sans-serif" w:hAnsi="Times New Roman;sans-serif"/>
          <w:b w:val="false"/>
          <w:color w:val="000000"/>
          <w:sz w:val="22"/>
          <w:u w:val="single"/>
        </w:rPr>
        <w:t>Section 2.14(g)</w:t>
      </w:r>
      <w:r>
        <w:rPr>
          <w:color w:val="000000"/>
        </w:rPr>
        <w:t xml:space="preserve"> </w:t>
      </w:r>
      <w:r>
        <w:rPr>
          <w:rFonts w:ascii="Times New Roman;sans-serif" w:hAnsi="Times New Roman;sans-serif"/>
          <w:b w:val="false"/>
          <w:color w:val="000000"/>
          <w:sz w:val="22"/>
        </w:rPr>
        <w:t xml:space="preserve">have occurred, the removal or lack thereof of unavailable or non-representative tenors, the implementation or lack thereof of any Benchmark Replacement Conforming Changes, the delivery or non-delivery of any notices required by </w:t>
      </w:r>
      <w:r>
        <w:rPr>
          <w:rFonts w:ascii="Times New Roman;sans-serif" w:hAnsi="Times New Roman;sans-serif"/>
          <w:b w:val="false"/>
          <w:color w:val="000000"/>
          <w:sz w:val="22"/>
          <w:u w:val="single"/>
        </w:rPr>
        <w:t>Sections 2.14(b)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above or otherwise in accordance herewith and (iv) the effect of any of the foregoing provisions of this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(j)    </w:t>
      </w:r>
      <w:r>
        <w:rPr>
          <w:rFonts w:ascii="Times New Roman;sans-serif" w:hAnsi="Times New Roman;sans-serif"/>
          <w:b w:val="false"/>
          <w:i/>
          <w:color w:val="000000"/>
          <w:sz w:val="22"/>
          <w:u w:val="single"/>
        </w:rPr>
        <w:t>Illegality</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If any Lender determines that any law has made it unlawful, or that any Governmental Authority has asserted that it is unlawful, for any Lender or its applicable lending office to make, maintain or fund Loans whose interest is determined by reference to Term SOFR or any Governmental Authority has imposed material restrictions on the authority of such Lender to determine or charge interest rates based upon Term SOFR, then, upon notice thereof by such Lender to the Borrower (through the Administrative Agent), (a) any obligation of such Lender to make or maintain Term SOFR Loans, shall be, in each case, suspended in each case to the extent of the affected Loans or Interest Periods or determination dates, as applicable, and (b) if such notice asserts the illegality of such Lender making or maintaining ABR Loans the interest rate on which is determined by reference to the Term SOFR Rate component of the Alternate Base Rate, the interest rate on the ABR Loans of such Lender shall, if necessary to avoid such illegality, be determined by the Administrative Agent without reference to the Term SOFR component of the Alternate Base Rate until such Lender notifies the Administrative Agent and the Borrower that the circumstances giving rise to such determination no longer exist. Upon receipt of such notice, the Borrower shall, upon demand from such Lender (with a copy to the Administrative Agent), convert all Term SOFR Loans of such Lender to ABR Loans (the interest rate on which ABR Loans of such Lender shall, if necessary to avoid such illegality, be determined by the Administrative Agent without reference to the Term SOFR Rate component of the Alternate Base Rate) immediately or on the last day of the Interest Period therefor if such Lender may lawfully continue to maintain such Term SOFR Loans to such day. Upon any such prepayment or conversion, the Borrower shall also pay accrued interest on the amount so prepaid or converted, together with any additional amounts required pursuant to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2.15.    </w:t>
      </w:r>
      <w:r>
        <w:rPr>
          <w:rFonts w:ascii="Times New Roman;sans-serif" w:hAnsi="Times New Roman;sans-serif"/>
          <w:b w:val="false"/>
          <w:i/>
          <w:color w:val="000000"/>
          <w:sz w:val="22"/>
        </w:rPr>
        <w:t>Increased Costs</w:t>
      </w:r>
      <w:r>
        <w:rPr>
          <w:rFonts w:ascii="Times New Roman;sans-serif" w:hAnsi="Times New Roman;sans-serif"/>
          <w:b w:val="false"/>
          <w:color w:val="000000"/>
          <w:sz w:val="22"/>
        </w:rPr>
        <w:t>. (a) If any Change in Law shall:</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impose, modify or deem applicable any reserve, special deposit, liquidity or similar requirement (including any compulsory loan requirement, insurance charge or other assessment) against assets of, deposits with or for the account of, or credit extended by, any Lender;</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01040"/>
                <wp:effectExtent l="0" t="0" r="0" b="0"/>
                <wp:wrapNone/>
                <wp:docPr id="162" name="Frame13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impose on any Lender or the London or other applicable offshore interbank market any other condition, cost or expense (other than Taxes) affecting this Agreement; or</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 xml:space="preserve">(iii)    subject any Recipient to any Taxes (other than (A) Indemnified Taxes, (B) Taxes described in </w:t>
      </w:r>
      <w:r>
        <w:rPr>
          <w:rFonts w:ascii="Times New Roman;sans-serif" w:hAnsi="Times New Roman;sans-serif"/>
          <w:b w:val="false"/>
          <w:color w:val="000000"/>
          <w:sz w:val="22"/>
          <w:u w:val="single"/>
        </w:rPr>
        <w:t>clauses (b)</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of the definition of “Excluded Taxes” and (C) Connection Income Taxes) on its loans, loan principal, letters of credit, commitments, or other obligations, or its deposits, reserves, other liabilities or capital attributable thereto;</w:t>
      </w:r>
    </w:p>
    <w:p>
      <w:pPr>
        <w:pStyle w:val="TextBody"/>
        <w:bidi w:val="0"/>
        <w:spacing w:lineRule="auto" w:line="288" w:before="0" w:after="240"/>
        <w:jc w:val="both"/>
        <w:rPr/>
      </w:pPr>
      <w:r>
        <w:rPr>
          <w:rFonts w:ascii="Times New Roman;sans-serif" w:hAnsi="Times New Roman;sans-serif"/>
          <w:b w:val="false"/>
          <w:color w:val="000000"/>
          <w:sz w:val="22"/>
        </w:rPr>
        <w:t xml:space="preserve">and the result of any of the foregoing shall be to increase the cost to such Lender or such other Recipient of making or maintaining any Term SOFR Loans (or of maintaining its obligation to make any such Term SOFR Loan) or to reduce the amount of any sum received or receivable by such Lender or such other Recipient hereunder (whether of principal, interest or otherwise), then, within thirty (30) days after the Borrower’s receipt of the certificate contemplated by </w:t>
      </w:r>
      <w:r>
        <w:rPr>
          <w:rFonts w:ascii="Times New Roman;sans-serif" w:hAnsi="Times New Roman;sans-serif"/>
          <w:b w:val="false"/>
          <w:color w:val="000000"/>
          <w:sz w:val="22"/>
          <w:u w:val="single"/>
        </w:rPr>
        <w:t>paragraph (c)</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the Borrower will pay to such Lender or such other Recipient, as the case may be, such additional amount or amounts as will compensate such Lender or such other Recipient, as the case may be, for such additional costs incurred or reduction suffered.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If any Lender determines that any Change in Law regarding capital or liquidity requirements has or would have the effect of reducing the rate of return on such Lender’s capital or on the capital of such Lender’s holding company, if any, as a consequence of this Agreement, the Commitments of,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A certificate of a Lender setting forth the amount or amounts necessary to compensate such Lender or its holding company, as the case may be, as specified in </w:t>
      </w:r>
      <w:r>
        <w:rPr>
          <w:rFonts w:ascii="Times New Roman;sans-serif" w:hAnsi="Times New Roman;sans-serif"/>
          <w:b w:val="false"/>
          <w:color w:val="000000"/>
          <w:sz w:val="22"/>
          <w:u w:val="single"/>
        </w:rPr>
        <w:t>paragraph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of this Section shall be delivered to the Borrower accompanied by a certificate setting forth in reasonable detail any amount or amounts and upon such delivery of such items, shall be conclusive absent manifest error. The Borrower shall pay such Lender the amount shown as due on any such certificate within ten (10) days after receipt thereof.</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Failure or delay on the part of any Lender to demand compensation pursuant to this Section shall not constitute a waiver of such Lender’s right to demand such compensation;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Borrower shall not be required to compensate a Lender pursuant to this Section for any increased costs or reductions incurred more than 180 days prior to the date that such Lender notifies the Borrower of the Change in Law giving rise to such increased costs or reductions and of such Lender’s intention to claim compensation therefor;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further that, if the Change in Law giving rise to such increased costs or reductions is retroactive, then the 180-day period referred to above shall be extended to include the period of retroactive effect thereof.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01040"/>
                <wp:effectExtent l="0" t="0" r="0" b="0"/>
                <wp:wrapNone/>
                <wp:docPr id="163" name="Frame13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2.16.    </w:t>
      </w:r>
      <w:r>
        <w:rPr>
          <w:rFonts w:ascii="Times New Roman;sans-serif" w:hAnsi="Times New Roman;sans-serif"/>
          <w:b w:val="false"/>
          <w:i/>
          <w:color w:val="000000"/>
          <w:sz w:val="22"/>
        </w:rPr>
        <w:t>Break Funding Payments</w:t>
      </w:r>
      <w:r>
        <w:rPr>
          <w:rFonts w:ascii="Times New Roman;sans-serif" w:hAnsi="Times New Roman;sans-serif"/>
          <w:b w:val="false"/>
          <w:color w:val="000000"/>
          <w:sz w:val="22"/>
        </w:rPr>
        <w:t xml:space="preserve">. In the event of (a) the payment of any principal of any Term SOFR Loan other than on the last day of an Interest Period applicable thereto (including as a result of an Event of Default or as a result of any prepayment pursuant to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(b) [reserved], (c) the failure to borrow or prepay any Term SOFR Loan on the date specified in any notice delivered pursuant hereto (regardless of whether such notice may be revoked under </w:t>
      </w:r>
      <w:r>
        <w:rPr>
          <w:rFonts w:ascii="Times New Roman;sans-serif" w:hAnsi="Times New Roman;sans-serif"/>
          <w:b w:val="false"/>
          <w:color w:val="000000"/>
          <w:sz w:val="22"/>
          <w:u w:val="single"/>
        </w:rPr>
        <w:t>Section 2.09(d)</w:t>
      </w:r>
      <w:r>
        <w:rPr>
          <w:color w:val="000000"/>
        </w:rPr>
        <w:t xml:space="preserve"> </w:t>
      </w:r>
      <w:r>
        <w:rPr>
          <w:rFonts w:ascii="Times New Roman;sans-serif" w:hAnsi="Times New Roman;sans-serif"/>
          <w:b w:val="false"/>
          <w:color w:val="000000"/>
          <w:sz w:val="22"/>
        </w:rPr>
        <w:t xml:space="preserve">and is revoked in accordance therewith) or (d) the assignment of any Term SOFR Loan other than on the last day of the Interest Period applicable thereto as a result of a request by the Borrower pursuant to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9.02(d)</w:t>
      </w:r>
      <w:r>
        <w:rPr>
          <w:rFonts w:ascii="Times New Roman;sans-serif" w:hAnsi="Times New Roman;sans-serif"/>
          <w:b w:val="false"/>
          <w:color w:val="000000"/>
          <w:sz w:val="22"/>
        </w:rPr>
        <w:t xml:space="preserve">, then, in any such event, the Borrower shall compensate each Lender for the loss, cost and expense attributable to such event. In the case of a Term SOFR Loan, such loss, cost or expense to any Lender shall be deemed to include an amount determined by such Lender to be the excess, if any, of (i) the amount of interest which would have accrued on the principal amount of such Term SOFR Loan had such event not occurred, at the Term SOFR Rate that would have been applicable to such Term SOFR Loan, for the period from the date of such event to the last day of the then current Interest Period therefor (or, in the case of a failure to borrow, for the period that would have been the Interest Period for such Term SOFR Loan), over (ii) the amount of interest which would accrue on such principal amount for such period at the interest rate which such Lender would bid were it to bid, at the commencement of such period, for deposits in the corresponding currency of a comparable amount and period from other banks in the applicable offshore interbank market. A certificate of any Lender setting forth in reasonable detail any amount or amounts that such Lender is entitled to receive pursuant to this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shall be delivered to the Borrower and shall be conclusive absent manifest error. The Borrower shall pay such Lender the amount shown as due on any such certificate within thirty (30) days after receipt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2.17.    </w:t>
      </w:r>
      <w:r>
        <w:rPr>
          <w:rFonts w:ascii="Times New Roman;sans-serif" w:hAnsi="Times New Roman;sans-serif"/>
          <w:b w:val="false"/>
          <w:i/>
          <w:color w:val="000000"/>
          <w:sz w:val="22"/>
        </w:rPr>
        <w:t>Withholding of Taxes; Gross-Up</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(a)    </w:t>
      </w:r>
      <w:r>
        <w:rPr>
          <w:rFonts w:ascii="Times New Roman;sans-serif" w:hAnsi="Times New Roman;sans-serif"/>
          <w:b w:val="false"/>
          <w:i/>
          <w:color w:val="000000"/>
          <w:sz w:val="22"/>
          <w:u w:val="single"/>
        </w:rPr>
        <w:t>Payments Free of Taxes</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 xml:space="preserve">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the applicable Recipient receives an amount equal to the sum it would have received had no such deduction or withholding been made.</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(b)    </w:t>
      </w:r>
      <w:r>
        <w:rPr>
          <w:rFonts w:ascii="Times New Roman;sans-serif" w:hAnsi="Times New Roman;sans-serif"/>
          <w:b w:val="false"/>
          <w:i/>
          <w:color w:val="000000"/>
          <w:sz w:val="22"/>
          <w:u w:val="single"/>
        </w:rPr>
        <w:t>Payment of Other Taxes by the Borrower</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The Loan Parties shall timely pay to the relevant Governmental Authority in accordance with applicable law, or at the option of the Administrative Agent timely reimburse it for, Other Taxes.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(c)    </w:t>
      </w:r>
      <w:r>
        <w:rPr>
          <w:rFonts w:ascii="Times New Roman;sans-serif" w:hAnsi="Times New Roman;sans-serif"/>
          <w:b w:val="false"/>
          <w:i/>
          <w:color w:val="000000"/>
          <w:sz w:val="22"/>
          <w:u w:val="single"/>
        </w:rPr>
        <w:t>Evidence of Payment</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 xml:space="preserve">As soon as practicable after any payment of Taxes by any Loan Party to a Governmental Authority pursuant to this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01040"/>
                <wp:effectExtent l="0" t="0" r="0" b="0"/>
                <wp:wrapNone/>
                <wp:docPr id="164" name="Frame13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(d)    </w:t>
      </w:r>
      <w:r>
        <w:rPr>
          <w:rFonts w:ascii="Times New Roman;sans-serif" w:hAnsi="Times New Roman;sans-serif"/>
          <w:b w:val="false"/>
          <w:i/>
          <w:color w:val="000000"/>
          <w:sz w:val="22"/>
          <w:u w:val="single"/>
        </w:rPr>
        <w:t>Indemnification by the Loan Parties</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The Loan Parties shall jointly and severally 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(e)    </w:t>
      </w:r>
      <w:r>
        <w:rPr>
          <w:rFonts w:ascii="Times New Roman;sans-serif" w:hAnsi="Times New Roman;sans-serif"/>
          <w:b w:val="false"/>
          <w:i/>
          <w:color w:val="000000"/>
          <w:sz w:val="22"/>
          <w:u w:val="single"/>
        </w:rPr>
        <w:t>Indemnification by the Lenders</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 xml:space="preserve">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sans-serif" w:hAnsi="Times New Roman;sans-serif"/>
          <w:b w:val="false"/>
          <w:color w:val="000000"/>
          <w:sz w:val="22"/>
          <w:u w:val="single"/>
        </w:rPr>
        <w:t>Section 9.04(c)</w:t>
      </w:r>
      <w:r>
        <w:rPr>
          <w:color w:val="000000"/>
        </w:rPr>
        <w:t xml:space="preserve"> </w:t>
      </w:r>
      <w:r>
        <w:rPr>
          <w:rFonts w:ascii="Times New Roman;sans-serif" w:hAnsi="Times New Roman;sans-serif"/>
          <w:b w:val="false"/>
          <w:color w:val="000000"/>
          <w:sz w:val="22"/>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sans-serif" w:hAnsi="Times New Roman;sans-serif"/>
          <w:b w:val="false"/>
          <w:color w:val="000000"/>
          <w:sz w:val="22"/>
          <w:u w:val="single"/>
        </w:rPr>
        <w:t>paragraph (e)</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(f)    </w:t>
      </w:r>
      <w:r>
        <w:rPr>
          <w:rFonts w:ascii="Times New Roman;sans-serif" w:hAnsi="Times New Roman;sans-serif"/>
          <w:b w:val="false"/>
          <w:i/>
          <w:color w:val="000000"/>
          <w:sz w:val="22"/>
          <w:u w:val="single"/>
        </w:rPr>
        <w:t>Status of Lenders</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2"/>
          <w:u w:val="single"/>
        </w:rPr>
        <w:t>Section 2.17(f)(ii)(A)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2.17(f)(ii)(B)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2.17(f)(ii)(D)</w:t>
      </w:r>
      <w:r>
        <w:rPr>
          <w:color w:val="000000"/>
        </w:rPr>
        <w:t xml:space="preserve"> </w:t>
      </w:r>
      <w:r>
        <w:rPr>
          <w:rFonts w:ascii="Times New Roman;sans-serif" w:hAnsi="Times New Roman;sans-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Without limiting the generality of the foregoing, in the event that the Borrower is a U.S. Person,</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01040"/>
                <wp:effectExtent l="0" t="0" r="0" b="0"/>
                <wp:wrapNone/>
                <wp:docPr id="165" name="Frame14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lineRule="auto" w:line="288"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88" w:before="0" w:after="240"/>
        <w:ind w:left="0" w:right="0" w:firstLine="1296"/>
        <w:jc w:val="both"/>
        <w:rPr>
          <w:rFonts w:ascii="Times New Roman;sans-serif" w:hAnsi="Times New Roman;sans-serif"/>
          <w:b w:val="false"/>
          <w:color w:val="000000"/>
          <w:sz w:val="22"/>
        </w:rPr>
      </w:pPr>
      <w:r>
        <w:rPr>
          <w:rFonts w:ascii="Times New Roman;sans-serif" w:hAnsi="Times New Roman;sans-serif"/>
          <w:b w:val="false"/>
          <w:color w:val="000000"/>
          <w:sz w:val="22"/>
        </w:rPr>
        <w:t>(1)    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1296"/>
        <w:jc w:val="both"/>
        <w:rPr>
          <w:rFonts w:ascii="Times New Roman;sans-serif" w:hAnsi="Times New Roman;sans-serif"/>
          <w:b w:val="false"/>
          <w:color w:val="000000"/>
          <w:sz w:val="22"/>
        </w:rPr>
      </w:pPr>
      <w:r>
        <w:rPr>
          <w:rFonts w:ascii="Times New Roman;sans-serif" w:hAnsi="Times New Roman;sans-serif"/>
          <w:b w:val="false"/>
          <w:color w:val="000000"/>
          <w:sz w:val="22"/>
        </w:rPr>
        <w:t>(2)    in the case of a Foreign Lender claiming that its extension of credit will generate U.S. effectively connected income, executed copies of IRS Form W-8ECI;</w:t>
      </w:r>
    </w:p>
    <w:p>
      <w:pPr>
        <w:pStyle w:val="TextBody"/>
        <w:bidi w:val="0"/>
        <w:spacing w:lineRule="auto" w:line="288" w:before="0" w:after="240"/>
        <w:ind w:left="0" w:right="0" w:firstLine="1296"/>
        <w:jc w:val="both"/>
        <w:rPr/>
      </w:pPr>
      <w:r>
        <w:rPr>
          <w:rFonts w:ascii="Times New Roman;sans-serif" w:hAnsi="Times New Roman;sans-serif"/>
          <w:b w:val="false"/>
          <w:color w:val="000000"/>
          <w:sz w:val="22"/>
        </w:rPr>
        <w:t>(3)    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w:t>
      </w:r>
      <w:r>
        <w:rPr>
          <w:rFonts w:ascii="Times New Roman;sans-serif" w:hAnsi="Times New Roman;sans-serif"/>
          <w:b/>
          <w:color w:val="000000"/>
          <w:sz w:val="22"/>
        </w:rPr>
        <w:t>10-percent shareholder</w:t>
      </w:r>
      <w:r>
        <w:rPr>
          <w:color w:val="000000"/>
        </w:rPr>
        <w:t xml:space="preserve">” </w:t>
      </w:r>
      <w:r>
        <w:rPr>
          <w:rFonts w:ascii="Times New Roman;sans-serif" w:hAnsi="Times New Roman;sans-serif"/>
          <w:b w:val="false"/>
          <w:color w:val="000000"/>
          <w:sz w:val="22"/>
        </w:rPr>
        <w:t>of the Borrower within the meaning of Section 871(h)(3)(B) of the Code, or a “controlled foreign corporation” related to the Borrower, as described in Section 881(c)(3)(C) of the Code (a “</w:t>
      </w:r>
      <w:r>
        <w:rPr>
          <w:rFonts w:ascii="Times New Roman;sans-serif" w:hAnsi="Times New Roman;sans-serif"/>
          <w:b/>
          <w:color w:val="000000"/>
          <w:sz w:val="22"/>
        </w:rPr>
        <w:t>U.S. Tax Compliance Certificate</w:t>
      </w:r>
      <w:r>
        <w:rPr>
          <w:color w:val="000000"/>
        </w:rPr>
        <w:t>”</w:t>
      </w:r>
      <w:r>
        <w:rPr>
          <w:rFonts w:ascii="Times New Roman;sans-serif" w:hAnsi="Times New Roman;sans-serif"/>
          <w:b w:val="false"/>
          <w:color w:val="000000"/>
          <w:sz w:val="22"/>
        </w:rPr>
        <w:t>) and (y) executed copies of IRS Form W-8BEN or W-8BEN-E, as applicable; 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01040"/>
                <wp:effectExtent l="0" t="0" r="0" b="0"/>
                <wp:wrapNone/>
                <wp:docPr id="166" name="Frame14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296"/>
        <w:jc w:val="both"/>
        <w:rPr/>
      </w:pPr>
      <w:r>
        <w:rPr>
          <w:rFonts w:ascii="Times New Roman;sans-serif" w:hAnsi="Times New Roman;sans-serif"/>
          <w:b w:val="false"/>
          <w:color w:val="000000"/>
          <w:sz w:val="22"/>
        </w:rPr>
        <w:t xml:space="preserve">(4)    to the extent a Foreign Lender is not the beneficial owner, executed copies of IRS Form W-8IMY, accompanied by IRS Form W-8ECI, IRS Form W-8BEN or IRS Form W-8BEN-E, as applicable, a U.S. Tax Compliance Certificate substantially in the form of Exhibit E-2 or E-3, IRS Form W-9, and/or other certification documents from each beneficial owner, as applicable;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pStyle w:val="TextBody"/>
        <w:bidi w:val="0"/>
        <w:spacing w:lineRule="auto" w:line="288"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88" w:before="0" w:after="240"/>
        <w:ind w:left="0" w:right="0" w:firstLine="1152"/>
        <w:jc w:val="both"/>
        <w:rPr/>
      </w:pPr>
      <w:r>
        <w:rPr>
          <w:rFonts w:ascii="Times New Roman;sans-serif" w:hAnsi="Times New Roman;sans-serif"/>
          <w:b w:val="false"/>
          <w:color w:val="000000"/>
          <w:sz w:val="22"/>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sans-serif" w:hAnsi="Times New Roman;sans-serif"/>
          <w:b w:val="false"/>
          <w:color w:val="000000"/>
          <w:sz w:val="22"/>
          <w:u w:val="single"/>
        </w:rPr>
        <w:t>clause (D)</w:t>
      </w:r>
      <w:r>
        <w:rPr>
          <w:rFonts w:ascii="Times New Roman;sans-serif" w:hAnsi="Times New Roman;sans-serif"/>
          <w:b w:val="false"/>
          <w:color w:val="000000"/>
          <w:sz w:val="22"/>
        </w:rPr>
        <w:t>, “</w:t>
      </w:r>
      <w:r>
        <w:rPr>
          <w:rFonts w:ascii="Times New Roman;sans-serif" w:hAnsi="Times New Roman;sans-serif"/>
          <w:b/>
          <w:color w:val="000000"/>
          <w:sz w:val="22"/>
        </w:rPr>
        <w:t>FATCA</w:t>
      </w:r>
      <w:r>
        <w:rPr>
          <w:color w:val="000000"/>
        </w:rPr>
        <w:t xml:space="preserve">” </w:t>
      </w:r>
      <w:r>
        <w:rPr>
          <w:rFonts w:ascii="Times New Roman;sans-serif" w:hAnsi="Times New Roman;sans-serif"/>
          <w:b w:val="false"/>
          <w:color w:val="000000"/>
          <w:sz w:val="22"/>
        </w:rPr>
        <w:t>shall include any amendments made to FATCA after the date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Each Lender authorizes the Administrative Agent to deliver to the Loan Parties and to any successor Administrative Agent any documentation provided by such Lender to the Administrative Agent pursuant to this </w:t>
      </w:r>
      <w:r>
        <w:rPr>
          <w:rFonts w:ascii="Times New Roman;sans-serif" w:hAnsi="Times New Roman;sans-serif"/>
          <w:b w:val="false"/>
          <w:color w:val="000000"/>
          <w:sz w:val="22"/>
          <w:u w:val="single"/>
        </w:rPr>
        <w:t>Section 2.17(f)</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01040"/>
                <wp:effectExtent l="0" t="0" r="0" b="0"/>
                <wp:wrapNone/>
                <wp:docPr id="167" name="Frame14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(g)    </w:t>
      </w:r>
      <w:r>
        <w:rPr>
          <w:rFonts w:ascii="Times New Roman;sans-serif" w:hAnsi="Times New Roman;sans-serif"/>
          <w:b w:val="false"/>
          <w:i/>
          <w:color w:val="000000"/>
          <w:sz w:val="22"/>
          <w:u w:val="single"/>
        </w:rPr>
        <w:t>Treatment of Certain Refunds</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 xml:space="preserve">If any party determines, in its sole discretion exercised in good faith, that it has received a refund of any Taxes as to which it has been indemnified pursuant to this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 xml:space="preserve">(including by the payment of additional amounts pursuant to this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it shall pay to the indemnifying party an amount equal to such refund (but only to the extent of indemnity payments made under this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ans-serif" w:hAnsi="Times New Roman;sans-serif"/>
          <w:b w:val="false"/>
          <w:color w:val="000000"/>
          <w:sz w:val="22"/>
          <w:u w:val="single"/>
        </w:rPr>
        <w:t>paragraph (g)</w:t>
      </w:r>
      <w:r>
        <w:rPr>
          <w:color w:val="000000"/>
        </w:rPr>
        <w:t xml:space="preserve"> </w:t>
      </w:r>
      <w:r>
        <w:rPr>
          <w:rFonts w:ascii="Times New Roman;sans-serif" w:hAnsi="Times New Roman;sans-serif"/>
          <w:b w:val="false"/>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ans-serif" w:hAnsi="Times New Roman;sans-serif"/>
          <w:b w:val="false"/>
          <w:color w:val="000000"/>
          <w:sz w:val="22"/>
          <w:u w:val="single"/>
        </w:rPr>
        <w:t>paragraph (g)</w:t>
      </w:r>
      <w:r>
        <w:rPr>
          <w:rFonts w:ascii="Times New Roman;sans-serif" w:hAnsi="Times New Roman;sans-serif"/>
          <w:b w:val="false"/>
          <w:color w:val="000000"/>
          <w:sz w:val="22"/>
        </w:rPr>
        <w:t xml:space="preserve">, in no event will the indemnified party be required to pay any amount to an indemnifying party pursuant to this </w:t>
      </w:r>
      <w:r>
        <w:rPr>
          <w:rFonts w:ascii="Times New Roman;sans-serif" w:hAnsi="Times New Roman;sans-serif"/>
          <w:b w:val="false"/>
          <w:color w:val="000000"/>
          <w:sz w:val="22"/>
          <w:u w:val="single"/>
        </w:rPr>
        <w:t>paragraph (g)</w:t>
      </w:r>
      <w:r>
        <w:rPr>
          <w:color w:val="000000"/>
        </w:rPr>
        <w:t xml:space="preserve"> </w:t>
      </w:r>
      <w:r>
        <w:rPr>
          <w:rFonts w:ascii="Times New Roman;sans-serif" w:hAnsi="Times New Roman;sans-serif"/>
          <w:b w:val="false"/>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w:t>
      </w:r>
      <w:r>
        <w:rPr>
          <w:rFonts w:ascii="Times New Roman;sans-serif" w:hAnsi="Times New Roman;sans-serif"/>
          <w:b w:val="false"/>
          <w:color w:val="000000"/>
          <w:sz w:val="22"/>
          <w:u w:val="single"/>
        </w:rPr>
        <w:t>paragraph (g)</w:t>
      </w:r>
      <w:r>
        <w:rPr>
          <w:color w:val="000000"/>
        </w:rPr>
        <w:t xml:space="preserve"> </w:t>
      </w:r>
      <w:r>
        <w:rPr>
          <w:rFonts w:ascii="Times New Roman;sans-serif" w:hAnsi="Times New Roman;sans-serif"/>
          <w:b w:val="false"/>
          <w:color w:val="000000"/>
          <w:sz w:val="22"/>
        </w:rPr>
        <w:t>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(h)    </w:t>
      </w:r>
      <w:r>
        <w:rPr>
          <w:rFonts w:ascii="Times New Roman;sans-serif" w:hAnsi="Times New Roman;sans-serif"/>
          <w:b w:val="false"/>
          <w:i/>
          <w:color w:val="000000"/>
          <w:sz w:val="22"/>
          <w:u w:val="single"/>
        </w:rPr>
        <w:t>Survival</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 xml:space="preserve">Each party’s obligations under this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Obligations).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(i)    </w:t>
      </w:r>
      <w:r>
        <w:rPr>
          <w:rFonts w:ascii="Times New Roman;sans-serif" w:hAnsi="Times New Roman;sans-serif"/>
          <w:b w:val="false"/>
          <w:i/>
          <w:color w:val="000000"/>
          <w:sz w:val="22"/>
          <w:u w:val="single"/>
        </w:rPr>
        <w:t>Defined Terms</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 xml:space="preserve">For purposes of this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the term “applicable law” includes FATCA.</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2.18.    </w:t>
      </w:r>
      <w:r>
        <w:rPr>
          <w:rFonts w:ascii="Times New Roman;sans-serif" w:hAnsi="Times New Roman;sans-serif"/>
          <w:b w:val="false"/>
          <w:i/>
          <w:color w:val="000000"/>
          <w:sz w:val="22"/>
        </w:rPr>
        <w:t>Payments Generally; Allocation of Proceeds; Sharing of Set-offs</w:t>
      </w:r>
      <w:r>
        <w:rPr>
          <w:rFonts w:ascii="Times New Roman;sans-serif" w:hAnsi="Times New Roman;sans-serif"/>
          <w:b w:val="false"/>
          <w:color w:val="000000"/>
          <w:sz w:val="22"/>
        </w:rPr>
        <w:t xml:space="preserve">. (a) The Borrower shall make each payment required to be made by them hereunder (whether of principal, interest, fees or of amounts payable under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rFonts w:ascii="Times New Roman;sans-serif" w:hAnsi="Times New Roman;sans-serif"/>
          <w:b w:val="false"/>
          <w:color w:val="000000"/>
          <w:sz w:val="22"/>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the address of the Administrative Agent as set forth on </w:t>
      </w:r>
      <w:r>
        <w:rPr>
          <w:rFonts w:ascii="Times New Roman;sans-serif" w:hAnsi="Times New Roman;sans-serif"/>
          <w:b w:val="false"/>
          <w:color w:val="000000"/>
          <w:sz w:val="22"/>
          <w:u w:val="single"/>
        </w:rPr>
        <w:t>Schedule 9.01</w:t>
      </w:r>
      <w:r>
        <w:rPr>
          <w:rFonts w:ascii="Times New Roman;sans-serif" w:hAnsi="Times New Roman;sans-serif"/>
          <w:b w:val="false"/>
          <w:color w:val="000000"/>
          <w:sz w:val="22"/>
        </w:rPr>
        <w:t xml:space="preserve">, except that payments pursuant to </w:t>
      </w:r>
      <w:r>
        <w:rPr>
          <w:rFonts w:ascii="Times New Roman;sans-serif" w:hAnsi="Times New Roman;sans-serif"/>
          <w:b w:val="false"/>
          <w:color w:val="000000"/>
          <w:sz w:val="22"/>
          <w:u w:val="single"/>
        </w:rPr>
        <w:t>Sections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9.03</w:t>
      </w:r>
      <w:r>
        <w:rPr>
          <w:color w:val="000000"/>
        </w:rPr>
        <w:t xml:space="preserve"> </w:t>
      </w:r>
      <w:r>
        <w:rPr>
          <w:rFonts w:ascii="Times New Roman;sans-serif" w:hAnsi="Times New Roman;sans-serif"/>
          <w:b w:val="false"/>
          <w:color w:val="000000"/>
          <w:sz w:val="22"/>
        </w:rPr>
        <w:t>shall be made directly to the Persons entitled thereto. The Administrative Agent shall distribute any such payments received by it for the account of any other Person to the appropriate recipient promptly following receipt thereof. Except as otherwise specified herein, all payments hereunder on Loans and other obligations shall be made in Dollars.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01040"/>
                <wp:effectExtent l="0" t="0" r="0" b="0"/>
                <wp:wrapNone/>
                <wp:docPr id="168" name="Frame14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After the exercise of remedies provided for in </w:t>
      </w:r>
      <w:r>
        <w:rPr>
          <w:rFonts w:ascii="Times New Roman;sans-serif" w:hAnsi="Times New Roman;sans-serif"/>
          <w:b w:val="false"/>
          <w:color w:val="000000"/>
          <w:sz w:val="22"/>
          <w:u w:val="single"/>
        </w:rPr>
        <w:t>Section 7.01</w:t>
      </w:r>
      <w:r>
        <w:rPr>
          <w:color w:val="000000"/>
        </w:rPr>
        <w:t xml:space="preserve"> </w:t>
      </w:r>
      <w:r>
        <w:rPr>
          <w:rFonts w:ascii="Times New Roman;sans-serif" w:hAnsi="Times New Roman;sans-serif"/>
          <w:b w:val="false"/>
          <w:color w:val="000000"/>
          <w:sz w:val="22"/>
        </w:rPr>
        <w:t xml:space="preserve">(or after the Loans have automatically become immediately due and payable as set forth in the proviso to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 xml:space="preserve">), any amounts received on account of the Obligations shall, subject to the provisions of </w:t>
      </w:r>
      <w:r>
        <w:rPr>
          <w:rFonts w:ascii="Times New Roman;sans-serif" w:hAnsi="Times New Roman;sans-serif"/>
          <w:b w:val="false"/>
          <w:color w:val="000000"/>
          <w:sz w:val="22"/>
          <w:u w:val="single"/>
        </w:rPr>
        <w:t>Section 2.20</w:t>
      </w:r>
      <w:r>
        <w:rPr>
          <w:rFonts w:ascii="Times New Roman;sans-serif" w:hAnsi="Times New Roman;sans-serif"/>
          <w:b w:val="false"/>
          <w:color w:val="000000"/>
          <w:sz w:val="22"/>
        </w:rPr>
        <w:t xml:space="preserve">, be applied by the Administrative Agent in the following order: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pay any fees, indemnities, or expense reimbursements including amounts then due to the Administrative Agent from the Borrower,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pay any fees, indemnities or expense reimbursements then due to the Lenders from the Borrower,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to pay any remaining fees, any Prepayment Premium, and interest then due and payable on the Loans ratably, </w:t>
      </w: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to prepay principal on the Loans, ratably, and </w:t>
      </w: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to the Borrower.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[Reserved].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If, except as otherwise expressly provided herein,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similarly situated Lender, then the Lender receiving such greater proportion shall purchase (for cash at face value) participations in the Loans of other Lenders to the extent necessary so that the benefit of all such payments shall be shared by all such Lenders ratably in accordance with the aggregate amount of principal of and accrued interest on their respective Loans;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01040"/>
                <wp:effectExtent l="0" t="0" r="0" b="0"/>
                <wp:wrapNone/>
                <wp:docPr id="169" name="Frame14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shd w:fill="FFFFFF" w:val="clear"/>
        </w:rPr>
        <w:t xml:space="preserve">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application to, any future funding obligations of such Lender hereunder. Application of amounts pursuant to (i) and (ii) </w:t>
      </w:r>
      <w:r>
        <w:rPr>
          <w:rFonts w:ascii="Times New Roman;sans-serif" w:hAnsi="Times New Roman;sans-serif"/>
          <w:b w:val="false"/>
          <w:color w:val="000000"/>
          <w:sz w:val="22"/>
        </w:rPr>
        <w:t>above shall be made in any order determined by the Administrative Agent in its discretion.</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(g)    The Administrative Agent may from time to time provide the Borrower with account statements or invoices with respect to any of the Obligations (the “</w:t>
      </w:r>
      <w:r>
        <w:rPr>
          <w:rFonts w:ascii="Times New Roman;sans-serif" w:hAnsi="Times New Roman;sans-serif"/>
          <w:b/>
          <w:color w:val="000000"/>
          <w:sz w:val="22"/>
        </w:rPr>
        <w:t>Statements</w:t>
      </w:r>
      <w:r>
        <w:rPr>
          <w:color w:val="000000"/>
        </w:rPr>
        <w:t>”</w:t>
      </w:r>
      <w:r>
        <w:rPr>
          <w:rFonts w:ascii="Times New Roman;sans-serif" w:hAnsi="Times New Roman;sans-serif"/>
          <w:b w:val="false"/>
          <w:color w:val="000000"/>
          <w:sz w:val="22"/>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Obligations. If the Borrower pays the full amount indicated on a Statement on or before the due date indicated on such Statement, the Borrower shall not be in default of payment with respect to the billing period indicated on such Statements. Notwithstanding the foregoing, acceptance by the Administrative Agent, on behalf of the Lenders, of any payment that is less than the total amount actually due at that time (including but not limited to any past due amounts) shall not constitute a waiver by the Administrative Agent or any Lender of their right to receive payment of the unpaid amount in full at another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2.19.    </w:t>
      </w:r>
      <w:r>
        <w:rPr>
          <w:rFonts w:ascii="Times New Roman;sans-serif" w:hAnsi="Times New Roman;sans-serif"/>
          <w:b w:val="false"/>
          <w:i/>
          <w:color w:val="000000"/>
          <w:sz w:val="22"/>
        </w:rPr>
        <w:t>Mitigation Obligations; Replacement of Lenders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(a)    If any Lender requests compensation under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or if the Borrower is required to pay any Indemnified Taxes or additional amounts to any Lender or any Governmental Authority for the account of any Lender pursuant to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rFonts w:ascii="Times New Roman;sans-serif" w:hAnsi="Times New Roman;sans-serif"/>
          <w:b w:val="false"/>
          <w:color w:val="000000"/>
          <w:sz w:val="22"/>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01040"/>
                <wp:effectExtent l="0" t="0" r="0" b="0"/>
                <wp:wrapNone/>
                <wp:docPr id="170" name="Frame14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If (i) any Lender requests compensation under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(ii) the Borrower is required to pay any Indemnified Taxes or additional amounts to any Lender or any Governmental Authority for the account of any Lender pursuant to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or (iii) any Lender becomes a Defaulting Lender, then the Borrower may, at their sole expense and effort, upon notice to such Lender and the Administrative Agent, require such Lender to assign and delegate, without recourse (in accordance with and subject to the restrictions contained in </w:t>
      </w:r>
      <w:r>
        <w:rPr>
          <w:rFonts w:ascii="Times New Roman;sans-serif" w:hAnsi="Times New Roman;sans-serif"/>
          <w:b w:val="false"/>
          <w:color w:val="000000"/>
          <w:sz w:val="22"/>
          <w:u w:val="single"/>
        </w:rPr>
        <w:t>Section 9.04</w:t>
      </w:r>
      <w:r>
        <w:rPr>
          <w:rFonts w:ascii="Times New Roman;sans-serif" w:hAnsi="Times New Roman;sans-serif"/>
          <w:b w:val="false"/>
          <w:color w:val="000000"/>
          <w:sz w:val="22"/>
        </w:rPr>
        <w:t xml:space="preserve">), all its interests, rights (other than its existing rights to payments pursuant to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rFonts w:ascii="Times New Roman;sans-serif" w:hAnsi="Times New Roman;sans-serif"/>
          <w:b w:val="false"/>
          <w:color w:val="000000"/>
          <w:sz w:val="22"/>
        </w:rPr>
        <w:t xml:space="preserve">) and obligations under this Agreement and other Loan Documents to an assignee that shall assume such obligations (which assignee may be another Lender, if a Lender accepts such assignment);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(x) if the Borrower shall have received the prior written consent of the Administrative Agent, which consent shall not unreasonably be withheld or delayed, (y) such Lender shall have received payment of an amount equal to the outstanding principal of its Loan, accrued interest thereon, accrued fees, the Prepayment Premium (if applicable) and all other amounts payable to it hereunder, from the assignee (to the extent of such outstanding principal and accrued interest and fees) or the Borrower (in the case of all other amounts) and (z) in the case of any such assignment resulting from a claim for compensation under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or payments required to be made pursuant to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2.20.    </w:t>
      </w:r>
      <w:r>
        <w:rPr>
          <w:rFonts w:ascii="Times New Roman;sans-serif" w:hAnsi="Times New Roman;sans-serif"/>
          <w:b w:val="false"/>
          <w:i/>
          <w:color w:val="000000"/>
          <w:sz w:val="22"/>
        </w:rPr>
        <w:t>Defaulting Lenders</w:t>
      </w:r>
      <w:r>
        <w:rPr>
          <w:rFonts w:ascii="Times New Roman;sans-serif" w:hAnsi="Times New Roman;sans-serif"/>
          <w:b w:val="false"/>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(a)    fees shall cease to accrue on the unfunded portion of the Delayed Draw Term Commitment of such Defaulting Lender pursuant to </w:t>
      </w:r>
      <w:r>
        <w:rPr>
          <w:rFonts w:ascii="Times New Roman;sans-serif" w:hAnsi="Times New Roman;sans-serif"/>
          <w:b w:val="false"/>
          <w:color w:val="000000"/>
          <w:sz w:val="22"/>
          <w:u w:val="single"/>
        </w:rPr>
        <w:t>Section 2.12(a)</w:t>
      </w:r>
      <w:r>
        <w:rPr>
          <w:rFonts w:ascii="Times New Roman;sans-serif" w:hAnsi="Times New Roman;sans-serif"/>
          <w:b w:val="false"/>
          <w:color w:val="000000"/>
          <w:sz w:val="22"/>
        </w:rPr>
        <w:t>; and</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such Defaulting Lender shall not have the right to vote on any issue on which voting is required (other than to the extent expressly provided in </w:t>
      </w:r>
      <w:r>
        <w:rPr>
          <w:rFonts w:ascii="Times New Roman;sans-serif" w:hAnsi="Times New Roman;sans-serif"/>
          <w:b w:val="false"/>
          <w:color w:val="000000"/>
          <w:sz w:val="22"/>
          <w:u w:val="single"/>
        </w:rPr>
        <w:t>Section 9.02(b)</w:t>
      </w:r>
      <w:r>
        <w:rPr>
          <w:rFonts w:ascii="Times New Roman;sans-serif" w:hAnsi="Times New Roman;sans-serif"/>
          <w:b w:val="false"/>
          <w:color w:val="000000"/>
          <w:sz w:val="22"/>
        </w:rPr>
        <w:t xml:space="preserve">) and the Commitment and Delayed Draw Term Exposure of such Defaulting Lender shall not be included in determining whether the Required Lenders have taken or may take any action hereunder (including any consent to any amendment, waiver or other modification pursuant to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xml:space="preserve">) or under any other Loan Document; provided, that, except as otherwise provided in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shall not apply to the vote of a Defaulting Lender in the case of an amendment, waiver or other modification requiring the consent of such Lender or each Lender directly affected thereby.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01040"/>
                <wp:effectExtent l="0" t="0" r="0" b="0"/>
                <wp:wrapNone/>
                <wp:docPr id="171" name="Frame14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2.21.    </w:t>
      </w:r>
      <w:r>
        <w:rPr>
          <w:rFonts w:ascii="Times New Roman;sans-serif" w:hAnsi="Times New Roman;sans-serif"/>
          <w:b w:val="false"/>
          <w:i/>
          <w:color w:val="000000"/>
          <w:sz w:val="22"/>
        </w:rPr>
        <w:t>Returned Payments.</w:t>
      </w:r>
      <w:r>
        <w:rPr>
          <w:color w:val="000000"/>
        </w:rPr>
        <w:t xml:space="preserve"> </w:t>
      </w:r>
      <w:r>
        <w:rPr>
          <w:rFonts w:ascii="Times New Roman;sans-serif" w:hAnsi="Times New Roman;sans-serif"/>
          <w:b w:val="false"/>
          <w:color w:val="000000"/>
          <w:sz w:val="22"/>
        </w:rPr>
        <w:t xml:space="preserve">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 xml:space="preserve">shall be and remain effective notwithstanding any contrary action which may have been taken by the Administrative Agent or any Lender in reliance upon such payment or application of proceeds. The provisions of this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shall survive the termination of this Agreement.</w:t>
      </w:r>
    </w:p>
    <w:p>
      <w:pPr>
        <w:pStyle w:val="TextBody"/>
        <w:bidi w:val="0"/>
        <w:spacing w:lineRule="auto" w:line="319" w:before="0" w:after="240"/>
        <w:jc w:val="center"/>
        <w:rPr/>
      </w:pPr>
      <w:r>
        <w:rPr>
          <w:rFonts w:ascii="Times New Roman;sans-serif" w:hAnsi="Times New Roman;sans-serif"/>
          <w:b w:val="false"/>
          <w:color w:val="000000"/>
          <w:sz w:val="22"/>
        </w:rPr>
        <w:t>ARTICLE III</w:t>
      </w:r>
      <w:r>
        <w:rPr>
          <w:rFonts w:ascii="Times New Roman;sans-serif" w:hAnsi="Times New Roman;sans-serif"/>
          <w:b w:val="false"/>
          <w:color w:val="000000"/>
          <w:sz w:val="24"/>
        </w:rPr>
        <w:br/>
      </w:r>
      <w:r>
        <w:rPr>
          <w:rFonts w:ascii="Times New Roman;sans-serif" w:hAnsi="Times New Roman;sans-serif"/>
          <w:b w:val="false"/>
          <w:color w:val="000000"/>
          <w:sz w:val="22"/>
        </w:rPr>
        <w:t>REPRESENTATIONS AND WARRANTIES.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represents and warrants to the Lenders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3.01.    </w:t>
      </w:r>
      <w:r>
        <w:rPr>
          <w:rFonts w:ascii="Times New Roman;sans-serif" w:hAnsi="Times New Roman;sans-serif"/>
          <w:b w:val="false"/>
          <w:i/>
          <w:color w:val="000000"/>
          <w:sz w:val="22"/>
        </w:rPr>
        <w:t>Existence and Power</w:t>
      </w:r>
      <w:r>
        <w:rPr>
          <w:rFonts w:ascii="Times New Roman;sans-serif" w:hAnsi="Times New Roman;sans-serif"/>
          <w:b w:val="false"/>
          <w:color w:val="000000"/>
          <w:sz w:val="22"/>
        </w:rPr>
        <w:t>. Each Loan Party is duly organized, validly existing and in good standing (to the extent the concept of “good standing” is applicable in the applicable jurisdiction) under the laws of the jurisdiction of its organization and has all powers and all governmental licenses, authorizations, consents and approvals required to carry on its business as now conducted, except where the failure to be in good standing or have such licenses, authorizations, consents and approvals would not reasonably be expected to have a Material Adverse Effect. Each Loan Party is qualified to do business as a foreign entity in each jurisdiction in which it is required to be so qualified, except where the failure to be so qualified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3.02.    </w:t>
      </w:r>
      <w:r>
        <w:rPr>
          <w:rFonts w:ascii="Times New Roman;sans-serif" w:hAnsi="Times New Roman;sans-serif"/>
          <w:b w:val="false"/>
          <w:i/>
          <w:color w:val="000000"/>
          <w:sz w:val="22"/>
        </w:rPr>
        <w:t>Organization and Governmental Authorization; No Contravention</w:t>
      </w:r>
      <w:r>
        <w:rPr>
          <w:rFonts w:ascii="Times New Roman;sans-serif" w:hAnsi="Times New Roman;sans-serif"/>
          <w:b w:val="false"/>
          <w:color w:val="000000"/>
          <w:sz w:val="22"/>
        </w:rPr>
        <w:t>. The Transactions, including the execution, delivery and performance by each Loan Party of the Loan Documents to which it is a party, (a) are within the powers of each Loan Party, (b) have been duly authorized by all necessary action pursuant to the Organizational Documents of each Loan Party, (c) require no further action by or in respect of, or filing with, any governmental body, agency or official (except those as have been obtained or made and are in full force and effect), (d) do not violate, conflict with or cause a breach or a default under any provision of applicable law or regulation or of the Organizational Documents of any Loan Party or of any agreement, judgment, injunction, order, decree or other instrument binding upon it, except for such violations, conflicts, breaches or defaults as would not reasonably be expected to have a Material Adverse Effect and (e) do not result in the creation or imposition of any Lien upon or with respect to any property or assets now owned or hereafter acquired by the Borrower or any other Loan Party, other than Permitted Liens.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01040"/>
                <wp:effectExtent l="0" t="0" r="0" b="0"/>
                <wp:wrapNone/>
                <wp:docPr id="172" name="Frame14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3.03.    </w:t>
      </w:r>
      <w:r>
        <w:rPr>
          <w:rFonts w:ascii="Times New Roman;sans-serif" w:hAnsi="Times New Roman;sans-serif"/>
          <w:b w:val="false"/>
          <w:i/>
          <w:color w:val="000000"/>
          <w:sz w:val="22"/>
        </w:rPr>
        <w:t>Binding Effect</w:t>
      </w:r>
      <w:r>
        <w:rPr>
          <w:rFonts w:ascii="Times New Roman;sans-serif" w:hAnsi="Times New Roman;sans-serif"/>
          <w:b w:val="false"/>
          <w:color w:val="000000"/>
          <w:sz w:val="22"/>
        </w:rPr>
        <w:t>. This Agreement has been executed and delivered by the Borrower and constitutes, and each other Loan Document to which any Loan Party is a party, when executed and delivered will constitute, a valid and binding agreement or instrument of such Loan Party, enforceable against such Loan Party in accordance with its respective terms, except as the enforceability thereof may be limited by bankruptcy, insolvency, reorganization, moratorium or other similar laws relating to the enforcement of creditors’ rights generally and by general equitable principles.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3.04.    </w:t>
      </w:r>
      <w:r>
        <w:rPr>
          <w:rFonts w:ascii="Times New Roman;sans-serif" w:hAnsi="Times New Roman;sans-serif"/>
          <w:b w:val="false"/>
          <w:i/>
          <w:color w:val="000000"/>
          <w:sz w:val="22"/>
        </w:rPr>
        <w:t>Corporate Structure</w:t>
      </w:r>
      <w:r>
        <w:rPr>
          <w:rFonts w:ascii="Times New Roman;sans-serif" w:hAnsi="Times New Roman;sans-serif"/>
          <w:b w:val="false"/>
          <w:color w:val="000000"/>
          <w:sz w:val="22"/>
        </w:rPr>
        <w:t xml:space="preserve">. The authorized equity securities of each of the Loan Parties as of the Effective Date is as set forth on </w:t>
      </w:r>
      <w:r>
        <w:rPr>
          <w:rFonts w:ascii="Times New Roman;sans-serif" w:hAnsi="Times New Roman;sans-serif"/>
          <w:b w:val="false"/>
          <w:color w:val="000000"/>
          <w:sz w:val="22"/>
          <w:u w:val="single"/>
        </w:rPr>
        <w:t>Schedule 3.04</w:t>
      </w:r>
      <w:r>
        <w:rPr>
          <w:rFonts w:ascii="Times New Roman;sans-serif" w:hAnsi="Times New Roman;sans-serif"/>
          <w:b w:val="false"/>
          <w:color w:val="000000"/>
          <w:sz w:val="22"/>
        </w:rPr>
        <w:t xml:space="preserve">. All issued and outstanding equity securities of each of the Loan Parties are duly authorized and validly issued, fully paid, non-assessable, free and clear of all Liens other than any Permitted Liens, and such equity securities were issued in compliance in all material respects with all applicable state, federal and foreign laws concerning the issuance of securities. The identity of the holders of the equity securities of the Loan Parties, the percentage of their ownership of the equity securities of the Loan Parties and a description of the options and warrants outstanding with respect thereto as of the Effective Date is set forth on </w:t>
      </w:r>
      <w:r>
        <w:rPr>
          <w:rFonts w:ascii="Times New Roman;sans-serif" w:hAnsi="Times New Roman;sans-serif"/>
          <w:b w:val="false"/>
          <w:color w:val="000000"/>
          <w:sz w:val="22"/>
          <w:u w:val="single"/>
        </w:rPr>
        <w:t>Schedule 3.04</w:t>
      </w:r>
      <w:r>
        <w:rPr>
          <w:rFonts w:ascii="Times New Roman;sans-serif" w:hAnsi="Times New Roman;sans-serif"/>
          <w:b w:val="false"/>
          <w:color w:val="000000"/>
          <w:sz w:val="22"/>
        </w:rPr>
        <w:t xml:space="preserve">. As of the Effective Date, no shares of the capital stock or other equity securities of the Loan Parties, other than those described above, are issued and outstanding. Except as set forth on </w:t>
      </w:r>
      <w:r>
        <w:rPr>
          <w:rFonts w:ascii="Times New Roman;sans-serif" w:hAnsi="Times New Roman;sans-serif"/>
          <w:b w:val="false"/>
          <w:color w:val="000000"/>
          <w:sz w:val="22"/>
          <w:u w:val="single"/>
        </w:rPr>
        <w:t>Schedule 3.04</w:t>
      </w:r>
      <w:r>
        <w:rPr>
          <w:rFonts w:ascii="Times New Roman;sans-serif" w:hAnsi="Times New Roman;sans-serif"/>
          <w:b w:val="false"/>
          <w:color w:val="000000"/>
          <w:sz w:val="22"/>
        </w:rPr>
        <w:t>, as of the Effective Date there are no preemptive or other outstanding rights, options, warrants, conversion rights or similar agreements or understandings for the purchase or acquisition from any Loan Party of any equity securities of any such entity.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3.05.    </w:t>
      </w:r>
      <w:r>
        <w:rPr>
          <w:rFonts w:ascii="Times New Roman;sans-serif" w:hAnsi="Times New Roman;sans-serif"/>
          <w:b w:val="false"/>
          <w:i/>
          <w:color w:val="000000"/>
          <w:sz w:val="22"/>
        </w:rPr>
        <w:t>No Material Adverse Effect</w:t>
      </w:r>
      <w:r>
        <w:rPr>
          <w:rFonts w:ascii="Times New Roman;sans-serif" w:hAnsi="Times New Roman;sans-serif"/>
          <w:b w:val="false"/>
          <w:color w:val="000000"/>
          <w:sz w:val="22"/>
        </w:rPr>
        <w:t>. Since December 31, 2023, no event, change or condition has occurred that has had, or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3.06.    </w:t>
      </w:r>
      <w:r>
        <w:rPr>
          <w:rFonts w:ascii="Times New Roman;sans-serif" w:hAnsi="Times New Roman;sans-serif"/>
          <w:b w:val="false"/>
          <w:i/>
          <w:color w:val="000000"/>
          <w:sz w:val="22"/>
        </w:rPr>
        <w:t>Litigation</w:t>
      </w:r>
      <w:r>
        <w:rPr>
          <w:rFonts w:ascii="Times New Roman;sans-serif" w:hAnsi="Times New Roman;sans-serif"/>
          <w:b w:val="false"/>
          <w:color w:val="000000"/>
          <w:sz w:val="22"/>
        </w:rPr>
        <w:t xml:space="preserve">. Except as set forth in </w:t>
      </w:r>
      <w:r>
        <w:rPr>
          <w:rFonts w:ascii="Times New Roman;sans-serif" w:hAnsi="Times New Roman;sans-serif"/>
          <w:b w:val="false"/>
          <w:color w:val="000000"/>
          <w:sz w:val="22"/>
          <w:u w:val="single"/>
        </w:rPr>
        <w:t>Schedule 3.06</w:t>
      </w:r>
      <w:r>
        <w:rPr>
          <w:rFonts w:ascii="Times New Roman;sans-serif" w:hAnsi="Times New Roman;sans-serif"/>
          <w:b w:val="false"/>
          <w:color w:val="000000"/>
          <w:sz w:val="22"/>
        </w:rPr>
        <w:t>, there is no action, suit or proceeding pending against, or to Borrower’s knowledge affecting, any Loan Party, before any Governmental Authority as to which there is a reasonable probability of an adverse decision and in which any such adverse decision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3.07.    </w:t>
      </w:r>
      <w:r>
        <w:rPr>
          <w:rFonts w:ascii="Times New Roman;sans-serif" w:hAnsi="Times New Roman;sans-serif"/>
          <w:b w:val="false"/>
          <w:i/>
          <w:color w:val="000000"/>
          <w:sz w:val="22"/>
        </w:rPr>
        <w:t>Ownership of Property</w:t>
      </w:r>
      <w:r>
        <w:rPr>
          <w:rFonts w:ascii="Times New Roman;sans-serif" w:hAnsi="Times New Roman;sans-serif"/>
          <w:b w:val="false"/>
          <w:color w:val="000000"/>
          <w:sz w:val="22"/>
        </w:rPr>
        <w:t xml:space="preserve">. As of the Effective Date, except as set forth on </w:t>
      </w:r>
      <w:r>
        <w:rPr>
          <w:rFonts w:ascii="Times New Roman;sans-serif" w:hAnsi="Times New Roman;sans-serif"/>
          <w:b w:val="false"/>
          <w:color w:val="000000"/>
          <w:sz w:val="22"/>
          <w:u w:val="single"/>
        </w:rPr>
        <w:t>Schedule 3.07</w:t>
      </w:r>
      <w:r>
        <w:rPr>
          <w:rFonts w:ascii="Times New Roman;sans-serif" w:hAnsi="Times New Roman;sans-serif"/>
          <w:b w:val="false"/>
          <w:color w:val="000000"/>
          <w:sz w:val="22"/>
        </w:rPr>
        <w:t>, the Borrower and each of the Restricted Subsidiaries has good, valid and marketable title to, or has valid leasehold interests in, all properties and other assets (real or personal, tangible, intangible or mixed) material to the operation of its business (except as sold or otherwise disposed of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3.08.    </w:t>
      </w:r>
      <w:r>
        <w:rPr>
          <w:rFonts w:ascii="Times New Roman;sans-serif" w:hAnsi="Times New Roman;sans-serif"/>
          <w:b w:val="false"/>
          <w:i/>
          <w:color w:val="000000"/>
          <w:sz w:val="22"/>
        </w:rPr>
        <w:t>Labor Matters</w:t>
      </w:r>
      <w:r>
        <w:rPr>
          <w:rFonts w:ascii="Times New Roman;sans-serif" w:hAnsi="Times New Roman;sans-serif"/>
          <w:b w:val="false"/>
          <w:color w:val="000000"/>
          <w:sz w:val="22"/>
        </w:rPr>
        <w:t xml:space="preserve">. Except as set forth in </w:t>
      </w:r>
      <w:r>
        <w:rPr>
          <w:rFonts w:ascii="Times New Roman;sans-serif" w:hAnsi="Times New Roman;sans-serif"/>
          <w:b w:val="false"/>
          <w:color w:val="000000"/>
          <w:sz w:val="22"/>
          <w:u w:val="single"/>
        </w:rPr>
        <w:t>Schedule 3.06</w:t>
      </w:r>
      <w:r>
        <w:rPr>
          <w:rFonts w:ascii="Times New Roman;sans-serif" w:hAnsi="Times New Roman;sans-serif"/>
          <w:b w:val="false"/>
          <w:color w:val="000000"/>
          <w:sz w:val="22"/>
        </w:rPr>
        <w:t>, as of the Effective Date, there are no strikes, organized work slowdowns, lockouts, organized work stoppages or picketing pending or, to Borrower’s knowledge, threatened against the Borrower or any of the Restricted Subsidiaries, in each case, that would reasonably be expected to have a Material Adverse Effect. As of the Effective Date, no claim, complaint, charge or investigation by a governmental entity for violation by the Borrower or any of the Restricted Subsidiaries with respect to hours worked and payments made to the employees of any such Person or violation of the Fair Labor Standards Act or any other applicable law dealing with such matters has been made or initiated, in each case, that would reasonably be expected to have a Material Adverse Effect.</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01040"/>
                <wp:effectExtent l="0" t="0" r="0" b="0"/>
                <wp:wrapNone/>
                <wp:docPr id="173" name="Frame14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3.09.    </w:t>
      </w:r>
      <w:r>
        <w:rPr>
          <w:rFonts w:ascii="Times New Roman;sans-serif" w:hAnsi="Times New Roman;sans-serif"/>
          <w:b w:val="false"/>
          <w:i/>
          <w:color w:val="000000"/>
          <w:sz w:val="22"/>
        </w:rPr>
        <w:t>Investment Company Act</w:t>
      </w:r>
      <w:r>
        <w:rPr>
          <w:rFonts w:ascii="Times New Roman;sans-serif" w:hAnsi="Times New Roman;sans-serif"/>
          <w:b w:val="false"/>
          <w:color w:val="000000"/>
          <w:sz w:val="22"/>
        </w:rPr>
        <w:t>. No Loan Party is or is required to be registered as an “investment company” under the Investment Company Act of 1940.</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3.10.    </w:t>
      </w:r>
      <w:r>
        <w:rPr>
          <w:rFonts w:ascii="Times New Roman;sans-serif" w:hAnsi="Times New Roman;sans-serif"/>
          <w:b w:val="false"/>
          <w:i/>
          <w:color w:val="000000"/>
          <w:sz w:val="22"/>
        </w:rPr>
        <w:t>Margin Regulations</w:t>
      </w:r>
      <w:r>
        <w:rPr>
          <w:rFonts w:ascii="Times New Roman;sans-serif" w:hAnsi="Times New Roman;sans-serif"/>
          <w:b w:val="false"/>
          <w:color w:val="000000"/>
          <w:sz w:val="22"/>
        </w:rPr>
        <w:t>. None of the proceeds from the Loans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Loans to be considered a “purpose credit” within the meaning of Regulation T, Regulation U or Regulation X.</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3.11.    </w:t>
      </w:r>
      <w:r>
        <w:rPr>
          <w:rFonts w:ascii="Times New Roman;sans-serif" w:hAnsi="Times New Roman;sans-serif"/>
          <w:b w:val="false"/>
          <w:i/>
          <w:color w:val="000000"/>
          <w:sz w:val="22"/>
        </w:rPr>
        <w:t>Compliance With Laws</w:t>
      </w:r>
      <w:r>
        <w:rPr>
          <w:rFonts w:ascii="Times New Roman;sans-serif" w:hAnsi="Times New Roman;sans-serif"/>
          <w:b w:val="false"/>
          <w:color w:val="000000"/>
          <w:sz w:val="22"/>
        </w:rPr>
        <w:t>. Each Loan Party is in compliance with all Requirements of Law, except for Requirements of Law the non-compliance with which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3.12.    </w:t>
      </w:r>
      <w:r>
        <w:rPr>
          <w:rFonts w:ascii="Times New Roman;sans-serif" w:hAnsi="Times New Roman;sans-serif"/>
          <w:b w:val="false"/>
          <w:i/>
          <w:color w:val="000000"/>
          <w:sz w:val="22"/>
        </w:rPr>
        <w:t>Taxes</w:t>
      </w:r>
      <w:r>
        <w:rPr>
          <w:rFonts w:ascii="Times New Roman;sans-serif" w:hAnsi="Times New Roman;sans-serif"/>
          <w:b w:val="false"/>
          <w:color w:val="000000"/>
          <w:sz w:val="22"/>
        </w:rPr>
        <w:t>. Each Loan party has filed all federal, state and other tax returns and reports required to be filed, and have paid all federal, state and other taxes, assessments, fees and other governmental charges levied or imposed upon them or their properties, income or assets otherwise due and payable, except (a) Taxes that are being contested in good faith by appropriate proceedings diligently conducted and for which adequate reserves are being maintained in accordance with GAAP or (b) to the extent that the failure to do so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3.13.    </w:t>
      </w:r>
      <w:r>
        <w:rPr>
          <w:rFonts w:ascii="Times New Roman;sans-serif" w:hAnsi="Times New Roman;sans-serif"/>
          <w:b w:val="false"/>
          <w:i/>
          <w:color w:val="000000"/>
          <w:sz w:val="22"/>
        </w:rPr>
        <w:t>Compliance with ERISA</w:t>
      </w:r>
      <w:r>
        <w:rPr>
          <w:rFonts w:ascii="Times New Roman;sans-serif" w:hAnsi="Times New Roman;sans-serif"/>
          <w:b w:val="false"/>
          <w:color w:val="000000"/>
          <w:sz w:val="22"/>
        </w:rPr>
        <w:t>. Except as would not reasonably be expected, individually or in the aggregate, to have a Material Adverse Effect: (a) all Plans comply in form and in operation with their terms and the current applications of ERISA and the Code and the regulations and published interpretations thereunder, (b) no ERISA Event has occurred or is reasonably expected to occur, and (c) the present value of all projected benefit obligations under each Plan (based on the assumptions used for purposes of Accounting Standards Codification No. 715: Compensation-Retirement Benefits) did not, as of the date of the most recent financial statements reflecting such amounts, exceed the fair market value of the assets of such Plan allocable to such accrued benefits.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3.14.    </w:t>
      </w:r>
      <w:r>
        <w:rPr>
          <w:rFonts w:ascii="Times New Roman;sans-serif" w:hAnsi="Times New Roman;sans-serif"/>
          <w:b w:val="false"/>
          <w:i/>
          <w:color w:val="000000"/>
          <w:sz w:val="22"/>
        </w:rPr>
        <w:t>Anti-Corruption Laws and Sanctions</w:t>
      </w:r>
      <w:r>
        <w:rPr>
          <w:rFonts w:ascii="Times New Roman;sans-serif" w:hAnsi="Times New Roman;sans-serif"/>
          <w:b w:val="false"/>
          <w:color w:val="000000"/>
          <w:sz w:val="22"/>
        </w:rPr>
        <w:t>. Each Loan Party has implemented and maintains in effect policies and procedures reasonably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any of their respective directors or officers or, to the knowledge of such Loan Party or such Subsidiary, employees, or (b) to the knowledge of any Loan Party, any agent of any Loan Party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01040"/>
                <wp:effectExtent l="0" t="0" r="0" b="0"/>
                <wp:wrapNone/>
                <wp:docPr id="174" name="Frame14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3.15.    </w:t>
      </w:r>
      <w:r>
        <w:rPr>
          <w:rFonts w:ascii="Times New Roman;sans-serif" w:hAnsi="Times New Roman;sans-serif"/>
          <w:b w:val="false"/>
          <w:i/>
          <w:color w:val="000000"/>
          <w:sz w:val="22"/>
        </w:rPr>
        <w:t>Compliance with Environmental Requirements; No Hazardous Materials</w:t>
      </w:r>
      <w:r>
        <w:rPr>
          <w:rFonts w:ascii="Times New Roman;sans-serif" w:hAnsi="Times New Roman;sans-serif"/>
          <w:b w:val="false"/>
          <w:color w:val="000000"/>
          <w:sz w:val="22"/>
        </w:rPr>
        <w:t>. Except as would not reasonably be expected to result in, either individually or in the aggregate, a Material Adverse Effect (a) each Loan Party and its subsidiaries and their facilities and operations are and have been in compliance with all applicable Environmental Laws, including obtaining, maintaining and complying with all permits, licenses or approvals required by any applicable Environmental Law, (b) no Loan Party and no subsidiary of any Loan Party is party to, and no Loan Party and no subsidiary of any Loan Party and no Real Estate currently (or to the knowledge of any Loan Party previously) owned, leased, operated or subleased by or for any such Person is subject to or the subject of, any pending (or, to the knowledge of any Loan Party, threatened) order, action, investigation, suit, proceeding, audit, claim, demand, dispute or notice of violation or of potential liability relating to such Loan Party’s compliance with Environmental Laws, (c) no Lien in favor of any Governmental Authority securing, in whole or in part, Environmental Liabilities has attached to any property of any Loan Party or any subsidiary of any Loan Party and, to the knowledge of any Loan Party, no facts, circumstances or conditions exist that would reasonably be expected to result in any such Lien attaching to any such property as a result of Loan Parties’ operations, (d) no Loan Party and no subsidiary of any Loan Party has caused or suffered to occur a Release of Hazardous Materials at, to or from any current, or to the knowledge of any Loan Party, former Real Estate or any other location, including any third party disposal site, that has resulted or would reasonably be expected to result in an Environmental Liability of such Loan Party or subsidiary of a Loan Party, (e) there is no threat of Release and there has been no Release of Hazardous Materials at, under, on or from any Real Estate currently or, to the knowledge of any Loan Party, previously owned, leased, operated or subleased by or for any Loan Party and each subsidiary of each Loan Party, and (f) to the knowledge of each Loan Party and its subsidiaries there are no facts, circumstances or conditions, including the receipt of any information request or notice of potential responsibility under the Comprehensive Environmental Response, Compensation and Liability Act (42 U.S.C. §§ 9601 et seq.) or similar Environmental Laws, which would reasonably be expected to result in an Environmental Liability of such Loan Party or subsidiary of a Loan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3.16.    </w:t>
      </w:r>
      <w:r>
        <w:rPr>
          <w:rFonts w:ascii="Times New Roman;sans-serif" w:hAnsi="Times New Roman;sans-serif"/>
          <w:b w:val="false"/>
          <w:i/>
          <w:color w:val="000000"/>
          <w:sz w:val="22"/>
        </w:rPr>
        <w:t>Intellectual Property; Data Security</w:t>
      </w:r>
      <w:r>
        <w:rPr>
          <w:rFonts w:ascii="Times New Roman;sans-serif" w:hAnsi="Times New Roman;sans-serif"/>
          <w:b w:val="false"/>
          <w:color w:val="000000"/>
          <w:sz w:val="22"/>
        </w:rPr>
        <w:t>. (a) Each Loan Party owns, is licensed to use or otherwise has the right to use, all Intellectual Property that is necessary to the conduct of such Loan Party’s business, taken as a whole, as currently conducted except for such Intellectual Property the failure of which to own or license or otherwise have the right to use would not reasonably be expected to have, either individually or in the aggregate, a Material Adverse Effect.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(i) The Owned Intellectual Property, Licensed Intellectual Property and the conduct and operations of the business of each Loan Party and each Restricted Subsidiary as currently conducted does not infringe, misappropriate, dilute, violate or otherwise impair any Intellectual Property owned by any other Person, (ii) except as set forth on </w:t>
      </w:r>
      <w:r>
        <w:rPr>
          <w:rFonts w:ascii="Times New Roman;sans-serif" w:hAnsi="Times New Roman;sans-serif"/>
          <w:b w:val="false"/>
          <w:color w:val="000000"/>
          <w:sz w:val="22"/>
          <w:u w:val="single"/>
        </w:rPr>
        <w:t>Schedule 3.16</w:t>
      </w:r>
      <w:r>
        <w:rPr>
          <w:rFonts w:ascii="Times New Roman;sans-serif" w:hAnsi="Times New Roman;sans-serif"/>
          <w:b w:val="false"/>
          <w:color w:val="000000"/>
          <w:sz w:val="22"/>
        </w:rPr>
        <w:t xml:space="preserve">, no other Person has contested in writing any right, title or interest of such Loan Party or any Restricted Subsidiary of such Loan Party in, or relating to, any Intellectual Property and (iii) each Loan Party is the owner of its Owned Intellectual Property free and clear of any Lien other than any Permitted Liens, other than, in the case of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above, as would not, individually or in the aggregate, reasonably be expected to have a Material Adverse Effect.</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01040"/>
                <wp:effectExtent l="0" t="0" r="0" b="0"/>
                <wp:wrapNone/>
                <wp:docPr id="175" name="Frame15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(c)    With respect to each Loan Party (i) none of the Owned Intellectual Property and, to the knowledge of such Loan Party, none of the Licensed Intellectual Property has been adjudged invalid or unenforceable in whole or part, and, to the knowledge of such Loan Party, all such Owned Intellectual Property and, to the knowledge of such Loan Party, all of the Licensed Intellectual Property is valid and enforceable, and (ii) there exist no restrictions on the disclosure, use, license or transfer of any Owned Intellectual Property or, to the knowledge of such Loan Party, of any Licensed Intellectual Property, other than, in the case of (i) or (ii) above, as would not, individually or in the aggregate, reasonably be expected to have a Material Adverse Effect.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(d)    Each Loan Party has taken all actions reasonably necessary to maintain and protect its rights in its Owned Intellectual Property and Licensed Intellectual Property, including payment of applicable maintenance fees and filing of applicable statements of use, other than, as would not, individually or in the aggregate, reasonably be expected to have a Material Adverse Effect.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(e)    Each Loan Party has taken commercially reasonable actions to protect and maintain the security, integrity and continuous operation of its material software and systems (and the data stored therein or processed thereby), and there has been no breach, violation or unauthorized access to same, other than incidents that were resolved without material cost, liability or the duty to notify any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3.17.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3.18.    </w:t>
      </w:r>
      <w:r>
        <w:rPr>
          <w:rFonts w:ascii="Times New Roman;sans-serif" w:hAnsi="Times New Roman;sans-serif"/>
          <w:b w:val="false"/>
          <w:i/>
          <w:color w:val="000000"/>
          <w:sz w:val="22"/>
          <w:shd w:fill="FFFFFF" w:val="clear"/>
        </w:rPr>
        <w:t>Solvency</w:t>
      </w:r>
      <w:r>
        <w:rPr>
          <w:rFonts w:ascii="Times New Roman;sans-serif" w:hAnsi="Times New Roman;sans-serif"/>
          <w:b w:val="false"/>
          <w:color w:val="000000"/>
          <w:sz w:val="22"/>
          <w:shd w:fill="FFFFFF" w:val="clear"/>
        </w:rPr>
        <w:t>. The Borrower and the Restricted Subsidiaries, taken as a whole, on a consolidated basis, are Solvent immediately after the consummation of the Transactions to occur on the Effective Date, including the making of the Loans and the use of the proceeds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3.19.    </w:t>
      </w:r>
      <w:r>
        <w:rPr>
          <w:rFonts w:ascii="Times New Roman;sans-serif" w:hAnsi="Times New Roman;sans-serif"/>
          <w:b w:val="false"/>
          <w:i/>
          <w:color w:val="000000"/>
          <w:sz w:val="22"/>
        </w:rPr>
        <w:t>Full Disclosure</w:t>
      </w:r>
      <w:r>
        <w:rPr>
          <w:rFonts w:ascii="Times New Roman;sans-serif" w:hAnsi="Times New Roman;sans-serif"/>
          <w:b w:val="false"/>
          <w:color w:val="000000"/>
          <w:sz w:val="22"/>
        </w:rPr>
        <w:t>. (a) Subject to the next sentence, none of the written factual information (financial or otherwise) furnished by or on behalf of any Loan Party to the Administrative Agent or any Lender in connection with the consummation of the transactions contemplated by the Loan Documents (as modified or supplemented by any other information so furnished) when taken as a whole contains any untrue statement of a material fact or omits to state a material fact necessary to make the statements contained herein or therein not misleading when taken as a whole in light of the circumstances under which such statements were made. All financial projections delivered to the Administrative Agent and the Lenders have been prepared on the basis of the assumptions stated therein, which assumptions were believed by the Borrower at the time such projections were prepared and at the time such projections were delivered to the Lenders to be fair in light of the then current business conditions; provided, however, that the Borrower can give no assurance that such projections will be attained (it being recognized by the Lenders and the Administrative Agent that actual results may vary significantly from any such projected results).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As of the Effective Date, to the knowledge of the Borrower, the information included in the Beneficial Ownership Certification provided on or prior to the Effective Date to any Lender in connection with this Agreement is true and correct in all respects.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3.20.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01040"/>
                <wp:effectExtent l="0" t="0" r="0" b="0"/>
                <wp:wrapNone/>
                <wp:docPr id="176" name="Frame15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3.21.    </w:t>
      </w:r>
      <w:r>
        <w:rPr>
          <w:rFonts w:ascii="Times New Roman;sans-serif" w:hAnsi="Times New Roman;sans-serif"/>
          <w:b w:val="false"/>
          <w:i/>
          <w:color w:val="000000"/>
          <w:sz w:val="22"/>
        </w:rPr>
        <w:t>Foreign Corrupt Practices Act</w:t>
      </w:r>
      <w:r>
        <w:rPr>
          <w:rFonts w:ascii="Times New Roman;sans-serif" w:hAnsi="Times New Roman;sans-serif"/>
          <w:b w:val="false"/>
          <w:color w:val="000000"/>
          <w:sz w:val="22"/>
        </w:rPr>
        <w:t>. Each of the Borrower, the Restricted Subsidiaries and, to the knowledge of each of the Borrower and the Restricted Subsidiaries, their respective directors, officers, agents, employees, and any person acting for or on behalf of the Borrower or any Restricted Subsidiary, has complied in all material respects with, and will comply in all material respects with Anti-Corruption Laws, and it and they have not made, offered, promised, or authorized, and will not make, offer, promise, or authorize, whether directly or indirectly, any payment, of anything of value to: (a) an executive, official, employee or agent of a governmental department, agency or instrumentality, (b) a director, officer, employee or agent of a wholly or partially government-owned or -controlled company or business, (c) a political party or official thereof, or candidate for political office or (d) an executive, official, employee or agent of a public international organization (e.g., the International Monetary Fund or the World Bank) (each of (a), (b), (c) and (d) above, a “</w:t>
      </w:r>
      <w:r>
        <w:rPr>
          <w:rFonts w:ascii="Times New Roman;sans-serif" w:hAnsi="Times New Roman;sans-serif"/>
          <w:b/>
          <w:color w:val="000000"/>
          <w:sz w:val="22"/>
        </w:rPr>
        <w:t>Government Official</w:t>
      </w:r>
      <w:r>
        <w:rPr>
          <w:color w:val="000000"/>
        </w:rPr>
        <w:t>”</w:t>
      </w:r>
      <w:r>
        <w:rPr>
          <w:rFonts w:ascii="Times New Roman;sans-serif" w:hAnsi="Times New Roman;sans-serif"/>
          <w:b w:val="false"/>
          <w:color w:val="000000"/>
          <w:sz w:val="22"/>
        </w:rPr>
        <w:t>); while knowing or having a reasonable belief that all or some portion will be used for the purpose of: (x) influencing any act, decision or failure to act by a Government Official in his or her official capacity, (y) inducing a Government Official to use his or her influence with a government or instrumentality to affect any act or decision of such government or entity or (z) securing an improper advantage; in each case, in order to obtain, retain, or direct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3.22.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3.23.    </w:t>
      </w:r>
      <w:r>
        <w:rPr>
          <w:rFonts w:ascii="Times New Roman;sans-serif" w:hAnsi="Times New Roman;sans-serif"/>
          <w:b w:val="false"/>
          <w:i/>
          <w:color w:val="000000"/>
          <w:sz w:val="22"/>
        </w:rPr>
        <w:t>Affected Financial Institution</w:t>
      </w:r>
      <w:r>
        <w:rPr>
          <w:rFonts w:ascii="Times New Roman;sans-serif" w:hAnsi="Times New Roman;sans-serif"/>
          <w:b w:val="false"/>
          <w:color w:val="000000"/>
          <w:sz w:val="22"/>
        </w:rPr>
        <w:t>. No Loan Party is an Affected Financial Institution.</w:t>
      </w:r>
    </w:p>
    <w:p>
      <w:pPr>
        <w:pStyle w:val="TextBody"/>
        <w:bidi w:val="0"/>
        <w:spacing w:lineRule="auto" w:line="319" w:before="0" w:after="240"/>
        <w:jc w:val="center"/>
        <w:rPr/>
      </w:pPr>
      <w:r>
        <w:rPr>
          <w:rFonts w:ascii="Times New Roman;sans-serif" w:hAnsi="Times New Roman;sans-serif"/>
          <w:b w:val="false"/>
          <w:color w:val="000000"/>
          <w:sz w:val="22"/>
        </w:rPr>
        <w:t>ARTICLE IV</w:t>
      </w:r>
      <w:r>
        <w:rPr>
          <w:rFonts w:ascii="Times New Roman;sans-serif" w:hAnsi="Times New Roman;sans-serif"/>
          <w:b w:val="false"/>
          <w:color w:val="000000"/>
          <w:sz w:val="24"/>
        </w:rPr>
        <w:br/>
      </w:r>
      <w:r>
        <w:rPr>
          <w:rFonts w:ascii="Times New Roman;sans-serif" w:hAnsi="Times New Roman;sans-serif"/>
          <w:b w:val="false"/>
          <w:color w:val="000000"/>
          <w:sz w:val="22"/>
        </w:rPr>
        <w:t>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4.01.    </w:t>
      </w:r>
      <w:r>
        <w:rPr>
          <w:rFonts w:ascii="Times New Roman;sans-serif" w:hAnsi="Times New Roman;sans-serif"/>
          <w:b w:val="false"/>
          <w:i/>
          <w:color w:val="000000"/>
          <w:sz w:val="22"/>
        </w:rPr>
        <w:t>Effective Date</w:t>
      </w:r>
      <w:r>
        <w:rPr>
          <w:rFonts w:ascii="Times New Roman;sans-serif" w:hAnsi="Times New Roman;sans-serif"/>
          <w:b w:val="false"/>
          <w:color w:val="000000"/>
          <w:sz w:val="22"/>
        </w:rPr>
        <w:t xml:space="preserve">. The obligations of the Lenders to make Delayed Draw Term Loans hereunder shall not become effective until the date on which each of the following conditions is satisfied (or waived in accordance with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Credit Agreement and Other Loan Documents</w:t>
      </w:r>
      <w:r>
        <w:rPr>
          <w:rFonts w:ascii="Times New Roman;sans-serif" w:hAnsi="Times New Roman;sans-serif"/>
          <w:b w:val="false"/>
          <w:color w:val="000000"/>
          <w:sz w:val="22"/>
        </w:rPr>
        <w:t>. The Administrative Agent (or its counsel) shall have received:</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(x) this Agreement executed by each party hereto and (y) the Guarantee Agreement executed by each Loan Party; and</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a legal opinion of Skadden, Arps, Slate, Meagher &amp; Flom LLP, counsel to the Loan Parties, in each case, addressed to the Administrative Agent and the Lenders, all in form and substance reasonably satisfactory to the Administrative Agent and its counsel.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01040"/>
                <wp:effectExtent l="0" t="0" r="0" b="0"/>
                <wp:wrapNone/>
                <wp:docPr id="177" name="Frame15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Closing Certificates; Certified Certificate of Incorporation; Good Standing Certificates</w:t>
      </w:r>
      <w:r>
        <w:rPr>
          <w:rFonts w:ascii="Times New Roman;sans-serif" w:hAnsi="Times New Roman;sans-serif"/>
          <w:b w:val="false"/>
          <w:color w:val="000000"/>
          <w:sz w:val="22"/>
        </w:rPr>
        <w:t>. The Administrative Agent shall have received (i) a certificate of each Loan Party, dated the Effective Date and executed by its Secretary, Assistant Secretary or other Responsible Officer, which shall (A) certify the resolutions of its Board of Directors authorizing the execution, delivery and performance of the Loan Documents to which it is a party, (B) identify by name and title and bear the signatures of the officers of such Loan Party authorized to sign the Loan Documents to which it is a party and (C) attaching the certificate or articles of incorporation or organization or other charter document of each Loan Party certified by the relevant authority of the jurisdiction of organization of such Loan Party and a true and correct copy of its by-laws or operating, management or partnership agreement, or other Organizational Document, and (ii) a good standing certificate for each Loan Party from its jurisdiction of organization or the substantive equivalent available in the jurisdiction of organization for each Loan Party from the appropriate governmental officer in such jurisdiction.</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Closing Certificate</w:t>
      </w:r>
      <w:r>
        <w:rPr>
          <w:rFonts w:ascii="Times New Roman;sans-serif" w:hAnsi="Times New Roman;sans-serif"/>
          <w:b w:val="false"/>
          <w:color w:val="000000"/>
          <w:sz w:val="22"/>
        </w:rPr>
        <w:t>. The Administrative Agent shall have received a certificate, signed by a Responsible Officer of the Borrower, dated as of the Effective Date (i) stating that no Default has occurred and is continuing and (ii) stating that the representations and warranties contained in the Loan Documents are true and correct in all material respects as of such date (it being understood and agreed that any representation or warranty which by its terms is made as of a specified date are true and correct in all material respects only as of such specified date, and that any representation or warranty which is subject to any materiality qualifier are true and correct in all respects).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xml:space="preserve">. Substantially simultaneously with the Effective Date, the Administrative Agent shall have received all fees required to be paid, and all expenses for which invoices have been presented in writing (including the reasonable fees and expenses of legal counsel), on or before the Effective Date.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The Administrative Agent shall have received a certificate signed by a Financial Officer dated the Effective Date that the Borrower and the Restricted Subsidiaries, taken as a whole, on a consolidated basis are Solvent immediately after the consummation of the Transactions to occur on the Effective Date, including the making of any Loans and the use of the proceeds thereof (if any).</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USA PATRIOT Act, Etc</w:t>
      </w:r>
      <w:r>
        <w:rPr>
          <w:rFonts w:ascii="Times New Roman;sans-serif" w:hAnsi="Times New Roman;sans-serif"/>
          <w:b w:val="false"/>
          <w:color w:val="000000"/>
          <w:sz w:val="22"/>
        </w:rPr>
        <w:t xml:space="preserve">. (i) The Administrative Agent shall have received, at least three (3) days prior to the Effective Date, all documentation and other information regarding the Borrower requested in connection with applicable “know your customer” and anti-money laundering rules and regulations, including the USA PATRIOT Act, to the extent requested in writing of the Borrower at least ten (10) days prior to the Effective Date, and (ii) to the extent the Borrower qualifies as a “legal entity customer” under the Beneficial Ownership Regulation, at least three (3) days prior to the Effective Date,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shall be deemed to be satisfied).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notify the Borrower and the Lenders of the Effective Date, and such notice shall be conclusive and binding.</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01040"/>
                <wp:effectExtent l="0" t="0" r="0" b="0"/>
                <wp:wrapNone/>
                <wp:docPr id="178" name="Frame15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4.02.    </w:t>
      </w:r>
      <w:r>
        <w:rPr>
          <w:rFonts w:ascii="Times New Roman;sans-serif" w:hAnsi="Times New Roman;sans-serif"/>
          <w:b w:val="false"/>
          <w:i/>
          <w:color w:val="000000"/>
          <w:sz w:val="22"/>
        </w:rPr>
        <w:t>Each Credit Event</w:t>
      </w:r>
      <w:r>
        <w:rPr>
          <w:rFonts w:ascii="Times New Roman;sans-serif" w:hAnsi="Times New Roman;sans-serif"/>
          <w:b w:val="false"/>
          <w:color w:val="000000"/>
          <w:sz w:val="22"/>
        </w:rPr>
        <w:t>. The obligation of each Lender to make a Delayed Draw Term Loan on the occasion of any Borrowing (each such event, a “</w:t>
      </w:r>
      <w:r>
        <w:rPr>
          <w:rFonts w:ascii="Times New Roman;sans-serif" w:hAnsi="Times New Roman;sans-serif"/>
          <w:b/>
          <w:color w:val="000000"/>
          <w:sz w:val="22"/>
        </w:rPr>
        <w:t>Credit Extension</w:t>
      </w:r>
      <w:r>
        <w:rPr>
          <w:color w:val="000000"/>
        </w:rPr>
        <w:t>”</w:t>
      </w:r>
      <w:r>
        <w:rPr>
          <w:rFonts w:ascii="Times New Roman;sans-serif" w:hAnsi="Times New Roman;sans-serif"/>
          <w:b w:val="false"/>
          <w:color w:val="000000"/>
          <w:sz w:val="22"/>
        </w:rPr>
        <w:t>), is subject to the satisfaction of the following conditions: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The representations and warranties of the Loan Parties set forth in the Loan Documents shall be true and correct in all material respects with the same effect as though made on and as of the date of such Borrowing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At the time of, and immediately prior to such Borrowing (after giving effect to any concurrent borrowing under the ABL Credit Agreement), Availability (as defined in the ABL Credit Agreement) shall be equal to zero.</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(c)    At the time of and immediately after giving effect to such Borrowing, no Default shall have occurred and be continuing.</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Each Borrowing shall be deemed to constitute a representation and warranty by the Borrower on the date thereof as to the matters specified in </w:t>
      </w:r>
      <w:r>
        <w:rPr>
          <w:rFonts w:ascii="Times New Roman;sans-serif" w:hAnsi="Times New Roman;sans-serif"/>
          <w:b w:val="false"/>
          <w:color w:val="000000"/>
          <w:sz w:val="22"/>
          <w:u w:val="single"/>
        </w:rPr>
        <w:t>paragraphs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of this Section.</w:t>
      </w:r>
    </w:p>
    <w:p>
      <w:pPr>
        <w:pStyle w:val="TextBody"/>
        <w:bidi w:val="0"/>
        <w:spacing w:lineRule="auto" w:line="319" w:before="0" w:after="240"/>
        <w:jc w:val="center"/>
        <w:rPr/>
      </w:pPr>
      <w:r>
        <w:rPr>
          <w:rFonts w:ascii="Times New Roman;sans-serif" w:hAnsi="Times New Roman;sans-serif"/>
          <w:b w:val="false"/>
          <w:color w:val="000000"/>
          <w:sz w:val="22"/>
        </w:rPr>
        <w:t>ARTICLE V</w:t>
      </w:r>
      <w:r>
        <w:rPr>
          <w:rFonts w:ascii="Times New Roman;sans-serif" w:hAnsi="Times New Roman;sans-serif"/>
          <w:b w:val="false"/>
          <w:color w:val="000000"/>
          <w:sz w:val="24"/>
        </w:rPr>
        <w:br/>
      </w:r>
      <w:r>
        <w:rPr>
          <w:rFonts w:ascii="Times New Roman;sans-serif" w:hAnsi="Times New Roman;sans-serif"/>
          <w:b w:val="false"/>
          <w:color w:val="000000"/>
          <w:sz w:val="22"/>
        </w:rPr>
        <w:t>AFFIRMATIVE COVENANTS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covenants and agrees with each Lender that until all of the Obligations have been Paid in Full, the Borrower will, and will cause each of the Restricted Subsidiaries 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5.01.    </w:t>
      </w:r>
      <w:r>
        <w:rPr>
          <w:rFonts w:ascii="Times New Roman;sans-serif" w:hAnsi="Times New Roman;sans-serif"/>
          <w:b w:val="false"/>
          <w:i/>
          <w:color w:val="000000"/>
          <w:sz w:val="22"/>
        </w:rPr>
        <w:t xml:space="preserve">Financial Statements and Other Reports. </w:t>
      </w:r>
      <w:r>
        <w:rPr>
          <w:rFonts w:ascii="Times New Roman;sans-serif" w:hAnsi="Times New Roman;sans-serif"/>
          <w:b w:val="false"/>
          <w:color w:val="000000"/>
          <w:sz w:val="22"/>
        </w:rPr>
        <w:t>In the case of the Borrower, maintain a system of accounting established and administered in accordance with sound business practices to permit preparation of financial statements in accordance with GAAP and to provide the information required to be delivered to the Lenders hereunder, and will deliver to the Administrative Agent which shall furnish to each Lender:</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(a)    as soon as practicable and in any event within 45 days after the end of each of the first three fiscal quarters of each Fiscal Year of the Borrower (commencing with the fiscal quarter ending September 30, 2024), setting forth in each case in comparative form figures for the corresponding periods of the previous Fiscal Year (which requirement to set forth comparative form figures shall commence with the fiscal quarter ending September 30, 2024), the unaudited consolidated balance sheets of the Borrower as of the end of such fiscal quarter and the related consolidated income statement and statement of cash flows for the fiscal period then ending</w:t>
      </w:r>
      <w:r>
        <w:rPr>
          <w:rFonts w:ascii="Times New Roman;sans-serif" w:hAnsi="Times New Roman;sans-serif"/>
          <w:b w:val="false"/>
          <w:color w:val="000000"/>
          <w:sz w:val="22"/>
          <w:shd w:fill="FFFFFF" w:val="clear"/>
        </w:rPr>
        <w:t>, in each case, for such quarter, and for the portion of the Fiscal Year ended at the end of such fiscal quarter, all in reasonable detail and certified by a Financial Officer as fairly presenting in all material respects the financial condition and results of operations of the Borrower and its consolidated subsidiaries and as having been prepared in accordance with GAAP, subject to changes resulting from audit and other year-end adjustments and the absence of footnote disclosures</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01040"/>
                <wp:effectExtent l="0" t="0" r="0" b="0"/>
                <wp:wrapNone/>
                <wp:docPr id="179" name="Frame15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as soon as available and in any event within 90 days after the end of each Fiscal Year of the Borrower (commencing with the Fiscal Year ending December 31, 2024), setting forth in each case in comparative form figures for the previous Fiscal Year, the audited consolidated balance sheets of the Borrower as of the end of such Fiscal Year and the related consolidated income statement and statement of cash flows for </w:t>
      </w:r>
      <w:r>
        <w:rPr>
          <w:rFonts w:ascii="Times New Roman;sans-serif" w:hAnsi="Times New Roman;sans-serif"/>
          <w:b w:val="false"/>
          <w:color w:val="000000"/>
          <w:sz w:val="22"/>
          <w:shd w:fill="FFFFFF" w:val="clear"/>
        </w:rPr>
        <w:t xml:space="preserve">such Fiscal Year, certified by Grant Thornton LLP or other independent public accountants of nationally recognized standing or reasonably acceptable to the Administrative Agent and shall not be subject to any qualification as to the Borrower’s ability to continue as a “going concern” (other than a “going concern” or “emphasis of matter” explanatory paragraph or like statement) or scope of the audit, other than any such exception, explanatory paragraph or qualification that is with respect to, or resulting from or relating to, (A) an actual or potential breach of a financial covenant hereunder, under the ABL Credit Agreement or under any Permitted Additional Indebtedness Document, (B) an upcoming maturity date of Debt occurring within 12 months of such audit or (C) activities, operations, financial results or liabilities of Unrestricted Subsidiaries; </w:t>
      </w:r>
      <w:r>
        <w:rPr>
          <w:rFonts w:ascii="Times New Roman;sans-serif" w:hAnsi="Times New Roman;sans-serif"/>
          <w:b w:val="false"/>
          <w:i/>
          <w:color w:val="000000"/>
          <w:sz w:val="22"/>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that such financial statements shall not be required to reflect any purchase accounting (or similar) adjustments</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if any Unrestricted Subsidiary exists, concurrently with each delivery of financial statements under </w:t>
      </w:r>
      <w:r>
        <w:rPr>
          <w:rFonts w:ascii="Times New Roman;sans-serif" w:hAnsi="Times New Roman;sans-serif"/>
          <w:b w:val="false"/>
          <w:color w:val="000000"/>
          <w:sz w:val="22"/>
          <w:u w:val="single"/>
        </w:rPr>
        <w:t>Section 5.01(a)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financial statements (in substantially the same form as the financial statements delivered pursuant to </w:t>
      </w:r>
      <w:r>
        <w:rPr>
          <w:rFonts w:ascii="Times New Roman;sans-serif" w:hAnsi="Times New Roman;sans-serif"/>
          <w:b w:val="false"/>
          <w:color w:val="000000"/>
          <w:sz w:val="22"/>
          <w:u w:val="single"/>
        </w:rPr>
        <w:t>Section 5.01(a)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above, as applicable) prepared on the basis of consolidating the accounts of the Borrower and its Restricted Subsidiaries and treating any Unrestricted Subsidiaries as if they were not consolidated with the Borrower, together with an explanation of reconciliation adjustments in reasonable detail;</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within five (5) Business Days of each delivery of financial statements pursuant to </w:t>
      </w:r>
      <w:r>
        <w:rPr>
          <w:rFonts w:ascii="Times New Roman;sans-serif" w:hAnsi="Times New Roman;sans-serif"/>
          <w:b w:val="false"/>
          <w:color w:val="000000"/>
          <w:sz w:val="22"/>
          <w:u w:val="single"/>
        </w:rPr>
        <w:t>Sections 5.01(a)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5.01(b)</w:t>
      </w:r>
      <w:r>
        <w:rPr>
          <w:rFonts w:ascii="Times New Roman;sans-serif" w:hAnsi="Times New Roman;sans-serif"/>
          <w:b w:val="false"/>
          <w:color w:val="000000"/>
          <w:sz w:val="22"/>
        </w:rPr>
        <w:t>, a Compliance Certificate substantially in the form of Exhibit D (which shall set forth reasonably detailed calculations of Liquidity);</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(e)    promptly upon their becoming available, copies of all financial statements and regular, periodic or special reports which such Person may make to, or file with, the Securities and Exchange Commission or any successor or similar Governmental Authority;</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(f)    promptly upon any Responsible Officer of the Borrower or any of the Restricted Subsidiaries obtaining knowledge thereof, notice of (i) the existence of any Event of Default or Default or (ii) the institution of any litigation or arbitration which would reasonably be expected to have a Material Adverse Effect or (iii) the occurrence of any other event that has had, or would reasonably be expected to have, either individually or in the aggregate, a Material Adverse Effect;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(g)    except to the extent such activities would not reasonably be expected to result in a Material Adverse Effect, promptly upon any Responsible Officer of the Borrower or any of the Restricted Subsidiaries obtaining knowledge of any complaint, order, citation, notice, request for information or other written communication from any Person alleging any Environmental Liability of the Borrower or any Restricted Subsidiary, a certificate of a Responsible Officer specifying the nature and estimated Liability of any such matter, or specifying the notice given or action taken by such holder or Person, and what action the applicable Loan Party has taken, is taking or proposes to take with respect thereto;</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01040"/>
                <wp:effectExtent l="0" t="0" r="0" b="0"/>
                <wp:wrapNone/>
                <wp:docPr id="180" name="Frame15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(h)    promptly upon receipt of the same, copies of material notices other documents received by any Loan Party under or pursuant to the ABL Credit Agreement and the Loan Documents (as defined in the ABL Credit Agreement) related to any default or event of default by a Loan Party thereto;</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(i)    on or prior to the date the financial statements are required to be delivered pursuant to clause (b) above, an operating budget for the such fiscal year then-commenced (and not requiring information for any subsequent period), in a form as customarily prepared by management of the Borrower for such purpose or such other form as the Borrower and the Administrative Agent may reasonably agree;</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(j)    [reserved];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(k)    [reserved];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(l)    [reserved];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(m)    [reserved];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(n)    promptly following any request therefor, information and documentation reasonably requested by the Administrative Agent or any Lender for purposes of compliance with applicable “know your customer” and anti-money laundering rules and regulations, including the USA PATRIOT Act and, to the extent the Borrower qualifies as a “legal entity customer” thereunder, the Beneficial Ownership Regulation; and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(o)    with reasonable promptness, such other information and data with respect to the operations, business affairs and financial condition of any Loan Party or Restricted Subsidiary as from time to time may be reasonably requested by the Administrative Agent.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01040"/>
                <wp:effectExtent l="0" t="0" r="0" b="0"/>
                <wp:wrapNone/>
                <wp:docPr id="181" name="Frame15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2"/>
        </w:rPr>
        <w:t xml:space="preserve">Notwithstanding the foregoing, the obligations in </w:t>
      </w:r>
      <w:r>
        <w:rPr>
          <w:rFonts w:ascii="Times New Roman;sans-serif" w:hAnsi="Times New Roman;sans-serif"/>
          <w:b w:val="false"/>
          <w:color w:val="000000"/>
          <w:sz w:val="22"/>
          <w:u w:val="single"/>
        </w:rPr>
        <w:t>paragraphs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may be satisfied with respect to any financial statements of the Borrower by furnishing (A) the applicable financial statements of any Person that is a direct or indirect parent of the Borrower and of which the Borrower is a direct or indirect subsidiary (a “</w:t>
      </w:r>
      <w:r>
        <w:rPr>
          <w:rFonts w:ascii="Times New Roman;sans-serif" w:hAnsi="Times New Roman;sans-serif"/>
          <w:b/>
          <w:color w:val="000000"/>
          <w:sz w:val="22"/>
        </w:rPr>
        <w:t>Parent Entity</w:t>
      </w:r>
      <w:r>
        <w:rPr>
          <w:color w:val="000000"/>
        </w:rPr>
        <w:t>”</w:t>
      </w:r>
      <w:r>
        <w:rPr>
          <w:rFonts w:ascii="Times New Roman;sans-serif" w:hAnsi="Times New Roman;sans-serif"/>
          <w:b w:val="false"/>
          <w:color w:val="000000"/>
          <w:sz w:val="22"/>
        </w:rPr>
        <w:t xml:space="preserve">) or (B) the Form 10-K or 10-Q (or the equivalent), as applicable, of the Borrower or any Parent Entity filed with the SEC or any securities exchange, in each case, within the time periods specified in such paragraphs and without any requirement to provide notice of such filing to the Administrative Agent or to any Lender;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with respect to each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(i) if (1) such financial statements relate to any Parent Entity and (2) either (I) such Parent Entity (or any other Parent Entity that is a subsidiary of such Parent Entity) has any non </w:t>
      </w:r>
      <w:r>
        <w:rPr>
          <w:rFonts w:ascii="Times New Roman;sans-serif" w:hAnsi="Times New Roman;sans-serif"/>
          <w:b w:val="false"/>
          <w:i/>
          <w:color w:val="000000"/>
          <w:sz w:val="22"/>
        </w:rPr>
        <w:t>de-minimis</w:t>
      </w:r>
      <w:r>
        <w:rPr>
          <w:color w:val="000000"/>
        </w:rPr>
        <w:t xml:space="preserve"> </w:t>
      </w:r>
      <w:r>
        <w:rPr>
          <w:rFonts w:ascii="Times New Roman;sans-serif" w:hAnsi="Times New Roman;sans-serif"/>
          <w:b w:val="false"/>
          <w:color w:val="000000"/>
          <w:sz w:val="22"/>
        </w:rPr>
        <w:t xml:space="preserve">third party Debt and/or non </w:t>
      </w:r>
      <w:r>
        <w:rPr>
          <w:rFonts w:ascii="Times New Roman;sans-serif" w:hAnsi="Times New Roman;sans-serif"/>
          <w:b w:val="false"/>
          <w:i/>
          <w:color w:val="000000"/>
          <w:sz w:val="22"/>
        </w:rPr>
        <w:t>de-minimis</w:t>
      </w:r>
      <w:r>
        <w:rPr>
          <w:color w:val="000000"/>
        </w:rPr>
        <w:t xml:space="preserve"> </w:t>
      </w:r>
      <w:r>
        <w:rPr>
          <w:rFonts w:ascii="Times New Roman;sans-serif" w:hAnsi="Times New Roman;sans-serif"/>
          <w:b w:val="false"/>
          <w:color w:val="000000"/>
          <w:sz w:val="22"/>
        </w:rPr>
        <w:t xml:space="preserve">operations (as determined by the Borrower in good faith and other than any operations that are attributable solely to such Parent Entity’s ownership of the Borrower and its Subsidiaries) or (II) there are non </w:t>
      </w:r>
      <w:r>
        <w:rPr>
          <w:rFonts w:ascii="Times New Roman;sans-serif" w:hAnsi="Times New Roman;sans-serif"/>
          <w:b w:val="false"/>
          <w:i/>
          <w:color w:val="000000"/>
          <w:sz w:val="22"/>
        </w:rPr>
        <w:t>de-minimis</w:t>
      </w:r>
      <w:r>
        <w:rPr>
          <w:color w:val="000000"/>
        </w:rPr>
        <w:t xml:space="preserve"> </w:t>
      </w:r>
      <w:r>
        <w:rPr>
          <w:rFonts w:ascii="Times New Roman;sans-serif" w:hAnsi="Times New Roman;sans-serif"/>
          <w:b w:val="false"/>
          <w:color w:val="000000"/>
          <w:sz w:val="22"/>
        </w:rPr>
        <w:t xml:space="preserve">differences between the financial statements of such Parent Entity and its consolidated subsidiaries, on the one hand, and the Borrower and its consolidated Subsidiaries, on the other hand, such financial statements or the Form 10-K or Form 10-Q, as applicable, shall be accompanied by consolidating information (which need not be audited) that summarizes in reasonable detail the differences between the information relating to such Parent Entity, on the one hand, and the information relating to the Borrower and its consolidated Subsidiaries on a standalone basis, on the other hand, and (ii) to the extent such statements are in lieu of statements required to be provided under </w:t>
      </w:r>
      <w:r>
        <w:rPr>
          <w:rFonts w:ascii="Times New Roman;sans-serif" w:hAnsi="Times New Roman;sans-serif"/>
          <w:b w:val="false"/>
          <w:color w:val="000000"/>
          <w:sz w:val="22"/>
          <w:u w:val="single"/>
        </w:rPr>
        <w:t>Section 5.01(a)</w:t>
      </w:r>
      <w:r>
        <w:rPr>
          <w:rFonts w:ascii="Times New Roman;sans-serif" w:hAnsi="Times New Roman;sans-serif"/>
          <w:b w:val="false"/>
          <w:color w:val="000000"/>
          <w:sz w:val="22"/>
        </w:rPr>
        <w:t xml:space="preserve">, such statements shall be accompanied by a report of an independent accounting firm of nationally recognized standing or another accounting firm reasonably acceptable to the Administrative Agent, which report shall satisfy the applicable requirements set forth in </w:t>
      </w:r>
      <w:r>
        <w:rPr>
          <w:rFonts w:ascii="Times New Roman;sans-serif" w:hAnsi="Times New Roman;sans-serif"/>
          <w:b w:val="false"/>
          <w:color w:val="000000"/>
          <w:sz w:val="22"/>
          <w:u w:val="single"/>
        </w:rPr>
        <w:t>Section 5.01(a)</w:t>
      </w:r>
      <w:r>
        <w:rPr>
          <w:color w:val="000000"/>
        </w:rPr>
        <w:t xml:space="preserve"> </w:t>
      </w:r>
      <w:r>
        <w:rPr>
          <w:rFonts w:ascii="Times New Roman;sans-serif" w:hAnsi="Times New Roman;sans-serif"/>
          <w:b w:val="false"/>
          <w:color w:val="000000"/>
          <w:sz w:val="22"/>
        </w:rPr>
        <w:t>as if the references to “the Borrower” therein were references to such Parent Entity.</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2"/>
        </w:rPr>
        <w:t xml:space="preserve">Documents required to be delivered pursuant to this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 xml:space="preserve">may be delivered electronically and, if so delivered, shall be deemed to have been delivered on the earlier of the date (I) on which the Borrower (or a representative thereof) posts such documents, or provides a link thereto, on the Borrower’s website on the Internet, (II) on which such documents are delivered by the Borrower to the Administrative Agent for posting on the Borrower’s behalf on IntraLinks/IntraAgency, SyndTrak or another secure website, if any, to which each Lender and the Administrative Agent have access (whether a commercial, third-party website or whether sponsored by the Administrative Agent), (III) on which such documents are faxed to the Administrative Agent (or electronically mailed to an address provided by the Administrative Agent) or (IV) in respect of the items required to be delivered pursuant to </w:t>
      </w:r>
      <w:r>
        <w:rPr>
          <w:rFonts w:ascii="Times New Roman;sans-serif" w:hAnsi="Times New Roman;sans-serif"/>
          <w:b w:val="false"/>
          <w:color w:val="000000"/>
          <w:sz w:val="22"/>
          <w:u w:val="single"/>
        </w:rPr>
        <w:t>Section 5.01(e)</w:t>
      </w:r>
      <w:r>
        <w:rPr>
          <w:color w:val="000000"/>
        </w:rPr>
        <w:t xml:space="preserve"> </w:t>
      </w:r>
      <w:r>
        <w:rPr>
          <w:rFonts w:ascii="Times New Roman;sans-serif" w:hAnsi="Times New Roman;sans-serif"/>
          <w:b w:val="false"/>
          <w:color w:val="000000"/>
          <w:sz w:val="22"/>
        </w:rPr>
        <w:t xml:space="preserve">above in respect of information filed by any Parent Entity, the Borrower or any of its Restricted Subsidiaries with any securities exchange or with the SEC or any analogous governmental or private regulatory authority with jurisdiction over matters relating to securities (other than Form 10-Q Reports and Form 10-K Reports), on which such items have been made available on the SEC website or the website of the relevant analogous governmental or private regulatory authority or securities exchange;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2"/>
        </w:rPr>
        <w:t xml:space="preserve">Notwithstanding anything to the contrary in this </w:t>
      </w:r>
      <w:r>
        <w:rPr>
          <w:rFonts w:ascii="Times New Roman;sans-serif" w:hAnsi="Times New Roman;sans-serif"/>
          <w:b w:val="false"/>
          <w:color w:val="000000"/>
          <w:sz w:val="22"/>
          <w:u w:val="single"/>
        </w:rPr>
        <w:t>Article V</w:t>
      </w:r>
      <w:r>
        <w:rPr>
          <w:rFonts w:ascii="Times New Roman;sans-serif" w:hAnsi="Times New Roman;sans-serif"/>
          <w:b w:val="false"/>
          <w:color w:val="000000"/>
          <w:sz w:val="22"/>
        </w:rPr>
        <w:t xml:space="preserve">, none of the Borrower or any Restricted Subsidiary will be required to disclose, permit the inspection, examination or making copies or abstracts of, or discussion of, any document, information or other matter pursuant to this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that (i) constitutes non-financial trade secrets or non-financial proprietary information, </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01040"/>
                <wp:effectExtent l="0" t="0" r="0" b="0"/>
                <wp:wrapNone/>
                <wp:docPr id="182" name="Frame15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(ii) in respect of which disclosure to the Administrative Agent or any Lender (or any of their respective representatives or contractors) is prohibited by any Requirements of Law or any binding confidentiality agreement, (iii) that is subject to attorney-client or similar privilege or constitutes attorney work product or (iv) in respect of which the Borrower (or any Parent Entity thereof) or any Subsidiary owes confidentiality obligations to any third party;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if the Borrower does not provide information that is otherwise required to be delivered pursuant to this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as a result of any of the foregoing exceptions, the Borrower shall use commercially reasonable efforts to (A) notify the Administrative Agent that such information is being withheld and (B) describe the applicable information in reasonable detail, in each case with respect to the foregoing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solely to the Borrower or such Subsidiary, as applicable, determines in good faith that such notification and description (x) are feasible, (y) are permitted under Requirements of Law and such binding agreements and (z) would not result in the waiver or deemed waiver of any such privilege, as applicable. For the avoidance of doubt, anything disclosed, examined inspected or otherwise made available pursuant to this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shall be subject to the provisions of </w:t>
      </w:r>
      <w:r>
        <w:rPr>
          <w:rFonts w:ascii="Times New Roman;sans-serif" w:hAnsi="Times New Roman;sans-serif"/>
          <w:b w:val="false"/>
          <w:color w:val="000000"/>
          <w:sz w:val="22"/>
          <w:u w:val="single"/>
        </w:rPr>
        <w:t>Section 9.12</w:t>
      </w:r>
      <w:r>
        <w:rPr>
          <w:color w:val="000000"/>
        </w:rPr>
        <w:t xml:space="preserve"> </w:t>
      </w:r>
      <w:r>
        <w:rPr>
          <w:rFonts w:ascii="Times New Roman;sans-serif" w:hAnsi="Times New Roman;sans-serif"/>
          <w:b w:val="false"/>
          <w:color w:val="000000"/>
          <w:sz w:val="22"/>
        </w:rPr>
        <w:t>to the extent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5.02.    </w:t>
      </w:r>
      <w:r>
        <w:rPr>
          <w:rFonts w:ascii="Times New Roman;sans-serif" w:hAnsi="Times New Roman;sans-serif"/>
          <w:b w:val="false"/>
          <w:i/>
          <w:color w:val="000000"/>
          <w:sz w:val="22"/>
        </w:rPr>
        <w:t>Maintenance of Existence</w:t>
      </w:r>
      <w:r>
        <w:rPr>
          <w:rFonts w:ascii="Times New Roman;sans-serif" w:hAnsi="Times New Roman;sans-serif"/>
          <w:b w:val="false"/>
          <w:color w:val="000000"/>
          <w:sz w:val="22"/>
        </w:rPr>
        <w:t xml:space="preserve">. Do or cause to be done all things necessary to preserve, renew and keep in full force and effect its legal existence;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foregoing shall not prohibit any merger, amalgamation, consolidation, liquidation or dissolution, including any Permitted Reorganization or Tax Restructuring, permitted by </w:t>
      </w:r>
      <w:r>
        <w:rPr>
          <w:rFonts w:ascii="Times New Roman;sans-serif" w:hAnsi="Times New Roman;sans-serif"/>
          <w:b w:val="false"/>
          <w:color w:val="000000"/>
          <w:sz w:val="22"/>
          <w:u w:val="single"/>
        </w:rPr>
        <w:t>Section 6.05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6.07</w:t>
      </w:r>
      <w:r>
        <w:rPr>
          <w:color w:val="000000"/>
        </w:rPr>
        <w:t xml:space="preserve"> </w:t>
      </w:r>
      <w:r>
        <w:rPr>
          <w:rFonts w:ascii="Times New Roman;sans-serif" w:hAnsi="Times New Roman;sans-serif"/>
          <w:b w:val="false"/>
          <w:color w:val="000000"/>
          <w:sz w:val="22"/>
        </w:rPr>
        <w:t xml:space="preserve">or any Disposition permitted by </w:t>
      </w:r>
      <w:r>
        <w:rPr>
          <w:rFonts w:ascii="Times New Roman;sans-serif" w:hAnsi="Times New Roman;sans-serif"/>
          <w:b w:val="false"/>
          <w:color w:val="000000"/>
          <w:sz w:val="22"/>
          <w:u w:val="single"/>
        </w:rPr>
        <w:t>Section 6.06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5.03.    </w:t>
      </w:r>
      <w:r>
        <w:rPr>
          <w:rFonts w:ascii="Times New Roman;sans-serif" w:hAnsi="Times New Roman;sans-serif"/>
          <w:b w:val="false"/>
          <w:i/>
          <w:color w:val="000000"/>
          <w:sz w:val="22"/>
        </w:rPr>
        <w:t>Payment and Performance of Obligations</w:t>
      </w:r>
      <w:r>
        <w:rPr>
          <w:rFonts w:ascii="Times New Roman;sans-serif" w:hAnsi="Times New Roman;sans-serif"/>
          <w:b w:val="false"/>
          <w:color w:val="000000"/>
          <w:sz w:val="22"/>
        </w:rPr>
        <w:t>. Pay and discharge, and cause each Restricted Subsidiary to pay and discharge, at or before maturity, all of their respective obligations and liabilities, including Tax liabilities, except (i) where the same may be the subject of a Permitted Contest and (ii) for such obligations and/or liabilities the nonpayment or nondischarge of which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5.04.    </w:t>
      </w:r>
      <w:r>
        <w:rPr>
          <w:rFonts w:ascii="Times New Roman;sans-serif" w:hAnsi="Times New Roman;sans-serif"/>
          <w:b w:val="false"/>
          <w:i/>
          <w:color w:val="000000"/>
          <w:sz w:val="22"/>
        </w:rPr>
        <w:t>Maintenance of Property; Insurance</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Keep all property useful and necessary in its business in good working order and condition, ordinary wear and tear and casualty and condemnation excepted, except where such failure would not reasonably be expected to have a Material Adverse Effect.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Except when the failure to do so has not resulted in, or would not reasonably be expected to, individually or in the aggregate, result in a Material Adverse Effect, maintain physical damage insurance on all real and personal property on an all risk basis, covering the repair and replacement cost of all such property and consequential loss coverage for business interruption and public liability insurance in each case in amounts and to the extent and of the kinds customarily carried or maintained by Persons of established reputation engaged in similar businesses operating in similar locations. All such insurance shall be provided by insurers with A.M. Best Rating of at least A- VII. The Administrative Agent acknowledges and agrees that the insurance carried by the Loan Parties and in effect and the insurers thereof on the Effective Date are acceptable.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01040"/>
                <wp:effectExtent l="0" t="0" r="0" b="0"/>
                <wp:wrapNone/>
                <wp:docPr id="183" name="Frame15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5.05.    </w:t>
      </w:r>
      <w:r>
        <w:rPr>
          <w:rFonts w:ascii="Times New Roman;sans-serif" w:hAnsi="Times New Roman;sans-serif"/>
          <w:b w:val="false"/>
          <w:i/>
          <w:color w:val="000000"/>
          <w:sz w:val="22"/>
        </w:rPr>
        <w:t>Compliance with Laws</w:t>
      </w:r>
      <w:r>
        <w:rPr>
          <w:rFonts w:ascii="Times New Roman;sans-serif" w:hAnsi="Times New Roman;sans-serif"/>
          <w:b w:val="false"/>
          <w:color w:val="000000"/>
          <w:sz w:val="22"/>
        </w:rPr>
        <w:t>. Comply with all Requirements of Law (including Environmental Laws and ERISA and the rules and regulations thereunder), except for such non-compliance which would not reasonably be expected, individually or in the aggregate, to have a Material Adverse Effect. The Borrower will maintain in effect and enforce policies and procedures reasonably designed to ensure compliance by each Loan Party, its Subsidiaries and their respective directors, officers, employees and agents with Anti-Corruption Laws and applicable Sanctions.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5.06.    </w:t>
      </w:r>
      <w:r>
        <w:rPr>
          <w:rFonts w:ascii="Times New Roman;sans-serif" w:hAnsi="Times New Roman;sans-serif"/>
          <w:b w:val="false"/>
          <w:i/>
          <w:color w:val="000000"/>
          <w:sz w:val="22"/>
        </w:rPr>
        <w:t>Inspection of Property, Books and Records</w:t>
      </w:r>
      <w:r>
        <w:rPr>
          <w:rFonts w:ascii="Times New Roman;sans-serif" w:hAnsi="Times New Roman;sans-serif"/>
          <w:b w:val="false"/>
          <w:color w:val="000000"/>
          <w:sz w:val="22"/>
        </w:rPr>
        <w:t>. Keep proper books of record and account in accordance with sound business practice in which true and correct entries in all material respects shall be made of all dealings and transactions in relation to its business and activities; and permit, at the sole cost of the Borrower or any applicable Restricted Subsidiary, representatives of the Administrative Agent and, if an Event of Default has occurred and is continuing, of any Lender that accompanies the Administrative Agent to visit and inspect during normal business hours (but, absent an Event of Default, no more frequently than once per Fiscal Year) any of its properties (including to conduct a field examination), to examine and make abstracts or copies from any of its books and records, to conduct a collateral audit and analysis of their respective accounts and to discuss its affairs, finances and accounts with its officers, employees and independent public accountants as often as may reasonably be desired, in each case, at such reasonable times during normal business hours and as often as may be reasonably desired but subject to any restrictions in leases, upon reasonable advance notice to the Borrower. Notwithstanding anything to the contrary in this Section, neither the Borrower nor any Restricted Subsidiary shall be required to disclose, permit the inspection, examination or making of copies or abstracts of, or any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(iii) is subject to attorney-client or similar privilege or constitutes attorney work-product. The Administrative Agent shall give the Borrower the opportunity to participate in any discussions with the Borrower’s independent public accountants.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5.07.    </w:t>
      </w:r>
      <w:r>
        <w:rPr>
          <w:rFonts w:ascii="Times New Roman;sans-serif" w:hAnsi="Times New Roman;sans-serif"/>
          <w:b w:val="false"/>
          <w:i/>
          <w:color w:val="000000"/>
          <w:sz w:val="22"/>
        </w:rPr>
        <w:t>Use of Proceeds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All Loans made to the Borrower pursuant to the provisions hereof shall be used by the Borrower only for general operating, working capital, to fund Permitted Acquisitions, other Investments, Restricted Distributions and other general corporate purposes of the Loan Parties and their subsidiaries not otherwise prohibited by the terms hereof.</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The Borrower will not request any Borrowing and the Borrower shall not use, and the Borrower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5.08.    </w:t>
      </w:r>
      <w:r>
        <w:rPr>
          <w:rFonts w:ascii="Times New Roman;sans-serif" w:hAnsi="Times New Roman;sans-serif"/>
          <w:b w:val="false"/>
          <w:i/>
          <w:color w:val="000000"/>
          <w:sz w:val="22"/>
        </w:rPr>
        <w:t>[Reserved]</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01040"/>
                <wp:effectExtent l="0" t="0" r="0" b="0"/>
                <wp:wrapNone/>
                <wp:docPr id="184" name="Frame15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5.09.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5.10.    </w:t>
      </w:r>
      <w:r>
        <w:rPr>
          <w:rFonts w:ascii="Times New Roman;sans-serif" w:hAnsi="Times New Roman;sans-serif"/>
          <w:b w:val="false"/>
          <w:i/>
          <w:color w:val="000000"/>
          <w:sz w:val="22"/>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5.11.    </w:t>
      </w:r>
      <w:r>
        <w:rPr>
          <w:rFonts w:ascii="Times New Roman;sans-serif" w:hAnsi="Times New Roman;sans-serif"/>
          <w:b w:val="false"/>
          <w:i/>
          <w:color w:val="000000"/>
          <w:sz w:val="22"/>
        </w:rPr>
        <w:t>Fiscal Year</w:t>
      </w:r>
      <w:r>
        <w:rPr>
          <w:rFonts w:ascii="Times New Roman;sans-serif" w:hAnsi="Times New Roman;sans-serif"/>
          <w:b w:val="false"/>
          <w:color w:val="000000"/>
          <w:sz w:val="22"/>
        </w:rPr>
        <w:t xml:space="preserve">. The Borrower and each of the Restricted Subsidiaries will maintain its Fiscal Year end date unless reasonably acceptable to the Administrative Agent (and in connection therewith, the Administrative Agent is authorized to make technical amendments to this Agreement to accommodate such change);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of the Restricted Subsidiaries may change their Fiscal Years to align with the Fiscal Year of the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5.12.    </w:t>
      </w:r>
      <w:r>
        <w:rPr>
          <w:rFonts w:ascii="Times New Roman;sans-serif" w:hAnsi="Times New Roman;sans-serif"/>
          <w:b w:val="false"/>
          <w:i/>
          <w:color w:val="000000"/>
          <w:sz w:val="22"/>
        </w:rPr>
        <w:t>Further Assurances</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5.13</w:t>
      </w:r>
      <w:r>
        <w:rPr>
          <w:rFonts w:ascii="Times New Roman;sans-serif" w:hAnsi="Times New Roman;sans-serif"/>
          <w:b w:val="false"/>
          <w:color w:val="000000"/>
          <w:sz w:val="22"/>
        </w:rPr>
        <w:t>, at its own cost and expense, cause to be promptly and duly taken, executed, acknowledged and delivered all such further acts, documents and assurances as may from time to time be necessary or as the Administrative Agent or the Required Lenders may from time to time reasonably request in order to carry out the provisions of the Loan Documents and the transactions contemplated thereby, including all such actions to affirm each Guarantee made by a Loan Party in respect of the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5.13.    </w:t>
      </w:r>
      <w:r>
        <w:rPr>
          <w:rFonts w:ascii="Times New Roman;sans-serif" w:hAnsi="Times New Roman;sans-serif"/>
          <w:b w:val="false"/>
          <w:i/>
          <w:color w:val="000000"/>
          <w:sz w:val="22"/>
        </w:rPr>
        <w:t>Covenant to Guarantee Obligations</w:t>
      </w:r>
      <w:r>
        <w:rPr>
          <w:rFonts w:ascii="Times New Roman;sans-serif" w:hAnsi="Times New Roman;sans-serif"/>
          <w:b w:val="false"/>
          <w:color w:val="000000"/>
          <w:sz w:val="22"/>
        </w:rPr>
        <w:t xml:space="preserve">. If after the Effective Date (x) any Loan Party forms or acquires any new direct or indirect Domestic Subsidiary that is a Restricted Subsidiary (other than an Excluded Subsidiary), (y) any existing direct or indirect wholly-owned Domestic Subsidiary that is an Unrestricted Subsidiary is redesignated as a Restricted Subsidiary (other than an Excluded Subsidiary) in accordance with </w:t>
      </w:r>
      <w:r>
        <w:rPr>
          <w:rFonts w:ascii="Times New Roman;sans-serif" w:hAnsi="Times New Roman;sans-serif"/>
          <w:b w:val="false"/>
          <w:color w:val="000000"/>
          <w:sz w:val="22"/>
          <w:u w:val="single"/>
        </w:rPr>
        <w:t>Section 5.14</w:t>
      </w:r>
      <w:r>
        <w:rPr>
          <w:rFonts w:ascii="Times New Roman;sans-serif" w:hAnsi="Times New Roman;sans-serif"/>
          <w:b w:val="false"/>
          <w:color w:val="000000"/>
          <w:sz w:val="22"/>
        </w:rPr>
        <w:t xml:space="preserve">, or (z) any Restricted Subsidiary that was an Excluded Subsidiary ceases to be an Excluded Subsidiary, the Borrower shall, on or prior to the date that is the later of (1) 60 days after such Subsidiary was formed, acquired, designated or ceased to be an Excluded Subsidiary, as applicable and (2) the date on which financial statements are required to be delivered pursuant to </w:t>
      </w:r>
      <w:r>
        <w:rPr>
          <w:rFonts w:ascii="Times New Roman;sans-serif" w:hAnsi="Times New Roman;sans-serif"/>
          <w:b w:val="false"/>
          <w:color w:val="000000"/>
          <w:sz w:val="22"/>
          <w:u w:val="single"/>
        </w:rPr>
        <w:t>Section 5.01(a)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as applicable, for the fiscal quarter in which such Subsidiary was formed, acquired, designated or ceased to be an Excluded Subsidiary, as applicable (or, in each case, such later date to which the Administrative Agent may agree in its sole discretion):</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cause such Restricted Subsidiary to become a party to the Guarantee Agreement as a Subsidiary Guarantor by executing and delivering (or joining pursuant to a joinder agreement acceptable to the Administrative Agent) a Supplement (as defined in the Guarantee Agreement); and</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if requested by the Administrative Agent, deliver to the Administrative Agent a signed copy of customary legal opinions, addressed to the Administrative Agent and the other Lenders, of counsel for the Loan Parties as to such matters set forth in this </w:t>
      </w:r>
      <w:r>
        <w:rPr>
          <w:rFonts w:ascii="Times New Roman;sans-serif" w:hAnsi="Times New Roman;sans-serif"/>
          <w:b w:val="false"/>
          <w:color w:val="000000"/>
          <w:sz w:val="22"/>
          <w:u w:val="single"/>
        </w:rPr>
        <w:t>Section 5.13</w:t>
      </w:r>
      <w:r>
        <w:rPr>
          <w:color w:val="000000"/>
        </w:rPr>
        <w:t xml:space="preserve"> </w:t>
      </w:r>
      <w:r>
        <w:rPr>
          <w:rFonts w:ascii="Times New Roman;sans-serif" w:hAnsi="Times New Roman;sans-serif"/>
          <w:b w:val="false"/>
          <w:color w:val="000000"/>
          <w:sz w:val="22"/>
        </w:rPr>
        <w:t>as the Administrative Agent may reasonably request.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01040"/>
                <wp:effectExtent l="0" t="0" r="0" b="0"/>
                <wp:wrapNone/>
                <wp:docPr id="185" name="Frame16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5.14.    </w:t>
      </w:r>
      <w:r>
        <w:rPr>
          <w:rFonts w:ascii="Times New Roman;sans-serif" w:hAnsi="Times New Roman;sans-serif"/>
          <w:b w:val="false"/>
          <w:i/>
          <w:color w:val="000000"/>
          <w:sz w:val="22"/>
        </w:rPr>
        <w:t>Designation of Subsidiaries</w:t>
      </w:r>
      <w:r>
        <w:rPr>
          <w:rFonts w:ascii="Times New Roman;sans-serif" w:hAnsi="Times New Roman;sans-serif"/>
          <w:b w:val="false"/>
          <w:color w:val="000000"/>
          <w:sz w:val="22"/>
        </w:rPr>
        <w:t xml:space="preserve">. The Borrower may at any time after the Effective Date (x) designate any subsidiary as an Unrestricted Subsidiary or (y) redesignate any subsidiary that was an Unrestricted Subsidiary on the Effective Date or that was designated as an Unrestricted Subsidiary at the time of the formation or acquisition of such Subsidiary as a Restricted Subsidiary;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immediately before and after any such designation, no Event of Default shall have occurred and be continuing, (ii) immediately after giving effect to such designation, the Loan Parties shall be in compliance with the financial covenant set forth in Section 6.14 determined on a pro forma basis, (iii) no Subsidiary of the Borrower may be designated as an Unrestricted Subsidiary for purposes of this Agreement if it is a “</w:t>
      </w:r>
      <w:r>
        <w:rPr>
          <w:rFonts w:ascii="Times New Roman;sans-serif" w:hAnsi="Times New Roman;sans-serif"/>
          <w:b/>
          <w:color w:val="000000"/>
          <w:sz w:val="22"/>
        </w:rPr>
        <w:t>Restricted Subsidiary</w:t>
      </w:r>
      <w:r>
        <w:rPr>
          <w:color w:val="000000"/>
        </w:rPr>
        <w:t xml:space="preserve">” </w:t>
      </w:r>
      <w:r>
        <w:rPr>
          <w:rFonts w:ascii="Times New Roman;sans-serif" w:hAnsi="Times New Roman;sans-serif"/>
          <w:b w:val="false"/>
          <w:color w:val="000000"/>
          <w:sz w:val="22"/>
        </w:rPr>
        <w:t>for the purpose of any other Material Debt of the Borrower or any of the Restricted Subsidiaries, and (iv) in no event shall the Borrower or any Restricted Subsidiary that owns any Material IP (at the time of such designation), in each case, be designated as an Unrestricted Subsidiary. The designation of any subsidiary as an Unrestricted Subsidiary after the Effective Date shall constitute an Investment by the Borrower (or its relevant Restricted Subsidiary) therein at the date of designation in an amount equal to the book value of the Borrower’s (or such Restricted Subsidiary’s) Investment therein. On the date of redesignation of any Subsidiary as a Restricted Subsidiary, the Borrower shall be deemed to continue to have a permanent “</w:t>
      </w:r>
      <w:r>
        <w:rPr>
          <w:rFonts w:ascii="Times New Roman;sans-serif" w:hAnsi="Times New Roman;sans-serif"/>
          <w:b/>
          <w:color w:val="000000"/>
          <w:sz w:val="22"/>
        </w:rPr>
        <w:t>Investment</w:t>
      </w:r>
      <w:r>
        <w:rPr>
          <w:color w:val="000000"/>
        </w:rPr>
        <w:t xml:space="preserve">” </w:t>
      </w:r>
      <w:r>
        <w:rPr>
          <w:rFonts w:ascii="Times New Roman;sans-serif" w:hAnsi="Times New Roman;sans-serif"/>
          <w:b w:val="false"/>
          <w:color w:val="000000"/>
          <w:sz w:val="22"/>
        </w:rPr>
        <w:t>in an Unrestricted Subsidiary equal to the amount (if positive) equal to (a) the “</w:t>
      </w:r>
      <w:r>
        <w:rPr>
          <w:rFonts w:ascii="Times New Roman;sans-serif" w:hAnsi="Times New Roman;sans-serif"/>
          <w:b/>
          <w:color w:val="000000"/>
          <w:sz w:val="22"/>
        </w:rPr>
        <w:t>Investment</w:t>
      </w:r>
      <w:r>
        <w:rPr>
          <w:color w:val="000000"/>
        </w:rPr>
        <w:t xml:space="preserve">” </w:t>
      </w:r>
      <w:r>
        <w:rPr>
          <w:rFonts w:ascii="Times New Roman;sans-serif" w:hAnsi="Times New Roman;sans-serif"/>
          <w:b w:val="false"/>
          <w:color w:val="000000"/>
          <w:sz w:val="22"/>
        </w:rPr>
        <w:t xml:space="preserve">of the Borrower in such subsidiary at the time of such redesignation, </w:t>
      </w:r>
      <w:r>
        <w:rPr>
          <w:rFonts w:ascii="Times New Roman;sans-serif" w:hAnsi="Times New Roman;sans-serif"/>
          <w:b w:val="false"/>
          <w:i/>
          <w:color w:val="000000"/>
          <w:sz w:val="22"/>
        </w:rPr>
        <w:t>less</w:t>
      </w:r>
      <w:r>
        <w:rPr>
          <w:color w:val="000000"/>
        </w:rPr>
        <w:t xml:space="preserve"> </w:t>
      </w:r>
      <w:r>
        <w:rPr>
          <w:rFonts w:ascii="Times New Roman;sans-serif" w:hAnsi="Times New Roman;sans-serif"/>
          <w:b w:val="false"/>
          <w:color w:val="000000"/>
          <w:sz w:val="22"/>
        </w:rPr>
        <w:t>(b) the fair market value (as determined in good faith by the Borrower) of the net assets of such subsidiary at the time of such redesignation.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5.15.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5.16.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5.17.    </w:t>
      </w:r>
      <w:r>
        <w:rPr>
          <w:rFonts w:ascii="Times New Roman;sans-serif" w:hAnsi="Times New Roman;sans-serif"/>
          <w:b w:val="false"/>
          <w:i/>
          <w:color w:val="000000"/>
          <w:sz w:val="22"/>
        </w:rPr>
        <w:t>Conduct of Business</w:t>
      </w:r>
      <w:r>
        <w:rPr>
          <w:rFonts w:ascii="Times New Roman;sans-serif" w:hAnsi="Times New Roman;sans-serif"/>
          <w:b w:val="false"/>
          <w:color w:val="000000"/>
          <w:sz w:val="22"/>
        </w:rPr>
        <w:t xml:space="preserve">. The Borrower and each Restricted Subsidiary will engage only in (i) material lines of business substantially the same as those lines of business carried on by it on the Effective Date and/or (ii) any business or other activities that are reasonable extensions of, or related, complementary, similar, incidental, corollary, synergistic or ancillary to, those lines of business described in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or a reasonable development or expansion thereof (including, for the avoidance of doubt, with respect to energy storage systems and the selling and/or licensing of battery packs and battery management systems (and/or Intellectual Property related thereto) to residential, commercial and utility-scale customers).</w:t>
      </w:r>
    </w:p>
    <w:p>
      <w:pPr>
        <w:pStyle w:val="TextBody"/>
        <w:bidi w:val="0"/>
        <w:spacing w:lineRule="auto" w:line="319" w:before="0" w:after="240"/>
        <w:jc w:val="center"/>
        <w:rPr/>
      </w:pPr>
      <w:r>
        <w:rPr>
          <w:rFonts w:ascii="Times New Roman;sans-serif" w:hAnsi="Times New Roman;sans-serif"/>
          <w:b w:val="false"/>
          <w:color w:val="000000"/>
          <w:sz w:val="22"/>
        </w:rPr>
        <w:t>ARTICLE VI</w:t>
      </w:r>
      <w:r>
        <w:rPr>
          <w:rFonts w:ascii="Times New Roman;sans-serif" w:hAnsi="Times New Roman;sans-serif"/>
          <w:b w:val="false"/>
          <w:color w:val="000000"/>
          <w:sz w:val="24"/>
        </w:rPr>
        <w:br/>
      </w:r>
      <w:r>
        <w:rPr>
          <w:rFonts w:ascii="Times New Roman;sans-serif" w:hAnsi="Times New Roman;sans-serif"/>
          <w:b w:val="false"/>
          <w:color w:val="000000"/>
          <w:sz w:val="22"/>
        </w:rPr>
        <w:t>NEGATIVE COVENANTS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covenants and agrees with each Lender that until all of the Obligations have been Paid in Full, neither the Borrower will, nor will it cause or permit any Restricted Subsidiary, directly or indirectly, 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6.01.    </w:t>
      </w:r>
      <w:r>
        <w:rPr>
          <w:rFonts w:ascii="Times New Roman;sans-serif" w:hAnsi="Times New Roman;sans-serif"/>
          <w:b w:val="false"/>
          <w:i/>
          <w:color w:val="000000"/>
          <w:sz w:val="22"/>
        </w:rPr>
        <w:t>Debt</w:t>
      </w:r>
      <w:r>
        <w:rPr>
          <w:rFonts w:ascii="Times New Roman;sans-serif" w:hAnsi="Times New Roman;sans-serif"/>
          <w:b w:val="false"/>
          <w:color w:val="000000"/>
          <w:sz w:val="22"/>
        </w:rPr>
        <w:t>. Incur, assume, guarantee or otherwise become or remain directly or indirectly liable with respect to, any Debt, except for:</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(i) Debt incurred or created hereunder and under the other Loan Documents and (ii) Debt created under the ABL Credit Agreement and under the other Loan Documents (as defined in the ABL Credit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01040"/>
                <wp:effectExtent l="0" t="0" r="0" b="0"/>
                <wp:wrapNone/>
                <wp:docPr id="186" name="Frame16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Debt outstanding on (or made pursuant to binding commitments existing or contemplated on) the Effective Date and, with respect to any such item of Debt with an aggregate outstanding principal amount on the Effective Date in excess of $5,000,000, set forth on </w:t>
      </w:r>
      <w:r>
        <w:rPr>
          <w:rFonts w:ascii="Times New Roman;sans-serif" w:hAnsi="Times New Roman;sans-serif"/>
          <w:b w:val="false"/>
          <w:color w:val="000000"/>
          <w:sz w:val="22"/>
          <w:u w:val="single"/>
        </w:rPr>
        <w:t>Schedule 6.01</w:t>
      </w:r>
      <w:r>
        <w:rPr>
          <w:color w:val="000000"/>
        </w:rPr>
        <w:t xml:space="preserve"> </w:t>
      </w:r>
      <w:r>
        <w:rPr>
          <w:rFonts w:ascii="Times New Roman;sans-serif" w:hAnsi="Times New Roman;sans-serif"/>
          <w:b w:val="false"/>
          <w:color w:val="000000"/>
          <w:sz w:val="22"/>
        </w:rPr>
        <w:t>and Permitted Refinancings thereof;</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(i) Debt (including Capital Lease Obligations, purchase money indebtedness, mortgage financing, industrial revenue bonds, industrial development bonds or similar financings) incurred or assumed by the Borrower or any of the Restricted Subsidiaries for the purpose of financing the acquisition, development, purchase, lease, construction, repair, restoration, installation, replacement, maintenance, upgrade, expansion or improvement of fixed or capital assets or other property (whether real or personal) (whether through the direct purchase of property or the Equity Interests of any Person owning such assets);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(x) such Debt is incurred concurrently with or within 180 days after the applicable acquisition, development, purchase, lease, construction, repair, restoration, replacement, maintenance, upgrade, expansion or improvement and (y) the aggregate principal amount at any time outstanding of Debt incurred pursuant to this </w:t>
      </w:r>
      <w:r>
        <w:rPr>
          <w:rFonts w:ascii="Times New Roman;sans-serif" w:hAnsi="Times New Roman;sans-serif"/>
          <w:b w:val="false"/>
          <w:color w:val="000000"/>
          <w:sz w:val="22"/>
          <w:u w:val="single"/>
        </w:rPr>
        <w:t>paragraph (i)</w:t>
      </w:r>
      <w:r>
        <w:rPr>
          <w:color w:val="000000"/>
        </w:rPr>
        <w:t xml:space="preserve"> </w:t>
      </w:r>
      <w:r>
        <w:rPr>
          <w:rFonts w:ascii="Times New Roman;sans-serif" w:hAnsi="Times New Roman;sans-serif"/>
          <w:b w:val="false"/>
          <w:color w:val="000000"/>
          <w:sz w:val="22"/>
        </w:rPr>
        <w:t>shall not exceed $165,000,000; and (ii) Permitted Refinancings thereof;</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(d)    intercompany Debt among the Borrower and its Restricted Subsidiaries; provided, that, (x) upon request of the Administrative Agent any such Debt with a principal amount exceeding $2,500,000 owed to a Loan Party shall be subordinated in right of payment to the Obligations pursuant to an Intercompany Subordination Agreement and (y) with respect to any such Debt owed by a Loan Party to a Restricted Subsidiary that is not a Loan Party, such Debt shall be subordinated in right of payment in the Obligations pursuant to an Intercompany Subordination Agreement;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(e)    Debt of Subsidiaries that are not Loan Parties in an aggregate principal amount outstanding at any time not to exceed $200,000,000;</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(f)    Debt consisting of (i) the financing of insurance premiums or (ii) take or pay obligations contained in supply arrangements, in each case, in the ordinary course of business;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(g)    (i) Debt assumed in connection with Permitted Acquisitions;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(x) such Debt was not incurred in contemplation of such Permitted Acquisition and (y) both immediately prior and after giving effect to any Debt incurred pursuant to this </w:t>
      </w:r>
      <w:r>
        <w:rPr>
          <w:rFonts w:ascii="Times New Roman;sans-serif" w:hAnsi="Times New Roman;sans-serif"/>
          <w:b w:val="false"/>
          <w:color w:val="000000"/>
          <w:sz w:val="22"/>
          <w:u w:val="single"/>
        </w:rPr>
        <w:t>clause (g)</w:t>
      </w:r>
      <w:r>
        <w:rPr>
          <w:rFonts w:ascii="Times New Roman;sans-serif" w:hAnsi="Times New Roman;sans-serif"/>
          <w:b w:val="false"/>
          <w:color w:val="000000"/>
          <w:sz w:val="22"/>
        </w:rPr>
        <w:t>, no Event of Default shall have occurred and be continuing and (ii) any Permitted Refinancing thereof;</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(h)    Debt incurred by the Borrower or any Restricted Subsidiary to the extent permitted by Section 6.01(h) of the ABL Credit Agreement (as in effect on the Effective Date);</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(i)    Debt representing deferred compensation, severance and health and retirement benefits or the equivalent thereof to Permitted Payees incurred in the ordinary course of business;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(j)    Debt consisting of obligations with respect to indemnification, the adjustment of the purchase price (including customary earnouts) or similar adjustments incurred in connection with a Permitted Acquisition or any other Investment or Disposition expressly permitted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01040"/>
                <wp:effectExtent l="0" t="0" r="0" b="0"/>
                <wp:wrapNone/>
                <wp:docPr id="187" name="Frame16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(k)    (i) Debt arising from the honoring by a bank or other financial institution of a check, draft or similar instrument drawn against insufficient funds in the ordinary course of business and (ii) Debt in respect of credit card processing agreements, automatic clearinghouse arrangements, overdraft protections and similar arrangements in each case in connection with cash management and deposit accounts and in the ordinary course of business; provided that any such Debt (other than credit card processing agreements or similar arrangements) is owed to the financial institutions providing such arrangements (or any Affiliate thereof);</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(l)    Debt incurred by the Borrower or any Restricted Subsidiary constituting reimbursement obligations with respect to letters of credit, bank guarantees, bankers’ acceptances, warehouse receipts or similar instruments, in each case, issued or created in the ordinary course of business, including in respect of workers’ compensation claims, health, disability or other employee benefits (including with respect to immediate family members of employees, directors or members of management) or property, casualty or liability insurance or self-insurance or other Debt with respect to reimbursement-type obligations regarding workers compensation claims or obligations referred to in </w:t>
      </w:r>
      <w:r>
        <w:rPr>
          <w:rFonts w:ascii="Times New Roman;sans-serif" w:hAnsi="Times New Roman;sans-serif"/>
          <w:b w:val="false"/>
          <w:color w:val="000000"/>
          <w:sz w:val="22"/>
          <w:u w:val="single"/>
        </w:rPr>
        <w:t>paragraph (m)</w:t>
      </w:r>
      <w:r>
        <w:rPr>
          <w:color w:val="000000"/>
        </w:rPr>
        <w:t xml:space="preserve"> </w:t>
      </w:r>
      <w:r>
        <w:rPr>
          <w:rFonts w:ascii="Times New Roman;sans-serif" w:hAnsi="Times New Roman;sans-serif"/>
          <w:b w:val="false"/>
          <w:color w:val="000000"/>
          <w:sz w:val="22"/>
        </w:rPr>
        <w:t>below, letters of credit in the nature of a security deposit (or similar deposit or security) given to a lessor under an operating lease of Real Estate under which such Person is lessee, and letters of credit in connection with the maintenance of, or pursuant to the requirements of, environmental or other permits or licenses from Governmental Authorities, and any refund, replacement, refinancing or defeasance of any of the foregoing;</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(m)    obligations in respect of surety, stay, customs and appeal bonds, performance bonds and performance and completion guarantees and similar obligations provided by the Borrower or any of the Restricted Subsidiaries, in each case, issued or created in the ordinary course of business and consistent with past practice;</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(n)    Debt arising under Swap Agreements not incurred for purposes of speculation;</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(o)    Debt consisting of the accretion of original issue discount with respect to Permitted Convertible Notes;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(p)    Guarantees of Debt of the Borrower or any Subsidiary, which Debt is otherwise permitted hereunder;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(x) if such Debt is subordinated to the Obligations, such guarantee shall be subordinated to the same extent and (y) no such Guarantee by a Loan Party shall be permitted under this </w:t>
      </w:r>
      <w:r>
        <w:rPr>
          <w:rFonts w:ascii="Times New Roman;sans-serif" w:hAnsi="Times New Roman;sans-serif"/>
          <w:b w:val="false"/>
          <w:color w:val="000000"/>
          <w:sz w:val="22"/>
          <w:u w:val="single"/>
        </w:rPr>
        <w:t>paragraph (p)</w:t>
      </w:r>
      <w:r>
        <w:rPr>
          <w:color w:val="000000"/>
        </w:rPr>
        <w:t xml:space="preserve"> </w:t>
      </w:r>
      <w:r>
        <w:rPr>
          <w:rFonts w:ascii="Times New Roman;sans-serif" w:hAnsi="Times New Roman;sans-serif"/>
          <w:b w:val="false"/>
          <w:color w:val="000000"/>
          <w:sz w:val="22"/>
        </w:rPr>
        <w:t xml:space="preserve">of Debt of a subsidiary that is not a Loan Party, other than Guarantees constituting an Investment permitted under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(q)    Debt owing to Permitted Payees to finance the purchase or redemption of Equity Interests of the Borrower (or any direct or indirect parent of the Borrower) permitted by </w:t>
      </w:r>
      <w:r>
        <w:rPr>
          <w:rFonts w:ascii="Times New Roman;sans-serif" w:hAnsi="Times New Roman;sans-serif"/>
          <w:b w:val="false"/>
          <w:color w:val="000000"/>
          <w:sz w:val="22"/>
          <w:u w:val="single"/>
        </w:rPr>
        <w:t>Section 6.03(a)</w:t>
      </w:r>
      <w:r>
        <w:rPr>
          <w:color w:val="000000"/>
        </w:rPr>
        <w:t xml:space="preserve"> </w:t>
      </w:r>
      <w:r>
        <w:rPr>
          <w:rFonts w:ascii="Times New Roman;sans-serif" w:hAnsi="Times New Roman;sans-serif"/>
          <w:b w:val="false"/>
          <w:color w:val="000000"/>
          <w:sz w:val="22"/>
        </w:rPr>
        <w:t>and Permitted Refinancings thereof;</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    Debt of the Borrower or any Restricted Subsidiary owing to any joint venture (regardless of the form of legal entity) that is not a subsidiary arising in the ordinary course of business of the Borrower and its subsidiaries in connection with the cash management operations (including with respect to intercompany self-insurance arrangements);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(s)    Debt (including Permitted Convertible Notes), if at the time of issuance or incurrence thereof:</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701040"/>
                <wp:effectExtent l="0" t="0" r="0" b="0"/>
                <wp:wrapNone/>
                <wp:docPr id="188" name="Frame16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no Default or Event of Default then exists or would result therefrom;</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such Debt does not have any mandatory redemption, prepayment, amortization, sinking fund or similar obligations prior to the Maturity Date (other than pursuant to (x) fundamental change, make-whole fundamental change, change of control or other similar event risk provisions and, in the case of term loans or senior notes that are not convertible into Equity Interests only, customary asset sale (or casualty or condemnation event), extraordinary receipts and/or (solely in the case of term loans) excess cash flow offer or repayment provisions and, in the case of any customary bridge financing, prepayments of such bridge financing from the issuance of equity or other Debt permitted hereunder which meets the requirements of this clause and customary asset sale (or casualty or condemnation event) repayment provisions, and (y) in the case of term loans, nominal amortization requirements not to exceed 5% per annum (or increases thereto to account for fungibility matters) of the initial aggregate principal amount of such Debt), provided that for the avoidance of doubt, any provision of Permitted Convertible Notes (x) providing for a satisfaction of conversion obligation thereof or (y) permitting cash interest shall, in each case, not cause the Permitted Convertible Notes to fail to satisfy the provisions of this clause (iii);</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(iii)    the covenants and events of default set forth in the applicable definitive documentation for such Debt are not materially more restrictive, taken as a whole, than the covenants and events of default set forth in this Agreement (as determined by the Borrower in good faith), except for (x) provisions applicable only to periods after the Maturity Date in effect at the time of effectiveness of the applicable definitive documentation for such Debt, (y) provisions related to any equity provisions of such Debt or (z) terms that are customary market terms for Debt of such type as reasonably determined by the Borrower;</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    to the extent such Debt is subordinated, the terms of such Debt provide for customary payment or lien subordination, as applicable, to the Obligations as reasonably determined by the Administrative Agent in good faith; </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    which Debt may be: </w:t>
      </w:r>
    </w:p>
    <w:p>
      <w:pPr>
        <w:pStyle w:val="TextBody"/>
        <w:bidi w:val="0"/>
        <w:spacing w:lineRule="auto" w:line="288"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(A)    unsecured; or</w:t>
      </w:r>
    </w:p>
    <w:p>
      <w:pPr>
        <w:pStyle w:val="TextBody"/>
        <w:bidi w:val="0"/>
        <w:spacing w:lineRule="auto" w:line="288"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(B)    secured; provided, that, if such Debt is secured, then such Debt is secured in accordance with Section 6.01(s) of the ABL Credit Agreement (as in effect on the Effective Date).</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(t)     Permitted Convertible Notes and Guarantees by Loan Parties in respect thereof (and, without duplication, any Permitted Refinancing thereof); provided that with respect to any such Permitted Convertible Notes issued or incurred after the Effective Date, at the time of such issuance or incurrence thereof:</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no Default or Event of Default then exists or would result therefrom;</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01040"/>
                <wp:effectExtent l="0" t="0" r="0" b="0"/>
                <wp:wrapNone/>
                <wp:docPr id="189" name="Frame16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such Permitted Convertible Notes do not have a scheduled maturity earlier than the stated maturity date of the Existing Convertible Notes as of the Effective Date (other than an earlier maturity date for customary fundamental change, make-whole fundamental change, change of control or other similar event risk provisions or customary bridge financings which, subject to customary conditions, would either be automatically converted into or required to be exchanged for permanent financing which does not provide for a maturity date earlier such stated maturity date); provided that for the avoidance of doubt, any provision of Permitted Convertible Notes (x) providing for a Satisfaction of Conversion Obligation thereof or (y) permitting cash interest shall, in each case, not cause the Permitted Convertible Notes to fail to satisfy the provisions of this clause (ii);</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(iii)    such Permitted Convertible Notes do not have any mandatory redemption, prepayment, amortization, sinking fund or similar obligations prior to the Maturity Date (other than pursuant to fundamental change, make-whole fundamental change, change of control or other similar event risk provisions and, in the case of any customary bridge financing, prepayments of such bridge financing from the issuance of equity or other Permitted Convertible Notes permitted hereunder which meets the requirements of this clause and customary asset sale (or casualty or condemnation event) repayment provisions); provided that for the avoidance of doubt, any provision of Permitted Convertible Notes (x) providing for a Satisfaction of Conversion Obligation thereof or (y) permitting cash interest shall, in each case, not cause the Permitted Convertible Notes to fail to satisfy the provisions of this clause (iii);</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(iv)    the covenants and events of default set forth in the applicable definitive documentation for such Permitted Convertible Notes are not materially more restrictive, taken as a whole, than the covenants and events of default applicable to the Existing Convertible Notes (as determined by the Borrower in good faith) except for (x) provisions applicable only to periods after the Maturity Date in effect at the time of effectiveness of the applicable definitive documentation for such Permitted Convertible Notes and (y) provisions related to any equity provisions of such Permitted Convertible Notes;</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(v)     to the extent such Permitted Convertible Notes are subordinated, the terms of such Permitted Convertible Notes provide for customary payment subordination to the Obligations as reasonably determined by the Administrative Agent in good faith; and</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(vi)    such Permitted Convertible Notes shall be in an aggregate principal amount not to exceed $3,000,000,000 at any time outstanding;</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(u)    (i) Debt in connection with any Permitted Receivables Financings and (ii) without duplication, any Permitted Refinancing of any Debt set forth in the immediately preceding </w:t>
      </w:r>
      <w:r>
        <w:rPr>
          <w:rFonts w:ascii="Times New Roman;sans-serif" w:hAnsi="Times New Roman;sans-serif"/>
          <w:b w:val="false"/>
          <w:color w:val="000000"/>
          <w:sz w:val="22"/>
          <w:u w:val="single"/>
        </w:rPr>
        <w:t>subclause (i)</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701040"/>
                <wp:effectExtent l="0" t="0" r="0" b="0"/>
                <wp:wrapNone/>
                <wp:docPr id="190" name="Frame16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(v)    Debt and obligations in respect of performance, bid, appeal, indemnity, stay, customs, judgment, completion, return-of-money and/or surety bonds, bankers’ acceptance facilities, completion guarantees and other obligations of a like nature, leases, tenders, statutory obligations (including health, safety and environmental obligations), warranties, bids, government or trade contracts (including customer contracts), indemnities and similar obligations of the Borrower or any Restricted Subsidiary or obligations in respect of LC Instruments related to the foregoing, in each case in the ordinary course of business; and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(w)    Debt consisting of (i) obligations in respect of incentive, supplier finance, supply, license, sublicense or similar agreements, or take or pay obligations or contracts, in each case entered into in the ordinary course of business, (ii) obligations to reacquire assets or inventory in connection with customer financing arrangements in the ordinary course of business, (iii) customer deposits and advance payments received in the ordinary course of business from customers for goods or services purchased in the ordinary course of business and/or (iv) the deferred purchase price of goods or services or progress payments in connection with such goods and services incurred in connection with open accounts extended by suppliers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6.02.    </w:t>
      </w:r>
      <w:r>
        <w:rPr>
          <w:rFonts w:ascii="Times New Roman;sans-serif" w:hAnsi="Times New Roman;sans-serif"/>
          <w:b w:val="false"/>
          <w:i/>
          <w:color w:val="000000"/>
          <w:sz w:val="22"/>
        </w:rPr>
        <w:t>Liens</w:t>
      </w:r>
      <w:r>
        <w:rPr>
          <w:rFonts w:ascii="Times New Roman;sans-serif" w:hAnsi="Times New Roman;sans-serif"/>
          <w:b w:val="false"/>
          <w:color w:val="000000"/>
          <w:sz w:val="22"/>
        </w:rPr>
        <w:t>. Create, assume or suffer to exist any Lien on any asset now owned or hereafter acquired by it, except: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Liens created by the Collateral Documents (as defined under the ABL Credit Agreement);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Liens on cash or deposits granted in favor of the issuing bank of a letter of credit issued pursuant to </w:t>
      </w:r>
      <w:r>
        <w:rPr>
          <w:rFonts w:ascii="Times New Roman;sans-serif" w:hAnsi="Times New Roman;sans-serif"/>
          <w:b w:val="false"/>
          <w:color w:val="000000"/>
          <w:sz w:val="22"/>
          <w:u w:val="single"/>
        </w:rPr>
        <w:t>Section 6.01(l)</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Liens existing on the Effective Date and, with respect to any such Lien securing obligations in respect of Money Borrowed on the Effective Date in excess of $5,000,000, set forth on </w:t>
      </w:r>
      <w:r>
        <w:rPr>
          <w:rFonts w:ascii="Times New Roman;sans-serif" w:hAnsi="Times New Roman;sans-serif"/>
          <w:b w:val="false"/>
          <w:color w:val="000000"/>
          <w:sz w:val="22"/>
          <w:u w:val="single"/>
        </w:rPr>
        <w:t>Schedule 6.02</w:t>
      </w:r>
      <w:r>
        <w:rPr>
          <w:rFonts w:ascii="Times New Roman;sans-serif" w:hAnsi="Times New Roman;sans-serif"/>
          <w:b w:val="false"/>
          <w:color w:val="000000"/>
          <w:sz w:val="22"/>
        </w:rPr>
        <w:t xml:space="preserve">, and any modifications, replacements, renewals or extensions thereof;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such Liens shall secure only those obligations that they secure on the Effective Date and Permitted Refinancing thereof and shall not subsequently apply to any other property or assets of the Borrower or any Restricted Subsidiary other than (i) after-acquired property that is affixed or incorporated into the property covered by such Lien or financed or refinanced by Debt otherwise permitted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and (ii) proceeds and products thereof; it being understood and agreed that individual financings by any lender may be cross-collateralized to other financings provided by such lender or its Affiliates;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01040"/>
                <wp:effectExtent l="0" t="0" r="0" b="0"/>
                <wp:wrapNone/>
                <wp:docPr id="191" name="Frame16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(i) any Lien on any asset securing Debt permitted under </w:t>
      </w:r>
      <w:r>
        <w:rPr>
          <w:rFonts w:ascii="Times New Roman;sans-serif" w:hAnsi="Times New Roman;sans-serif"/>
          <w:b w:val="false"/>
          <w:color w:val="000000"/>
          <w:sz w:val="22"/>
          <w:u w:val="single"/>
        </w:rPr>
        <w:t>Section 6.01(c)</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 such Liens do not at any time encumber any property other than the property acquired, developed, purchased, leased, constructed, repaired, restored, replaced, maintained, upgraded, expanded or improved with the proceeds of such Debt, except for accessions and additions to such property, replacements or improvements thereof, customary security deposits with respect thereto, related contract rights and payment intangibles, and the proceeds and the products thereof, and any lease of such property (including accessions thereto) and the proceeds and products thereof and (B) with respect to Capital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Capital Lease Obligations; </w:t>
      </w:r>
      <w:r>
        <w:rPr>
          <w:rFonts w:ascii="Times New Roman;sans-serif" w:hAnsi="Times New Roman;sans-serif"/>
          <w:b w:val="false"/>
          <w:i/>
          <w:color w:val="000000"/>
          <w:sz w:val="22"/>
        </w:rPr>
        <w:t>provided, further</w:t>
      </w:r>
      <w:r>
        <w:rPr>
          <w:rFonts w:ascii="Times New Roman;sans-serif" w:hAnsi="Times New Roman;sans-serif"/>
          <w:b w:val="false"/>
          <w:color w:val="000000"/>
          <w:sz w:val="22"/>
        </w:rPr>
        <w:t xml:space="preserve">, that individual financings provided by one lender may be cross-collateralized to other financings provided by such lender or its Affiliates and (ii) any Lien on any asset securing the transactions described on </w:t>
      </w:r>
      <w:r>
        <w:rPr>
          <w:rFonts w:ascii="Times New Roman;sans-serif" w:hAnsi="Times New Roman;sans-serif"/>
          <w:b w:val="false"/>
          <w:color w:val="000000"/>
          <w:sz w:val="22"/>
          <w:u w:val="single"/>
        </w:rPr>
        <w:t>Schedule 6.15</w:t>
      </w:r>
      <w:r>
        <w:rPr>
          <w:color w:val="000000"/>
        </w:rPr>
        <w:t xml:space="preserve"> </w:t>
      </w:r>
      <w:r>
        <w:rPr>
          <w:rFonts w:ascii="Times New Roman;sans-serif" w:hAnsi="Times New Roman;sans-serif"/>
          <w:b w:val="false"/>
          <w:color w:val="000000"/>
          <w:sz w:val="22"/>
        </w:rPr>
        <w:t xml:space="preserve">(and Permitted Refinancings thereof);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arrangements;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(e)    Liens constituting Permitted Encumbrances;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(f)    Liens in favor of collecting banks arising under Section 4-210 of the Uniform Commercial Code or, with respect to collecting banks located in the State of New York, under Section 4-208 of the Uniform Commercial Code, in each case on items in the course of collection;</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(g)    Liens (i) (including the right of set-off) in favor of a bank or other depositary institution or securities intermediary arising as a matter of law encumbering deposits or securities, (ii) on deposits of cash in favor of banks or another depository institution created in the ordinary course of business in connection with the establishment of depository relations with such bank or depository institution and not in connection with the issuance of Debt, (iii) on securities contained in a securities account in favor of a securities intermediary which lien secures fees, indemnities, and other obligations owed to the securities intermediary arising in the ordinary course of business in connection with the establishment of such securities account with such securities intermediary and not, for the avoidance of doubt, in connection with the issuance of Debt, margin loans or other securities financing, (iv) relating to pooled deposits, sweep accounts, reserve accounts or similar accounts of the Borrower or any Restricted Subsidiary to permit satisfaction of overdraft or similar obligations incurred in the ordinary course of business, including with respect to credit card chargebacks and similar obligations or (v) relating to purchase orders and other agreements entered into with customers, suppliers or service providers of the Borrower or any Restricted Subsidiary in the ordinary course of business;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(h)    Liens arising (i) out of conditional sale, (ii) out of title retention, consignment or similar arrangements for the sale of goods entered into by the Borrower or any Restricted Subsidiary in the ordinary course of business or (iii) by operation of law under the UCC (or any similar law of any jurisdiction);</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(i)    Liens on earnest money deposits of cash or Permitted Investments in connection with any Permitted Acquisition;</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01040"/>
                <wp:effectExtent l="0" t="0" r="0" b="0"/>
                <wp:wrapNone/>
                <wp:docPr id="192" name="Frame16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(j)    Liens on property or assets of Subsidiaries that are not Loan Parties securing Debt of Subsidiaries that are not Loan Parties that is permitted pursuant to </w:t>
      </w:r>
      <w:r>
        <w:rPr>
          <w:rFonts w:ascii="Times New Roman;sans-serif" w:hAnsi="Times New Roman;sans-serif"/>
          <w:b w:val="false"/>
          <w:color w:val="000000"/>
          <w:sz w:val="22"/>
          <w:u w:val="single"/>
        </w:rPr>
        <w:t>Section 6.01(e)</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(k)    Liens on insurance policies and the proceeds thereof securing the financing of the premiums with respect thereto in the ordinary course of business;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(l)    any interest or title of a lessor, sublessor, licensor or sublicensor under any lease (other than a Capital Lease), sublease, license or sublicense entered into in the ordinary course of business by the Borrower or any Restricted Subsidiary;</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(m)     (i) pledges and deposits made in the ordinary course of business in compliance with workers compensation, health, disability or other employee benefits or property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Borrower or any Restricted Subsidiary;</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(n)    ground leases in respect of Real Estate;</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(o)    Liens existing on property at the time of its acquisition or existing on the property of any Person at the time such Person becomes a Restricted Subsidiary (including, for the avoidance of doubt, Liens securing Debt permitted by </w:t>
      </w:r>
      <w:r>
        <w:rPr>
          <w:rFonts w:ascii="Times New Roman;sans-serif" w:hAnsi="Times New Roman;sans-serif"/>
          <w:b w:val="false"/>
          <w:color w:val="000000"/>
          <w:sz w:val="22"/>
          <w:u w:val="single"/>
        </w:rPr>
        <w:t>Section 6.01(g)</w:t>
      </w:r>
      <w:r>
        <w:rPr>
          <w:color w:val="000000"/>
        </w:rPr>
        <w:t xml:space="preserve"> </w:t>
      </w:r>
      <w:r>
        <w:rPr>
          <w:rFonts w:ascii="Times New Roman;sans-serif" w:hAnsi="Times New Roman;sans-serif"/>
          <w:b w:val="false"/>
          <w:color w:val="000000"/>
          <w:sz w:val="22"/>
        </w:rPr>
        <w:t xml:space="preserve">to the extent such Liens extend only to the assets that are the subject of the underlying Permitted Acquisition), in each case after the Effective Date, and any Permitted Refinancing thereof;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(x) such Lien was not incurred in contemplation of such Person becoming a Restricted Subsidiary, (y) such Lien does not extend to or cover any other assets or property (other than the proceeds or products thereof and after-acquired property subject to a Lien pursuant to terms existing at the time of such acquisition, it being understood that such requirement shall not be permitted to apply to any property to which such requirement would not have applied but for such acquisition) and (z) the Debt secured thereby (or, as applicable, any Permitted Refinancing thereof) is permitted under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(p)    Liens securing Debt permitted under </w:t>
      </w:r>
      <w:r>
        <w:rPr>
          <w:rFonts w:ascii="Times New Roman;sans-serif" w:hAnsi="Times New Roman;sans-serif"/>
          <w:b w:val="false"/>
          <w:color w:val="000000"/>
          <w:sz w:val="22"/>
          <w:u w:val="single"/>
        </w:rPr>
        <w:t>Section 6.01(h)</w:t>
      </w:r>
      <w:r>
        <w:rPr>
          <w:color w:val="000000"/>
        </w:rPr>
        <w:t xml:space="preserve"> </w:t>
      </w:r>
      <w:r>
        <w:rPr>
          <w:rFonts w:ascii="Times New Roman;sans-serif" w:hAnsi="Times New Roman;sans-serif"/>
          <w:b w:val="false"/>
          <w:color w:val="000000"/>
          <w:sz w:val="22"/>
        </w:rPr>
        <w:t>or Permitted Additional Secured Indebtedness;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(q)    Liens incurred or deposits made to secure the performance of leases, tenders, statutory obligations (including those to secure health, safety and environmental obligations and Liens required by Requirements of Law to be granted in favor of creditors in relation to a merger or other reorganization), warranties, bids, government or trade contracts (including customer contracts, but other than for the payment of Debt for borrowed money), indemnities, governmental contracts, performance, bid, appeal, indemnity, stay, customs, judgment, completion, return-of-money and/or surety bonds, bankers’ acceptance facilities, completion guarantees and other obligations of a like nature and obligations in respect of LC Instruments posted to support any of the foregoing, in each case incurred in the ordinary course of business;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(r)    Liens of record (but not securing any Debt) existing on the Effective Date on any Real Estate not otherwise permitted under this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01040"/>
                <wp:effectExtent l="0" t="0" r="0" b="0"/>
                <wp:wrapNone/>
                <wp:docPr id="193" name="Frame16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(s)    Liens on accounts and related assets subject to sales or assignments permitted pursuant to, and in accordance with, </w:t>
      </w:r>
      <w:r>
        <w:rPr>
          <w:rFonts w:ascii="Times New Roman;sans-serif" w:hAnsi="Times New Roman;sans-serif"/>
          <w:b w:val="false"/>
          <w:color w:val="000000"/>
          <w:sz w:val="22"/>
          <w:u w:val="single"/>
        </w:rPr>
        <w:t>Section 6.06(q)</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    Liens on assets securing Debt or other obligations in an aggregate principal amount as of the date of incurrence not to exceed $100,000,000;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(u)    Liens in respect of Sale Leaseback Transactions (or transactions described on </w:t>
      </w:r>
      <w:r>
        <w:rPr>
          <w:rFonts w:ascii="Times New Roman;sans-serif" w:hAnsi="Times New Roman;sans-serif"/>
          <w:b w:val="false"/>
          <w:color w:val="000000"/>
          <w:sz w:val="22"/>
          <w:u w:val="single"/>
        </w:rPr>
        <w:t>Schedule 6.15</w:t>
      </w:r>
      <w:r>
        <w:rPr>
          <w:rFonts w:ascii="Times New Roman;sans-serif" w:hAnsi="Times New Roman;sans-serif"/>
          <w:b w:val="false"/>
          <w:color w:val="000000"/>
          <w:sz w:val="22"/>
        </w:rPr>
        <w:t xml:space="preserve">) on the assets or property sold and/or leased in such Sale Leaseback Transaction (or transaction described on </w:t>
      </w:r>
      <w:r>
        <w:rPr>
          <w:rFonts w:ascii="Times New Roman;sans-serif" w:hAnsi="Times New Roman;sans-serif"/>
          <w:b w:val="false"/>
          <w:color w:val="000000"/>
          <w:sz w:val="22"/>
          <w:u w:val="single"/>
        </w:rPr>
        <w:t>Schedule 6.15</w:t>
      </w:r>
      <w:r>
        <w:rPr>
          <w:rFonts w:ascii="Times New Roman;sans-serif" w:hAnsi="Times New Roman;sans-serif"/>
          <w:b w:val="false"/>
          <w:color w:val="000000"/>
          <w:sz w:val="22"/>
        </w:rPr>
        <w:t>) and Liens securing Permitted Refinancings thereof; and</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(v)    Liens (i) on Permitted Receivables Financing Assets or Liens on other assets granted pursuant to Standard Securitization Undertakings, in each case, incurred in connection with Permitted Receivables Financings permitted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and (ii) securing Permitted Refinancings of the foregoing.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6.03.    </w:t>
      </w:r>
      <w:r>
        <w:rPr>
          <w:rFonts w:ascii="Times New Roman;sans-serif" w:hAnsi="Times New Roman;sans-serif"/>
          <w:b w:val="false"/>
          <w:i/>
          <w:color w:val="000000"/>
          <w:sz w:val="22"/>
        </w:rPr>
        <w:t>Restricted Distributions</w:t>
      </w:r>
      <w:r>
        <w:rPr>
          <w:rFonts w:ascii="Times New Roman;sans-serif" w:hAnsi="Times New Roman;sans-serif"/>
          <w:b w:val="false"/>
          <w:color w:val="000000"/>
          <w:sz w:val="22"/>
        </w:rPr>
        <w:t xml:space="preserve">. Pay or make any Restricted Distribution;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foregoing shall not restrict or prohibit any Restricted Subsidiary from paying or making Restricted Distributions, directly or indirectly, to the Persons who hold the Equity Interests in such Restricted Subsidiary on a ratable basis (or greater than ratable basis if to any Loan Party or any other Borrower or any Restricted Subsidiary) and shall not restrict or prohibit the following Restricted Distributions, directly or indirectly, by or to the Borrower:</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(a)    Restricted Distributions for the repurchase, retirement or other acquisition or retirement for value of Equity Interests of the Borrower held directly or indirectly by any Permitted Payee upon or in connection with the death, disability, retirement or termination of employment or services of, or pursuant to the terms of any employee or director equity plan, employee or director stock option or profits interest plan or any other employee or director benefit plan or any agreement (including any separation, stock subscription, shareholder or partnership agreement) with,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 equity holders’ agreement;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the aggregate Restricted Distributions made pursuant to this </w:t>
      </w:r>
      <w:r>
        <w:rPr>
          <w:rFonts w:ascii="Times New Roman;sans-serif" w:hAnsi="Times New Roman;sans-serif"/>
          <w:b w:val="false"/>
          <w:color w:val="000000"/>
          <w:sz w:val="22"/>
          <w:u w:val="single"/>
        </w:rPr>
        <w:t>Section 6.03(a)</w:t>
      </w:r>
      <w:r>
        <w:rPr>
          <w:color w:val="000000"/>
        </w:rPr>
        <w:t xml:space="preserve"> </w:t>
      </w:r>
      <w:r>
        <w:rPr>
          <w:rFonts w:ascii="Times New Roman;sans-serif" w:hAnsi="Times New Roman;sans-serif"/>
          <w:b w:val="false"/>
          <w:color w:val="000000"/>
          <w:sz w:val="22"/>
        </w:rPr>
        <w:t>in any fiscal year after the Effective Date shall not exceed: (i) $25,000,000;</w:t>
      </w:r>
      <w:r>
        <w:rPr>
          <w:color w:val="000000"/>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any unused amounts pursuant to this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during any fiscal year may be carried forward into the immediately succeeding fiscal year (but not subsequent years) and shall be deemed first applied thereto,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(ii) an amount not to exceed the cash proceeds of key man life insurance policies received by the Borrower or the Restricted Subsidiaries after the Effective Date,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(iii) the amount of any cash bonuses otherwise payable to any such persons that are foregone in exchange for the receipt of Equity Interests of the Borrower (or any parent company thereof) pursuant to any compensation arrangement, including any deferred compensation plan;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01040"/>
                <wp:effectExtent l="0" t="0" r="0" b="0"/>
                <wp:wrapNone/>
                <wp:docPr id="194" name="Frame16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Restricted Distributions in such amounts as are necessary or appropriate to pay, without duplication, (i) administrative expenses and other corporate overhead costs and expenses (including, but not limited to, reasonable directors fees, employee compensation and benefits, customary indemnity payments and payroll, social security or similar taxes) payable by any direct or indirect parent company of the Borrower, (ii) expenses to maintain the limited corporate existence of any such parent company, (iii) premiums and other charges necessary to maintain the insurance required under the terms of this Agreement and other commercially reasonable insurance acquired and maintained by any such parent company in the ordinary course of business, including director and officer, employment practices and other similar liability insurance, (iv) Public Company Costs, (v) the payment of business related expenses which are incurred by any such parent company in the ordinary course of business, and (vi) the proceeds of which will be used to pay customary salary, bonus and other benefits payable to Permitted Payee of any such parent company to the extent such salaries, bonuses and other benefits are attributable to the ownership or operation of the Borrower and the Restricted Subsidiaries;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Restricted Distributions (not consisting of cash or Permitted Investments) made in lieu of fees or expenses (including by way of discount), in each case in connection with any Permitted Receivables Financing permitted under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Restricted Distributions, (x) the proceeds of which shall be used by the Borrower to make (or to make a payment to any direct or indirect parent of the Borrower to enable it to make) (i) cash payments in lieu of the issuance of fractional shares in connection with the exercise of warrants, options or other securities convertible into or exchangeable for Equity Interests of the Borrower or any direct or indirect parent thereof;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any such cash payment shall not be for the purpose of evading the limitations set forth in this </w:t>
      </w:r>
      <w:r>
        <w:rPr>
          <w:rFonts w:ascii="Times New Roman;sans-serif" w:hAnsi="Times New Roman;sans-serif"/>
          <w:b w:val="false"/>
          <w:color w:val="000000"/>
          <w:sz w:val="22"/>
          <w:u w:val="single"/>
        </w:rPr>
        <w:t>Section 6.03</w:t>
      </w:r>
      <w:r>
        <w:rPr>
          <w:color w:val="000000"/>
        </w:rPr>
        <w:t xml:space="preserve"> </w:t>
      </w:r>
      <w:r>
        <w:rPr>
          <w:rFonts w:ascii="Times New Roman;sans-serif" w:hAnsi="Times New Roman;sans-serif"/>
          <w:b w:val="false"/>
          <w:color w:val="000000"/>
          <w:sz w:val="22"/>
        </w:rPr>
        <w:t>(as determined in good faith by the board of directors or the managing board, as the case may be, of the Borrower (or any authorized committee thereof))</w:t>
      </w:r>
      <w:r>
        <w:rPr>
          <w:color w:val="000000"/>
          <w:shd w:fill="FFFFFF" w:val="clear"/>
        </w:rPr>
        <w:t xml:space="preserve"> </w:t>
      </w:r>
      <w:r>
        <w:rPr>
          <w:rFonts w:ascii="Times New Roman;sans-serif" w:hAnsi="Times New Roman;sans-serif"/>
          <w:b w:val="false"/>
          <w:color w:val="000000"/>
          <w:sz w:val="22"/>
        </w:rPr>
        <w:t xml:space="preserve">and/or (ii) honor any conversion request by a holder of convertible Debt, make any cash payments in lieu of fractional shares in connection with any conversion and make payments on convertible Debt in accordance with its terms and (y) consisting of (i) payments made or expected to be made in respect of withholding or similar Taxes payable by any Permitted Payee and/or (ii) repurchase of Equity Interests in consideration of the payments described in </w:t>
      </w:r>
      <w:r>
        <w:rPr>
          <w:rFonts w:ascii="Times New Roman;sans-serif" w:hAnsi="Times New Roman;sans-serif"/>
          <w:b w:val="false"/>
          <w:color w:val="000000"/>
          <w:sz w:val="22"/>
          <w:u w:val="single"/>
        </w:rPr>
        <w:t>sub-clause</w:t>
      </w:r>
      <w:r>
        <w:rPr>
          <w:color w:val="000000"/>
        </w:rPr>
        <w:t xml:space="preserve"> </w:t>
      </w:r>
      <w:r>
        <w:rPr>
          <w:rFonts w:ascii="Times New Roman;sans-serif" w:hAnsi="Times New Roman;sans-serif"/>
          <w:b w:val="false"/>
          <w:color w:val="000000"/>
          <w:sz w:val="22"/>
        </w:rPr>
        <w:t>(x) above, including demand repurchases in connection with the exercise of warrants, options or other securities convertible into or exchangeable for Equity Interests of the Borrower or any direct or indirect parent thereof and the issuance of restricted stock units or similar stock based awards;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(e)    the Borrower may enter into, purchase, settle, perform (including the payment of any premium with respect to), repurchase, terminate or unwind any Issuer Option;</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(f)    Restricted Distributions to the Borrower to finance any Investment permitted to be made pursuant to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w:t>
      </w:r>
      <w:r>
        <w:rPr>
          <w:color w:val="000000"/>
          <w:shd w:fill="FFFFFF" w:val="clear"/>
        </w:rPr>
        <w:t xml:space="preserve"> </w:t>
      </w:r>
      <w:r>
        <w:rPr>
          <w:rFonts w:ascii="Times New Roman;sans-serif" w:hAnsi="Times New Roman;sans-serif"/>
          <w:b w:val="false"/>
          <w:color w:val="000000"/>
          <w:sz w:val="22"/>
          <w:shd w:fill="FFFFFF" w:val="clear"/>
        </w:rPr>
        <w:t xml:space="preserve">(i) </w:t>
      </w:r>
      <w:r>
        <w:rPr>
          <w:rFonts w:ascii="Times New Roman;sans-serif" w:hAnsi="Times New Roman;sans-serif"/>
          <w:b w:val="false"/>
          <w:color w:val="000000"/>
          <w:sz w:val="22"/>
        </w:rPr>
        <w:t xml:space="preserve">such Restricted Distribution shall be made substantially concurrently with the closing or consummation of such Investment and (ii) with respect to any such Investment (other than an Investment in the Equity Interests of an Unrestricted Subsidiary), the Borrower shall, immediately following the closing or consummation thereof, cause (A) substantially all property acquired (whether assets or Equity Interests) to be contributed to the Borrower or a Subsidiary Guarantor (or a Person that will become a Subsidiary Guarantor upon receipt of such contribution) or (B) the merger (to the extent permitted in </w:t>
      </w:r>
      <w:r>
        <w:rPr>
          <w:rFonts w:ascii="Times New Roman;sans-serif" w:hAnsi="Times New Roman;sans-serif"/>
          <w:b w:val="false"/>
          <w:color w:val="000000"/>
          <w:sz w:val="22"/>
          <w:u w:val="single"/>
        </w:rPr>
        <w:t>Section 6.05</w:t>
      </w:r>
      <w:r>
        <w:rPr>
          <w:rFonts w:ascii="Times New Roman;sans-serif" w:hAnsi="Times New Roman;sans-serif"/>
          <w:b w:val="false"/>
          <w:color w:val="000000"/>
          <w:sz w:val="22"/>
        </w:rPr>
        <w:t>) of the Person formed or acquired into the Borrower or a Subsidiary Guarantor;</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01040"/>
                <wp:effectExtent l="0" t="0" r="0" b="0"/>
                <wp:wrapNone/>
                <wp:docPr id="195" name="Frame17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(g)    repurchases of Equity Interests in the Borrower (or any direct or indirect parent company of the Borrower), or any of its subsidiaries, deemed to occur upon “cashless” exercise of stock options or warrants;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(h)    so long as no Default or Event of Default shall have occurred and be continuing or would result therefrom, the Borrower and its subsidiaries may make Restricted Distributions to the extent permitted pursuant to Section 6.03(h) of the ABL Credit Agreement (as in effect on the Effective Date);</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(i)    Restricted Distributions the proceeds of which are to pay cash interest that is required pursuant to any Permitted Convertible Notes;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(j)    Restricted Distributions the proceeds of which shall be used by the Borrower or any direct or indirect parent thereof to pay fees and expenses (other than to Affiliates) related to any unsuccessful equity or debt offering not prohibited by this Agreement (in the case of any such parent or indirect parent, only to the extent such parent or indirect parent does not hold material assets other than those relating to the Borrower and its subsidiaries);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(k)    to the extent constituting Restricted Distributions, transactions expressly permitted by (x) </w:t>
      </w:r>
      <w:r>
        <w:rPr>
          <w:rFonts w:ascii="Times New Roman;sans-serif" w:hAnsi="Times New Roman;sans-serif"/>
          <w:b w:val="false"/>
          <w:color w:val="000000"/>
          <w:sz w:val="22"/>
          <w:u w:val="single"/>
        </w:rPr>
        <w:t>Sections 6.05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6.06</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6.06(h)</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6.07</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6.07(s)</w:t>
      </w:r>
      <w:r>
        <w:rPr>
          <w:rFonts w:ascii="Times New Roman;sans-serif" w:hAnsi="Times New Roman;sans-serif"/>
          <w:b w:val="false"/>
          <w:color w:val="000000"/>
          <w:sz w:val="22"/>
        </w:rPr>
        <w:t>) or (y) by Sections 6.08(c), 6.08(d), 6.08(e), 6.08(g) and 6.08(i) of the ABL Credit Agreement (as in effect on the Effective Date);</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(l)    (i) the redemption, repurchase, retirement or other acquisition of any Equity Interests (“</w:t>
      </w:r>
      <w:r>
        <w:rPr>
          <w:rFonts w:ascii="Times New Roman;sans-serif" w:hAnsi="Times New Roman;sans-serif"/>
          <w:b/>
          <w:color w:val="000000"/>
          <w:sz w:val="22"/>
        </w:rPr>
        <w:t>Retired Capital Stock</w:t>
      </w:r>
      <w:r>
        <w:rPr>
          <w:color w:val="000000"/>
        </w:rPr>
        <w:t>”</w:t>
      </w:r>
      <w:r>
        <w:rPr>
          <w:rFonts w:ascii="Times New Roman;sans-serif" w:hAnsi="Times New Roman;sans-serif"/>
          <w:b w:val="false"/>
          <w:color w:val="000000"/>
          <w:sz w:val="22"/>
        </w:rPr>
        <w:t>) of the Borrower or any direct or indirect parent of the Borrower in exchange for, or out of the proceeds of, the substantially concurrent sale of, Equity Interests of the Borrower or any direct or indirect parent of the Borrower or contributions to the equity capital of the Borrower (other than any Disqualified Equity Interests or any Equity Interests sold to a subsidiary of the Borrower) (collectively, including any such contributions, “</w:t>
      </w:r>
      <w:r>
        <w:rPr>
          <w:rFonts w:ascii="Times New Roman;sans-serif" w:hAnsi="Times New Roman;sans-serif"/>
          <w:b/>
          <w:color w:val="000000"/>
          <w:sz w:val="22"/>
        </w:rPr>
        <w:t>Refunding Capital Stock</w:t>
      </w:r>
      <w:r>
        <w:rPr>
          <w:color w:val="000000"/>
        </w:rPr>
        <w:t>”</w:t>
      </w:r>
      <w:r>
        <w:rPr>
          <w:rFonts w:ascii="Times New Roman;sans-serif" w:hAnsi="Times New Roman;sans-serif"/>
          <w:b w:val="false"/>
          <w:color w:val="000000"/>
          <w:sz w:val="22"/>
        </w:rPr>
        <w:t xml:space="preserve">) and (ii) the declaration and payment of dividends on the Retired Capital Stock out of the proceeds of the substantially concurrent sale (other than to a subsidiary of the Borrower) of Refunding Capital Stock;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(m)    in respect of any taxable period for which the Borrower and/or any of its subsidiaries are members of a consolidated, combined, unitary or similar Tax group for U.S. federal and/or applicable state, local or foreign income tax purposes of which a direct or indirect owner is the common parent, including a group in which the Borrower is disregarded for U.S. federal income tax purposes from its parent (a “</w:t>
      </w:r>
      <w:r>
        <w:rPr>
          <w:rFonts w:ascii="Times New Roman;sans-serif" w:hAnsi="Times New Roman;sans-serif"/>
          <w:b/>
          <w:color w:val="000000"/>
          <w:sz w:val="22"/>
        </w:rPr>
        <w:t>Tax Group</w:t>
      </w:r>
      <w:r>
        <w:rPr>
          <w:color w:val="000000"/>
        </w:rPr>
        <w:t>”</w:t>
      </w:r>
      <w:r>
        <w:rPr>
          <w:rFonts w:ascii="Times New Roman;sans-serif" w:hAnsi="Times New Roman;sans-serif"/>
          <w:b w:val="false"/>
          <w:color w:val="000000"/>
          <w:sz w:val="22"/>
        </w:rPr>
        <w:t xml:space="preserve">), any Restricted Subsidiary may make cash distributions to direct or indirect owners and the Borrower may make cash distributions to any direct or indirect parent company of the Borrower, in respect of any such tax period (including an estimated tax period) in an amount necessary to enable the parent of such Tax Group to pay consolidated, combined, unitary or similar income Tax liabilities of such group that are attributable to the taxable income of the Borrower and/or its applicable subsidiaries for such tax period;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amount of any such payments pursuant to this </w:t>
      </w:r>
      <w:r>
        <w:rPr>
          <w:rFonts w:ascii="Times New Roman;sans-serif" w:hAnsi="Times New Roman;sans-serif"/>
          <w:b w:val="false"/>
          <w:color w:val="000000"/>
          <w:sz w:val="22"/>
          <w:u w:val="single"/>
        </w:rPr>
        <w:t>clause (m)</w:t>
      </w:r>
      <w:r>
        <w:rPr>
          <w:color w:val="000000"/>
        </w:rPr>
        <w:t xml:space="preserve"> </w:t>
      </w:r>
      <w:r>
        <w:rPr>
          <w:rFonts w:ascii="Times New Roman;sans-serif" w:hAnsi="Times New Roman;sans-serif"/>
          <w:b w:val="false"/>
          <w:color w:val="000000"/>
          <w:sz w:val="22"/>
        </w:rPr>
        <w:t xml:space="preserve">shall not exceed the amount of such Taxes that the Borrower and/or its applicable subsidiaries would have paid had the Borrower and/or each such subsidiary, as applicable, been a stand-alone corporate taxpayer (or a stand-alone corporate group);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01040"/>
                <wp:effectExtent l="0" t="0" r="0" b="0"/>
                <wp:wrapNone/>
                <wp:docPr id="196" name="Frame17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(n)    Restricted Distributions constituting or otherwise made in connection with or relating to any Permitted Reorganization or Tax Restructuring;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immediately after giving pro forma effect to any such Permitted Reorganization or Tax Restructuring and the transactions to be consummated in connection therewith, any distributed asset ceases to be owned by the Borrower or a Restricted Subsidiary (or any entity ceases to be a Restricted Subsidiary), the applicable portion of such Restricted Distribution must be otherwise permitted under another provision of this </w:t>
      </w:r>
      <w:r>
        <w:rPr>
          <w:rFonts w:ascii="Times New Roman;sans-serif" w:hAnsi="Times New Roman;sans-serif"/>
          <w:b w:val="false"/>
          <w:color w:val="000000"/>
          <w:sz w:val="22"/>
          <w:u w:val="single"/>
        </w:rPr>
        <w:t>Section 6.03</w:t>
      </w:r>
      <w:r>
        <w:rPr>
          <w:color w:val="000000"/>
        </w:rPr>
        <w:t xml:space="preserve"> </w:t>
      </w:r>
      <w:r>
        <w:rPr>
          <w:rFonts w:ascii="Times New Roman;sans-serif" w:hAnsi="Times New Roman;sans-serif"/>
          <w:b w:val="false"/>
          <w:color w:val="000000"/>
          <w:sz w:val="22"/>
        </w:rPr>
        <w:t xml:space="preserve">(and shall constitute utilization of such other Restricted Distribution exception or capacity);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(o)    in any event and notwithstanding anything to the contrary contained in this Agreement, to the extent any Loan Party is permitted to make a Restricted Distribution to the Borrower (or any direct or indirect parent of the Borrower) for any of the foregoing purposes, such Loan Party may, alternatively, make any such payment directly to the applicable obligee or payee of the Borrower (or any direct or indirect parent of the Borrower) on its behalf, and such payment shall be treated, for all purposes of this Agreement and the other Loan Documents, as a permitted Restricted Distribution; and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    Restricted Distributions of the Equity Interests or other securities of, or debt owed to the Borrower or any Restricted Subsidiary by, any Unrestricted Subsidiary, other than any Unrestricted Subsidiary the primary assets of which are cash and/or cash equivalents received as an Investment from the Borrower or any Restricted Subsidiary. </w:t>
      </w:r>
    </w:p>
    <w:p>
      <w:pPr>
        <w:pStyle w:val="TextBody"/>
        <w:bidi w:val="0"/>
        <w:spacing w:lineRule="auto" w:line="288" w:before="0" w:after="240"/>
        <w:jc w:val="both"/>
        <w:rPr/>
      </w:pPr>
      <w:r>
        <w:rPr>
          <w:rFonts w:ascii="Times New Roman;sans-serif" w:hAnsi="Times New Roman;sans-serif"/>
          <w:b w:val="false"/>
          <w:color w:val="000000"/>
          <w:sz w:val="22"/>
        </w:rPr>
        <w:t xml:space="preserve">Notwithstanding anything herein to the contrary, the foregoing provisions of this </w:t>
      </w:r>
      <w:r>
        <w:rPr>
          <w:rFonts w:ascii="Times New Roman;sans-serif" w:hAnsi="Times New Roman;sans-serif"/>
          <w:b w:val="false"/>
          <w:color w:val="000000"/>
          <w:sz w:val="22"/>
          <w:u w:val="single"/>
        </w:rPr>
        <w:t>Section 6.03</w:t>
      </w:r>
      <w:r>
        <w:rPr>
          <w:color w:val="000000"/>
        </w:rPr>
        <w:t xml:space="preserve"> </w:t>
      </w:r>
      <w:r>
        <w:rPr>
          <w:rFonts w:ascii="Times New Roman;sans-serif" w:hAnsi="Times New Roman;sans-serif"/>
          <w:b w:val="false"/>
          <w:color w:val="000000"/>
          <w:sz w:val="22"/>
        </w:rPr>
        <w:t>will not prohibit the payment or making of any Restricted Distribution within 60 days after the date of declaration of such Restricted Distribution if at the date of declaration or the giving of such notice such payment would have complied with the provisions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6.04.    </w:t>
      </w:r>
      <w:r>
        <w:rPr>
          <w:rFonts w:ascii="Times New Roman;sans-serif" w:hAnsi="Times New Roman;sans-serif"/>
          <w:b w:val="false"/>
          <w:i/>
          <w:color w:val="000000"/>
          <w:sz w:val="22"/>
        </w:rPr>
        <w:t>Restrictive Agreements</w:t>
      </w:r>
      <w:r>
        <w:rPr>
          <w:rFonts w:ascii="Times New Roman;sans-serif" w:hAnsi="Times New Roman;sans-serif"/>
          <w:b w:val="false"/>
          <w:color w:val="000000"/>
          <w:sz w:val="22"/>
        </w:rPr>
        <w:t>. Create or otherwise cause or suffer to exist or become effective any consensual encumbrance or restriction of any kind on the ability of any Restricted Subsidiary to: (i) pay or make Restricted Distributions to the Borrower or any Restricted Subsidiary; (ii) pay any Debt owed to the Borrower or any Restricted Subsidiary; (iii) make loans or advances to the Borrower or any Restricted Subsidiary; or (iv) transfer any of its property or assets to the Borrower or any Restricted Subsidiary, except for:</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(a)    Liens or restrictions set forth in the Loan Documents or in the ABL Credit Agreement (or any other Loan Document (as defined in the ABL Credit Agreement)) and other agreements governing Debt incurred under </w:t>
      </w:r>
      <w:r>
        <w:rPr>
          <w:rFonts w:ascii="Times New Roman;sans-serif" w:hAnsi="Times New Roman;sans-serif"/>
          <w:b w:val="false"/>
          <w:color w:val="000000"/>
          <w:sz w:val="22"/>
          <w:u w:val="single"/>
        </w:rPr>
        <w:t>Section 6.01(c)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6.01(g)</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6.01(h)</w:t>
      </w:r>
      <w:r>
        <w:rPr>
          <w:color w:val="000000"/>
        </w:rPr>
        <w:t xml:space="preserve"> </w:t>
      </w:r>
      <w:r>
        <w:rPr>
          <w:rFonts w:ascii="Times New Roman;sans-serif" w:hAnsi="Times New Roman;sans-serif"/>
          <w:b w:val="false"/>
          <w:color w:val="000000"/>
          <w:sz w:val="22"/>
        </w:rPr>
        <w:t>(but only to the extent such restrictions relate to the Property financed by such Debt);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contractual encumbrances or restrictions in effect on the Effective Date, including in respect of Swap Agreements;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(i) contracts or agreements for the Disposition of any assets, or all of the Equity Interests, of any Subsidiary, but only to the extent such restrictions relate to the assets and Equity Interests (and assets of the applicable Subsidiary) to be sold or (ii) restrictions and </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01040"/>
                <wp:effectExtent l="0" t="0" r="0" b="0"/>
                <wp:wrapNone/>
                <wp:docPr id="197" name="Frame17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conditions imposed by the documentation governing any Permitted Receivables Financing or similar transaction permitted hereunder;</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(d)    restrictions requiring minimum reserves of cash or other deposits or minimum net worth requirements imposed by customers under contracts entered into in the ordinary course of business;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(e)    customary provisions restricting assignment of any agreement entered into in the ordinary course of business;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(f)    [reserved];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(g)    [reserved];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(h)    customary provisions in joint venture agreements and other similar agreements entered into in the ordinary course of business and related to such joint ventures;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(i)    customary provisions contained in leases, subleases, licenses, and other similar agreements entered into in the ordinary course of business and related to the assets subject to such agreements;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(j)    any restrictions imposed by any agreement relating to Debt incurred pursuant to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entered into after the Effective Date if such restrictions are not materially more restrictive, taken as a whole, in the good faith judgment of the Borrower, than (A) the restrictions contained in the Loan Documents (as defined in the ABL Credit Agreement) or (B) in the case of Debt incurred in connection with a Permitted Refinancing, the restrictions that are in effect on the Effective Date pursuant to such Debt to be Refinanced;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(k)    [reserved]; or</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(l)    any encumbrances or restrictions imposed by any amendments, modifications, restatements, renewals, increases, supplements, refundings, replacements or refinancings of the contracts, instruments or obligations referred to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(k)</w:t>
      </w:r>
      <w:r>
        <w:rPr>
          <w:color w:val="000000"/>
        </w:rPr>
        <w:t xml:space="preserve"> </w:t>
      </w:r>
      <w:r>
        <w:rPr>
          <w:rFonts w:ascii="Times New Roman;sans-serif" w:hAnsi="Times New Roman;sans-serif"/>
          <w:b w:val="false"/>
          <w:color w:val="000000"/>
          <w:sz w:val="22"/>
        </w:rPr>
        <w:t xml:space="preserve">above;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amendments, modifications, restatements, renewals, increases, supplements, refundings, replacements or refinancings are, in the good faith judgment of the Borrower, no more restrictive in any material respect with respect to such dividend and other payment restrictions than those contained in the dividend or other payment restrictions prior to such amendment, modification, restatement, renewal, increase, supplement, refunding, replacement or refinancing.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6.05.    </w:t>
      </w:r>
      <w:r>
        <w:rPr>
          <w:rFonts w:ascii="Times New Roman;sans-serif" w:hAnsi="Times New Roman;sans-serif"/>
          <w:b w:val="false"/>
          <w:i/>
          <w:color w:val="000000"/>
          <w:sz w:val="22"/>
        </w:rPr>
        <w:t>Fundamental Changes</w:t>
      </w:r>
      <w:r>
        <w:rPr>
          <w:rFonts w:ascii="Times New Roman;sans-serif" w:hAnsi="Times New Roman;sans-serif"/>
          <w:b w:val="false"/>
          <w:color w:val="000000"/>
          <w:sz w:val="22"/>
        </w:rPr>
        <w:t>. Merge, dissolve, liquidate, consolidate with or into another Person, except that: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701040"/>
                <wp:effectExtent l="0" t="0" r="0" b="0"/>
                <wp:wrapNone/>
                <wp:docPr id="198" name="Frame17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(a)    any Subsidiary may merge, dissolve, liquidate or consolidate with or into (i) the Borrower (including a merger, the purpose of which is to reorganize the Borrower into a new jurisdiction so long as the Borrower remains organized under the laws of any state of the United States or the District of Columbia (the “</w:t>
      </w:r>
      <w:r>
        <w:rPr>
          <w:rFonts w:ascii="Times New Roman;sans-serif" w:hAnsi="Times New Roman;sans-serif"/>
          <w:b/>
          <w:color w:val="000000"/>
          <w:sz w:val="22"/>
        </w:rPr>
        <w:t>Jurisdictional Requirements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Borrower shall be the continuing or surviving Person or the continuing or surviving Person shall expressly assume the obligations of the Borrower under the Loan Documents in a manner reasonably acceptable to the Administrative Agent and shall have complied with the requirements of the proviso to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of the definition of “Borrower” or (ii) any one or more other Subsidiaries;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when any Subsidiary that is a Loan Party is merging, dissolving, liquidating or consolidating with or into another Subsidiary, (w) a Loan Party or a Person that upon consummation of such transaction becomes a Loan Party shall be the continuing or surviving Person, (x) to the extent constituting an Investment, such Investment must be an Investment permitted by </w:t>
      </w:r>
      <w:r>
        <w:rPr>
          <w:rFonts w:ascii="Times New Roman;sans-serif" w:hAnsi="Times New Roman;sans-serif"/>
          <w:b w:val="false"/>
          <w:color w:val="000000"/>
          <w:sz w:val="22"/>
          <w:u w:val="single"/>
        </w:rPr>
        <w:t>Section 6.07</w:t>
      </w:r>
      <w:r>
        <w:rPr>
          <w:color w:val="000000"/>
        </w:rPr>
        <w:t xml:space="preserve"> </w:t>
      </w:r>
      <w:r>
        <w:rPr>
          <w:rFonts w:ascii="Times New Roman;sans-serif" w:hAnsi="Times New Roman;sans-serif"/>
          <w:b w:val="false"/>
          <w:color w:val="000000"/>
          <w:sz w:val="22"/>
        </w:rPr>
        <w:t xml:space="preserve">and any Debt corresponding to such Investment must be permitted by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(y) to the extent constituting a Disposition, such Disposition must be permitted by </w:t>
      </w:r>
      <w:r>
        <w:rPr>
          <w:rFonts w:ascii="Times New Roman;sans-serif" w:hAnsi="Times New Roman;sans-serif"/>
          <w:b w:val="false"/>
          <w:color w:val="000000"/>
          <w:sz w:val="22"/>
          <w:u w:val="single"/>
        </w:rPr>
        <w:t>Section 6.06</w:t>
      </w:r>
      <w:r>
        <w:rPr>
          <w:color w:val="000000"/>
        </w:rPr>
        <w:t xml:space="preserve"> </w:t>
      </w:r>
      <w:r>
        <w:rPr>
          <w:rFonts w:ascii="Times New Roman;sans-serif" w:hAnsi="Times New Roman;sans-serif"/>
          <w:b w:val="false"/>
          <w:color w:val="000000"/>
          <w:sz w:val="22"/>
        </w:rPr>
        <w:t xml:space="preserve">and (z) such Loan Party shall have complied with any applicable requirements of </w:t>
      </w:r>
      <w:r>
        <w:rPr>
          <w:rFonts w:ascii="Times New Roman;sans-serif" w:hAnsi="Times New Roman;sans-serif"/>
          <w:b w:val="false"/>
          <w:color w:val="000000"/>
          <w:sz w:val="22"/>
          <w:u w:val="single"/>
        </w:rPr>
        <w:t>Section 5.13</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(i) any Restricted Subsidiary that is not a Loan Party may merge, dissolve, liquidate or consolidate with or into any other Restricted Subsidiary that is not a Loan Party and (ii) any Restricted Subsidiary may liquidate, dissolve or (if such change does not adversely affect the priority of the Liens securing the Obligations) change its legal form if the Borrower determines in good faith that such action is in the best interests of the Borrower or such Restricted Subsidiary or the business of the Borrower and the Restricted Subsidiaries taken as a whole;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the Borrower or any Subsidiary may merge with any other Person in order to effect an Investment permitted pursuant to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xml:space="preserve">, including a Permitted Acquisition; provided that (x) the continuing or surviving Person shall be the Borrower or a Subsidiary, which together with each of its subsidiaries, shall have complied with all applicable requirements of </w:t>
      </w:r>
      <w:r>
        <w:rPr>
          <w:rFonts w:ascii="Times New Roman;sans-serif" w:hAnsi="Times New Roman;sans-serif"/>
          <w:b w:val="false"/>
          <w:color w:val="000000"/>
          <w:sz w:val="22"/>
          <w:u w:val="single"/>
        </w:rPr>
        <w:t>Section 5.13</w:t>
      </w:r>
      <w:r>
        <w:rPr>
          <w:color w:val="000000"/>
        </w:rPr>
        <w:t xml:space="preserve"> </w:t>
      </w:r>
      <w:r>
        <w:rPr>
          <w:rFonts w:ascii="Times New Roman;sans-serif" w:hAnsi="Times New Roman;sans-serif"/>
          <w:b w:val="false"/>
          <w:color w:val="000000"/>
          <w:sz w:val="22"/>
        </w:rPr>
        <w:t xml:space="preserve">and (y) to the extent constituting an Investment such Investment must be an Investment permitted pursuant to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xml:space="preserve">; provided, further, that if the Borrower is a party to any transaction effected pursuant to this </w:t>
      </w:r>
      <w:r>
        <w:rPr>
          <w:rFonts w:ascii="Times New Roman;sans-serif" w:hAnsi="Times New Roman;sans-serif"/>
          <w:b w:val="false"/>
          <w:color w:val="000000"/>
          <w:sz w:val="22"/>
          <w:u w:val="single"/>
        </w:rPr>
        <w:t>Section 6.05(c)</w:t>
      </w:r>
      <w:r>
        <w:rPr>
          <w:rFonts w:ascii="Times New Roman;sans-serif" w:hAnsi="Times New Roman;sans-serif"/>
          <w:b w:val="false"/>
          <w:color w:val="000000"/>
          <w:sz w:val="22"/>
        </w:rPr>
        <w:t>, (1) the Borrower shall be the continuing and surviving Person or the continuing or surviving Person shall expressly assume the obligations of the Borrower in a manner reasonably acceptable to the Administrative Agent, (2) the Jurisdictional Requirements shall be satisfied and (3) no Event of Default shall have occurred and be continuing or would result therefrom; and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(d)    the Borrower and/or any Restricted Subsidiary may enter into any Permitted Reorganization or any Tax Restructuring.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6.06.    </w:t>
      </w:r>
      <w:r>
        <w:rPr>
          <w:rFonts w:ascii="Times New Roman;sans-serif" w:hAnsi="Times New Roman;sans-serif"/>
          <w:b w:val="false"/>
          <w:i/>
          <w:color w:val="000000"/>
          <w:sz w:val="22"/>
        </w:rPr>
        <w:t>Dispositions. Dispose of any property other than</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Dispositions of (i) worn-out, obsolete or surplus Property, in each case in the ordinary course of business or (ii) property that is reasonably determined by the applicable Loan Party or Restricted Subsidiary to be no longer economically practicable to maintain or no longer useful in any material respect in the conduct of the business of the Loan Parties and their subsidiaries, taken as a whole;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701040"/>
                <wp:effectExtent l="0" t="0" r="0" b="0"/>
                <wp:wrapNone/>
                <wp:docPr id="199" name="Frame17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licenses and sublicenses granted by a Loan Party or any Restricted Subsidiary and leases and subleases (by a Loan Party or any Restricted Subsidiary as lessor or sub-lessor) to third parties in each case not interfering in any material respect with the business of the Loan Parties or the subsidiaries, taken as a whole;</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(c)    Disposition or abandonment of any Intellectual Property that either (i) is reasonably determined by the applicable Loan Party or Restricted Subsidiary to be no longer economically practicable to maintain or worth the cost of maintaining or no longer useful in any material respect in the conduct of the business of the Loan Parties and their subsidiaries, taken as a whole or (ii) is in accordance with historical business practices;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(d)    sales of inventory in the ordinary course of business;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(e)    Dispositions of Permitted Investments;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(f)    transfers of property between and among the Borrower and its subsidiaries;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if the transferor in such a transaction is a Loan Party, then (x) the transferee must be a Loan Party or (y) the portion of any such Disposition made for less than fair market value and any non-cash consideration received in exchange for such Disposition shall in each case constitute an Investment in such subsidiary and must be otherwise permitted hereunder, and (ii) if the transferor in such transaction is a Restricted Subsidiary and the transferee is an Unrestricted Subsidiary, then the portion of any such Disposition made for less than fair market value and any non-cash consideration received in exchange for such Disposition shall constitute an Investment in such Unrestricted Subsidiary;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the foregoing shall not prohibit transfers of Intellectual Property to a Restricted Subsidiary to the extent not prohibited by </w:t>
      </w:r>
      <w:r>
        <w:rPr>
          <w:rFonts w:ascii="Times New Roman;sans-serif" w:hAnsi="Times New Roman;sans-serif"/>
          <w:b w:val="false"/>
          <w:color w:val="000000"/>
          <w:sz w:val="22"/>
          <w:u w:val="single"/>
        </w:rPr>
        <w:t>Section 6.16</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(g)    Disposition of property to the extent that (i) such property is exchanged for credit against the purchase price of similar replacement property or (ii) the proceeds of such disposition are promptly applied to the purchase price of such replacement property;</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(h)    Liens permitted by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 xml:space="preserve">, Restricted Distributions permitted by </w:t>
      </w:r>
      <w:r>
        <w:rPr>
          <w:rFonts w:ascii="Times New Roman;sans-serif" w:hAnsi="Times New Roman;sans-serif"/>
          <w:b w:val="false"/>
          <w:color w:val="000000"/>
          <w:sz w:val="22"/>
          <w:u w:val="single"/>
        </w:rPr>
        <w:t>Section 6.03</w:t>
      </w:r>
      <w:r>
        <w:rPr>
          <w:rFonts w:ascii="Times New Roman;sans-serif" w:hAnsi="Times New Roman;sans-serif"/>
          <w:b w:val="false"/>
          <w:color w:val="000000"/>
          <w:sz w:val="22"/>
        </w:rPr>
        <w:t xml:space="preserve">, Investments permitted by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xml:space="preserve">, transactions permitted by </w:t>
      </w:r>
      <w:r>
        <w:rPr>
          <w:rFonts w:ascii="Times New Roman;sans-serif" w:hAnsi="Times New Roman;sans-serif"/>
          <w:b w:val="false"/>
          <w:color w:val="000000"/>
          <w:sz w:val="22"/>
          <w:u w:val="single"/>
        </w:rPr>
        <w:t>Sections 6.05</w:t>
      </w:r>
      <w:r>
        <w:rPr>
          <w:color w:val="000000"/>
        </w:rPr>
        <w:t xml:space="preserve"> </w:t>
      </w:r>
      <w:r>
        <w:rPr>
          <w:rFonts w:ascii="Times New Roman;sans-serif" w:hAnsi="Times New Roman;sans-serif"/>
          <w:b w:val="false"/>
          <w:color w:val="000000"/>
          <w:sz w:val="22"/>
        </w:rPr>
        <w:t>and transactions permitted by Section 6.08 of the ABL Credit Agreement (as in effect on the Effective Date);</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(i)    (i) the discount or write-off of accounts receivable for the purpose of collection to any collection agency, in each case in the ordinary course of business and (ii) Dispositions of receivables (including defaulted receivables), notes receivable, rights to payment or other current assets or, in each case, participations therein, in the ordinary course of business or the conversion of accounts receivable to notes receivable or other dispositions of accounts receivable or rights to payment in connection with the settlement of delinquent accounts receivable, the collection or compromise thereof or as part of any bankruptcy or reorganization process of suppliers, customers or other commercial counterparties (including any discount or forgiveness in connection with the foregoing);</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(j)    transfers of property (i) subject to Casualty Events, (ii) by reason of the exercise of termination rights under any lease, sublease, license, sublicense, concession or other agreement or (iii) pursuant to buy/sell arrangements under any joint venture or similar agreement or arrangement;</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701040"/>
                <wp:effectExtent l="0" t="0" r="0" b="0"/>
                <wp:wrapNone/>
                <wp:docPr id="200" name="Frame17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(k)    the unwinding of any Swap Agreement pursuant to its terms;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(l)    Dispositions not otherwise permitted hereunder which are made for fair market value;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(x) no Event of Default shall exist immediately before and immediately after giving effect to such Disposition, and (y) not less than seventy-five percent (75%) of the aggregate sales price from such Disposition shall be paid in cash or Permitted Investments;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further</w:t>
      </w:r>
      <w:r>
        <w:rPr>
          <w:rFonts w:ascii="Times New Roman;sans-serif" w:hAnsi="Times New Roman;sans-serif"/>
          <w:b w:val="false"/>
          <w:color w:val="000000"/>
          <w:sz w:val="22"/>
        </w:rPr>
        <w:t xml:space="preserve">, that each of the following items will be deemed to be cash for purposes of this </w:t>
      </w:r>
      <w:r>
        <w:rPr>
          <w:rFonts w:ascii="Times New Roman;sans-serif" w:hAnsi="Times New Roman;sans-serif"/>
          <w:b w:val="false"/>
          <w:color w:val="000000"/>
          <w:sz w:val="22"/>
          <w:u w:val="single"/>
        </w:rPr>
        <w:t>Section 6.06(l)</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296"/>
        <w:jc w:val="both"/>
        <w:rPr/>
      </w:pPr>
      <w:r>
        <w:rPr>
          <w:rFonts w:ascii="Times New Roman;sans-serif" w:hAnsi="Times New Roman;sans-serif"/>
          <w:b w:val="false"/>
          <w:color w:val="000000"/>
          <w:sz w:val="22"/>
        </w:rPr>
        <w:t xml:space="preserve">(1)    any liabilities of the Borrower or the Restricted Subsidiaries (as shown on the most recently delivered financial statements pursuant to </w:t>
      </w:r>
      <w:r>
        <w:rPr>
          <w:rFonts w:ascii="Times New Roman;sans-serif" w:hAnsi="Times New Roman;sans-serif"/>
          <w:b w:val="false"/>
          <w:color w:val="000000"/>
          <w:sz w:val="22"/>
          <w:u w:val="single"/>
        </w:rPr>
        <w:t>Section 5.01(a)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or in the notes thereto), other than liabilities that are by their terms subordinated in right of payment to the Obligations, that are assumed by the transferee with respect to the applicable disposition and for which the Borrower and the Restricted Subsidiaries have been validly released by all applicable creditors in writing; and</w:t>
      </w:r>
    </w:p>
    <w:p>
      <w:pPr>
        <w:pStyle w:val="TextBody"/>
        <w:bidi w:val="0"/>
        <w:spacing w:lineRule="auto" w:line="288" w:before="0" w:after="240"/>
        <w:ind w:left="0" w:right="0" w:firstLine="1296"/>
        <w:jc w:val="both"/>
        <w:rPr/>
      </w:pPr>
      <w:r>
        <w:rPr>
          <w:rFonts w:ascii="Times New Roman;sans-serif" w:hAnsi="Times New Roman;sans-serif"/>
          <w:b w:val="false"/>
          <w:color w:val="000000"/>
          <w:sz w:val="22"/>
        </w:rPr>
        <w:t xml:space="preserve">(2)    any Designated Non-Cash Consideration received in respect of such disposition;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aggregate fair market value of all such Designated Non-Cash Consideration, as determined by a Responsible Officer of the Borrower in good faith, taken together with all other Designated Non-Cash Consideration received pursuant to this </w:t>
      </w:r>
      <w:r>
        <w:rPr>
          <w:rFonts w:ascii="Times New Roman;sans-serif" w:hAnsi="Times New Roman;sans-serif"/>
          <w:b w:val="false"/>
          <w:color w:val="000000"/>
          <w:sz w:val="22"/>
          <w:u w:val="single"/>
        </w:rPr>
        <w:t>clause (2)</w:t>
      </w:r>
      <w:r>
        <w:rPr>
          <w:color w:val="000000"/>
        </w:rPr>
        <w:t xml:space="preserve"> </w:t>
      </w:r>
      <w:r>
        <w:rPr>
          <w:rFonts w:ascii="Times New Roman;sans-serif" w:hAnsi="Times New Roman;sans-serif"/>
          <w:b w:val="false"/>
          <w:color w:val="000000"/>
          <w:sz w:val="22"/>
        </w:rPr>
        <w:t>that is then outstanding, does not exceed $100,000,000 as of the date any such Designated Non-Cash Consideration is received, with the fair market value of each item of Designated Non-Cash Consideration being measured at the time received and without giving effect to subsequent changes in value;</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shd w:fill="FFFFFF" w:val="clear"/>
        </w:rPr>
        <w:t xml:space="preserve">Dispositions of property pursuant to Sale Leaseback Transactions permitted pursuant to </w:t>
      </w:r>
      <w:r>
        <w:rPr>
          <w:rFonts w:ascii="Times New Roman;sans-serif" w:hAnsi="Times New Roman;sans-serif"/>
          <w:b w:val="false"/>
          <w:color w:val="000000"/>
          <w:sz w:val="22"/>
          <w:u w:val="single"/>
          <w:shd w:fill="FFFFFF" w:val="clear"/>
        </w:rPr>
        <w:t>Section 6.15</w:t>
      </w:r>
      <w:r>
        <w:rPr>
          <w:color w:val="000000"/>
          <w:shd w:fill="FFFFFF" w:val="clear"/>
        </w:rPr>
        <w:t xml:space="preserve"> </w:t>
      </w:r>
      <w:r>
        <w:rPr>
          <w:rFonts w:ascii="Times New Roman;sans-serif" w:hAnsi="Times New Roman;sans-serif"/>
          <w:b w:val="false"/>
          <w:color w:val="000000"/>
          <w:sz w:val="22"/>
          <w:shd w:fill="FFFFFF" w:val="clear"/>
        </w:rPr>
        <w:t xml:space="preserve">or other transactions described on </w:t>
      </w:r>
      <w:r>
        <w:rPr>
          <w:rFonts w:ascii="Times New Roman;sans-serif" w:hAnsi="Times New Roman;sans-serif"/>
          <w:b w:val="false"/>
          <w:color w:val="000000"/>
          <w:sz w:val="22"/>
          <w:u w:val="single"/>
          <w:shd w:fill="FFFFFF" w:val="clear"/>
        </w:rPr>
        <w:t>Schedule 6.15</w:t>
      </w:r>
      <w:r>
        <w:rPr>
          <w:rFonts w:ascii="Times New Roman;sans-serif" w:hAnsi="Times New Roman;sans-serif"/>
          <w:b w:val="false"/>
          <w:color w:val="000000"/>
          <w:sz w:val="22"/>
          <w:shd w:fill="FFFFFF" w:val="clear"/>
        </w:rPr>
        <w:t xml:space="preserve">; </w:t>
      </w:r>
      <w:r>
        <w:rPr>
          <w:rFonts w:ascii="Times New Roman;sans-serif" w:hAnsi="Times New Roman;sans-serif"/>
          <w:b w:val="false"/>
          <w:i/>
          <w:color w:val="000000"/>
          <w:sz w:val="22"/>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that no Event of Default exists or would result therefrom (other than any such Disposition made pursuant to a legally binding commitment entered into at a time when no Event of Default exists)</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(n)    the termination or unwind of any Issuer Option;</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(o)    Dispositions required to be made to comply with the order of any Governmental Authority or applicable law;</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(p)    Dispositions of property acquired, constructed, renovated or improved after the Effective Date in connection with the financing of such acquisition, construction, renovation or improvement;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any such financing which is permitted under </w:t>
      </w:r>
      <w:r>
        <w:rPr>
          <w:rFonts w:ascii="Times New Roman;sans-serif" w:hAnsi="Times New Roman;sans-serif"/>
          <w:b w:val="false"/>
          <w:color w:val="000000"/>
          <w:sz w:val="22"/>
          <w:u w:val="single"/>
        </w:rPr>
        <w:t>Section 6.01(c)</w:t>
      </w:r>
      <w:r>
        <w:rPr>
          <w:rFonts w:ascii="Times New Roman;sans-serif" w:hAnsi="Times New Roman;sans-serif"/>
          <w:b w:val="false"/>
          <w:color w:val="000000"/>
          <w:sz w:val="22"/>
        </w:rPr>
        <w:t>, and (ii) such Disposition occurs within 180 days after the applicable acquisition, construction, renovation or improvement;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(q)    any surrender or waiver of contract rights or the settlement, release, recovery on or surrender of contract, tort or other claims of any kind;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(r)    Dispositions in connection with the undertaking or consummation of any Permitted Reorganization or any Tax Restructuring and, in each case, any transaction related thereto or contemplated thereby; and</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01040"/>
                <wp:effectExtent l="0" t="0" r="0" b="0"/>
                <wp:wrapNone/>
                <wp:docPr id="201" name="Frame17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(s)    Dispositions of assets in connection with any Permitted Receivables Financing Assets (including Equity Interests in any Subsidiary all or substantially all of the assets of which are Permitted Receivables Financing Assets) pursuant to any Permitted Receivables Financing permitted under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Notwithstanding the foregoing, in the case of </w:t>
      </w:r>
      <w:r>
        <w:rPr>
          <w:rFonts w:ascii="Times New Roman;sans-serif" w:hAnsi="Times New Roman;sans-serif"/>
          <w:b w:val="false"/>
          <w:color w:val="000000"/>
          <w:sz w:val="22"/>
          <w:u w:val="single"/>
        </w:rPr>
        <w:t>paragraphs (d)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above, such Dispositions shall only be permitted pursuant to this </w:t>
      </w:r>
      <w:r>
        <w:rPr>
          <w:rFonts w:ascii="Times New Roman;sans-serif" w:hAnsi="Times New Roman;sans-serif"/>
          <w:b w:val="false"/>
          <w:color w:val="000000"/>
          <w:sz w:val="22"/>
          <w:u w:val="single"/>
        </w:rPr>
        <w:t>Section 6.06</w:t>
      </w:r>
      <w:r>
        <w:rPr>
          <w:color w:val="000000"/>
        </w:rPr>
        <w:t xml:space="preserve"> </w:t>
      </w:r>
      <w:r>
        <w:rPr>
          <w:rFonts w:ascii="Times New Roman;sans-serif" w:hAnsi="Times New Roman;sans-serif"/>
          <w:b w:val="false"/>
          <w:color w:val="000000"/>
          <w:sz w:val="22"/>
        </w:rPr>
        <w:t>if made for not less than fair market value at the time of such Disposition.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6.07.    </w:t>
      </w:r>
      <w:r>
        <w:rPr>
          <w:rFonts w:ascii="Times New Roman;sans-serif" w:hAnsi="Times New Roman;sans-serif"/>
          <w:b w:val="false"/>
          <w:i/>
          <w:color w:val="000000"/>
          <w:sz w:val="22"/>
        </w:rPr>
        <w:t>Investments</w:t>
      </w:r>
      <w:r>
        <w:rPr>
          <w:rFonts w:ascii="Times New Roman;sans-serif" w:hAnsi="Times New Roman;sans-serif"/>
          <w:b w:val="false"/>
          <w:color w:val="000000"/>
          <w:sz w:val="22"/>
        </w:rPr>
        <w:t>. Make any Investment in any Person other than:</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(a)    Investments existing on, or made pursuant to binding commitments existing on, the Effective Date and, with respect to any such Investment that is individually in excess of $5,000,000 as of the Effective Date, set forth on </w:t>
      </w:r>
      <w:r>
        <w:rPr>
          <w:rFonts w:ascii="Times New Roman;sans-serif" w:hAnsi="Times New Roman;sans-serif"/>
          <w:b w:val="false"/>
          <w:color w:val="000000"/>
          <w:sz w:val="22"/>
          <w:u w:val="single"/>
        </w:rPr>
        <w:t>Schedule 6.07</w:t>
      </w:r>
      <w:r>
        <w:rPr>
          <w:color w:val="000000"/>
        </w:rPr>
        <w:t xml:space="preserve"> </w:t>
      </w:r>
      <w:r>
        <w:rPr>
          <w:rFonts w:ascii="Times New Roman;sans-serif" w:hAnsi="Times New Roman;sans-serif"/>
          <w:b w:val="false"/>
          <w:color w:val="000000"/>
          <w:sz w:val="22"/>
        </w:rPr>
        <w:t xml:space="preserve">or an Investment consisting of any extension, modification, renewal, replacement or reinvestment of any such Investment (other than reimbursements of Investments in the Borrower or any of its subsidiaries);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amount of any such Investments may not be increased unless as required by the terms of such Investment as in existence on the Effective Date and as otherwise permitted under this Agreement;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Investments in cash and Permitted Investments;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(c)    Investments (including by way of transfers or other dispositions of assets),</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by the Borrower or any Restricted Subsidiary in the Borrower or any Restricted Subsidiary; and</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by the Borrower or any Restricted Subsidiary in a Person, if as a result of such Investment (A) such Person becomes a Restricted Subsidiary or (B) such Person is merged, consolidated or amalgamated with or into, or transfers or conveys substantially all of its assets to, or is liquidated into, the Borrower or a Restricted Subsidiary;</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(d)    Investments acquired in connection with the settlement of delinquent accounts receivable in the ordinary course of business or in connection with the bankruptcy or reorganization of suppliers or customers;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(e)    loans or advances to officers, directors, members of management, and employees of the Borrower or any of its subsidiaries (or any direct or indirect parent of the Borrower) in an aggregate amount not to exceed $20,000,000 at any time outstanding, for business-related travel, entertainment, relocation and analogous ordinary business purposes (determined without regard to any write-downs or write-offs of such loans or advances);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01040"/>
                <wp:effectExtent l="0" t="0" r="0" b="0"/>
                <wp:wrapNone/>
                <wp:docPr id="202" name="Frame17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(f)    the purchase or other acquisition of all or substantially all of the assets or business of any Person, or of the assets constituting a business unit, a line of business or a division of any Person, or all of the Equity Interests in a Person that, upon consummation thereof, will be a Restricted Subsidiary of the Borrower (including as a result of a merger, amalgamation or consolidation);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with respect to such purchase or other acquisition made pursuant to this </w:t>
      </w:r>
      <w:r>
        <w:rPr>
          <w:rFonts w:ascii="Times New Roman;sans-serif" w:hAnsi="Times New Roman;sans-serif"/>
          <w:b w:val="false"/>
          <w:color w:val="000000"/>
          <w:sz w:val="22"/>
          <w:u w:val="single"/>
        </w:rPr>
        <w:t>clause (f)</w:t>
      </w:r>
      <w:r>
        <w:rPr>
          <w:color w:val="000000"/>
        </w:rPr>
        <w:t xml:space="preserve"> </w:t>
      </w:r>
      <w:r>
        <w:rPr>
          <w:rFonts w:ascii="Times New Roman;sans-serif" w:hAnsi="Times New Roman;sans-serif"/>
          <w:b w:val="false"/>
          <w:color w:val="000000"/>
          <w:sz w:val="22"/>
        </w:rPr>
        <w:t>(a “</w:t>
      </w:r>
      <w:r>
        <w:rPr>
          <w:rFonts w:ascii="Times New Roman;sans-serif" w:hAnsi="Times New Roman;sans-serif"/>
          <w:b/>
          <w:color w:val="000000"/>
          <w:sz w:val="22"/>
        </w:rPr>
        <w:t>Permitted Acquisition</w:t>
      </w:r>
      <w:r>
        <w:rPr>
          <w:color w:val="000000"/>
        </w:rPr>
        <w:t>”</w:t>
      </w:r>
      <w:r>
        <w:rPr>
          <w:rFonts w:ascii="Times New Roman;sans-serif" w:hAnsi="Times New Roman;sans-serif"/>
          <w:b w:val="false"/>
          <w:color w:val="000000"/>
          <w:sz w:val="22"/>
        </w:rPr>
        <w:t xml:space="preserve">) each applicable Loan Party and any such newly created or acquired Subsidiary shall have complied with the requirements of </w:t>
      </w:r>
      <w:r>
        <w:rPr>
          <w:rFonts w:ascii="Times New Roman;sans-serif" w:hAnsi="Times New Roman;sans-serif"/>
          <w:b w:val="false"/>
          <w:color w:val="000000"/>
          <w:sz w:val="22"/>
          <w:u w:val="single"/>
        </w:rPr>
        <w:t>Section 5.13</w:t>
      </w:r>
      <w:r>
        <w:rPr>
          <w:color w:val="000000"/>
        </w:rPr>
        <w:t xml:space="preserve"> </w:t>
      </w:r>
      <w:r>
        <w:rPr>
          <w:rFonts w:ascii="Times New Roman;sans-serif" w:hAnsi="Times New Roman;sans-serif"/>
          <w:b w:val="false"/>
          <w:color w:val="000000"/>
          <w:sz w:val="22"/>
        </w:rPr>
        <w:t xml:space="preserve">to the extent required to do so or will comply with </w:t>
      </w:r>
      <w:r>
        <w:rPr>
          <w:rFonts w:ascii="Times New Roman;sans-serif" w:hAnsi="Times New Roman;sans-serif"/>
          <w:b w:val="false"/>
          <w:color w:val="000000"/>
          <w:sz w:val="22"/>
          <w:u w:val="single"/>
        </w:rPr>
        <w:t>Section 5.13</w:t>
      </w:r>
      <w:r>
        <w:rPr>
          <w:color w:val="000000"/>
        </w:rPr>
        <w:t xml:space="preserve"> </w:t>
      </w:r>
      <w:r>
        <w:rPr>
          <w:rFonts w:ascii="Times New Roman;sans-serif" w:hAnsi="Times New Roman;sans-serif"/>
          <w:b w:val="false"/>
          <w:color w:val="000000"/>
          <w:sz w:val="22"/>
        </w:rPr>
        <w:t>within the time periods set out therein;</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(g)    Investments consisting of the transfer of Intellectual Property to a Restricted Subsidiary to the extent not prohibited by </w:t>
      </w:r>
      <w:r>
        <w:rPr>
          <w:rFonts w:ascii="Times New Roman;sans-serif" w:hAnsi="Times New Roman;sans-serif"/>
          <w:b w:val="false"/>
          <w:color w:val="000000"/>
          <w:sz w:val="22"/>
          <w:u w:val="single"/>
        </w:rPr>
        <w:t>Section 6.16</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(h)    accounts receivable owing to the Borrower or the Restricted Subsidiaries, if created or acquired in the ordinary course of business and payable or dischargeable in accordance with customary terms;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(i)    Investments in the form of Swap Agreements permitted pursuant to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(j)    Investments consisting of promissory notes or other non-cash consideration received in connection with a transaction permitted pursuant to </w:t>
      </w:r>
      <w:r>
        <w:rPr>
          <w:rFonts w:ascii="Times New Roman;sans-serif" w:hAnsi="Times New Roman;sans-serif"/>
          <w:b w:val="false"/>
          <w:color w:val="000000"/>
          <w:sz w:val="22"/>
          <w:u w:val="single"/>
        </w:rPr>
        <w:t>Section 6.06(m)</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(k)    Investments in connection with any Issuer Option;</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(l)    Investments consisting of non-cash loans made by the Borrower to management, executives, officers, directors, consultants, professional advisors and/or employees of a Restricted Subsidiary which are used by such Persons to purchase Equity Interests of the Borrower (or any direct or indirect parent company thereof);</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(m)    Investments consisting of or to finance purchases and acquisitions of inventory, supplies, materials, services or equipment or purchases of contract rights or licenses or leases of intellectual property in the ordinary course of business;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(n)    Investments in the ordinary course of business consisting of (i) endorsements for collection or deposit or (ii) customary trade arrangements with customers;</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(o)    loans and advances to the Borrower or any direct or indirect parent thereof in lieu of, and not in excess of the amount of (after giving effect to any other loans, advances or Restricted Distributions in respect thereof), Restricted Distributions permitted to be made to the Borrower or any direct or indirect parent thereof in accordance with </w:t>
      </w:r>
      <w:r>
        <w:rPr>
          <w:rFonts w:ascii="Times New Roman;sans-serif" w:hAnsi="Times New Roman;sans-serif"/>
          <w:b w:val="false"/>
          <w:color w:val="000000"/>
          <w:sz w:val="22"/>
          <w:u w:val="single"/>
        </w:rPr>
        <w:t>Section 6.03</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(p)    (i) advances of payroll payments to employees in the ordinary course of business and (ii) prepaid expenses, negotiable instruments held for collection and lease, utility and workers compensation, performance and similar deposits and advance payments (including retainers) for goods or services paid or provided, in each case in the ordinary course of business;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01040"/>
                <wp:effectExtent l="0" t="0" r="0" b="0"/>
                <wp:wrapNone/>
                <wp:docPr id="203" name="Frame17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(q)    Investments held by a Person that becomes a Loan Party (or is merged, amalgamated or consolidated with or into a Loan Party) pursuant to this </w:t>
      </w:r>
      <w:r>
        <w:rPr>
          <w:rFonts w:ascii="Times New Roman;sans-serif" w:hAnsi="Times New Roman;sans-serif"/>
          <w:b w:val="false"/>
          <w:color w:val="000000"/>
          <w:sz w:val="22"/>
          <w:u w:val="single"/>
        </w:rPr>
        <w:t>Section 6.07</w:t>
      </w:r>
      <w:r>
        <w:rPr>
          <w:color w:val="000000"/>
        </w:rPr>
        <w:t xml:space="preserve"> </w:t>
      </w:r>
      <w:r>
        <w:rPr>
          <w:rFonts w:ascii="Times New Roman;sans-serif" w:hAnsi="Times New Roman;sans-serif"/>
          <w:b w:val="false"/>
          <w:color w:val="000000"/>
          <w:sz w:val="22"/>
        </w:rPr>
        <w:t>(and, if applicable, Section 6.05) after the Effective Date to the extent that such Investments were not made in contemplation of or in connection with such acquisition, merger, amalgamation or consolidation;</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(r)    Investments at any time outstanding not to exceed $150,000,000;</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(s)    to the extent constituting Investments, Restricted Distributions permitted by </w:t>
      </w:r>
      <w:r>
        <w:rPr>
          <w:rFonts w:ascii="Times New Roman;sans-serif" w:hAnsi="Times New Roman;sans-serif"/>
          <w:b w:val="false"/>
          <w:color w:val="000000"/>
          <w:sz w:val="22"/>
          <w:u w:val="single"/>
        </w:rPr>
        <w:t>Sections 6.03</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6.03(f)</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6.03(k)</w:t>
      </w:r>
      <w:r>
        <w:rPr>
          <w:rFonts w:ascii="Times New Roman;sans-serif" w:hAnsi="Times New Roman;sans-serif"/>
          <w:b w:val="false"/>
          <w:color w:val="000000"/>
          <w:sz w:val="22"/>
        </w:rPr>
        <w:t xml:space="preserve">), Debt permitted by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6.01(d)</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6.01(p)</w:t>
      </w:r>
      <w:r>
        <w:rPr>
          <w:color w:val="000000"/>
        </w:rPr>
        <w:t xml:space="preserve"> </w:t>
      </w:r>
      <w:r>
        <w:rPr>
          <w:rFonts w:ascii="Times New Roman;sans-serif" w:hAnsi="Times New Roman;sans-serif"/>
          <w:b w:val="false"/>
          <w:color w:val="000000"/>
          <w:sz w:val="22"/>
        </w:rPr>
        <w:t xml:space="preserve">(with respect to any Guarantee by a Loan Party of Debt of a subsidiary that is not a Loan Party)), transactions permitted by </w:t>
      </w:r>
      <w:r>
        <w:rPr>
          <w:rFonts w:ascii="Times New Roman;sans-serif" w:hAnsi="Times New Roman;sans-serif"/>
          <w:b w:val="false"/>
          <w:color w:val="000000"/>
          <w:sz w:val="22"/>
          <w:u w:val="single"/>
        </w:rPr>
        <w:t>Sections 6.05</w:t>
      </w:r>
      <w:r>
        <w:rPr>
          <w:rFonts w:ascii="Times New Roman;sans-serif" w:hAnsi="Times New Roman;sans-serif"/>
          <w:b w:val="false"/>
          <w:color w:val="000000"/>
          <w:sz w:val="22"/>
        </w:rPr>
        <w:t xml:space="preserve">, transactions permitted by Sections 6.08 (other than 6.08(a)) and 6.12), and Dispositions permitted pursuant to </w:t>
      </w:r>
      <w:r>
        <w:rPr>
          <w:rFonts w:ascii="Times New Roman;sans-serif" w:hAnsi="Times New Roman;sans-serif"/>
          <w:b w:val="false"/>
          <w:color w:val="000000"/>
          <w:sz w:val="22"/>
          <w:u w:val="single"/>
        </w:rPr>
        <w:t>Section 6.06</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6.06(h)</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(t)    additional Investments by the Borrower and any of the Restricted Subsidiaries to the extent permitted pursuant to Section 6.07(t) of the ABL Credit Agreement (as in effect on the Effective Date);</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(u)    Investments (including in joint ventures, but excluding in any Unrestricted Subsidiaries (in each case unless permitted pursuant to another clause of this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xml:space="preserve">)) in connection with any Permitted Reorganization or any Tax Restructuring and, in each case, transactions relating thereto or contemplated thereby;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(v)    Investments in connection with any Permitted Receivables Financing permitted under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the contribution, sale or other transfer of Permitted Receivables Financing Assets, cash or Permitted Investments made in connection with a Permitted Receivables Financing permitted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or repurchases in connection with the foregoing (including the contribution or lending of cash and Permitted Investments to Subsidiaries to finance the purchase of receivables or related assets from the Borrower or any Restricted Subsidiary or to otherwise fund required reserves, the contribution of replacement or substitute assets to a Receivables Subsidiary and Investments of funds held in accounts permitted or required by the arrangements governing such Permitted Receivables Financing or any related Debt);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    Investments consisting of extensions of trade credit in the ordinary course of business;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(x)    promissory notes and other Investments (including non-cash consideration) received in connection with Dispositions (or any other disposition of assets not constituting a Disposition) not prohibited by </w:t>
      </w:r>
      <w:r>
        <w:rPr>
          <w:rFonts w:ascii="Times New Roman;sans-serif" w:hAnsi="Times New Roman;sans-serif"/>
          <w:b w:val="false"/>
          <w:color w:val="000000"/>
          <w:sz w:val="22"/>
          <w:u w:val="single"/>
        </w:rPr>
        <w:t>Section 6.06</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01040"/>
                <wp:effectExtent l="0" t="0" r="0" b="0"/>
                <wp:wrapNone/>
                <wp:docPr id="204" name="Frame17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(y)    (i) obligations with respect to Guarantees provided by the Borrower or any Restricted Subsidiary in respect of leases and/or subleases (other than Capital Leases) or of other obligations that do not constitute Debt, (ii) obligations with respect to Guarantees of the lease obligations of suppliers, customers, franchisees and licensees of the Borrower and/or any Restricted Subsidiary, in each case, entered into in the ordinary course of business and (iii) Investments consisting of Guarantees of any supplier’s obligations in respect of commodity contracts, including Swap Agreements, solely to the extent such commodities relate to the materials or products to be purchased by the Borrower or any Restricted Subsidiary;</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(z)    Investments in the ordinary course of business consisting of endorsements for collection or deposit and customary trade arrangements with customers, vendors, suppliers, licensors, sublicensors, licensees and sublicencees in the ordinary course of business;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(aa)    Investments (including debt obligations and Equity Interests) (i) received in connection with the bankruptcy, work-out, recapitalization or reorganization of any Person, (ii) in satisfaction of judgments against other Persons, (iii) as a result of a foreclosure with respect to any secured Investment or other transfer of title with respect to any secured Investment and (iv) as a result of or in connection with settlement, compromise or resolution of (a) litigation, arbitration or other disputes or (b) obligations of trade creditors, suppliers, licensors, customers and other account debtors that were incurred in the ordinary course of business of the Borrower or any Restricted Subsidiary, including pursuant to any plan of reorganization or similar arrangement upon the bankruptcy or insolvency of any trade creditor, supplier, licensor, customer or other account debtor; and</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(bb)    the conversion to Qualified Capital Stock of any Debt owed by the Borrower or any Restricted Subsidiary and permitted by </w:t>
      </w:r>
      <w:r>
        <w:rPr>
          <w:rFonts w:ascii="Times New Roman;sans-serif" w:hAnsi="Times New Roman;sans-serif"/>
          <w:b w:val="false"/>
          <w:color w:val="000000"/>
          <w:sz w:val="22"/>
          <w:u w:val="single"/>
        </w:rPr>
        <w:t>Section 6.01(d).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6.08.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6.09.    </w:t>
      </w:r>
      <w:r>
        <w:rPr>
          <w:rFonts w:ascii="Times New Roman;sans-serif" w:hAnsi="Times New Roman;sans-serif"/>
          <w:b w:val="false"/>
          <w:i/>
          <w:color w:val="000000"/>
          <w:sz w:val="22"/>
        </w:rPr>
        <w:t>Modification of Organizational Documents</w:t>
      </w:r>
      <w:r>
        <w:rPr>
          <w:rFonts w:ascii="Times New Roman;sans-serif" w:hAnsi="Times New Roman;sans-serif"/>
          <w:b w:val="false"/>
          <w:color w:val="000000"/>
          <w:sz w:val="22"/>
        </w:rPr>
        <w:t xml:space="preserve">. </w:t>
      </w:r>
      <w:r>
        <w:rPr>
          <w:rFonts w:ascii="Times New Roman;sans-serif" w:hAnsi="Times New Roman;sans-serif"/>
          <w:b w:val="false"/>
          <w:color w:val="000000"/>
          <w:sz w:val="22"/>
          <w:shd w:fill="FFFFFF" w:val="clear"/>
        </w:rPr>
        <w:t>Amend or otherwise modify any Organizational Documents of any Loan Party in a manner that would materially and adversely affect the Lenders, taken as a whole, hereunder or under any other Loan Document.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6.10.    </w:t>
      </w:r>
      <w:r>
        <w:rPr>
          <w:rFonts w:ascii="Times New Roman;sans-serif" w:hAnsi="Times New Roman;sans-serif"/>
          <w:b w:val="false"/>
          <w:i/>
          <w:color w:val="000000"/>
          <w:sz w:val="22"/>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6.11.    </w:t>
      </w:r>
      <w:r>
        <w:rPr>
          <w:rFonts w:ascii="Times New Roman;sans-serif" w:hAnsi="Times New Roman;sans-serif"/>
          <w:b w:val="false"/>
          <w:i/>
          <w:color w:val="000000"/>
          <w:sz w:val="22"/>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6.12.    </w:t>
      </w:r>
      <w:r>
        <w:rPr>
          <w:rFonts w:ascii="Times New Roman;sans-serif" w:hAnsi="Times New Roman;sans-serif"/>
          <w:b w:val="false"/>
          <w:i/>
          <w:color w:val="000000"/>
          <w:sz w:val="22"/>
        </w:rPr>
        <w:t>Prepayment and Amendment of Other Debt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shd w:fill="FFFFFF" w:val="clear"/>
        </w:rPr>
        <w:t>Voluntarily prepay, redeem, purchase, defease or otherwise satisfy prior to the scheduled maturity thereof in any manner (it being understood that payments of regularly scheduled interest, principal, fees and expenses shall be permitted) any Permitted Convertible Note or Junior Financing constituting Material Debt or make any payment in violation of any subordination terms of any Junior Financing Documentation in respect thereof (each, a “</w:t>
      </w:r>
      <w:r>
        <w:rPr>
          <w:rFonts w:ascii="Times New Roman;sans-serif" w:hAnsi="Times New Roman;sans-serif"/>
          <w:b/>
          <w:color w:val="000000"/>
          <w:sz w:val="22"/>
          <w:shd w:fill="FFFFFF" w:val="clear"/>
        </w:rPr>
        <w:t>Restricted Debt Payment</w:t>
      </w:r>
      <w:r>
        <w:rPr>
          <w:color w:val="000000"/>
          <w:shd w:fill="FFFFFF" w:val="clear"/>
        </w:rPr>
        <w:t>”</w:t>
      </w:r>
      <w:r>
        <w:rPr>
          <w:rFonts w:ascii="Times New Roman;sans-serif" w:hAnsi="Times New Roman;sans-serif"/>
          <w:b w:val="false"/>
          <w:color w:val="000000"/>
          <w:sz w:val="22"/>
          <w:shd w:fill="FFFFFF" w:val="clear"/>
        </w:rPr>
        <w:t>) except:</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any Permitted Refinancing thereof;</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the conversion of any Junior Financing to Equity Interests (other than Disqualified Equity Interests);</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01040"/>
                <wp:effectExtent l="0" t="0" r="0" b="0"/>
                <wp:wrapNone/>
                <wp:docPr id="205" name="Frame18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(iii)    any Restricted Debt Payment made out of the proceeds of the substantially concurrent sale of Equity Interests or contributions to the equity capital of the Borrower</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(iv)    the Borrower may (and may permit its Subsidiaries to) make any Restricted Debt Payment in respect of (A) any Permitted Convertible Notes upon any conversion thereof by the holders of such Permitted Convertible Notes, including any Satisfaction of Conversion Obligation, (B) any Permitted Convertible Notes through the exercise of any call option in respect thereof that is settled in Permitted Stock or, in respect of any fractional shares to be issued, in cash and (C) with respect to any payment, prepayment, redemption, repurchase or acquisition for value as a result of any change of control, “fundamental change”, “make-whole fundamental change” or similar event, asset sale, insurance or condemnation event, debt issuance, equity issuance, capital contribution or similar required “repurchase” event, any Permitted Convertible Note, as and to the extent required by the terms of the Permitted Convertible Notes Documents;</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(v)    the applicable Loan Party may (and may permit its Subsidiaries to) make any Restricted Debt Payment in respect of any Permitted Convertible Notes (A) to the extent made with Permitted Stock (whether pursuant to any conversion thereof or otherwise), (B) to the extent made with the net cash proceeds from the incurrence or issuance of any Permitted Convertible Notes if at the time of issuance or incurrence thereof no Event of Default then exists or would result therefrom, (C) to the extent constituting an exchange of such Permitted Convertible Notes (together with any accrued and unpaid interest thereon) for other Permitted Convertible Notes if at the time of such exchange no Event of Default then exists or would result therefrom and (D) to the extent made with any combination of the consideration in clauses (A), (B) and (C);</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 xml:space="preserve">(vi)    the Borrower and its Restricted Subsidiaries may make any Restricted Debt Payment made in reliance on </w:t>
      </w:r>
      <w:r>
        <w:rPr>
          <w:rFonts w:ascii="Times New Roman;sans-serif" w:hAnsi="Times New Roman;sans-serif"/>
          <w:b w:val="false"/>
          <w:color w:val="000000"/>
          <w:sz w:val="22"/>
          <w:u w:val="single"/>
        </w:rPr>
        <w:t>Section 6.12(a)(vi)</w:t>
      </w:r>
      <w:r>
        <w:rPr>
          <w:color w:val="000000"/>
        </w:rPr>
        <w:t xml:space="preserve"> </w:t>
      </w:r>
      <w:r>
        <w:rPr>
          <w:rFonts w:ascii="Times New Roman;sans-serif" w:hAnsi="Times New Roman;sans-serif"/>
          <w:b w:val="false"/>
          <w:color w:val="000000"/>
          <w:sz w:val="22"/>
        </w:rPr>
        <w:t>of the ABL Credit Agreement (as in effect on the Effective Date); and</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 xml:space="preserve">(vii)    additional Restricted Debt Payments in an aggregate amount not to exceed, together with the aggregate amount of Restricted Distributions made in reliance on </w:t>
      </w:r>
      <w:r>
        <w:rPr>
          <w:rFonts w:ascii="Times New Roman;sans-serif" w:hAnsi="Times New Roman;sans-serif"/>
          <w:b w:val="false"/>
          <w:color w:val="000000"/>
          <w:sz w:val="22"/>
          <w:u w:val="single"/>
        </w:rPr>
        <w:t xml:space="preserve">Section 6.03(h), </w:t>
      </w:r>
      <w:r>
        <w:rPr>
          <w:rFonts w:ascii="Times New Roman;sans-serif" w:hAnsi="Times New Roman;sans-serif"/>
          <w:b w:val="false"/>
          <w:color w:val="000000"/>
          <w:sz w:val="22"/>
        </w:rPr>
        <w:t>$150,000,000.</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Amend or otherwise modify any term or condition of (i) any Permitted Convertible Notes Document or any Junior Financing Documentation in any manner materially adverse to the interests of the Lenders, taken as a whole, or having the effect of requiring a prepayment otherwise prohibited by paragraph (a) of this Section 6.12 or (ii) the ABL Credit Agreement or any Loan Document (as defined in the ABL Credit Agreement) in any manner that would adversely impact in any material respect the aggregate amount of Availability (as defined under the ABL Credit Agreement) to the Borrowers (as defined under the ABL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6.13.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6.14.    </w:t>
      </w:r>
      <w:r>
        <w:rPr>
          <w:rFonts w:ascii="Times New Roman;sans-serif" w:hAnsi="Times New Roman;sans-serif"/>
          <w:b w:val="false"/>
          <w:i/>
          <w:color w:val="000000"/>
          <w:sz w:val="22"/>
        </w:rPr>
        <w:t>Minimum Liquidity</w:t>
      </w:r>
      <w:r>
        <w:rPr>
          <w:rFonts w:ascii="Times New Roman;sans-serif" w:hAnsi="Times New Roman;sans-serif"/>
          <w:b w:val="false"/>
          <w:color w:val="000000"/>
          <w:sz w:val="22"/>
        </w:rPr>
        <w:t>. The Borrower will not permit Liquidity at any time to be less than $1,000,000,000.</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01040"/>
                <wp:effectExtent l="0" t="0" r="0" b="0"/>
                <wp:wrapNone/>
                <wp:docPr id="206" name="Frame18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6.15.    </w:t>
      </w:r>
      <w:r>
        <w:rPr>
          <w:rFonts w:ascii="Times New Roman;sans-serif" w:hAnsi="Times New Roman;sans-serif"/>
          <w:b w:val="false"/>
          <w:i/>
          <w:color w:val="000000"/>
          <w:sz w:val="22"/>
        </w:rPr>
        <w:t>Sale and Leaseback Transactions</w:t>
      </w:r>
      <w:r>
        <w:rPr>
          <w:rFonts w:ascii="Times New Roman;sans-serif" w:hAnsi="Times New Roman;sans-serif"/>
          <w:b w:val="false"/>
          <w:color w:val="000000"/>
          <w:sz w:val="22"/>
        </w:rPr>
        <w:t xml:space="preserve">. Enter into any Sale Leaseback Transaction unless (a) the sale or transfer of such property is permitted by </w:t>
      </w:r>
      <w:r>
        <w:rPr>
          <w:rFonts w:ascii="Times New Roman;sans-serif" w:hAnsi="Times New Roman;sans-serif"/>
          <w:b w:val="false"/>
          <w:color w:val="000000"/>
          <w:sz w:val="22"/>
          <w:u w:val="single"/>
        </w:rPr>
        <w:t>Section 6.06</w:t>
      </w:r>
      <w:r>
        <w:rPr>
          <w:rFonts w:ascii="Times New Roman;sans-serif" w:hAnsi="Times New Roman;sans-serif"/>
          <w:b w:val="false"/>
          <w:color w:val="000000"/>
          <w:sz w:val="22"/>
        </w:rPr>
        <w:t xml:space="preserve">, (b) either (x) the Debt (if any) or lease obligation arising in connection therewith is (or would be, if Debt) permitted pursuant to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or (y) the fair market value of all such assets disposed of pursuant to this </w:t>
      </w:r>
      <w:r>
        <w:rPr>
          <w:rFonts w:ascii="Times New Roman;sans-serif" w:hAnsi="Times New Roman;sans-serif"/>
          <w:b w:val="false"/>
          <w:color w:val="000000"/>
          <w:sz w:val="22"/>
          <w:u w:val="single"/>
        </w:rPr>
        <w:t>clause (b)(y)</w:t>
      </w:r>
      <w:r>
        <w:rPr>
          <w:color w:val="000000"/>
        </w:rPr>
        <w:t xml:space="preserve"> </w:t>
      </w:r>
      <w:r>
        <w:rPr>
          <w:rFonts w:ascii="Times New Roman;sans-serif" w:hAnsi="Times New Roman;sans-serif"/>
          <w:b w:val="false"/>
          <w:color w:val="000000"/>
          <w:sz w:val="22"/>
        </w:rPr>
        <w:t xml:space="preserve">does not exceed $150,000,000 and (c) any Liens (if any) arising in connection therewith that are permitted by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 xml:space="preserve">. Further to the foregoing, and not withstanding any other provision hereof, the transactions described on </w:t>
      </w:r>
      <w:r>
        <w:rPr>
          <w:rFonts w:ascii="Times New Roman;sans-serif" w:hAnsi="Times New Roman;sans-serif"/>
          <w:b w:val="false"/>
          <w:color w:val="000000"/>
          <w:sz w:val="22"/>
          <w:u w:val="single"/>
        </w:rPr>
        <w:t>Schedule 6.15</w:t>
      </w:r>
      <w:r>
        <w:rPr>
          <w:color w:val="000000"/>
        </w:rPr>
        <w:t xml:space="preserve"> </w:t>
      </w:r>
      <w:r>
        <w:rPr>
          <w:rFonts w:ascii="Times New Roman;sans-serif" w:hAnsi="Times New Roman;sans-serif"/>
          <w:b w:val="false"/>
          <w:color w:val="000000"/>
          <w:sz w:val="22"/>
        </w:rPr>
        <w:t>shall be permitted.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6.16.    </w:t>
      </w:r>
      <w:r>
        <w:rPr>
          <w:rFonts w:ascii="Times New Roman;sans-serif" w:hAnsi="Times New Roman;sans-serif"/>
          <w:b w:val="false"/>
          <w:i/>
          <w:color w:val="000000"/>
          <w:sz w:val="22"/>
        </w:rPr>
        <w:t>Intellectual Property</w:t>
      </w:r>
      <w:r>
        <w:rPr>
          <w:rFonts w:ascii="Times New Roman;sans-serif" w:hAnsi="Times New Roman;sans-serif"/>
          <w:b w:val="false"/>
          <w:color w:val="000000"/>
          <w:sz w:val="22"/>
        </w:rPr>
        <w:t xml:space="preserve">. Notwithstanding anything to the contrary herein, any Investment or Disposition in the form of a transfer of title (or transfer of similar effect) of Material IP (i) by Loan Parties in or to non-Loan Party Restricted Subsidiaries shall not be permitted except to the extent such Investment or other Disposition is made for a bona fide legitimate business purpose of the Borrower and/or its Restricted Subsidiaries (as determined by the Borrower in good faith) and (ii) in or to Unrestricted Subsidiaries shall not be permitted;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notwithstanding the foregoing, for the avoidance of doubt, the above references to a transfer of title (or transfer of similar effect) with respect to Intellectual Property shall not be deemed or interpreted to include a transfer in the form of a non-exclusive license of Intellectual Property or any Intellectual Property license entered into that is only exclusive with respect to a particular type or field (or types or fields) of usage or a certain territory or group of territories, in each case that does not effectively result in the transfer of beneficial ownership of such Intellectual Property (it being understood that an exclusive licensee’s ability to enforce the applicable Intellectual Property within the applicable limited types(s) or field(s) of usage and/or territory(ies) of its exclusive license shall not be construed as a transfer of beneficial ownership).</w:t>
      </w:r>
    </w:p>
    <w:p>
      <w:pPr>
        <w:pStyle w:val="TextBody"/>
        <w:bidi w:val="0"/>
        <w:spacing w:lineRule="auto" w:line="319" w:before="0" w:after="240"/>
        <w:jc w:val="center"/>
        <w:rPr/>
      </w:pPr>
      <w:r>
        <w:rPr>
          <w:rFonts w:ascii="Times New Roman;sans-serif" w:hAnsi="Times New Roman;sans-serif"/>
          <w:b w:val="false"/>
          <w:color w:val="000000"/>
          <w:sz w:val="22"/>
        </w:rPr>
        <w:t>ARTICLE VII</w:t>
      </w:r>
      <w:r>
        <w:rPr>
          <w:rFonts w:ascii="Times New Roman;sans-serif" w:hAnsi="Times New Roman;sans-serif"/>
          <w:b w:val="false"/>
          <w:color w:val="000000"/>
          <w:sz w:val="24"/>
        </w:rPr>
        <w:br/>
      </w:r>
      <w:r>
        <w:rPr>
          <w:rFonts w:ascii="Times New Roman;sans-serif" w:hAnsi="Times New Roman;sans-serif"/>
          <w:b w:val="false"/>
          <w:color w:val="000000"/>
          <w:sz w:val="22"/>
        </w:rPr>
        <w:t>EVENTS OF DEFAULT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7.01.    </w:t>
      </w:r>
      <w:r>
        <w:rPr>
          <w:rFonts w:ascii="Times New Roman;sans-serif" w:hAnsi="Times New Roman;sans-serif"/>
          <w:b w:val="false"/>
          <w:i/>
          <w:color w:val="000000"/>
          <w:sz w:val="22"/>
        </w:rPr>
        <w:t>Events of Default</w:t>
      </w:r>
      <w:r>
        <w:rPr>
          <w:rFonts w:ascii="Times New Roman;sans-serif" w:hAnsi="Times New Roman;sans-serif"/>
          <w:b w:val="false"/>
          <w:color w:val="000000"/>
          <w:sz w:val="22"/>
        </w:rPr>
        <w:t>. If any of the following events (each, an “</w:t>
      </w:r>
      <w:r>
        <w:rPr>
          <w:rFonts w:ascii="Times New Roman;sans-serif" w:hAnsi="Times New Roman;sans-serif"/>
          <w:b/>
          <w:color w:val="000000"/>
          <w:sz w:val="22"/>
        </w:rPr>
        <w:t>Event of Default</w:t>
      </w:r>
      <w:r>
        <w:rPr>
          <w:color w:val="000000"/>
        </w:rPr>
        <w:t>”</w:t>
      </w:r>
      <w:r>
        <w:rPr>
          <w:rFonts w:ascii="Times New Roman;sans-serif" w:hAnsi="Times New Roman;sans-serif"/>
          <w:b w:val="false"/>
          <w:color w:val="000000"/>
          <w:sz w:val="22"/>
        </w:rPr>
        <w:t>) shall occur:</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(i) The Borrower shall fail to pay when due any principal payment required hereunder or (ii) the Borrower shall fail to pay any interest, premium or fee under any Loan Document or any other amount payable under any Loan Document within 5 Business Days of when otherwise due;</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any Loan Party shall fail to observe or perform (i) any covenant contained in </w:t>
      </w:r>
      <w:r>
        <w:rPr>
          <w:rFonts w:ascii="Times New Roman;sans-serif" w:hAnsi="Times New Roman;sans-serif"/>
          <w:b w:val="false"/>
          <w:color w:val="000000"/>
          <w:sz w:val="22"/>
          <w:u w:val="single"/>
        </w:rPr>
        <w:t>Sections 5.01(f)(i)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5.02</w:t>
      </w:r>
      <w:r>
        <w:rPr>
          <w:color w:val="000000"/>
        </w:rPr>
        <w:t xml:space="preserve"> </w:t>
      </w:r>
      <w:r>
        <w:rPr>
          <w:rFonts w:ascii="Times New Roman;sans-serif" w:hAnsi="Times New Roman;sans-serif"/>
          <w:b w:val="false"/>
          <w:color w:val="000000"/>
          <w:sz w:val="22"/>
        </w:rPr>
        <w:t xml:space="preserve">(with respect to the Borrower), </w:t>
      </w:r>
      <w:r>
        <w:rPr>
          <w:rFonts w:ascii="Times New Roman;sans-serif" w:hAnsi="Times New Roman;sans-serif"/>
          <w:b w:val="false"/>
          <w:color w:val="000000"/>
          <w:sz w:val="22"/>
          <w:u w:val="single"/>
        </w:rPr>
        <w:t>5.07</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 xml:space="preserve">of this Agreement; it being understood and agreed that any Event of Default in respect of </w:t>
      </w:r>
      <w:r>
        <w:rPr>
          <w:rFonts w:ascii="Times New Roman;sans-serif" w:hAnsi="Times New Roman;sans-serif"/>
          <w:b w:val="false"/>
          <w:color w:val="000000"/>
          <w:sz w:val="22"/>
          <w:u w:val="single"/>
        </w:rPr>
        <w:t>Section 5.01(f)</w:t>
      </w:r>
      <w:r>
        <w:rPr>
          <w:color w:val="000000"/>
        </w:rPr>
        <w:t xml:space="preserve"> </w:t>
      </w:r>
      <w:r>
        <w:rPr>
          <w:rFonts w:ascii="Times New Roman;sans-serif" w:hAnsi="Times New Roman;sans-serif"/>
          <w:b w:val="false"/>
          <w:color w:val="000000"/>
          <w:sz w:val="22"/>
        </w:rPr>
        <w:t>shall be automatically deemed to be cured upon delivery of the relevant notice required thereunder (unless a Responsible Officer of the Borrower had actual knowledge of the Default or Event of Default or other event with respect to which such notice was required) or cure or waiver of the Default or Event of Default or the remedy of such other event with respect to which such notice was required;</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01040"/>
                <wp:effectExtent l="0" t="0" r="0" b="0"/>
                <wp:wrapNone/>
                <wp:docPr id="207" name="Frame18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any Loan Party defaults in the performance of or compliance with any term contained in this Agreement or in any other Loan Document (other than occurrences described in other provisions of this </w:t>
      </w:r>
      <w:r>
        <w:rPr>
          <w:rFonts w:ascii="Times New Roman;sans-serif" w:hAnsi="Times New Roman;sans-serif"/>
          <w:b w:val="false"/>
          <w:color w:val="000000"/>
          <w:sz w:val="22"/>
          <w:u w:val="single"/>
        </w:rPr>
        <w:t>Section 7.01</w:t>
      </w:r>
      <w:r>
        <w:rPr>
          <w:color w:val="000000"/>
        </w:rPr>
        <w:t xml:space="preserve"> </w:t>
      </w:r>
      <w:r>
        <w:rPr>
          <w:rFonts w:ascii="Times New Roman;sans-serif" w:hAnsi="Times New Roman;sans-serif"/>
          <w:b w:val="false"/>
          <w:color w:val="000000"/>
          <w:sz w:val="22"/>
        </w:rPr>
        <w:t xml:space="preserve">for which a different grace or cure period is specified or which constitute immediate Events of Default) and such default is not remedied or waived within 30 days after the receipt by the Borrower of written notice from the Administrative Agent or Required Lenders of such default; </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(d)    any representation, warranty or certification made by or on behalf of any Loan Party in any Loan Document or in any certificate, financial statement or other document required to be delivered pursuant to any Loan Document is incorrect in any respect (or in any material respect if such representation, warranty, certification or statement is not by its terms already qualified as to materiality) when made (or deemed made) and, if such inaccuracy is curable, such representation, warranty or certification shall remain untrue for a period of 30 days after the receipt by the Borrower of written notice from the Administrative Agent or Required Lenders of such default;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(e)    failure of any Loan Party or any of their respective Subsidiaries to pay when due any principal, interest or other amount on any Material Debt (beyond the applicable grace period), or the occurrence of any breach, default, condition or event with respect to any Material Debt, if the effect of such failure or occurrence is to cause or to permit (with or without the giving of notice, lapse of time or both) the holder or holders thereof to cause, such Material Debt to become or be declared due prior to its stated maturity;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this </w:t>
      </w:r>
      <w:r>
        <w:rPr>
          <w:rFonts w:ascii="Times New Roman;sans-serif" w:hAnsi="Times New Roman;sans-serif"/>
          <w:b w:val="false"/>
          <w:color w:val="000000"/>
          <w:sz w:val="22"/>
          <w:u w:val="single"/>
        </w:rPr>
        <w:t>Section 7.01(e)</w:t>
      </w:r>
      <w:r>
        <w:rPr>
          <w:color w:val="000000"/>
        </w:rPr>
        <w:t xml:space="preserve"> </w:t>
      </w:r>
      <w:r>
        <w:rPr>
          <w:rFonts w:ascii="Times New Roman;sans-serif" w:hAnsi="Times New Roman;sans-serif"/>
          <w:b w:val="false"/>
          <w:color w:val="000000"/>
          <w:sz w:val="22"/>
        </w:rPr>
        <w:t xml:space="preserve">shall not apply to (i) any such Material Debt that becomes due as a result of the voluntary sale or transfer of any property securing such Material Debt (or the Equity Interests of the Subsidiary owning such property) if such sale or transfer is permitted hereunder and such Material Debt is paid at the time of such voluntary sale or other transfer, (ii) any Satisfaction of Conversion Obligation of any Permitted Convertible Notes, (iii) any refinancing of Debt permitted by this Agreement or (iv) any failure, breach, default, condition or event that (A) is remedied by the applicable Loan Party or Subsidiary or (B) waived (including in the form of an amendment) by the holders of the applicable item of Material Debt, in either case prior to the acceleration of the Loans pursuant to this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(f)    the Borrower or any Material Subsidiary shall commence a voluntary case or other proceeding seeking liquidation, reorganization (by way of voluntary arrangement, administration, scheme of arrangement or otherwise), dissolution or other relief with respect to itself or its debts under any bankruptcy, insolvency or other similar law now or hereafter in effect or seeking the appointment of a trustee, receiver, liquidator, administrator, custodian, administrative receiver, compulsory manager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01040"/>
                <wp:effectExtent l="0" t="0" r="0" b="0"/>
                <wp:wrapNone/>
                <wp:docPr id="208" name="Frame18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(g)    an involuntary case or other proceeding shall be commenced against the Borrower or any Material Subsidiary seeking liquidation, reorganization (by way of voluntary arrangement, administration, scheme of arrangement or otherwise), dissolution or other relief with respect to it or its debts under any bankruptcy, insolvency or other similar law now or hereafter in effect or seeking the appointment of a trustee, receiver, liquidator, administrator, custodian, administrative receiver, compulsory manager or other similar official of it or any substantial part of its property, and such involuntary case or other proceeding shall remain undismissed, unstayed or not fully bonded for a period of 60 consecutive days; or an order for relief shall be entered against any Loan Party under the federal bankruptcy laws as now or hereafter in effect;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(h)    one or more ERISA Events have occurred that would reasonably be expected to result in a Material Adverse Effect;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(i)    one or more judgments or orders for the payment of money aggregating in excess of the Threshold Amount shall be rendered against the Borrower or any Material Subsidiary and such judgments or orders shall continue undischarged, unvacated, unsatisfied, unstayed or not fully bonded for a period of 60 consecutive days, unless the Borrower provides evidence reasonably acceptable to the Administrative Agent that such judgment(s) are fully insured;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(j)    [reserved];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(k)    [reserved]; or</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    any of the Loan Documents shall for any reason fail to constitute the valid and binding agreement of any Loan Party thereto (other than the termination or expiration of any such documents by their terms, or as a result of the Payment in Full or the discharge of obligations of such Loan Party in accordance with the terms of the Loan Documents, provided such termination does not result from the occurrence of the default of any Loan Party thereto thereunder), or any such Loan Party shall so assert in writing;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01040"/>
                <wp:effectExtent l="0" t="0" r="0" b="0"/>
                <wp:wrapNone/>
                <wp:docPr id="209" name="Frame18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then, and in every such Event of Default (other than an Event of Default with respect to the Borrower described in </w:t>
      </w:r>
      <w:r>
        <w:rPr>
          <w:rFonts w:ascii="Times New Roman;sans-serif" w:hAnsi="Times New Roman;sans-serif"/>
          <w:b w:val="false"/>
          <w:color w:val="000000"/>
          <w:sz w:val="22"/>
          <w:u w:val="single"/>
        </w:rPr>
        <w:t>clause (f)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of this Article), and at any time thereafter during the continuance of such Event of Default, the Administrative Agent may, and at the request of the Required Lenders shall, by notice to the Borrower, take either or both of the following actions, at the same or different times: (i) terminate the Commitments, whereupon the Commitments shall terminate immediately, and (ii) declare the Loans then outstanding to be due and payable in whole (or in part, but ratably as among the Loans at the time outstanding, in which case any principal not so declared to be due and payable may thereafter be declared to be due and payable), whereupon the principal of the Loans so declared to be due and payable, together with accrued interest thereon and the Prepayment Premium (if applicable) and all fees and other obligations of the Borrower accrued hereunder, shall become due and payable immediately, in each case without presentment, demand, protest or other notice of any kind, all of which are hereby waived by the Borrower; and in the case of any event with respect to the Borrower described in </w:t>
      </w:r>
      <w:r>
        <w:rPr>
          <w:rFonts w:ascii="Times New Roman;sans-serif" w:hAnsi="Times New Roman;sans-serif"/>
          <w:b w:val="false"/>
          <w:color w:val="000000"/>
          <w:sz w:val="22"/>
          <w:u w:val="single"/>
        </w:rPr>
        <w:t>clause (f)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of this Article, the Commitments shall automatically terminate and the principal of the Loans then outstanding, together with accrued interest thereon and the Prepayment Premium (if applicable) and all fees and other obligations of the Borrower accrued hereunder, shall automatically become due and payable, in each case without presentment, demand, protest or other notice of any kind, all of which are hereby waived by the Borrower.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01040"/>
                <wp:effectExtent l="0" t="0" r="0" b="0"/>
                <wp:wrapNone/>
                <wp:docPr id="210" name="Frame18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 Prepayment Premium becomes due and payable, the Prepayment Premium shall be deemed to be principal of the Loans and interest shall accrue on the full principal amount of the Loans (including the Prepayment Premium) from and after the applicable triggering event. The Prepayment Premium shall also be automatically and immediately due and payable if the Loans are satisfied or released by foreclosure (whether by power of judicial proceeding or otherwise), deed in lieu of foreclosure or by any other means.  The Prepayment Premium payable pursuant to this Agreement shall be presumed to be the liquidated damages sustained by each Lender as the result of the early repayment or prepayment of the Loans (and not unmatured interest or a penalty) and each of the Borrower and the other Loan Parties agrees that it is reasonable under the circumstances currently existing.  EACH OF THE BORROWER AND THE OTHER LOAN PARTIES EXPRESSLY WAIVE (TO THE FULLEST EXTENT THEY MAY LAWFULLY DO SO) THE PROVISIONS OF ANY PRESENT OR FUTURE STATUTE OR LAW THAT PROHIBITS OR MAY PROHIBIT THE COLLECTION OF THE PREPAYMENT PREMIUM IN CONNECTION WITH ANY SUCH ACCELERATION, ANY RESCISSION OF SUCH ACCELERATION OR THE COMMENCEMENT OF ANY BANKRUPTCY OR INSOLVENCY EVENT.  Each of the Borrower and the other Loan Parties expressly agree (to the fullest extent they may lawfully do so) that: (A) the Prepayment Premium is reasonable and the product of an arm’s length transaction between sophisticated business people, ably represented by counsel; (B) the Prepayment Premium shall be payable notwithstanding the then prevailing market rates at the time payment or redemption is made; (C) there has been a course of conduct between Lenders, the Borrower and the other Loan Parties giving specific consideration in this transaction for such agreement to pay the Prepayment Premium; (D) none of the Loans Parties or any of their subsidiaries shall challenge or question, or support any other Person in challenging or questioning, the validity or enforceability of the Prepayment Premium or any similar or comparable prepayment fee under the circumstances described herein, each of the Loan Parties and their subsidiaries shall be estopped from raising or relying, or from supporting any other Person in raising or relying on any judicial decision or ruling questioning the validity or enforceability of any prepayment fee similar or comparable to the Prepayment Premium; and (E) the Borrower and the other Loan Parties shall be estopped hereafter from claiming differently than as agreed to in this paragraph.  Each of the Borrower and the other Loan Parties expressly acknowledge that its agreement to pay or guarantee the payment of the Prepayment Premium to the Lenders as herein described are individually and collectively a material inducement to Lenders to make (or be deemed to make) the 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7.02.    </w:t>
      </w:r>
      <w:r>
        <w:rPr>
          <w:rFonts w:ascii="Times New Roman;sans-serif" w:hAnsi="Times New Roman;sans-serif"/>
          <w:b w:val="false"/>
          <w:i/>
          <w:color w:val="000000"/>
          <w:sz w:val="22"/>
        </w:rPr>
        <w:t>[Reserved].</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01040"/>
                <wp:effectExtent l="0" t="0" r="0" b="0"/>
                <wp:wrapNone/>
                <wp:docPr id="211" name="Frame18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center"/>
        <w:rPr/>
      </w:pPr>
      <w:r>
        <w:rPr>
          <w:rFonts w:ascii="Times New Roman;sans-serif" w:hAnsi="Times New Roman;sans-serif"/>
          <w:b w:val="false"/>
          <w:color w:val="000000"/>
          <w:sz w:val="22"/>
        </w:rPr>
        <w:t>ARTICLE VIII</w:t>
      </w:r>
      <w:r>
        <w:rPr>
          <w:rFonts w:ascii="Times New Roman;sans-serif" w:hAnsi="Times New Roman;sans-serif"/>
          <w:b w:val="false"/>
          <w:color w:val="000000"/>
          <w:sz w:val="24"/>
        </w:rPr>
        <w:br/>
      </w:r>
      <w:r>
        <w:rPr>
          <w:rFonts w:ascii="Times New Roman;sans-serif" w:hAnsi="Times New Roman;sans-serif"/>
          <w:b w:val="false"/>
          <w:color w:val="000000"/>
          <w:sz w:val="22"/>
        </w:rPr>
        <w:t>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8.01.    </w:t>
      </w:r>
      <w:r>
        <w:rPr>
          <w:rFonts w:ascii="Times New Roman;sans-serif" w:hAnsi="Times New Roman;sans-serif"/>
          <w:b w:val="false"/>
          <w:i/>
          <w:color w:val="000000"/>
          <w:sz w:val="22"/>
        </w:rPr>
        <w:t>Appointment and Authority</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(a)    Each of the Lenders hereby irrevocably appoints Ayar Third Investment Company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are solely for the benefit of the Administrative Agent and the Lenders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[Reserved].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8.02.    </w:t>
      </w:r>
      <w:r>
        <w:rPr>
          <w:rFonts w:ascii="Times New Roman;sans-serif" w:hAnsi="Times New Roman;sans-serif"/>
          <w:b w:val="false"/>
          <w:i/>
          <w:color w:val="000000"/>
          <w:sz w:val="22"/>
        </w:rPr>
        <w:t>Rights as a Lender</w:t>
      </w:r>
      <w:r>
        <w:rPr>
          <w:rFonts w:ascii="Times New Roman;sans-serif" w:hAnsi="Times New Roman;sans-serif"/>
          <w:b w:val="false"/>
          <w:color w:val="000000"/>
          <w:sz w:val="22"/>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8.03.    </w:t>
      </w:r>
      <w:r>
        <w:rPr>
          <w:rFonts w:ascii="Times New Roman;sans-serif" w:hAnsi="Times New Roman;sans-serif"/>
          <w:b w:val="false"/>
          <w:i/>
          <w:color w:val="000000"/>
          <w:sz w:val="22"/>
        </w:rPr>
        <w:t>Exculpatory Provisions</w:t>
      </w:r>
      <w:r>
        <w:rPr>
          <w:rFonts w:ascii="Times New Roman;sans-serif" w:hAnsi="Times New Roman;sans-serif"/>
          <w:b w:val="false"/>
          <w:color w:val="000000"/>
          <w:sz w:val="22"/>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shall not be subject to any fiduciary or other implied duties, regardless of whether a Default has occurred and is continuing;</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01040"/>
                <wp:effectExtent l="0" t="0" r="0" b="0"/>
                <wp:wrapNone/>
                <wp:docPr id="212" name="Frame18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(c)    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that is communicated to, obtained or in the possession of, the Administrative Agent or any of its Related Parties in any capacity, except for notices, reports and other documents expressly required to be furnished to the Lenders by the Administrative Agent herein;</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ans-serif" w:hAnsi="Times New Roman;sans-serif"/>
          <w:b w:val="false"/>
          <w:color w:val="000000"/>
          <w:sz w:val="22"/>
          <w:u w:val="single"/>
        </w:rPr>
        <w:t>Sections 9.02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7.01</w:t>
      </w:r>
      <w:r>
        <w:rPr>
          <w:rFonts w:ascii="Times New Roman;sans-serif" w:hAnsi="Times New Roman;sans-serif"/>
          <w:b w:val="false"/>
          <w:color w:val="000000"/>
          <w:sz w:val="22"/>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in writing to the Administrative Agent by the Borrower or a Lender; and</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(v) [reserved] or (v) the satisfaction of any condition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 xml:space="preserve">or elsewhere herein, other than to confirm receipt of items expressly required to be delivered to the Administrative Agent.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8.04.    </w:t>
      </w:r>
      <w:r>
        <w:rPr>
          <w:rFonts w:ascii="Times New Roman;sans-serif" w:hAnsi="Times New Roman;sans-serif"/>
          <w:b w:val="false"/>
          <w:i/>
          <w:color w:val="000000"/>
          <w:sz w:val="22"/>
        </w:rPr>
        <w:t>Reliance by Administrative Agent</w:t>
      </w:r>
      <w:r>
        <w:rPr>
          <w:rFonts w:ascii="Times New Roman;sans-serif" w:hAnsi="Times New Roman;sans-serif"/>
          <w:b w:val="false"/>
          <w:color w:val="000000"/>
          <w:sz w:val="22"/>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01040"/>
                <wp:effectExtent l="0" t="0" r="0" b="0"/>
                <wp:wrapNone/>
                <wp:docPr id="213" name="Frame18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8.05.    </w:t>
      </w:r>
      <w:r>
        <w:rPr>
          <w:rFonts w:ascii="Times New Roman;sans-serif" w:hAnsi="Times New Roman;sans-serif"/>
          <w:b w:val="false"/>
          <w:i/>
          <w:color w:val="000000"/>
          <w:sz w:val="22"/>
        </w:rPr>
        <w:t>Delegation of Duties</w:t>
      </w:r>
      <w:r>
        <w:rPr>
          <w:rFonts w:ascii="Times New Roman;sans-serif" w:hAnsi="Times New Roman;sans-serif"/>
          <w:b w:val="false"/>
          <w:color w:val="000000"/>
          <w:sz w:val="22"/>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8.06.    </w:t>
      </w:r>
      <w:r>
        <w:rPr>
          <w:rFonts w:ascii="Times New Roman;sans-serif" w:hAnsi="Times New Roman;sans-serif"/>
          <w:b w:val="false"/>
          <w:i/>
          <w:color w:val="000000"/>
          <w:sz w:val="22"/>
        </w:rPr>
        <w:t>Resignation of Administrative Agent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(a)    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ans-serif" w:hAnsi="Times New Roman;sans-serif"/>
          <w:b/>
          <w:color w:val="000000"/>
          <w:sz w:val="22"/>
        </w:rPr>
        <w:t>Resignation Effective Date</w:t>
      </w:r>
      <w:r>
        <w:rPr>
          <w:color w:val="000000"/>
        </w:rPr>
        <w:t>”</w:t>
      </w:r>
      <w:r>
        <w:rPr>
          <w:rFonts w:ascii="Times New Roman;sans-serif" w:hAnsi="Times New Roman;sans-serif"/>
          <w:b w:val="false"/>
          <w:color w:val="000000"/>
          <w:sz w:val="22"/>
        </w:rPr>
        <w:t xml:space="preserve">), then the retiring Administrative Agent may (but shall not be obligated to) on behalf of the Lenders, appoint a successor Administrative Agent,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in no event shall any such successor Administrative Agent be a Defaulting Lender. Whether or not a successor has been appointed, such resignation shall become effective in accordance with such notice on the Resignation Effective Date.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If the Person serving as Administrative Agent is a Defaulting Lender pursuant to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sans-serif" w:hAnsi="Times New Roman;sans-serif"/>
          <w:b/>
          <w:color w:val="000000"/>
          <w:sz w:val="22"/>
        </w:rPr>
        <w:t>Removal Effective Date</w:t>
      </w:r>
      <w:r>
        <w:rPr>
          <w:color w:val="000000"/>
        </w:rPr>
        <w:t>”</w:t>
      </w:r>
      <w:r>
        <w:rPr>
          <w:rFonts w:ascii="Times New Roman;sans-serif" w:hAnsi="Times New Roman;sans-serif"/>
          <w:b w:val="false"/>
          <w:color w:val="000000"/>
          <w:sz w:val="22"/>
        </w:rPr>
        <w:t>), then such removal shall nonetheless become effective in accordance with such notice on the Removal Effective 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01040"/>
                <wp:effectExtent l="0" t="0" r="0" b="0"/>
                <wp:wrapNone/>
                <wp:docPr id="214" name="Frame18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sans-serif" w:hAnsi="Times New Roman;sans-serif"/>
          <w:b w:val="false"/>
          <w:color w:val="000000"/>
          <w:sz w:val="22"/>
          <w:u w:val="single"/>
        </w:rPr>
        <w:t>Section 2.17(f)</w:t>
      </w:r>
      <w:r>
        <w:rPr>
          <w:color w:val="000000"/>
        </w:rPr>
        <w:t xml:space="preserve"> </w:t>
      </w:r>
      <w:r>
        <w:rPr>
          <w:rFonts w:ascii="Times New Roman;sans-serif" w:hAnsi="Times New Roman;sans-serif"/>
          <w:b w:val="false"/>
          <w:color w:val="000000"/>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sans-serif" w:hAnsi="Times New Roman;sans-serif"/>
          <w:b w:val="false"/>
          <w:color w:val="000000"/>
          <w:sz w:val="22"/>
          <w:u w:val="single"/>
        </w:rPr>
        <w:t>Section 8.06</w:t>
      </w:r>
      <w:r>
        <w:rPr>
          <w:rFonts w:ascii="Times New Roman;sans-serif" w:hAnsi="Times New Roman;sans-serif"/>
          <w:b w:val="false"/>
          <w:color w:val="000000"/>
          <w:sz w:val="22"/>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9.03</w:t>
      </w:r>
      <w:r>
        <w:rPr>
          <w:color w:val="000000"/>
        </w:rPr>
        <w:t xml:space="preserve"> </w:t>
      </w:r>
      <w:r>
        <w:rPr>
          <w:rFonts w:ascii="Times New Roman;sans-serif" w:hAnsi="Times New Roman;sans-serif"/>
          <w:b w:val="false"/>
          <w:color w:val="000000"/>
          <w:sz w:val="22"/>
        </w:rPr>
        <w:t>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701040"/>
                <wp:effectExtent l="0" t="0" r="0" b="0"/>
                <wp:wrapNone/>
                <wp:docPr id="215" name="Frame19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8.07.    </w:t>
      </w:r>
      <w:r>
        <w:rPr>
          <w:rFonts w:ascii="Times New Roman;sans-serif" w:hAnsi="Times New Roman;sans-serif"/>
          <w:b w:val="false"/>
          <w:i/>
          <w:color w:val="000000"/>
          <w:sz w:val="22"/>
        </w:rPr>
        <w:t>Non-Reliance on the Administrative Agent and the Other Lenders</w:t>
      </w:r>
      <w:r>
        <w:rPr>
          <w:rFonts w:ascii="Times New Roman;sans-serif" w:hAnsi="Times New Roman;sans-serif"/>
          <w:b w:val="false"/>
          <w:color w:val="000000"/>
          <w:sz w:val="22"/>
        </w:rPr>
        <w:t>. Each Lender expressly acknowledges that the Administrative Agent has not made any representation or warranty to it, and that no act by the Administrative Agent hereafter taken, including any consent to, and acceptance of any assignment or review of the affairs of any Loan Party of any Affiliate thereof, shall be deemed to constitute any representation or warranty by the Administrative Agent to any Lender as to any matter, including whether the Administrative Agent has disclosed material information in its (or its Related Parties’) possession. Each Lender represents to the Administrative Agent that it has, independently and without reliance upon the Administrative Agent,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8.08.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01040"/>
                <wp:effectExtent l="0" t="0" r="0" b="0"/>
                <wp:wrapNone/>
                <wp:docPr id="216" name="Frame19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8.09.    </w:t>
      </w:r>
      <w:r>
        <w:rPr>
          <w:rFonts w:ascii="Times New Roman;sans-serif" w:hAnsi="Times New Roman;sans-serif"/>
          <w:b w:val="false"/>
          <w:i/>
          <w:color w:val="000000"/>
          <w:sz w:val="22"/>
        </w:rPr>
        <w:t>Administrative Agent May File Proofs of Claim</w:t>
      </w:r>
      <w:r>
        <w:rPr>
          <w:rFonts w:ascii="Times New Roman;sans-serif" w:hAnsi="Times New Roman;sans-serif"/>
          <w:b w:val="false"/>
          <w:color w:val="000000"/>
          <w:sz w:val="22"/>
        </w:rPr>
        <w:t xml:space="preserve">.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sans-serif" w:hAnsi="Times New Roman;sans-serif"/>
          <w:b w:val="false"/>
          <w:color w:val="000000"/>
          <w:sz w:val="22"/>
          <w:u w:val="single"/>
        </w:rPr>
        <w:t>Sections 2.12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9.03</w:t>
      </w:r>
      <w:r>
        <w:rPr>
          <w:rFonts w:ascii="Times New Roman;sans-serif" w:hAnsi="Times New Roman;sans-serif"/>
          <w:b w:val="false"/>
          <w:color w:val="000000"/>
          <w:sz w:val="22"/>
        </w:rPr>
        <w:t xml:space="preserve">)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sans-serif" w:hAnsi="Times New Roman;sans-serif"/>
          <w:b w:val="false"/>
          <w:color w:val="000000"/>
          <w:sz w:val="22"/>
          <w:u w:val="single"/>
        </w:rPr>
        <w:t>Sections 2.12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Nothing contained herein shall be deemed to authorize the Administrative Agent to authorize or consent to or accept or adopt on behalf of any Lender o any plan of reorganization, arrangement, adjustment or composition affecting the Obligations or the rights of any Lender to authorize the Administrative Agent to vote in respect of the claim of any Lender in any such proceeding.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8.10.    </w:t>
      </w:r>
      <w:r>
        <w:rPr>
          <w:rFonts w:ascii="Times New Roman;sans-serif" w:hAnsi="Times New Roman;sans-serif"/>
          <w:b w:val="false"/>
          <w:i/>
          <w:color w:val="000000"/>
          <w:sz w:val="22"/>
        </w:rPr>
        <w:t>Guaranty Matters</w:t>
      </w:r>
      <w:r>
        <w:rPr>
          <w:rFonts w:ascii="Times New Roman;sans-serif" w:hAnsi="Times New Roman;sans-serif"/>
          <w:b w:val="false"/>
          <w:color w:val="000000"/>
          <w:sz w:val="22"/>
        </w:rPr>
        <w:t xml:space="preserve">. Without limiting the provisions of </w:t>
      </w:r>
      <w:r>
        <w:rPr>
          <w:rFonts w:ascii="Times New Roman;sans-serif" w:hAnsi="Times New Roman;sans-serif"/>
          <w:b w:val="false"/>
          <w:color w:val="000000"/>
          <w:sz w:val="22"/>
          <w:u w:val="single"/>
        </w:rPr>
        <w:t>Section 8.09</w:t>
      </w:r>
      <w:r>
        <w:rPr>
          <w:rFonts w:ascii="Times New Roman;sans-serif" w:hAnsi="Times New Roman;sans-serif"/>
          <w:b w:val="false"/>
          <w:color w:val="000000"/>
          <w:sz w:val="22"/>
        </w:rPr>
        <w:t xml:space="preserve">, each of the Lenders irrevocably authorize the Administrative Agent, at its option and in its discretion, to release any Guarantor as provided in </w:t>
      </w:r>
      <w:r>
        <w:rPr>
          <w:rFonts w:ascii="Times New Roman;sans-serif" w:hAnsi="Times New Roman;sans-serif"/>
          <w:b w:val="false"/>
          <w:color w:val="000000"/>
          <w:sz w:val="22"/>
          <w:u w:val="single"/>
        </w:rPr>
        <w:t>Section 9.24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Upon request by the Administrative Agent at any time, the Required Lenders will confirm in writing the Administrative Agent’s authority to release any Guarantor from its obligations under the Guarantee Agreement pursuant to this </w:t>
      </w:r>
      <w:r>
        <w:rPr>
          <w:rFonts w:ascii="Times New Roman;sans-serif" w:hAnsi="Times New Roman;sans-serif"/>
          <w:b w:val="false"/>
          <w:color w:val="000000"/>
          <w:sz w:val="22"/>
          <w:u w:val="single"/>
        </w:rPr>
        <w:t>Section 8.10</w:t>
      </w:r>
      <w:r>
        <w:rPr>
          <w:rFonts w:ascii="Times New Roman;sans-serif" w:hAnsi="Times New Roman;sans-serif"/>
          <w:b w:val="false"/>
          <w:color w:val="000000"/>
          <w:sz w:val="22"/>
        </w:rPr>
        <w:t xml:space="preserve">. In each case as specified in this </w:t>
      </w:r>
      <w:r>
        <w:rPr>
          <w:rFonts w:ascii="Times New Roman;sans-serif" w:hAnsi="Times New Roman;sans-serif"/>
          <w:b w:val="false"/>
          <w:color w:val="000000"/>
          <w:sz w:val="22"/>
          <w:u w:val="single"/>
        </w:rPr>
        <w:t>Section 8.10</w:t>
      </w:r>
      <w:r>
        <w:rPr>
          <w:rFonts w:ascii="Times New Roman;sans-serif" w:hAnsi="Times New Roman;sans-serif"/>
          <w:b w:val="false"/>
          <w:color w:val="000000"/>
          <w:sz w:val="22"/>
        </w:rPr>
        <w:t xml:space="preserve">, the Administrative Agent will, at the Borrower’s expense, execute and deliver to the applicable Loan Party such documents as such Loan Party may reasonably request to release such Guarantor from its obligations under the Guarantee Agreement, in each case in accordance with the terms of the Loan Documents and this </w:t>
      </w:r>
      <w:r>
        <w:rPr>
          <w:rFonts w:ascii="Times New Roman;sans-serif" w:hAnsi="Times New Roman;sans-serif"/>
          <w:b w:val="false"/>
          <w:color w:val="000000"/>
          <w:sz w:val="22"/>
          <w:u w:val="single"/>
        </w:rPr>
        <w:t>Section 8.10</w:t>
      </w:r>
      <w:r>
        <w:rPr>
          <w:rFonts w:ascii="Times New Roman;sans-serif" w:hAnsi="Times New Roman;sans-serif"/>
          <w:b w:val="false"/>
          <w:color w:val="000000"/>
          <w:sz w:val="22"/>
        </w:rPr>
        <w: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 be responsible for or have a duty to ascertain or inquire into any certificate prepared by any Loan Party in connection with any release of a Guarantor.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8.11.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8.12.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701040"/>
                <wp:effectExtent l="0" t="0" r="0" b="0"/>
                <wp:wrapNone/>
                <wp:docPr id="217" name="Frame19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8.13.    </w:t>
      </w:r>
      <w:r>
        <w:rPr>
          <w:rFonts w:ascii="Times New Roman;sans-serif" w:hAnsi="Times New Roman;sans-serif"/>
          <w:b w:val="false"/>
          <w:i/>
          <w:color w:val="000000"/>
          <w:sz w:val="22"/>
        </w:rPr>
        <w:t>Recovery of Erroneous Payments</w:t>
      </w:r>
      <w:r>
        <w:rPr>
          <w:rFonts w:ascii="Times New Roman;sans-serif" w:hAnsi="Times New Roman;sans-serif"/>
          <w:b w:val="false"/>
          <w:color w:val="000000"/>
          <w:sz w:val="22"/>
        </w:rPr>
        <w:t>. Without limitation of any other provision in this Agreement, if at any time the Administrative Agent makes a payment hereunder in error to any of the Lenders (each, a “</w:t>
      </w:r>
      <w:r>
        <w:rPr>
          <w:rFonts w:ascii="Times New Roman;sans-serif" w:hAnsi="Times New Roman;sans-serif"/>
          <w:b/>
          <w:color w:val="000000"/>
          <w:sz w:val="22"/>
        </w:rPr>
        <w:t>Lender Recipient Party</w:t>
      </w:r>
      <w:r>
        <w:rPr>
          <w:color w:val="000000"/>
        </w:rPr>
        <w:t>”</w:t>
      </w:r>
      <w:r>
        <w:rPr>
          <w:rFonts w:ascii="Times New Roman;sans-serif" w:hAnsi="Times New Roman;sans-serif"/>
          <w:b w:val="false"/>
          <w:color w:val="000000"/>
          <w:sz w:val="22"/>
        </w:rPr>
        <w:t xml:space="preserve">), whether or not in respect of an Obligation due and owing by the Borrower at such time, where such payment is a Rescindable Amount, then in any such event, each Lender Recipient Party receiving a Rescindable Amount severally agrees to repay to the Administrative Agent, within one Business Day of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 Notwithstanding anything herein to the contrary, nothing in this </w:t>
      </w:r>
      <w:r>
        <w:rPr>
          <w:rFonts w:ascii="Times New Roman;sans-serif" w:hAnsi="Times New Roman;sans-serif"/>
          <w:b w:val="false"/>
          <w:color w:val="000000"/>
          <w:sz w:val="22"/>
          <w:u w:val="single"/>
        </w:rPr>
        <w:t>Section 8.13</w:t>
      </w:r>
      <w:r>
        <w:rPr>
          <w:color w:val="000000"/>
        </w:rPr>
        <w:t xml:space="preserve"> </w:t>
      </w:r>
      <w:r>
        <w:rPr>
          <w:rFonts w:ascii="Times New Roman;sans-serif" w:hAnsi="Times New Roman;sans-serif"/>
          <w:b w:val="false"/>
          <w:color w:val="000000"/>
          <w:sz w:val="22"/>
        </w:rPr>
        <w:t xml:space="preserve">shall be interpreted to accelerate the due date for, or increase the amount of, or have the effect of accelerating the due date for, or increasing the amount of, the Obligations of the Loan Parties relative to the timing for payment of the Obligations that would have been payable had such Rescindable Amount not been made by the Administrative Agent. Notwithstanding the foregoing, this </w:t>
      </w:r>
      <w:r>
        <w:rPr>
          <w:rFonts w:ascii="Times New Roman;sans-serif" w:hAnsi="Times New Roman;sans-serif"/>
          <w:b w:val="false"/>
          <w:color w:val="000000"/>
          <w:sz w:val="22"/>
          <w:u w:val="single"/>
        </w:rPr>
        <w:t>Section 8.13</w:t>
      </w:r>
      <w:r>
        <w:rPr>
          <w:color w:val="000000"/>
        </w:rPr>
        <w:t xml:space="preserve"> </w:t>
      </w:r>
      <w:r>
        <w:rPr>
          <w:rFonts w:ascii="Times New Roman;sans-serif" w:hAnsi="Times New Roman;sans-serif"/>
          <w:b w:val="false"/>
          <w:color w:val="000000"/>
          <w:sz w:val="22"/>
        </w:rPr>
        <w:t>shall not apply to the extent any such Rescindable Amount is, and solely with respect to the amount of such Rescindable Amount that is, comprised of funds received by the Administrative Agent from or on behalf of the Borrower or any other Loan Party for the purpose of making such erroneous payment.</w:t>
      </w:r>
    </w:p>
    <w:p>
      <w:pPr>
        <w:pStyle w:val="TextBody"/>
        <w:bidi w:val="0"/>
        <w:spacing w:lineRule="auto" w:line="319"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ARTICLE IX</w:t>
        <w:br/>
        <w:t>MISCELLANEOUS.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9.01.    </w:t>
      </w:r>
      <w:r>
        <w:rPr>
          <w:rFonts w:ascii="Times New Roman;sans-serif" w:hAnsi="Times New Roman;sans-serif"/>
          <w:b w:val="false"/>
          <w:i/>
          <w:color w:val="000000"/>
          <w:sz w:val="22"/>
        </w:rPr>
        <w:t>Notices</w:t>
      </w:r>
      <w:r>
        <w:rPr>
          <w:rFonts w:ascii="Times New Roman;sans-serif" w:hAnsi="Times New Roman;sans-serif"/>
          <w:b w:val="false"/>
          <w:color w:val="000000"/>
          <w:sz w:val="22"/>
        </w:rPr>
        <w:t xml:space="preserve">. (a) Except in the case of notices and other communications expressly permitted to be given by telephone or Electronic Systems (and subject in each case to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below), all notices and other communications provided for herein shall be in writing and shall be delivered by hand or overnight courier service, mailed by certified or registered mail or sent by facsimile, as set forth on Schedule 9.01.</w:t>
      </w:r>
    </w:p>
    <w:p>
      <w:pPr>
        <w:pStyle w:val="TextBody"/>
        <w:bidi w:val="0"/>
        <w:spacing w:lineRule="auto" w:line="288" w:before="0" w:after="240"/>
        <w:jc w:val="both"/>
        <w:rPr/>
      </w:pPr>
      <w:r>
        <w:rPr>
          <w:rFonts w:ascii="Times New Roman;sans-serif" w:hAnsi="Times New Roman;sans-serif"/>
          <w:b w:val="false"/>
          <w:color w:val="000000"/>
          <w:sz w:val="22"/>
        </w:rPr>
        <w:t xml:space="preserve">All such notices and other communications (i) sent by hand or overnight courier service, or mailed by certified or registered mail, shall be deemed to have been given when received, (ii) sent by facsimile shall be deemed to have been given when sent,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not given during normal business hours of the recipient, such notice or communication shall be deemed to have been given at the opening of business on the next Business Day of the recipient, or (iii) delivered through Electronic Systems to the extent provided in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below shall be effective as provided in such paragraph.</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701040"/>
                <wp:effectExtent l="0" t="0" r="0" b="0"/>
                <wp:wrapNone/>
                <wp:docPr id="218" name="Frame19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shd w:fill="FFFFFF" w:val="clear"/>
        </w:rPr>
        <w:t xml:space="preserve">Notices and other communications to the Lenders hereunder may be delivered or furnished by Electronic Systems pursuant to procedures approved by the Administrative Agent; provided that the foregoing shall not apply to notices pursuant to </w:t>
      </w:r>
      <w:r>
        <w:rPr>
          <w:rFonts w:ascii="Times New Roman;sans-serif" w:hAnsi="Times New Roman;sans-serif"/>
          <w:b w:val="false"/>
          <w:color w:val="000000"/>
          <w:sz w:val="22"/>
          <w:u w:val="single"/>
          <w:shd w:fill="FFFFFF" w:val="clear"/>
        </w:rPr>
        <w:t>Article II</w:t>
      </w:r>
      <w:r>
        <w:rPr>
          <w:color w:val="000000"/>
          <w:shd w:fill="FFFFFF" w:val="clear"/>
        </w:rPr>
        <w:t xml:space="preserve"> </w:t>
      </w:r>
      <w:r>
        <w:rPr>
          <w:rFonts w:ascii="Times New Roman;sans-serif" w:hAnsi="Times New Roman;sans-serif"/>
          <w:b w:val="false"/>
          <w:color w:val="000000"/>
          <w:sz w:val="22"/>
          <w:shd w:fill="FFFFFF" w:val="clear"/>
        </w:rPr>
        <w:t xml:space="preserve">or to Compliance Certificates delivered pursuant to </w:t>
      </w:r>
      <w:r>
        <w:rPr>
          <w:rFonts w:ascii="Times New Roman;sans-serif" w:hAnsi="Times New Roman;sans-serif"/>
          <w:b w:val="false"/>
          <w:color w:val="000000"/>
          <w:sz w:val="22"/>
          <w:u w:val="single"/>
          <w:shd w:fill="FFFFFF" w:val="clear"/>
        </w:rPr>
        <w:t>Section 5.01(d)</w:t>
      </w:r>
      <w:r>
        <w:rPr>
          <w:color w:val="000000"/>
          <w:shd w:fill="FFFFFF" w:val="clear"/>
        </w:rPr>
        <w:t xml:space="preserve"> </w:t>
      </w:r>
      <w:r>
        <w:rPr>
          <w:rFonts w:ascii="Times New Roman;sans-serif" w:hAnsi="Times New Roman;sans-serif"/>
          <w:b w:val="false"/>
          <w:color w:val="000000"/>
          <w:sz w:val="22"/>
          <w:shd w:fill="FFFFFF" w:val="clear"/>
        </w:rPr>
        <w:t xml:space="preserve">unless otherwise agreed by the Administrative Agent and the applicable Lender. Each of the Administrative Agent and the Borrower (on behalf of the Loan Parties) may, in its discretion, agree to accept notices and other communications to it hereunder by Electronic Systems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w:t>
      </w:r>
      <w:r>
        <w:rPr>
          <w:rFonts w:ascii="Times New Roman;sans-serif" w:hAnsi="Times New Roman;sans-serif"/>
          <w:b w:val="false"/>
          <w:color w:val="000000"/>
          <w:sz w:val="22"/>
        </w:rPr>
        <w:t xml:space="preserve">posted to an Internet or intranet website shall be deemed received upon the deemed receipt by the intended recipient, at its e-mail address as described in the foregoing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xml:space="preserve">, of notification that such notice or communication is available and identifying the website address therefor; provided that, for both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above, if such notice, e-mail or other communication is not sent during the normal business hours of the recipient, such notice or communication shall be deemed to have been sent at the opening of business on the next Business Day of the recipient.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Any party hereto may change its address, facsimile number or e-mail address for notices and other communications hereunder by notice to the other parties hereto. </w:t>
      </w:r>
      <w:r>
        <w:rPr>
          <w:rFonts w:ascii="Times New Roman;sans-serif" w:hAnsi="Times New Roman;sans-serif"/>
          <w:b w:val="false"/>
          <w:color w:val="000000"/>
          <w:sz w:val="22"/>
          <w:u w:val="single"/>
        </w:rPr>
        <w:t>Schedule 9.01</w:t>
      </w:r>
      <w:r>
        <w:rPr>
          <w:color w:val="000000"/>
        </w:rPr>
        <w:t xml:space="preserve"> </w:t>
      </w:r>
      <w:r>
        <w:rPr>
          <w:rFonts w:ascii="Times New Roman;sans-serif" w:hAnsi="Times New Roman;sans-serif"/>
          <w:b w:val="false"/>
          <w:color w:val="000000"/>
          <w:sz w:val="22"/>
        </w:rPr>
        <w:t xml:space="preserve">shall be deemed to be amended by each such change, and the Administrative Agent is authorized, in its discretion, from time to time to reflect each such change in an amended </w:t>
      </w:r>
      <w:r>
        <w:rPr>
          <w:rFonts w:ascii="Times New Roman;sans-serif" w:hAnsi="Times New Roman;sans-serif"/>
          <w:b w:val="false"/>
          <w:color w:val="000000"/>
          <w:sz w:val="22"/>
          <w:u w:val="single"/>
        </w:rPr>
        <w:t>Schedule 9.01</w:t>
      </w:r>
      <w:r>
        <w:rPr>
          <w:color w:val="000000"/>
        </w:rPr>
        <w:t xml:space="preserve"> </w:t>
      </w:r>
      <w:r>
        <w:rPr>
          <w:rFonts w:ascii="Times New Roman;sans-serif" w:hAnsi="Times New Roman;sans-serif"/>
          <w:b w:val="false"/>
          <w:color w:val="000000"/>
          <w:sz w:val="22"/>
        </w:rPr>
        <w:t>provided by the Administrative Agent to each party hereto.</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(d)    Electronic Systems.</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Each Loan Party agrees that the Administrative Agent may, but shall not be obligated to, make Communications (as defined below) available to the Lenders by posting the Communications on Debt Domain, Intralinks, Syndtrak, ClearPar or a substantially similar Electronic System.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701040"/>
                <wp:effectExtent l="0" t="0" r="0" b="0"/>
                <wp:wrapNone/>
                <wp:docPr id="219" name="Frame19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(ii)    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sans-serif" w:hAnsi="Times New Roman;sans-serif"/>
          <w:b/>
          <w:color w:val="000000"/>
          <w:sz w:val="22"/>
        </w:rPr>
        <w:t>Agent Parties</w:t>
      </w:r>
      <w:r>
        <w:rPr>
          <w:color w:val="000000"/>
        </w:rPr>
        <w:t>”</w:t>
      </w:r>
      <w:r>
        <w:rPr>
          <w:rFonts w:ascii="Times New Roman;sans-serif" w:hAnsi="Times New Roman;sans-serif"/>
          <w:b w:val="false"/>
          <w:color w:val="000000"/>
          <w:sz w:val="22"/>
        </w:rPr>
        <w:t>) have any liability to the Borrower or the other Loan Parties,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an Electronic System. “</w:t>
      </w:r>
      <w:r>
        <w:rPr>
          <w:rFonts w:ascii="Times New Roman;sans-serif" w:hAnsi="Times New Roman;sans-serif"/>
          <w:b/>
          <w:color w:val="000000"/>
          <w:sz w:val="22"/>
        </w:rPr>
        <w:t>Communications</w:t>
      </w:r>
      <w:r>
        <w:rPr>
          <w:color w:val="000000"/>
        </w:rPr>
        <w:t xml:space="preserve">” </w:t>
      </w:r>
      <w:r>
        <w:rPr>
          <w:rFonts w:ascii="Times New Roman;sans-serif" w:hAnsi="Times New Roman;sans-serif"/>
          <w:b w:val="false"/>
          <w:color w:val="000000"/>
          <w:sz w:val="22"/>
        </w:rPr>
        <w:t>means, collectively, any notice, demand, communication, information, document or other material provided by or on behalf of any Loan Party pursuant to any Loan Document or the transactions contemplated therein which is distributed by the Administrative Agent or any Lender by means of electronic communications pursuant to this Section, including through an Electronic System.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9.02.    </w:t>
      </w:r>
      <w:r>
        <w:rPr>
          <w:rFonts w:ascii="Times New Roman;sans-serif" w:hAnsi="Times New Roman;sans-serif"/>
          <w:b w:val="false"/>
          <w:i/>
          <w:color w:val="000000"/>
          <w:sz w:val="22"/>
        </w:rPr>
        <w:t>Waivers; Amendments</w:t>
      </w:r>
      <w:r>
        <w:rPr>
          <w:rFonts w:ascii="Times New Roman;sans-serif" w:hAnsi="Times New Roman;sans-serif"/>
          <w:b w:val="false"/>
          <w:color w:val="000000"/>
          <w:sz w:val="22"/>
        </w:rPr>
        <w:t xml:space="preserve">. (a) 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701040"/>
                <wp:effectExtent l="0" t="0" r="0" b="0"/>
                <wp:wrapNone/>
                <wp:docPr id="220" name="Frame19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shd w:fill="FFFFFF" w:val="clear"/>
        </w:rPr>
        <w:t xml:space="preserve">Except as provided in </w:t>
      </w:r>
      <w:r>
        <w:rPr>
          <w:rFonts w:ascii="Times New Roman;sans-serif" w:hAnsi="Times New Roman;sans-serif"/>
          <w:b w:val="false"/>
          <w:color w:val="000000"/>
          <w:sz w:val="22"/>
          <w:u w:val="single"/>
          <w:shd w:fill="FFFFFF" w:val="clear"/>
        </w:rPr>
        <w:t>Sections 2.14</w:t>
      </w:r>
      <w:r>
        <w:rPr>
          <w:color w:val="000000"/>
          <w:shd w:fill="FFFFFF" w:val="clear"/>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9.02(e)</w:t>
      </w:r>
      <w:r>
        <w:rPr>
          <w:color w:val="000000"/>
        </w:rPr>
        <w:t xml:space="preserve"> </w:t>
      </w:r>
      <w:r>
        <w:rPr>
          <w:rFonts w:ascii="Times New Roman;sans-serif" w:hAnsi="Times New Roman;sans-serif"/>
          <w:b w:val="false"/>
          <w:color w:val="000000"/>
          <w:sz w:val="22"/>
        </w:rPr>
        <w:t xml:space="preserve">below, neither this Agreement nor any other Loan Document nor any provision hereof or thereof may be waived, amended or modified except (x) in the case of this Agreement, pursuant to an agreement or agreements in writing entered into by the Borrower and the Required Lenders or (y) in the case of any other Loan Document, pursuant to an agreement or agreements in writing entered into by the Administrative Agent and the Loan Party or Loan Parties that are parties thereto, with the consent of the Required Lenders;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 such agreement shall (i) increase the Commitment of any Lender without the written consent of such Lender (including any such Lender that is a Defaulting Lender), (ii) reduce or forgive the principal amount of any Loan or reduce the rate of interest thereon, or reduce or forgive any interest, any Prepayment Premium or fees payable hereunder, without the written consent of each Lender (including any such Lender that is a Defaulting Lender) directly affected thereby (except in connection with the waiver of applicability of any post-default increase in interest rates, which waiver shall be effective with the consent of the Required Lenders), (iii) postpone any scheduled date of payment of the principal amount of any Loan,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(except in connection with the waiver of applicability of any post-default increase in interest rates, which waiver shall be effective with the consent of the Required Lenders), (iv) change </w:t>
      </w:r>
      <w:r>
        <w:rPr>
          <w:rFonts w:ascii="Times New Roman;sans-serif" w:hAnsi="Times New Roman;sans-serif"/>
          <w:b w:val="false"/>
          <w:color w:val="000000"/>
          <w:sz w:val="22"/>
          <w:u w:val="single"/>
        </w:rPr>
        <w:t>Section 2.09(d)</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2.18(b)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in a manner that would alter the ratable reduction of Commitments or the manner in which payments are shared, without the written consent of each Lender (other than any Defaulting Lender), (v) [reserved], (vi) change any of the provisions of this Section or the definition of “</w:t>
      </w:r>
      <w:r>
        <w:rPr>
          <w:rFonts w:ascii="Times New Roman;sans-serif" w:hAnsi="Times New Roman;sans-serif"/>
          <w:b/>
          <w:color w:val="000000"/>
          <w:sz w:val="22"/>
        </w:rPr>
        <w:t>Required Lenders</w:t>
      </w:r>
      <w:r>
        <w:rPr>
          <w:color w:val="000000"/>
        </w:rPr>
        <w:t xml:space="preserve">” </w:t>
      </w:r>
      <w:r>
        <w:rPr>
          <w:rFonts w:ascii="Times New Roman;sans-serif" w:hAnsi="Times New Roman;sans-serif"/>
          <w:b w:val="false"/>
          <w:color w:val="000000"/>
          <w:sz w:val="22"/>
        </w:rPr>
        <w:t xml:space="preserve">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directly affected thereby, (vii) change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or the definition of “</w:t>
      </w:r>
      <w:r>
        <w:rPr>
          <w:rFonts w:ascii="Times New Roman;sans-serif" w:hAnsi="Times New Roman;sans-serif"/>
          <w:b/>
          <w:color w:val="000000"/>
          <w:sz w:val="22"/>
        </w:rPr>
        <w:t>Applicable Percentage</w:t>
      </w:r>
      <w:r>
        <w:rPr>
          <w:color w:val="000000"/>
        </w:rPr>
        <w:t>”</w:t>
      </w:r>
      <w:r>
        <w:rPr>
          <w:rFonts w:ascii="Times New Roman;sans-serif" w:hAnsi="Times New Roman;sans-serif"/>
          <w:b w:val="false"/>
          <w:color w:val="000000"/>
          <w:sz w:val="22"/>
        </w:rPr>
        <w:t xml:space="preserve">, without the consent of each Lender (other than any Defaulting Lender), (viii) except as provided in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of this Section, release all or substantially all of the value of the Guarantees of the Obligations, without the written consent of each Lender (other than any Defaulting Lender) or (ix) subordinate the Obligations to any other Money Borrowed (such other indebtedness, the “</w:t>
      </w:r>
      <w:r>
        <w:rPr>
          <w:rFonts w:ascii="Times New Roman;sans-serif" w:hAnsi="Times New Roman;sans-serif"/>
          <w:b/>
          <w:color w:val="000000"/>
          <w:sz w:val="22"/>
        </w:rPr>
        <w:t>Subject Indebtedness</w:t>
      </w:r>
      <w:r>
        <w:rPr>
          <w:color w:val="000000"/>
        </w:rPr>
        <w:t>”</w:t>
      </w:r>
      <w:r>
        <w:rPr>
          <w:rFonts w:ascii="Times New Roman;sans-serif" w:hAnsi="Times New Roman;sans-serif"/>
          <w:b w:val="false"/>
          <w:color w:val="000000"/>
          <w:sz w:val="22"/>
        </w:rPr>
        <w:t xml:space="preserve">) without the written consent of each Lender directly and adversely affected thereby;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no such agreement shall amend, modify or otherwise affect the rights or duties of the Administrative Agent hereunder without the prior written consent of the Administrative Agent (it being understood that any amendment to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 xml:space="preserve">shall require the consent of the Administrative Agent). The Administrative Agent may also amend the Commitment Schedule to reflect assignments entered into pursuant to </w:t>
      </w:r>
      <w:r>
        <w:rPr>
          <w:rFonts w:ascii="Times New Roman;sans-serif" w:hAnsi="Times New Roman;sans-serif"/>
          <w:b w:val="false"/>
          <w:color w:val="000000"/>
          <w:sz w:val="22"/>
          <w:u w:val="single"/>
        </w:rPr>
        <w:t>Section 9.04</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701040"/>
                <wp:effectExtent l="0" t="0" r="0" b="0"/>
                <wp:wrapNone/>
                <wp:docPr id="221" name="Frame19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The Lenders hereby irrevocably authorize the Administrative Agent, and the Administrative Agent for the benefit of the Loan Parties hereby agrees, to the extent that any Subsidiary ceases to be a Subsidiary in a transaction permitted under the Loan Documents, or any Subsidiary becomes an Excluded Subsidiary or an Unrestricted Subsidiary, to release any Guarantee of the Obligations provided by such Subsidiary, in each case, in a transaction permitted under the terms of the Loan Documents; provided that the release of any Subsidiary from its obligations under the Loan Documents if such Subsidiary becomes an Excluded Subsidiary of the type described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of the definition thereof shall only be permitted if such Subsidiary is or becomes an Excluded Subsidiary for a bona fide legitimate business purpose of the Borrower and its Subsidiaries and not for the primary purpose of evading the guarantee requirements of the Loan Documents (as determined by the Borrower in good faith).</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The Administrative Agent and the Lenders agree, and the Lenders irrevocably authorize and direct, that the Administrative Agent shall promptly take all actions and execute and deliver all documents, in each case, reasonably requested by any Loan Party to effect or otherwise evidence such release (and, if requested by the Administrative Agent in connection with such execution and delivery, the Loan Party disposing of such property shall certify to the Administrative Agent that the applicable sale or disposition is being made in compliance with the terms of this Agreement (and the Administrative Agent may rely conclusively on any such certificate, without further inquiry)). The Lenders agree not to give the Administrative Agent any instruction or direction inconsistent with the provisions of this </w:t>
      </w:r>
      <w:r>
        <w:rPr>
          <w:rFonts w:ascii="Times New Roman;sans-serif" w:hAnsi="Times New Roman;sans-serif"/>
          <w:b w:val="false"/>
          <w:color w:val="000000"/>
          <w:sz w:val="22"/>
          <w:u w:val="single"/>
        </w:rPr>
        <w:t>Section 9.02(c)</w:t>
      </w:r>
      <w:r>
        <w:rPr>
          <w:rFonts w:ascii="Times New Roman;sans-serif" w:hAnsi="Times New Roman;sans-serif"/>
          <w:b w:val="false"/>
          <w:color w:val="000000"/>
          <w:sz w:val="22"/>
        </w:rPr>
        <w:t>. Any such release shall not in any manner discharge, affect, or impair the Obligations (other than those expressly being released) upon (or obligations of the Loan Parties in respect of) all interests retained by the Loan Parties, including the proceeds of any sale. Any execution and delivery by the Administrative Agent of documents in connection with any such release shall be without recourse to or warranty by the Administrative Agent.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(d)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sans-serif" w:hAnsi="Times New Roman;sans-serif"/>
          <w:b/>
          <w:color w:val="000000"/>
          <w:sz w:val="22"/>
        </w:rPr>
        <w:t>Non-Consenting Lender</w:t>
      </w:r>
      <w:r>
        <w:rPr>
          <w:color w:val="000000"/>
        </w:rPr>
        <w:t>”</w:t>
      </w:r>
      <w:r>
        <w:rPr>
          <w:rFonts w:ascii="Times New Roman;sans-serif" w:hAnsi="Times New Roman;sans-serif"/>
          <w:b w:val="false"/>
          <w:color w:val="000000"/>
          <w:sz w:val="22"/>
        </w:rPr>
        <w:t xml:space="preserve">), then the Borrower may elect to replace a Non-Consenting Lender as a Lender party to this Agreement,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9.04</w:t>
      </w:r>
      <w:r>
        <w:rPr>
          <w:rFonts w:ascii="Times New Roman;sans-serif" w:hAnsi="Times New Roman;sans-serif"/>
          <w:b w:val="false"/>
          <w:color w:val="000000"/>
          <w:sz w:val="22"/>
        </w:rPr>
        <w:t xml:space="preserve">,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w:t>
      </w:r>
      <w:r>
        <w:rPr>
          <w:rFonts w:ascii="Times New Roman;sans-serif" w:hAnsi="Times New Roman;sans-serif"/>
          <w:b w:val="false"/>
          <w:color w:val="000000"/>
          <w:sz w:val="22"/>
          <w:u w:val="single"/>
        </w:rPr>
        <w:t>Sections 2.15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2.17</w:t>
      </w:r>
      <w:r>
        <w:rPr>
          <w:rFonts w:ascii="Times New Roman;sans-serif" w:hAnsi="Times New Roman;sans-serif"/>
          <w:b w:val="false"/>
          <w:color w:val="000000"/>
          <w:sz w:val="22"/>
        </w:rPr>
        <w:t xml:space="preserve">, and (2) an amount, if any, equal to the payment which would have been due to such Lender on the day of such replacement under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had the Loans of such Non-Consenting Lender been prepaid on such date rather than sold to the replacement Lender.</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701040"/>
                <wp:effectExtent l="0" t="0" r="0" b="0"/>
                <wp:wrapNone/>
                <wp:docPr id="222" name="Frame19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Notwithstanding anything to the contrary herein the Administrative Agent may, with the consent of the Borrower only, amend, modify, waive or supplement this Agreement or any of the other Loan Documents to cure any ambiguity, omission, mistake, defect, inconsistency, obvious error or error or omission of a technical or administrative nature or to effect any necessary or desirable technical change.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9.03.    </w:t>
      </w:r>
      <w:r>
        <w:rPr>
          <w:rFonts w:ascii="Times New Roman;sans-serif" w:hAnsi="Times New Roman;sans-serif"/>
          <w:b w:val="false"/>
          <w:i/>
          <w:color w:val="000000"/>
          <w:sz w:val="22"/>
        </w:rPr>
        <w:t>Expenses; Limitation of Liability; Indemnity; Etc</w:t>
      </w:r>
      <w:r>
        <w:rPr>
          <w:rFonts w:ascii="Times New Roman;sans-serif" w:hAnsi="Times New Roman;sans-serif"/>
          <w:b w:val="false"/>
          <w:color w:val="000000"/>
          <w:sz w:val="22"/>
        </w:rPr>
        <w:t>. (a) Expenses. The Loan Parties shall, jointly and severally, pay all</w:t>
      </w:r>
      <w:r>
        <w:rPr>
          <w:color w:val="000000"/>
          <w:shd w:fill="FFFFFF" w:val="clear"/>
        </w:rPr>
        <w:t xml:space="preserve"> </w:t>
      </w:r>
      <w:r>
        <w:rPr>
          <w:rFonts w:ascii="Times New Roman;sans-serif" w:hAnsi="Times New Roman;sans-serif"/>
          <w:b w:val="false"/>
          <w:color w:val="000000"/>
          <w:sz w:val="22"/>
          <w:shd w:fill="FFFFFF" w:val="clear"/>
        </w:rPr>
        <w:t xml:space="preserve">(i) </w:t>
      </w:r>
      <w:r>
        <w:rPr>
          <w:rFonts w:ascii="Times New Roman;sans-serif" w:hAnsi="Times New Roman;sans-serif"/>
          <w:b w:val="false"/>
          <w:color w:val="000000"/>
          <w:sz w:val="22"/>
        </w:rPr>
        <w:t xml:space="preserve">reasonable and documented out-of-pocket expenses incurred by the Administrative Agent and its Affiliates, including the reasonable and documented fees, charges and disbursements of counsel for the Administrative Agent (limited to one primary counsel, one local counsel in each reasonably necessary jurisdiction, one specialty counsel in each reasonably necessary specialty area, and one or more additional counsel if one or more actual conflicts of interest arise), in connection with the syndication and distribution (including, without limitation, via the internet or through an Electronic System) of the credit facilities provided for herein, the preparation and administration of the Loan Documents and any amendments, modifications or waivers of the provisions of the Loan Documents (whether or not the transactions contemplated hereby or thereby shall be consummated), (ii) [reserved] and (iii) all reasonable and documented out-of-pocket expenses incurred by the Administrative Agent or any Lender, including the fees, charges and disbursements of any counsel for the Administrative Agent or any Lender (limited to one primary counsel, one local counsel in each reasonably necessary jurisdiction, one specialty counsel in each reasonably necessary specialty area, and one or more additional counsel if one or more actual conflicts of interest arise), in connection with the enforcement, collection or protection of its rights in connection with the Loan Documents, including its rights under this Section, or in connection with the Loans issued hereunder, including all such documented out-of-pocket expenses incurred during any workout, restructuring or negotiations in respect of such Loans. </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(a)    </w:t>
      </w:r>
      <w:r>
        <w:rPr>
          <w:rFonts w:ascii="Times New Roman;sans-serif" w:hAnsi="Times New Roman;sans-serif"/>
          <w:b w:val="false"/>
          <w:i/>
          <w:color w:val="000000"/>
          <w:sz w:val="22"/>
        </w:rPr>
        <w:t>Limitation of Liability</w:t>
      </w:r>
      <w:r>
        <w:rPr>
          <w:rFonts w:ascii="Times New Roman;sans-serif" w:hAnsi="Times New Roman;sans-serif"/>
          <w:b w:val="false"/>
          <w:color w:val="000000"/>
          <w:sz w:val="22"/>
        </w:rPr>
        <w:t>. To the extent permitted by applicable law (i) neither the Borrower nor any other Loan Party shall not assert, and the Borrower and each Loan Party hereby waives, any claim against the Administrative Agent and any Lender, and any Related Party of any of the foregoing Persons (each such Person being called a “</w:t>
      </w:r>
      <w:r>
        <w:rPr>
          <w:rFonts w:ascii="Times New Roman;sans-serif" w:hAnsi="Times New Roman;sans-serif"/>
          <w:b/>
          <w:color w:val="000000"/>
          <w:sz w:val="22"/>
        </w:rPr>
        <w:t>Lender-Related Person</w:t>
      </w:r>
      <w:r>
        <w:rPr>
          <w:color w:val="000000"/>
        </w:rPr>
        <w:t>”</w:t>
      </w:r>
      <w:r>
        <w:rPr>
          <w:rFonts w:ascii="Times New Roman;sans-serif" w:hAnsi="Times New Roman;sans-serif"/>
          <w:b w:val="false"/>
          <w:color w:val="000000"/>
          <w:sz w:val="22"/>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provided that, nothing in this </w:t>
      </w:r>
      <w:r>
        <w:rPr>
          <w:rFonts w:ascii="Times New Roman;sans-serif" w:hAnsi="Times New Roman;sans-serif"/>
          <w:b w:val="false"/>
          <w:color w:val="000000"/>
          <w:sz w:val="22"/>
          <w:u w:val="single"/>
        </w:rPr>
        <w:t>Section 9.03(b)</w:t>
      </w:r>
      <w:r>
        <w:rPr>
          <w:color w:val="000000"/>
        </w:rPr>
        <w:t xml:space="preserve"> </w:t>
      </w:r>
      <w:r>
        <w:rPr>
          <w:rFonts w:ascii="Times New Roman;sans-serif" w:hAnsi="Times New Roman;sans-serif"/>
          <w:b w:val="false"/>
          <w:color w:val="000000"/>
          <w:sz w:val="22"/>
        </w:rPr>
        <w:t xml:space="preserve">shall relieve the Borrower or any Loan Party of any obligation it may have to indemnify an Indemnitee, as provided in </w:t>
      </w:r>
      <w:r>
        <w:rPr>
          <w:rFonts w:ascii="Times New Roman;sans-serif" w:hAnsi="Times New Roman;sans-serif"/>
          <w:b w:val="false"/>
          <w:color w:val="000000"/>
          <w:sz w:val="22"/>
          <w:u w:val="single"/>
        </w:rPr>
        <w:t>Section 9.03(c)</w:t>
      </w:r>
      <w:r>
        <w:rPr>
          <w:rFonts w:ascii="Times New Roman;sans-serif" w:hAnsi="Times New Roman;sans-serif"/>
          <w:b w:val="false"/>
          <w:color w:val="000000"/>
          <w:sz w:val="22"/>
        </w:rPr>
        <w:t>, against any special, indirect, consequential or punitive damages asserted against such Indemnitee by a third party.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701040"/>
                <wp:effectExtent l="0" t="0" r="0" b="0"/>
                <wp:wrapNone/>
                <wp:docPr id="223" name="Frame19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(b)    </w:t>
      </w:r>
      <w:r>
        <w:rPr>
          <w:rFonts w:ascii="Times New Roman;sans-serif" w:hAnsi="Times New Roman;sans-serif"/>
          <w:b w:val="false"/>
          <w:i/>
          <w:color w:val="000000"/>
          <w:sz w:val="22"/>
          <w:shd w:fill="FFFFFF" w:val="clear"/>
        </w:rPr>
        <w:t>Indemnity</w:t>
      </w:r>
      <w:r>
        <w:rPr>
          <w:rFonts w:ascii="Times New Roman;sans-serif" w:hAnsi="Times New Roman;sans-serif"/>
          <w:b w:val="false"/>
          <w:color w:val="000000"/>
          <w:sz w:val="22"/>
          <w:shd w:fill="FFFFFF" w:val="clear"/>
        </w:rPr>
        <w:t>. The Loan Parties shall, jointly and severally, indemnify the Administrative Agent and each Lender, and each Related Party of any of the foregoing Persons (each such Person being called an “</w:t>
      </w:r>
      <w:r>
        <w:rPr>
          <w:rFonts w:ascii="Times New Roman;sans-serif" w:hAnsi="Times New Roman;sans-serif"/>
          <w:b/>
          <w:color w:val="000000"/>
          <w:sz w:val="22"/>
          <w:shd w:fill="FFFFFF" w:val="clear"/>
        </w:rPr>
        <w:t>Indemnitee</w:t>
      </w:r>
      <w:r>
        <w:rPr>
          <w:color w:val="000000"/>
          <w:shd w:fill="FFFFFF" w:val="clear"/>
        </w:rPr>
        <w:t>”</w:t>
      </w:r>
      <w:r>
        <w:rPr>
          <w:rFonts w:ascii="Times New Roman;sans-serif" w:hAnsi="Times New Roman;sans-serif"/>
          <w:b w:val="false"/>
          <w:color w:val="000000"/>
          <w:sz w:val="22"/>
          <w:shd w:fill="FFFFFF" w:val="clear"/>
        </w:rPr>
        <w:t xml:space="preserve">) against, and hold each Indemnitee harmless from, any and all Liabilities and related expenses, including the reasonable and documented fees, charges and disbursements of counsel (limited to, for each occurrence giving rise to such indemnification event, one primary counsel for Indemnitees taken as a whole, one local counsel in each reasonably necessary jurisdiction, one specialty counsel in each reasonably necessary specialty area, and one or more additional counsel if one or more actual conflicts of interest arise), incurred by or asserted against any Indemnitee by a third party or by any Loan Party arising out of, in connection with, or as a result of (i) the execution, enforcement or delivery of the Loan Documents or any agreement or instrument contemplated thereby, the performance by the parties hereto of their respective obligations thereunder or the consummation of the Transactions or any other transactions contemplated hereby, (ii) any action taken in connection with this Agreement, including, but not limited to, the payment of principal, interest and fees, (iii) </w:t>
      </w:r>
      <w:r>
        <w:rPr>
          <w:rFonts w:ascii="Times New Roman;sans-serif" w:hAnsi="Times New Roman;sans-serif"/>
          <w:b w:val="false"/>
          <w:color w:val="000000"/>
          <w:sz w:val="22"/>
        </w:rPr>
        <w:t xml:space="preserve">any Loan (or any document related thereto) or the use of the proceeds therefrom, (iv) any actual or alleged presence or Release of Hazardous Materials at, on, under or from any property currently or formerly owned or operated by a Loan Party or a Subsidiary (in the case of formerly owned or operated property, to the extent relating to such Loan Party or such Subsidiary’s period of ownership or operation), or any Environmental Liability related in any way to a Loan Party or a Subsidiary, (v) the failure of a Loan Party to deliver to the Administrative Agent the required receipts or other required documentary evidence with respect to a payment made by a Loan Party for Taxes pursuant to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or (vi) any actual or prospective claim, litigation, investigation or proceeding relating to any of the foregoing, whether or not such claim, litigation, investigation or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such indemnity shall not, as to any Indemnitee, be available to the extent that such Liabilities or related expenses: (A) are determined by a court of competent jurisdiction by final and non-appealable judgment to have resulted from the gross negligence or willful misconduct of such Indemnitee, (B) are determined by a court of competent jurisdiction by final and non-appealable judgment to have resulted from a material breach of any Loan Document by such Indemnitee or (C) arise out of any dispute among Indemnitees that do not involve any acts or omissions of the Loan Parties or any of their Affiliates (it being acknowledged and agreed that the indemnification shall extend to Ayar Third Investment Company in its capacity as the Administrative Agent relative to disputes between or among the Administrative Agent on the one hand, and one or more Lenders, or one or more of their Affiliates, on the other hand). This </w:t>
      </w:r>
      <w:r>
        <w:rPr>
          <w:rFonts w:ascii="Times New Roman;sans-serif" w:hAnsi="Times New Roman;sans-serif"/>
          <w:b w:val="false"/>
          <w:color w:val="000000"/>
          <w:sz w:val="22"/>
          <w:u w:val="single"/>
        </w:rPr>
        <w:t>Section 9.03(b)</w:t>
      </w:r>
      <w:r>
        <w:rPr>
          <w:color w:val="000000"/>
        </w:rPr>
        <w:t xml:space="preserve"> </w:t>
      </w:r>
      <w:r>
        <w:rPr>
          <w:rFonts w:ascii="Times New Roman;sans-serif" w:hAnsi="Times New Roman;sans-serif"/>
          <w:b w:val="false"/>
          <w:color w:val="000000"/>
          <w:sz w:val="22"/>
        </w:rPr>
        <w:t xml:space="preserve">shall not apply with respect to Taxes other than any Taxes that represent losses or damages arising from any non-Tax claim. In the case of an investigation, litigation or other proceeding to which the indemnity in this </w:t>
      </w:r>
      <w:r>
        <w:rPr>
          <w:rFonts w:ascii="Times New Roman;sans-serif" w:hAnsi="Times New Roman;sans-serif"/>
          <w:b w:val="false"/>
          <w:color w:val="000000"/>
          <w:sz w:val="22"/>
          <w:u w:val="single"/>
        </w:rPr>
        <w:t>Section 9.03(b)</w:t>
      </w:r>
      <w:r>
        <w:rPr>
          <w:color w:val="000000"/>
        </w:rPr>
        <w:t xml:space="preserve"> </w:t>
      </w:r>
      <w:r>
        <w:rPr>
          <w:rFonts w:ascii="Times New Roman;sans-serif" w:hAnsi="Times New Roman;sans-serif"/>
          <w:b w:val="false"/>
          <w:color w:val="000000"/>
          <w:sz w:val="22"/>
        </w:rPr>
        <w:t>applies, such indemnity shall be effective whether or not such investigation, litigation or proceeding is brought by any Loan Party, its directors, employees, stockholders or creditors, or an Indemnitee or any other Person.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701040"/>
                <wp:effectExtent l="0" t="0" r="0" b="0"/>
                <wp:wrapNone/>
                <wp:docPr id="224" name="Frame19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(c)    </w:t>
      </w:r>
      <w:r>
        <w:rPr>
          <w:rFonts w:ascii="Times New Roman;sans-serif" w:hAnsi="Times New Roman;sans-serif"/>
          <w:b w:val="false"/>
          <w:i/>
          <w:color w:val="000000"/>
          <w:sz w:val="22"/>
          <w:shd w:fill="FFFFFF" w:val="clear"/>
        </w:rPr>
        <w:t>Lender Reimbursement</w:t>
      </w:r>
      <w:r>
        <w:rPr>
          <w:rFonts w:ascii="Times New Roman;sans-serif" w:hAnsi="Times New Roman;sans-serif"/>
          <w:b w:val="false"/>
          <w:color w:val="000000"/>
          <w:sz w:val="22"/>
          <w:shd w:fill="FFFFFF" w:val="clear"/>
        </w:rPr>
        <w:t xml:space="preserve">. Each Lender severally agrees to pay any amount required to be paid by the Borrower under </w:t>
      </w:r>
      <w:r>
        <w:rPr>
          <w:rFonts w:ascii="Times New Roman;sans-serif" w:hAnsi="Times New Roman;sans-serif"/>
          <w:b w:val="false"/>
          <w:color w:val="000000"/>
          <w:sz w:val="22"/>
          <w:u w:val="single"/>
          <w:shd w:fill="FFFFFF" w:val="clear"/>
        </w:rPr>
        <w:t>paragraphs (a)</w:t>
      </w:r>
      <w:r>
        <w:rPr>
          <w:rFonts w:ascii="Times New Roman;sans-serif" w:hAnsi="Times New Roman;sans-serif"/>
          <w:b w:val="false"/>
          <w:color w:val="000000"/>
          <w:sz w:val="22"/>
          <w:shd w:fill="FFFFFF" w:val="clear"/>
        </w:rPr>
        <w:t>,</w:t>
      </w:r>
      <w:r>
        <w:rPr>
          <w:color w:val="000000"/>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9.03</w:t>
      </w:r>
      <w:r>
        <w:rPr>
          <w:color w:val="000000"/>
        </w:rPr>
        <w:t xml:space="preserve"> </w:t>
      </w:r>
      <w:r>
        <w:rPr>
          <w:rFonts w:ascii="Times New Roman;sans-serif" w:hAnsi="Times New Roman;sans-serif"/>
          <w:b w:val="false"/>
          <w:color w:val="000000"/>
          <w:sz w:val="22"/>
        </w:rPr>
        <w:t>to the Administrative Agent and each Related Party of the Administrative Agent (each, an “</w:t>
      </w:r>
      <w:r>
        <w:rPr>
          <w:rFonts w:ascii="Times New Roman;sans-serif" w:hAnsi="Times New Roman;sans-serif"/>
          <w:b/>
          <w:color w:val="000000"/>
          <w:sz w:val="22"/>
        </w:rPr>
        <w:t>Agent-Related Person</w:t>
      </w:r>
      <w:r>
        <w:rPr>
          <w:color w:val="000000"/>
        </w:rPr>
        <w:t>”</w:t>
      </w:r>
      <w:r>
        <w:rPr>
          <w:rFonts w:ascii="Times New Roman;sans-serif" w:hAnsi="Times New Roman;sans-serif"/>
          <w:b w:val="false"/>
          <w:color w:val="000000"/>
          <w:sz w:val="22"/>
        </w:rPr>
        <w:t xml:space="preserve">) (to the extent not reimbursed by the Borrower or the Loan Parties and without limiting the obligation of the Borrower and the Loan Parties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unreimbursed expense or Liability or related expense, as the case may be, was incurred by or asserted against such Agent-Related Person in its capacity as such;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further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(d)    </w:t>
      </w:r>
      <w:r>
        <w:rPr>
          <w:rFonts w:ascii="Times New Roman;sans-serif" w:hAnsi="Times New Roman;sans-serif"/>
          <w:b w:val="false"/>
          <w:i/>
          <w:color w:val="000000"/>
          <w:sz w:val="22"/>
        </w:rPr>
        <w:t>Payments</w:t>
      </w:r>
      <w:r>
        <w:rPr>
          <w:rFonts w:ascii="Times New Roman;sans-serif" w:hAnsi="Times New Roman;sans-serif"/>
          <w:b w:val="false"/>
          <w:color w:val="000000"/>
          <w:sz w:val="22"/>
        </w:rPr>
        <w:t>. All amounts due under this Section shall be payable within 10 Business Days after written demand therefor.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9.04.    </w:t>
      </w:r>
      <w:r>
        <w:rPr>
          <w:rFonts w:ascii="Times New Roman;sans-serif" w:hAnsi="Times New Roman;sans-serif"/>
          <w:b w:val="false"/>
          <w:i/>
          <w:color w:val="000000"/>
          <w:sz w:val="22"/>
        </w:rPr>
        <w:t>Successors and Assigns</w:t>
      </w:r>
      <w:r>
        <w:rPr>
          <w:rFonts w:ascii="Times New Roman;sans-serif" w:hAnsi="Times New Roman;sans-serif"/>
          <w:b w:val="false"/>
          <w:color w:val="000000"/>
          <w:sz w:val="22"/>
        </w:rPr>
        <w:t xml:space="preserve">. (a)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w:t>
      </w:r>
      <w:r>
        <w:rPr>
          <w:rFonts w:ascii="Times New Roman;sans-serif" w:hAnsi="Times New Roman;sans-serif"/>
          <w:b w:val="false"/>
          <w:color w:val="000000"/>
          <w:sz w:val="22"/>
          <w:u w:val="single"/>
        </w:rPr>
        <w:t>paragraph (c)</w:t>
      </w:r>
      <w:r>
        <w:rPr>
          <w:color w:val="000000"/>
        </w:rPr>
        <w:t xml:space="preserve"> </w:t>
      </w:r>
      <w:r>
        <w:rPr>
          <w:rFonts w:ascii="Times New Roman;sans-serif" w:hAnsi="Times New Roman;sans-serif"/>
          <w:b w:val="false"/>
          <w:color w:val="000000"/>
          <w:sz w:val="22"/>
        </w:rPr>
        <w:t>of this Section)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(i) Subject to the conditions set forth in </w:t>
      </w:r>
      <w:r>
        <w:rPr>
          <w:rFonts w:ascii="Times New Roman;sans-serif" w:hAnsi="Times New Roman;sans-serif"/>
          <w:b w:val="false"/>
          <w:color w:val="000000"/>
          <w:sz w:val="22"/>
          <w:u w:val="single"/>
        </w:rPr>
        <w:t>paragraph 9.04(b)(ii)</w:t>
      </w:r>
      <w:r>
        <w:rPr>
          <w:color w:val="000000"/>
        </w:rPr>
        <w:t xml:space="preserve"> </w:t>
      </w:r>
      <w:r>
        <w:rPr>
          <w:rFonts w:ascii="Times New Roman;sans-serif" w:hAnsi="Times New Roman;sans-serif"/>
          <w:b w:val="false"/>
          <w:color w:val="000000"/>
          <w:sz w:val="22"/>
        </w:rPr>
        <w:t>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or delayed) of:</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701040"/>
                <wp:effectExtent l="0" t="0" r="0" b="0"/>
                <wp:wrapNone/>
                <wp:docPr id="225" name="Frame20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152"/>
        <w:jc w:val="both"/>
        <w:rPr/>
      </w:pPr>
      <w:r>
        <w:rPr>
          <w:rFonts w:ascii="Times New Roman;sans-serif" w:hAnsi="Times New Roman;sans-serif"/>
          <w:b w:val="false"/>
          <w:color w:val="000000"/>
          <w:sz w:val="22"/>
        </w:rPr>
        <w:t xml:space="preserve">(A)    the Borrower,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Borrower shall be deemed to have consented to any such assignment unless it shall object thereto by written notice to the Administrative Agent within ten (10) Business Days after having received written notice requesting its consent, and </w:t>
      </w:r>
      <w:r>
        <w:rPr>
          <w:rFonts w:ascii="Times New Roman;sans-serif" w:hAnsi="Times New Roman;sans-serif"/>
          <w:b w:val="false"/>
          <w:i/>
          <w:color w:val="000000"/>
          <w:sz w:val="22"/>
        </w:rPr>
        <w:t>provided further</w:t>
      </w:r>
      <w:r>
        <w:rPr>
          <w:color w:val="000000"/>
        </w:rPr>
        <w:t xml:space="preserve"> </w:t>
      </w:r>
      <w:r>
        <w:rPr>
          <w:rFonts w:ascii="Times New Roman;sans-serif" w:hAnsi="Times New Roman;sans-serif"/>
          <w:b w:val="false"/>
          <w:color w:val="000000"/>
          <w:sz w:val="22"/>
        </w:rPr>
        <w:t>that no consent of the Borrower shall be required for an assignment to (x) a Lender, an Affiliate of a Lender, an Approved Fund or (y) if an Event of Default has occurred and is continuing or a Change of Control shall have occurred after the Effective Date, any other assignee;</w:t>
      </w:r>
    </w:p>
    <w:p>
      <w:pPr>
        <w:pStyle w:val="TextBody"/>
        <w:bidi w:val="0"/>
        <w:spacing w:lineRule="auto" w:line="288" w:before="0" w:after="240"/>
        <w:ind w:left="0" w:right="0" w:firstLine="1152"/>
        <w:jc w:val="both"/>
        <w:rPr/>
      </w:pPr>
      <w:r>
        <w:rPr>
          <w:rFonts w:ascii="Times New Roman;sans-serif" w:hAnsi="Times New Roman;sans-serif"/>
          <w:b w:val="false"/>
          <w:color w:val="000000"/>
          <w:sz w:val="22"/>
        </w:rPr>
        <w:t xml:space="preserve">(B)    the Administrative Agent;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 consent of the Administrative Agent shall be required for an assignment to a Lender, an Affiliate of a Lender or an Approved Fund; </w:t>
      </w:r>
    </w:p>
    <w:p>
      <w:pPr>
        <w:pStyle w:val="TextBody"/>
        <w:bidi w:val="0"/>
        <w:spacing w:lineRule="auto" w:line="288"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(C)    [reserved]; and</w:t>
      </w:r>
    </w:p>
    <w:p>
      <w:pPr>
        <w:pStyle w:val="TextBody"/>
        <w:bidi w:val="0"/>
        <w:spacing w:lineRule="auto" w:line="288"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(D)    [reserved].</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Assignments shall be subject to the following additional conditions:</w:t>
      </w:r>
    </w:p>
    <w:p>
      <w:pPr>
        <w:pStyle w:val="TextBody"/>
        <w:bidi w:val="0"/>
        <w:spacing w:lineRule="auto" w:line="288" w:before="0" w:after="240"/>
        <w:ind w:left="0" w:right="0" w:firstLine="1152"/>
        <w:jc w:val="both"/>
        <w:rPr/>
      </w:pPr>
      <w:r>
        <w:rPr>
          <w:rFonts w:ascii="Times New Roman;sans-serif" w:hAnsi="Times New Roman;sans-serif"/>
          <w:b w:val="false"/>
          <w:color w:val="000000"/>
          <w:sz w:val="22"/>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such consent of the Borrower shall be required if a Specified Event of Default has occurred and is continuing;</w:t>
      </w:r>
    </w:p>
    <w:p>
      <w:pPr>
        <w:pStyle w:val="TextBody"/>
        <w:bidi w:val="0"/>
        <w:spacing w:lineRule="auto" w:line="288"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(B)    each partial assignment shall be made as an assignment of a proportionate part of all the assigning Lender’s rights and obligations under this Agreement;</w:t>
      </w:r>
    </w:p>
    <w:p>
      <w:pPr>
        <w:pStyle w:val="TextBody"/>
        <w:bidi w:val="0"/>
        <w:spacing w:lineRule="auto" w:line="288" w:before="0" w:after="240"/>
        <w:ind w:left="0" w:right="0" w:firstLine="1152"/>
        <w:jc w:val="both"/>
        <w:rPr/>
      </w:pPr>
      <w:r>
        <w:rPr>
          <w:rFonts w:ascii="Times New Roman;sans-serif" w:hAnsi="Times New Roman;sans-serif"/>
          <w:b w:val="false"/>
          <w:color w:val="000000"/>
          <w:sz w:val="22"/>
        </w:rPr>
        <w:t xml:space="preserve">(C)    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and the tax forms required by </w:t>
      </w:r>
      <w:r>
        <w:rPr>
          <w:rFonts w:ascii="Times New Roman;sans-serif" w:hAnsi="Times New Roman;sans-serif"/>
          <w:b w:val="false"/>
          <w:color w:val="000000"/>
          <w:sz w:val="22"/>
          <w:u w:val="single"/>
        </w:rPr>
        <w:t>Section 2.17(f)</w:t>
      </w:r>
      <w:r>
        <w:rPr>
          <w:rFonts w:ascii="Times New Roman;sans-serif" w:hAnsi="Times New Roman;sans-serif"/>
          <w:b w:val="false"/>
          <w:color w:val="000000"/>
          <w:sz w:val="22"/>
        </w:rPr>
        <w:t>; and</w:t>
      </w:r>
    </w:p>
    <w:p>
      <w:pPr>
        <w:pStyle w:val="TextBody"/>
        <w:bidi w:val="0"/>
        <w:spacing w:lineRule="auto" w:line="288" w:before="0" w:after="240"/>
        <w:ind w:left="0" w:right="0" w:firstLine="1152"/>
        <w:jc w:val="both"/>
        <w:rPr>
          <w:rFonts w:ascii="Times New Roman;sans-serif" w:hAnsi="Times New Roman;sans-serif"/>
          <w:b w:val="false"/>
          <w:color w:val="000000"/>
          <w:sz w:val="22"/>
        </w:rPr>
      </w:pPr>
      <w:r>
        <w:rPr>
          <w:rFonts w:ascii="Times New Roman;sans-serif" w:hAnsi="Times New Roman;sans-serif"/>
          <w:b w:val="false"/>
          <w:color w:val="000000"/>
          <w:sz w:val="22"/>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701040"/>
                <wp:effectExtent l="0" t="0" r="0" b="0"/>
                <wp:wrapNone/>
                <wp:docPr id="226" name="Frame20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 xml:space="preserve">(iii)    No assignment shall be made to (x) any Disqualified Lender or any Lender that has become a Disqualified Lender, (y) any Defaulting Lender or any of its subsidiaries, or (z) any Person who, upon becoming a Lender hereunder, would constitute any of the foregoing persons described in this </w:t>
      </w:r>
      <w:r>
        <w:rPr>
          <w:rFonts w:ascii="Times New Roman;sans-serif" w:hAnsi="Times New Roman;sans-serif"/>
          <w:b w:val="false"/>
          <w:color w:val="000000"/>
          <w:sz w:val="22"/>
          <w:u w:val="single"/>
        </w:rPr>
        <w:t>clause (iii)</w:t>
      </w:r>
      <w:r>
        <w:rPr>
          <w:rFonts w:ascii="Times New Roman;sans-serif" w:hAnsi="Times New Roman;sans-serif"/>
          <w:b w:val="false"/>
          <w:color w:val="000000"/>
          <w:sz w:val="22"/>
        </w:rPr>
        <w:t xml:space="preserve">. To the extent any assignment is purported to be made to a Person prohibited by this </w:t>
      </w:r>
      <w:r>
        <w:rPr>
          <w:rFonts w:ascii="Times New Roman;sans-serif" w:hAnsi="Times New Roman;sans-serif"/>
          <w:b w:val="false"/>
          <w:color w:val="000000"/>
          <w:sz w:val="22"/>
          <w:u w:val="single"/>
        </w:rPr>
        <w:t>clause (iii)</w:t>
      </w:r>
      <w:r>
        <w:rPr>
          <w:rFonts w:ascii="Times New Roman;sans-serif" w:hAnsi="Times New Roman;sans-serif"/>
          <w:b w:val="false"/>
          <w:color w:val="000000"/>
          <w:sz w:val="22"/>
        </w:rPr>
        <w:t xml:space="preserve">, (A) such Person shall be required to immediately (and in any event within five Business Days) assign all Loans and Commitments then owned by such Person to another Lender (other than a Defaulting Lender) or a Person other than an Ineligible Institution and the Borrower shall be entitled to seek specific performance in any applicable court of law or equity to enforce this sentence, (B) no Disqualified Lender or Lender who has become a Disqualified Lender shall be permitted to (x) receive any information or reporting provided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(C) for purposes of voting, any Loans, Commitments or participations held by such Disqualified Lender shall be deemed not to be outstanding and such Disqualified Lender shall have no voting or consent rights notwithstanding the provisions herein, (D) for purposes of any matter requiring the vote or consent of each Lender affected by any amendment or waiver, such Disqualified Lender shall be deemed to have voted or consented to approve such amendment or waiver if a majority of the affected Lenders so approves and (E) such Disqualified Lender shall not be entitled to any expense reimbursement or indemnification rights ordinarily afforded to Lenders or Participants hereunder or in any Loan Document and such Disqualified Lender shall be treated in all other respects as a Defaulting Lender;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any Lender becomes a Disqualified Lender after the time such Lender initially became a Lender hereunder, and any assignment is made to such Lender after the time such Lender became a Disqualified Lender, the Commitments assigned to such Lender after the time such Lender became a Disqualified Lender (but no other Commitments of such Lender) shall be treated as an assignment to a Disqualified Lender other than with respect to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For the purposes of this </w:t>
      </w:r>
      <w:r>
        <w:rPr>
          <w:rFonts w:ascii="Times New Roman;sans-serif" w:hAnsi="Times New Roman;sans-serif"/>
          <w:b w:val="false"/>
          <w:color w:val="000000"/>
          <w:sz w:val="22"/>
          <w:u w:val="single"/>
        </w:rPr>
        <w:t>Section 9.04(b)</w:t>
      </w:r>
      <w:r>
        <w:rPr>
          <w:rFonts w:ascii="Times New Roman;sans-serif" w:hAnsi="Times New Roman;sans-serif"/>
          <w:b w:val="false"/>
          <w:color w:val="000000"/>
          <w:sz w:val="22"/>
        </w:rPr>
        <w:t>, the terms “</w:t>
      </w:r>
      <w:r>
        <w:rPr>
          <w:rFonts w:ascii="Times New Roman;sans-serif" w:hAnsi="Times New Roman;sans-serif"/>
          <w:b/>
          <w:color w:val="000000"/>
          <w:sz w:val="22"/>
        </w:rPr>
        <w:t>Approved Fund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Ineligible Institution</w:t>
      </w:r>
      <w:r>
        <w:rPr>
          <w:color w:val="000000"/>
        </w:rPr>
        <w:t xml:space="preserve">” </w:t>
      </w:r>
      <w:r>
        <w:rPr>
          <w:rFonts w:ascii="Times New Roman;sans-serif" w:hAnsi="Times New Roman;sans-serif"/>
          <w:b w:val="false"/>
          <w:color w:val="000000"/>
          <w:sz w:val="22"/>
        </w:rPr>
        <w:t>have the following meanings: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Approved Fund</w:t>
      </w:r>
      <w:r>
        <w:rPr>
          <w:color w:val="000000"/>
        </w:rPr>
        <w:t xml:space="preserve">” </w:t>
      </w:r>
      <w:r>
        <w:rPr>
          <w:rFonts w:ascii="Times New Roman;sans-serif" w:hAnsi="Times New Roman;sans-serif"/>
          <w:b w:val="false"/>
          <w:color w:val="000000"/>
          <w:sz w:val="22"/>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701040"/>
                <wp:effectExtent l="0" t="0" r="0" b="0"/>
                <wp:wrapNone/>
                <wp:docPr id="227" name="Frame20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2"/>
        </w:rPr>
        <w:t>Ineligible Institution</w:t>
      </w:r>
      <w:r>
        <w:rPr>
          <w:color w:val="000000"/>
        </w:rPr>
        <w:t xml:space="preserve">” </w:t>
      </w:r>
      <w:r>
        <w:rPr>
          <w:rFonts w:ascii="Times New Roman;sans-serif" w:hAnsi="Times New Roman;sans-serif"/>
          <w:b w:val="false"/>
          <w:color w:val="000000"/>
          <w:sz w:val="22"/>
        </w:rPr>
        <w:t xml:space="preserve">means a (a) natural person, (b) a Defaulting Lender or its parent, (c) a Disqualified Lender, (d) company, investment vehicle or trust for, or owned and operated for the primary benefit of, a natural person or relative(s) thereof;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or (e) a Loan Party or a Subsidiary of a Loan Party.</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 xml:space="preserve">(iv)    Subject to acceptance and recording thereof pursuant to </w:t>
      </w:r>
      <w:r>
        <w:rPr>
          <w:rFonts w:ascii="Times New Roman;sans-serif" w:hAnsi="Times New Roman;sans-serif"/>
          <w:b w:val="false"/>
          <w:color w:val="000000"/>
          <w:sz w:val="22"/>
          <w:u w:val="single"/>
        </w:rPr>
        <w:t>paragraph (b)(v)</w:t>
      </w:r>
      <w:r>
        <w:rPr>
          <w:color w:val="000000"/>
        </w:rPr>
        <w:t xml:space="preserve"> </w:t>
      </w:r>
      <w:r>
        <w:rPr>
          <w:rFonts w:ascii="Times New Roman;sans-serif" w:hAnsi="Times New Roman;sans-serif"/>
          <w:b w:val="false"/>
          <w:color w:val="000000"/>
          <w:sz w:val="22"/>
        </w:rPr>
        <w:t xml:space="preserve">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2"/>
          <w:u w:val="single"/>
        </w:rPr>
        <w:t>Sections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9.03</w:t>
      </w:r>
      <w:r>
        <w:rPr>
          <w:rFonts w:ascii="Times New Roman;sans-serif" w:hAnsi="Times New Roman;sans-serif"/>
          <w:b w:val="false"/>
          <w:color w:val="000000"/>
          <w:sz w:val="22"/>
        </w:rPr>
        <w:t xml:space="preserve">). Any assignment or transfer by a Lender of rights or obligations under this Agreement that does not comply with this </w:t>
      </w:r>
      <w:r>
        <w:rPr>
          <w:rFonts w:ascii="Times New Roman;sans-serif" w:hAnsi="Times New Roman;sans-serif"/>
          <w:b w:val="false"/>
          <w:color w:val="000000"/>
          <w:sz w:val="22"/>
          <w:u w:val="single"/>
        </w:rPr>
        <w:t>Section 9.04</w:t>
      </w:r>
      <w:r>
        <w:rPr>
          <w:color w:val="000000"/>
        </w:rPr>
        <w:t xml:space="preserve"> </w:t>
      </w:r>
      <w:r>
        <w:rPr>
          <w:rFonts w:ascii="Times New Roman;sans-serif" w:hAnsi="Times New Roman;sans-serif"/>
          <w:b w:val="false"/>
          <w:color w:val="000000"/>
          <w:sz w:val="22"/>
        </w:rPr>
        <w:t xml:space="preserve">shall be treated for purposes of this Agreement as a sale by such Lender of a participation in such rights and obligations in accordance with </w:t>
      </w:r>
      <w:r>
        <w:rPr>
          <w:rFonts w:ascii="Times New Roman;sans-serif" w:hAnsi="Times New Roman;sans-serif"/>
          <w:b w:val="false"/>
          <w:color w:val="000000"/>
          <w:sz w:val="22"/>
          <w:u w:val="single"/>
        </w:rPr>
        <w:t>paragraph (c)</w:t>
      </w:r>
      <w:r>
        <w:rPr>
          <w:color w:val="000000"/>
        </w:rPr>
        <w:t xml:space="preserve"> </w:t>
      </w:r>
      <w:r>
        <w:rPr>
          <w:rFonts w:ascii="Times New Roman;sans-serif" w:hAnsi="Times New Roman;sans-serif"/>
          <w:b w:val="false"/>
          <w:color w:val="000000"/>
          <w:sz w:val="22"/>
        </w:rPr>
        <w:t>of this Section.</w: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(v)    The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amount of and stated interest on the Loans owing to, each Lender pursuant to the terms hereof from time to time (the “</w:t>
      </w:r>
      <w:r>
        <w:rPr>
          <w:rFonts w:ascii="Times New Roman;sans-serif" w:hAnsi="Times New Roman;sans-serif"/>
          <w:b/>
          <w:color w:val="000000"/>
          <w:sz w:val="22"/>
        </w:rPr>
        <w:t>Register</w:t>
      </w:r>
      <w:r>
        <w:rPr>
          <w:color w:val="000000"/>
        </w:rPr>
        <w:t>”</w:t>
      </w:r>
      <w:r>
        <w:rPr>
          <w:rFonts w:ascii="Times New Roman;sans-serif" w:hAnsi="Times New Roman;sans-serif"/>
          <w:b w:val="false"/>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701040"/>
                <wp:effectExtent l="0" t="0" r="0" b="0"/>
                <wp:wrapNone/>
                <wp:docPr id="228" name="Frame20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080"/>
        <w:jc w:val="both"/>
        <w:rPr/>
      </w:pPr>
      <w:r>
        <w:rPr>
          <w:rFonts w:ascii="Times New Roman;sans-serif" w:hAnsi="Times New Roman;sans-serif"/>
          <w:b w:val="false"/>
          <w:color w:val="000000"/>
          <w:sz w:val="22"/>
        </w:rPr>
        <w:t xml:space="preserve">(vi)    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this </w:t>
      </w:r>
      <w:r>
        <w:rPr>
          <w:rFonts w:ascii="Times New Roman;sans-serif" w:hAnsi="Times New Roman;sans-serif"/>
          <w:b w:val="false"/>
          <w:color w:val="000000"/>
          <w:sz w:val="22"/>
          <w:u w:val="single"/>
        </w:rPr>
        <w:t>subsection (b)</w:t>
      </w:r>
      <w:r>
        <w:rPr>
          <w:color w:val="000000"/>
        </w:rPr>
        <w:t xml:space="preserve"> </w:t>
      </w:r>
      <w:r>
        <w:rPr>
          <w:rFonts w:ascii="Times New Roman;sans-serif" w:hAnsi="Times New Roman;sans-serif"/>
          <w:b w:val="false"/>
          <w:color w:val="000000"/>
          <w:sz w:val="22"/>
        </w:rPr>
        <w:t xml:space="preserve">and any written consent to such assignment required by this </w:t>
      </w:r>
      <w:r>
        <w:rPr>
          <w:rFonts w:ascii="Times New Roman;sans-serif" w:hAnsi="Times New Roman;sans-serif"/>
          <w:b w:val="false"/>
          <w:color w:val="000000"/>
          <w:sz w:val="22"/>
          <w:u w:val="single"/>
        </w:rPr>
        <w:t>subsection (b)</w:t>
      </w:r>
      <w:r>
        <w:rPr>
          <w:rFonts w:ascii="Times New Roman;sans-serif" w:hAnsi="Times New Roman;sans-serif"/>
          <w:b w:val="false"/>
          <w:color w:val="000000"/>
          <w:sz w:val="22"/>
        </w:rPr>
        <w:t xml:space="preserve">, the Administrative Agent shall accept such Assignment and Assumption and record the information contained therein in the Register;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either the assigning Lender or the assignee shall have failed to make any payment required to be made by it pursuant to </w:t>
      </w:r>
      <w:r>
        <w:rPr>
          <w:rFonts w:ascii="Times New Roman;sans-serif" w:hAnsi="Times New Roman;sans-serif"/>
          <w:b w:val="false"/>
          <w:color w:val="000000"/>
          <w:sz w:val="22"/>
          <w:u w:val="single"/>
        </w:rPr>
        <w:t>2.07(b)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2.18(d)</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9.03(c)</w:t>
      </w:r>
      <w:r>
        <w:rPr>
          <w:rFonts w:ascii="Times New Roman;sans-serif" w:hAnsi="Times New Roman;sans-serif"/>
          <w:b w:val="false"/>
          <w:color w:val="000000"/>
          <w:sz w:val="22"/>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(c)    Any Lender may, without the consent of or notice to the Borrower or the Administrative Agent, sell participations to one or more banks or other entities (a “</w:t>
      </w:r>
      <w:r>
        <w:rPr>
          <w:rFonts w:ascii="Times New Roman;sans-serif" w:hAnsi="Times New Roman;sans-serif"/>
          <w:b/>
          <w:color w:val="000000"/>
          <w:sz w:val="22"/>
        </w:rPr>
        <w:t>Participant</w:t>
      </w:r>
      <w:r>
        <w:rPr>
          <w:color w:val="000000"/>
        </w:rPr>
        <w:t>”</w:t>
      </w:r>
      <w:r>
        <w:rPr>
          <w:rFonts w:ascii="Times New Roman;sans-serif" w:hAnsi="Times New Roman;sans-serif"/>
          <w:b w:val="false"/>
          <w:color w:val="000000"/>
          <w:sz w:val="22"/>
        </w:rPr>
        <w:t xml:space="preserve">) other than an Ineligible Institution in all or a portion of such Lender’s rights and obligations under this Agreement (including all or a portion of its Commitment and the Loans owing to it);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modification or waiver described in the first proviso to </w:t>
      </w:r>
      <w:r>
        <w:rPr>
          <w:rFonts w:ascii="Times New Roman;sans-serif" w:hAnsi="Times New Roman;sans-serif"/>
          <w:b w:val="false"/>
          <w:color w:val="000000"/>
          <w:sz w:val="22"/>
          <w:u w:val="single"/>
        </w:rPr>
        <w:t>Section 9.02(b)</w:t>
      </w:r>
      <w:r>
        <w:rPr>
          <w:color w:val="000000"/>
        </w:rPr>
        <w:t xml:space="preserve"> </w:t>
      </w:r>
      <w:r>
        <w:rPr>
          <w:rFonts w:ascii="Times New Roman;sans-serif" w:hAnsi="Times New Roman;sans-serif"/>
          <w:b w:val="false"/>
          <w:color w:val="000000"/>
          <w:sz w:val="22"/>
        </w:rPr>
        <w:t xml:space="preserve">that affects such Participant. The Borrower agrees that each Participant shall be entitled to the benefits of </w:t>
      </w:r>
      <w:r>
        <w:rPr>
          <w:rFonts w:ascii="Times New Roman;sans-serif" w:hAnsi="Times New Roman;sans-serif"/>
          <w:b w:val="false"/>
          <w:color w:val="000000"/>
          <w:sz w:val="22"/>
          <w:u w:val="single"/>
        </w:rPr>
        <w:t>Sections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(subject to the requirements and limitations therein, including the requirements under </w:t>
      </w:r>
      <w:r>
        <w:rPr>
          <w:rFonts w:ascii="Times New Roman;sans-serif" w:hAnsi="Times New Roman;sans-serif"/>
          <w:b w:val="false"/>
          <w:color w:val="000000"/>
          <w:sz w:val="22"/>
          <w:u w:val="single"/>
        </w:rPr>
        <w:t>Section 2.17(f)</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(it being understood that the documentation required under </w:t>
      </w:r>
      <w:r>
        <w:rPr>
          <w:rFonts w:ascii="Times New Roman;sans-serif" w:hAnsi="Times New Roman;sans-serif"/>
          <w:b w:val="false"/>
          <w:color w:val="000000"/>
          <w:sz w:val="22"/>
          <w:u w:val="single"/>
        </w:rPr>
        <w:t>Section 2.17(f)</w:t>
      </w:r>
      <w:r>
        <w:rPr>
          <w:color w:val="000000"/>
        </w:rPr>
        <w:t xml:space="preserve"> </w:t>
      </w:r>
      <w:r>
        <w:rPr>
          <w:rFonts w:ascii="Times New Roman;sans-serif" w:hAnsi="Times New Roman;sans-serif"/>
          <w:b w:val="false"/>
          <w:color w:val="000000"/>
          <w:sz w:val="22"/>
        </w:rPr>
        <w:t xml:space="preserve">shall be delivered to the participating Lender and the information and documentation required under </w:t>
      </w:r>
      <w:r>
        <w:rPr>
          <w:rFonts w:ascii="Times New Roman;sans-serif" w:hAnsi="Times New Roman;sans-serif"/>
          <w:b w:val="false"/>
          <w:color w:val="000000"/>
          <w:sz w:val="22"/>
          <w:u w:val="single"/>
        </w:rPr>
        <w:t>Section 2.17(g)</w:t>
      </w:r>
      <w:r>
        <w:rPr>
          <w:color w:val="000000"/>
        </w:rPr>
        <w:t xml:space="preserve"> </w:t>
      </w:r>
      <w:r>
        <w:rPr>
          <w:rFonts w:ascii="Times New Roman;sans-serif" w:hAnsi="Times New Roman;sans-serif"/>
          <w:b w:val="false"/>
          <w:color w:val="000000"/>
          <w:sz w:val="22"/>
        </w:rPr>
        <w:t xml:space="preserve">will be delivered to the Borrower and the Administrative Agent)) to the same extent as if it were a Lender and had acquired its interest by assignment pursuant to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 xml:space="preserve">of this Section;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such Participant (A) agrees to be subject to the provisions of </w:t>
      </w:r>
      <w:r>
        <w:rPr>
          <w:rFonts w:ascii="Times New Roman;sans-serif" w:hAnsi="Times New Roman;sans-serif"/>
          <w:b w:val="false"/>
          <w:color w:val="000000"/>
          <w:sz w:val="22"/>
          <w:u w:val="single"/>
        </w:rPr>
        <w:t>Sections 2.18</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2.19</w:t>
      </w:r>
      <w:r>
        <w:rPr>
          <w:color w:val="000000"/>
        </w:rPr>
        <w:t xml:space="preserve"> </w:t>
      </w:r>
      <w:r>
        <w:rPr>
          <w:rFonts w:ascii="Times New Roman;sans-serif" w:hAnsi="Times New Roman;sans-serif"/>
          <w:b w:val="false"/>
          <w:color w:val="000000"/>
          <w:sz w:val="22"/>
        </w:rPr>
        <w:t xml:space="preserve">as if it were an assignee under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 xml:space="preserve">of this Section; and (B) shall not be entitled to receive any greater payment under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w:t>
      </w:r>
      <w:r>
        <w:rPr>
          <w:rFonts w:ascii="Times New Roman;sans-serif" w:hAnsi="Times New Roman;sans-serif"/>
          <w:b w:val="false"/>
          <w:color w:val="000000"/>
          <w:sz w:val="22"/>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701040"/>
                <wp:effectExtent l="0" t="0" r="0" b="0"/>
                <wp:wrapNone/>
                <wp:docPr id="229" name="Frame20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Each Lender that sells a participation agrees, at the Borrower’s request and expense, to use reasonable efforts to cooperate with the Borrower to effectuate the provisions of </w:t>
      </w:r>
      <w:r>
        <w:rPr>
          <w:rFonts w:ascii="Times New Roman;sans-serif" w:hAnsi="Times New Roman;sans-serif"/>
          <w:b w:val="false"/>
          <w:color w:val="000000"/>
          <w:sz w:val="22"/>
          <w:u w:val="single"/>
        </w:rPr>
        <w:t>Section 2.19(b)</w:t>
      </w:r>
      <w:r>
        <w:rPr>
          <w:color w:val="000000"/>
        </w:rPr>
        <w:t xml:space="preserve"> </w:t>
      </w:r>
      <w:r>
        <w:rPr>
          <w:rFonts w:ascii="Times New Roman;sans-serif" w:hAnsi="Times New Roman;sans-serif"/>
          <w:b w:val="false"/>
          <w:color w:val="000000"/>
          <w:sz w:val="22"/>
        </w:rPr>
        <w:t xml:space="preserve">with respect to any Participant. To the extent permitted by law, each Participant also shall be entitled to the benefits of </w:t>
      </w:r>
      <w:r>
        <w:rPr>
          <w:rFonts w:ascii="Times New Roman;sans-serif" w:hAnsi="Times New Roman;sans-serif"/>
          <w:b w:val="false"/>
          <w:color w:val="000000"/>
          <w:sz w:val="22"/>
          <w:u w:val="single"/>
        </w:rPr>
        <w:t>Section 9.08</w:t>
      </w:r>
      <w:r>
        <w:rPr>
          <w:color w:val="000000"/>
        </w:rPr>
        <w:t xml:space="preserve"> </w:t>
      </w:r>
      <w:r>
        <w:rPr>
          <w:rFonts w:ascii="Times New Roman;sans-serif" w:hAnsi="Times New Roman;sans-serif"/>
          <w:b w:val="false"/>
          <w:color w:val="000000"/>
          <w:sz w:val="22"/>
        </w:rPr>
        <w:t xml:space="preserve">as though it were a Lender, provided such Participant agrees to be subject to </w:t>
      </w:r>
      <w:r>
        <w:rPr>
          <w:rFonts w:ascii="Times New Roman;sans-serif" w:hAnsi="Times New Roman;sans-serif"/>
          <w:b w:val="false"/>
          <w:color w:val="000000"/>
          <w:sz w:val="22"/>
          <w:u w:val="single"/>
        </w:rPr>
        <w:t>Section 2.18(c)</w:t>
      </w:r>
      <w:r>
        <w:rPr>
          <w:color w:val="000000"/>
        </w:rPr>
        <w:t xml:space="preserve"> </w:t>
      </w:r>
      <w:r>
        <w:rPr>
          <w:rFonts w:ascii="Times New Roman;sans-serif" w:hAnsi="Times New Roman;sans-serif"/>
          <w:b w:val="false"/>
          <w:color w:val="000000"/>
          <w:sz w:val="22"/>
        </w:rPr>
        <w:t>as though it were a Lender. Each Lender that sells a participation shall, acting solely for this purpose as an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sans-serif" w:hAnsi="Times New Roman;sans-serif"/>
          <w:b/>
          <w:color w:val="000000"/>
          <w:sz w:val="22"/>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If the Borrower reasonably believes that a participation has been sold by a Lender to a Disqualified Lender, the applicable Lender shall provide (upon receipt of written request from the Borrower) written confirmation to the Borrower either (1) confirming that no participations have been sold by such Lender to a Disqualified Lender or (2) if applicable, identifying the applicable Disqualified Lender to which it has sold a participation.</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(e)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such pledge or assignment of a security interest shall (i) release a Lender from any of its obligations hereunder or substitute any such pledgee or assignee for such Lender as a party hereto, or (ii) be permitted to be made to a Disqualified Lender.</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(f)    The Administrative Agent shall have the right, and the Borrower hereby expressly authorizes the Administrative Agent, to provide to any requesting Lender, the Disqualified Institution List and any updates thereto. The Borrower hereby agrees that any such requesting Lender may share the Disqualified Institution List with any potential assignee, transferee or participant. Neither the Administrative Agent nor any of its Related Parties shall be responsible or have any liability for, or have any duty to ascertain, inquire into, monitor or enforce, compliance with the provisions of this Agreement relating to Disqualified Lenders. Without limiting the generality of the foregoing, the Administrative Agent shall not (i) be obligated to ascertain, monitor or inquire as to whether any Lender or Participant or prospective Lender or Participant is a Disqualified Lender or (ii) have any liability with respect to or arising out of any assignment or participation of Commitments or Loans, or disclosure of confidential information, to any Disqualified Lender.</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701040"/>
                <wp:effectExtent l="0" t="0" r="0" b="0"/>
                <wp:wrapNone/>
                <wp:docPr id="230" name="Frame20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9.05.    </w:t>
      </w:r>
      <w:r>
        <w:rPr>
          <w:rFonts w:ascii="Times New Roman;sans-serif" w:hAnsi="Times New Roman;sans-serif"/>
          <w:b w:val="false"/>
          <w:i/>
          <w:color w:val="000000"/>
          <w:sz w:val="22"/>
        </w:rPr>
        <w:t>Survival</w:t>
      </w:r>
      <w:r>
        <w:rPr>
          <w:rFonts w:ascii="Times New Roman;sans-serif" w:hAnsi="Times New Roman;sans-serif"/>
          <w:b w:val="false"/>
          <w:color w:val="000000"/>
          <w:sz w:val="22"/>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w:t>
      </w:r>
      <w:r>
        <w:rPr>
          <w:rFonts w:ascii="Times New Roman;sans-serif" w:hAnsi="Times New Roman;sans-serif"/>
          <w:b w:val="false"/>
          <w:color w:val="000000"/>
          <w:sz w:val="22"/>
          <w:u w:val="single"/>
        </w:rPr>
        <w:t>Sections 2.15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shall survive and remain in full force and effect regardless of the consummation of the transactions contemplated hereby, the repayment of the Loans and the Commitments or the termination of this Agreement or any other Loan Document or any provision hereof or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9.06.    </w:t>
      </w:r>
      <w:r>
        <w:rPr>
          <w:rFonts w:ascii="Times New Roman;sans-serif" w:hAnsi="Times New Roman;sans-serif"/>
          <w:b w:val="false"/>
          <w:i/>
          <w:color w:val="000000"/>
          <w:sz w:val="22"/>
        </w:rPr>
        <w:t>Counterparts; Integration; Effectiveness; Electronic Execution</w:t>
      </w:r>
      <w:r>
        <w:rPr>
          <w:rFonts w:ascii="Times New Roman;sans-serif" w:hAnsi="Times New Roman;sans-serif"/>
          <w:b w:val="false"/>
          <w:color w:val="000000"/>
          <w:sz w:val="22"/>
        </w:rPr>
        <w:t xml:space="preserve">. (a) This Agreement may be executed in counterparts (and by different parties hereto on different counterparts), each of which shall be deemed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701040"/>
                <wp:effectExtent l="0" t="0" r="0" b="0"/>
                <wp:wrapNone/>
                <wp:docPr id="231" name="Frame20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(b)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sans-serif" w:hAnsi="Times New Roman;sans-serif"/>
          <w:b w:val="false"/>
          <w:color w:val="000000"/>
          <w:sz w:val="22"/>
          <w:u w:val="single"/>
        </w:rPr>
        <w:t>Section 9.01</w:t>
      </w:r>
      <w:r>
        <w:rPr>
          <w:rFonts w:ascii="Times New Roman;sans-serif" w:hAnsi="Times New Roman;sans-serif"/>
          <w:b w:val="false"/>
          <w:color w:val="000000"/>
          <w:sz w:val="22"/>
        </w:rPr>
        <w:t>), certificate, request, statement, disclosure or authorization related to this Agreement, any other Loan Document and/or the transactions contemplated hereby and/or thereby (each an “</w:t>
      </w:r>
      <w:r>
        <w:rPr>
          <w:rFonts w:ascii="Times New Roman;sans-serif" w:hAnsi="Times New Roman;sans-serif"/>
          <w:b/>
          <w:color w:val="000000"/>
          <w:sz w:val="22"/>
        </w:rPr>
        <w:t>Ancillary Document</w:t>
      </w:r>
      <w:r>
        <w:rPr>
          <w:color w:val="000000"/>
        </w:rPr>
        <w:t>”</w:t>
      </w:r>
      <w:r>
        <w:rPr>
          <w:rFonts w:ascii="Times New Roman;sans-serif" w:hAnsi="Times New Roman;sans-serif"/>
          <w:b w:val="false"/>
          <w:color w:val="000000"/>
          <w:sz w:val="22"/>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nothing herein shall require the Administrative Agent to accept Electronic Signatures in any form or format without its prior written consent and pursuant to procedures approved by it;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pStyle w:val="TextBody"/>
        <w:bidi w:val="0"/>
        <w:spacing w:before="0" w:after="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701040"/>
                <wp:effectExtent l="0" t="0" r="0" b="0"/>
                <wp:wrapNone/>
                <wp:docPr id="232" name="Frame20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9.07.    </w:t>
      </w:r>
      <w:r>
        <w:rPr>
          <w:rFonts w:ascii="Times New Roman;sans-serif" w:hAnsi="Times New Roman;sans-serif"/>
          <w:b w:val="false"/>
          <w:i/>
          <w:color w:val="000000"/>
          <w:sz w:val="22"/>
        </w:rPr>
        <w:t>Severability</w:t>
      </w:r>
      <w:r>
        <w:rPr>
          <w:rFonts w:ascii="Times New Roman;sans-serif" w:hAnsi="Times New Roman;sans-serif"/>
          <w:b w:val="false"/>
          <w:color w:val="000000"/>
          <w:sz w:val="22"/>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9.08.    </w:t>
      </w:r>
      <w:r>
        <w:rPr>
          <w:rFonts w:ascii="Times New Roman;sans-serif" w:hAnsi="Times New Roman;sans-serif"/>
          <w:b w:val="false"/>
          <w:i/>
          <w:color w:val="000000"/>
          <w:sz w:val="22"/>
        </w:rPr>
        <w:t>Right of Setoff</w:t>
      </w:r>
      <w:r>
        <w:rPr>
          <w:rFonts w:ascii="Times New Roman;sans-serif" w:hAnsi="Times New Roman;sans-serif"/>
          <w:b w:val="false"/>
          <w:color w:val="000000"/>
          <w:sz w:val="22"/>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Loan Party against any of and all the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9.09.    </w:t>
      </w:r>
      <w:r>
        <w:rPr>
          <w:rFonts w:ascii="Times New Roman;sans-serif" w:hAnsi="Times New Roman;sans-serif"/>
          <w:b w:val="false"/>
          <w:i/>
          <w:color w:val="000000"/>
          <w:sz w:val="22"/>
        </w:rPr>
        <w:t>Governing Law; Jurisdiction; Consent to Service of Process</w:t>
      </w:r>
      <w:r>
        <w:rPr>
          <w:rFonts w:ascii="Times New Roman;sans-serif" w:hAnsi="Times New Roman;sans-serif"/>
          <w:b w:val="false"/>
          <w:color w:val="000000"/>
          <w:sz w:val="22"/>
        </w:rPr>
        <w:t>. (a) The Loan Documents (other than those containing a contrary express choice of law provision) shall be governed by and construed in accordance with the internal laws (and not the law of conflicts) of the State of New York, but giving effect to federal laws applicable to national banks.</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Each Loan Party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or any Lender may otherwise have to bring any action or proceeding relating to this Agreement or any other Loan Document against any Loan Party or its properties in the courts of any jurisdiction.</w: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(c)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sans-serif" w:hAnsi="Times New Roman;sans-serif"/>
          <w:b w:val="false"/>
          <w:color w:val="000000"/>
          <w:sz w:val="22"/>
          <w:u w:val="single"/>
        </w:rPr>
        <w:t>paragraph (b)</w:t>
      </w:r>
      <w:r>
        <w:rPr>
          <w:color w:val="000000"/>
        </w:rPr>
        <w:t xml:space="preserve"> </w:t>
      </w:r>
      <w:r>
        <w:rPr>
          <w:rFonts w:ascii="Times New Roman;sans-serif" w:hAnsi="Times New Roman;sans-serif"/>
          <w:b w:val="false"/>
          <w:color w:val="000000"/>
          <w:sz w:val="22"/>
        </w:rPr>
        <w:t>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701040"/>
                <wp:effectExtent l="0" t="0" r="0" b="0"/>
                <wp:wrapNone/>
                <wp:docPr id="233" name="Frame20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36"/>
        <w:jc w:val="both"/>
        <w:rPr/>
      </w:pPr>
      <w:r>
        <w:rPr>
          <w:rFonts w:ascii="Times New Roman;sans-serif" w:hAnsi="Times New Roman;sans-serif"/>
          <w:b w:val="false"/>
          <w:color w:val="000000"/>
          <w:sz w:val="22"/>
        </w:rPr>
        <w:t xml:space="preserve">(d)    Each party to this Agreement irrevocably consents to service of process in the manner provided for notices in </w:t>
      </w:r>
      <w:r>
        <w:rPr>
          <w:rFonts w:ascii="Times New Roman;sans-serif" w:hAnsi="Times New Roman;sans-serif"/>
          <w:b w:val="false"/>
          <w:color w:val="000000"/>
          <w:sz w:val="22"/>
          <w:u w:val="single"/>
        </w:rPr>
        <w:t>Section 9.01</w:t>
      </w:r>
      <w:r>
        <w:rPr>
          <w:rFonts w:ascii="Times New Roman;sans-serif" w:hAnsi="Times New Roman;sans-serif"/>
          <w:b w:val="false"/>
          <w:color w:val="000000"/>
          <w:sz w:val="22"/>
        </w:rPr>
        <w:t>. Nothing in this Agreement or any other Loan Document will affect the right of any party to this Agreement to serve process in any other manner permitted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9.10.    </w:t>
      </w:r>
      <w:r>
        <w:rPr>
          <w:rFonts w:ascii="Times New Roman;sans-serif" w:hAnsi="Times New Roman;sans-serif"/>
          <w:b w:val="false"/>
          <w:i/>
          <w:color w:val="000000"/>
          <w:sz w:val="22"/>
        </w:rPr>
        <w:t>WAIVER OF JURY TRIAL</w:t>
      </w:r>
      <w:r>
        <w:rPr>
          <w:rFonts w:ascii="Times New Roman;sans-serif" w:hAnsi="Times New Roman;sans-serif"/>
          <w:b w:val="false"/>
          <w:color w:val="000000"/>
          <w:sz w:val="22"/>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9.11.    </w:t>
      </w:r>
      <w:r>
        <w:rPr>
          <w:rFonts w:ascii="Times New Roman;sans-serif" w:hAnsi="Times New Roman;sans-serif"/>
          <w:b w:val="false"/>
          <w:i/>
          <w:color w:val="000000"/>
          <w:sz w:val="22"/>
        </w:rPr>
        <w:t>Headings</w:t>
      </w:r>
      <w:r>
        <w:rPr>
          <w:rFonts w:ascii="Times New Roman;sans-serif" w:hAnsi="Times New Roman;sans-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701040"/>
                <wp:effectExtent l="0" t="0" r="0" b="0"/>
                <wp:wrapNone/>
                <wp:docPr id="234" name="Frame20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9.12.    </w:t>
      </w:r>
      <w:r>
        <w:rPr>
          <w:rFonts w:ascii="Times New Roman;sans-serif" w:hAnsi="Times New Roman;sans-serif"/>
          <w:b w:val="false"/>
          <w:i/>
          <w:color w:val="000000"/>
          <w:sz w:val="22"/>
        </w:rPr>
        <w:t>Confidentiality</w:t>
      </w:r>
      <w:r>
        <w:rPr>
          <w:rFonts w:ascii="Times New Roman;sans-serif" w:hAnsi="Times New Roman;sans-serif"/>
          <w:b w:val="false"/>
          <w:color w:val="000000"/>
          <w:sz w:val="22"/>
        </w:rPr>
        <w:t>. Each of the Administrative Agent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(other than a Disqualified Lender) in, or any prospective assignee of or Participant in, any of its rights or obligations under this Agreement or (ii) any actual or prospective counterparty (or its advisors) to any swap or derivative transaction relating to the Loan Parties and their obligations (other than a Disqualified Lender), (g) with the prior written consent of the Borrower, (h) to holders of Equity Interests in the Borrower, (i) to any Person providing a Guarantee of all or any portion of the Obligations, (j) to the extent such Information (i) becomes publicly available other than as a result of a breach of this Section or (ii) becomes available to the disclosing party on a non-confidential basis from a source other than the Borrower or (k) on a confidential basis to credit insurance providers, ratings agencies or the CUSIP Service Bureau. For the purposes of this Section, “</w:t>
      </w:r>
      <w:r>
        <w:rPr>
          <w:rFonts w:ascii="Times New Roman;sans-serif" w:hAnsi="Times New Roman;sans-serif"/>
          <w:b/>
          <w:color w:val="000000"/>
          <w:sz w:val="22"/>
        </w:rPr>
        <w:t>Information</w:t>
      </w:r>
      <w:r>
        <w:rPr>
          <w:color w:val="000000"/>
        </w:rPr>
        <w:t xml:space="preserve">” </w:t>
      </w:r>
      <w:r>
        <w:rPr>
          <w:rFonts w:ascii="Times New Roman;sans-serif" w:hAnsi="Times New Roman;sans-serif"/>
          <w:b w:val="false"/>
          <w:color w:val="000000"/>
          <w:sz w:val="22"/>
        </w:rPr>
        <w:t>means all information received from the Borrower or any of its subsidiaries relating to the Borrower, any of its subsidiaries or its business, other than any such information that is available to the Administrative Agent or any Lender on a non- confidential basis prior to disclosure by the Borrower or its subsidiaries and other than information pertaining to this Agreement provided by arrangers to data service providers, including league table providers, that serve the lending industry. For the avoidance of doubt, in no event will any disclosure of information be made to any Disqualified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EACH LENDER ACKNOWLEDGES THAT INFORMATION AS DEFINED IN </w:t>
      </w:r>
      <w:r>
        <w:rPr>
          <w:rFonts w:ascii="Times New Roman;sans-serif" w:hAnsi="Times New Roman;sans-serif"/>
          <w:b w:val="false"/>
          <w:color w:val="000000"/>
          <w:sz w:val="22"/>
          <w:u w:val="single"/>
        </w:rPr>
        <w:t>SECTION 9.12</w:t>
      </w:r>
      <w:r>
        <w:rPr>
          <w:color w:val="000000"/>
        </w:rPr>
        <w:t xml:space="preserve"> </w:t>
      </w:r>
      <w:r>
        <w:rPr>
          <w:rFonts w:ascii="Times New Roman;sans-serif" w:hAnsi="Times New Roman;sans-serif"/>
          <w:b w:val="false"/>
          <w:color w:val="000000"/>
          <w:sz w:val="22"/>
        </w:rPr>
        <w:t>FURNISHED TO IT PURSUANT TO THIS AGREEMENT MAY INCLUDE MATERIAL NON-PUBLIC INFORMATION CONCERNING THE BORROWER,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701040"/>
                <wp:effectExtent l="0" t="0" r="0" b="0"/>
                <wp:wrapNone/>
                <wp:docPr id="235" name="Frame21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9.13.    </w:t>
      </w:r>
      <w:r>
        <w:rPr>
          <w:rFonts w:ascii="Times New Roman;sans-serif" w:hAnsi="Times New Roman;sans-serif"/>
          <w:b w:val="false"/>
          <w:i/>
          <w:color w:val="000000"/>
          <w:sz w:val="22"/>
        </w:rPr>
        <w:t>Several Obligations; Nonreliance; Violation of Law</w:t>
      </w:r>
      <w:r>
        <w:rPr>
          <w:rFonts w:ascii="Times New Roman;sans-serif" w:hAnsi="Times New Roman;sans-serif"/>
          <w:b w:val="false"/>
          <w:color w:val="000000"/>
          <w:sz w:val="22"/>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no Lender shall be obligated to extend credit to the Borrower in violation of any Requirement of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9.14.    </w:t>
      </w:r>
      <w:r>
        <w:rPr>
          <w:rFonts w:ascii="Times New Roman;sans-serif" w:hAnsi="Times New Roman;sans-serif"/>
          <w:b w:val="false"/>
          <w:i/>
          <w:color w:val="000000"/>
          <w:sz w:val="22"/>
        </w:rPr>
        <w:t>USA PATRIOT Act; Beneficial Ownership</w:t>
      </w:r>
      <w:r>
        <w:rPr>
          <w:rFonts w:ascii="Times New Roman;sans-serif" w:hAnsi="Times New Roman;sans-serif"/>
          <w:b w:val="false"/>
          <w:color w:val="000000"/>
          <w:sz w:val="22"/>
        </w:rPr>
        <w:t>. Each Lender that is subject to the requirements of the USA PATRIOT Act and the requirements of the Beneficial Ownership Regulation hereby notifies each Loan Party that pursuant to the requirements of the USA PATRIOT Act and the Beneficial Ownership Regulation, it is required to obtain, verify and record information that identifies such Loan Party, which information includes the name and address of such Loan Party and other information that will allow such Lender to identify such Loan Party in accordance with the USA PATRIOT Act and the Beneficial Ownership Regulation.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9.15.    </w:t>
      </w:r>
      <w:r>
        <w:rPr>
          <w:rFonts w:ascii="Times New Roman;sans-serif" w:hAnsi="Times New Roman;sans-serif"/>
          <w:b w:val="false"/>
          <w:i/>
          <w:color w:val="000000"/>
          <w:sz w:val="22"/>
        </w:rPr>
        <w:t>Disclosure</w:t>
      </w:r>
      <w:r>
        <w:rPr>
          <w:rFonts w:ascii="Times New Roman;sans-serif" w:hAnsi="Times New Roman;sans-serif"/>
          <w:b w:val="false"/>
          <w:color w:val="000000"/>
          <w:sz w:val="22"/>
        </w:rPr>
        <w:t>. Each Loan Party and each Lender hereby acknowledges and agrees that the Administrative Agent and/or its Affiliates from time to time may hold investments in, make other loans to or have other relationships with any of the Loan Parties and their respective Affiliates.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9.16.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701040"/>
                <wp:effectExtent l="0" t="0" r="0" b="0"/>
                <wp:wrapNone/>
                <wp:docPr id="236" name="Frame21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9.17.    </w:t>
      </w:r>
      <w:r>
        <w:rPr>
          <w:rFonts w:ascii="Times New Roman;sans-serif" w:hAnsi="Times New Roman;sans-serif"/>
          <w:b w:val="false"/>
          <w:i/>
          <w:color w:val="000000"/>
          <w:sz w:val="22"/>
        </w:rPr>
        <w:t>Interest Rate Limitation</w:t>
      </w:r>
      <w:r>
        <w:rPr>
          <w:rFonts w:ascii="Times New Roman;sans-serif" w:hAnsi="Times New Roman;sans-serif"/>
          <w:b w:val="false"/>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color w:val="000000"/>
          <w:sz w:val="22"/>
        </w:rPr>
        <w:t>Interest</w:t>
      </w:r>
      <w:r>
        <w:rPr>
          <w:color w:val="000000"/>
        </w:rPr>
        <w:t xml:space="preserve"> </w:t>
      </w:r>
      <w:r>
        <w:rPr>
          <w:rFonts w:ascii="Times New Roman;sans-serif" w:hAnsi="Times New Roman;sans-serif"/>
          <w:b/>
          <w:color w:val="000000"/>
          <w:sz w:val="22"/>
        </w:rPr>
        <w:t>Charges</w:t>
      </w:r>
      <w:r>
        <w:rPr>
          <w:color w:val="000000"/>
        </w:rPr>
        <w:t>”</w:t>
      </w:r>
      <w:r>
        <w:rPr>
          <w:rFonts w:ascii="Times New Roman;sans-serif" w:hAnsi="Times New Roman;sans-serif"/>
          <w:b w:val="false"/>
          <w:color w:val="000000"/>
          <w:sz w:val="22"/>
        </w:rPr>
        <w:t>), shall exceed the maximum lawful rate (the “</w:t>
      </w:r>
      <w:r>
        <w:rPr>
          <w:rFonts w:ascii="Times New Roman;sans-serif" w:hAnsi="Times New Roman;sans-serif"/>
          <w:b/>
          <w:color w:val="000000"/>
          <w:sz w:val="22"/>
        </w:rPr>
        <w:t>Maximum Rate</w:t>
      </w:r>
      <w:r>
        <w:rPr>
          <w:color w:val="000000"/>
        </w:rPr>
        <w:t>”</w:t>
      </w:r>
      <w:r>
        <w:rPr>
          <w:rFonts w:ascii="Times New Roman;sans-serif" w:hAnsi="Times New Roman;sans-serif"/>
          <w:b w:val="false"/>
          <w:color w:val="000000"/>
          <w:sz w:val="22"/>
        </w:rPr>
        <w:t>) which may be contracted for, charged, taken, received or reserved by the Lender holding such Loan in accordance with applicable law, the rate of interest payable in respect of such Loan hereunder, together with all Interest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Interest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9.18.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9.19.    </w:t>
      </w:r>
      <w:r>
        <w:rPr>
          <w:rFonts w:ascii="Times New Roman;sans-serif" w:hAnsi="Times New Roman;sans-serif"/>
          <w:b w:val="false"/>
          <w:i/>
          <w:color w:val="000000"/>
          <w:sz w:val="22"/>
        </w:rPr>
        <w:t>Acknowledgement and Consent to Bail-In of Affected Financial Institutions</w:t>
      </w:r>
      <w:r>
        <w:rPr>
          <w:rFonts w:ascii="Times New Roman;sans-serif" w:hAnsi="Times New Roman;sans-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(a)    the application of any Write-Down and Conversion Powers by an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936"/>
        <w:jc w:val="both"/>
        <w:rPr>
          <w:rFonts w:ascii="Times New Roman;sans-serif" w:hAnsi="Times New Roman;sans-serif"/>
          <w:b w:val="false"/>
          <w:color w:val="000000"/>
          <w:sz w:val="22"/>
        </w:rPr>
      </w:pPr>
      <w:r>
        <w:rPr>
          <w:rFonts w:ascii="Times New Roman;sans-serif" w:hAnsi="Times New Roman;sans-serif"/>
          <w:b w:val="false"/>
          <w:color w:val="000000"/>
          <w:sz w:val="22"/>
        </w:rPr>
        <w:t>(b)    the effects of any Bail-In Action on any such liability, including, if applicable:</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    a reduction in full or in part or cancellation of any such liability;</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w:t>
      </w:r>
    </w:p>
    <w:p>
      <w:pPr>
        <w:pStyle w:val="TextBody"/>
        <w:bidi w:val="0"/>
        <w:spacing w:lineRule="auto" w:line="288" w:before="0" w:after="240"/>
        <w:ind w:left="0" w:right="0" w:firstLine="1080"/>
        <w:jc w:val="both"/>
        <w:rPr>
          <w:rFonts w:ascii="Times New Roman;sans-serif" w:hAnsi="Times New Roman;sans-serif"/>
          <w:b w:val="false"/>
          <w:color w:val="000000"/>
          <w:sz w:val="22"/>
        </w:rPr>
      </w:pPr>
      <w:r>
        <w:rPr>
          <w:rFonts w:ascii="Times New Roman;sans-serif" w:hAnsi="Times New Roman;sans-serif"/>
          <w:b w:val="false"/>
          <w:color w:val="000000"/>
          <w:sz w:val="22"/>
        </w:rPr>
        <w:t>(iii)    the variation of the terms of such liability in connection with the exercise of the Write-Down and Conversion Powers of the applicable Resolution Authority.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701040"/>
                <wp:effectExtent l="0" t="0" r="0" b="0"/>
                <wp:wrapNone/>
                <wp:docPr id="237" name="Frame21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9.20.    </w:t>
      </w:r>
      <w:r>
        <w:rPr>
          <w:rFonts w:ascii="Times New Roman;sans-serif" w:hAnsi="Times New Roman;sans-serif"/>
          <w:b w:val="false"/>
          <w:i/>
          <w:color w:val="000000"/>
          <w:sz w:val="22"/>
        </w:rPr>
        <w:t>No Fiduciary Duty, etc</w:t>
      </w:r>
      <w:r>
        <w:rPr>
          <w:rFonts w:ascii="Times New Roman;sans-serif" w:hAnsi="Times New Roman;sans-serif"/>
          <w:b w:val="false"/>
          <w:color w:val="000000"/>
          <w:sz w:val="22"/>
        </w:rPr>
        <w:t>.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 contemplated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hereby, and the Credit Parties shall have no responsibility or liability to the Borrower with respect thereto. 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9.21.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9.22.    </w:t>
      </w:r>
      <w:r>
        <w:rPr>
          <w:rFonts w:ascii="Times New Roman;sans-serif" w:hAnsi="Times New Roman;sans-serif"/>
          <w:b w:val="false"/>
          <w:i/>
          <w:color w:val="000000"/>
          <w:sz w:val="22"/>
        </w:rPr>
        <w:t>Acknowledgement Regarding Any Supported QFC</w:t>
      </w:r>
      <w:r>
        <w:rPr>
          <w:rFonts w:ascii="Times New Roman;sans-serif" w:hAnsi="Times New Roman;sans-serif"/>
          <w:b w:val="false"/>
          <w:color w:val="000000"/>
          <w:sz w:val="22"/>
        </w:rPr>
        <w:t>. To the extent that the Loan Documents provide support, through a guarantee or otherwise, for Swap Agreements or any other agreement or instrument that is a QFC (such support “</w:t>
      </w:r>
      <w:r>
        <w:rPr>
          <w:rFonts w:ascii="Times New Roman;sans-serif" w:hAnsi="Times New Roman;sans-serif"/>
          <w:b/>
          <w:color w:val="000000"/>
          <w:sz w:val="22"/>
        </w:rPr>
        <w:t>QFC Credit Suppor</w:t>
      </w:r>
      <w:r>
        <w:rPr>
          <w:rFonts w:ascii="Times New Roman;sans-serif" w:hAnsi="Times New Roman;sans-serif"/>
          <w:b w:val="false"/>
          <w:color w:val="000000"/>
          <w:sz w:val="22"/>
        </w:rPr>
        <w:t>t” and each such QFC a “</w:t>
      </w:r>
      <w:r>
        <w:rPr>
          <w:rFonts w:ascii="Times New Roman;sans-serif" w:hAnsi="Times New Roman;sans-serif"/>
          <w:b/>
          <w:color w:val="000000"/>
          <w:sz w:val="22"/>
        </w:rPr>
        <w:t>Supported QFC</w:t>
      </w:r>
      <w:r>
        <w:rPr>
          <w:color w:val="000000"/>
        </w:rPr>
        <w:t>”</w:t>
      </w:r>
      <w:r>
        <w:rPr>
          <w:rFonts w:ascii="Times New Roman;sans-serif" w:hAnsi="Times New Roman;sans-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2"/>
        </w:rPr>
        <w:t>U.S. Special Resolution Regimes</w:t>
      </w:r>
      <w:r>
        <w:rPr>
          <w:color w:val="000000"/>
        </w:rPr>
        <w:t>”</w:t>
      </w:r>
      <w:r>
        <w:rPr>
          <w:rFonts w:ascii="Times New Roman;sans-serif" w:hAnsi="Times New Roman;sans-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01040"/>
                <wp:effectExtent l="0" t="0" r="0" b="0"/>
                <wp:wrapNone/>
                <wp:docPr id="238" name="Frame21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In the event a Covered Entity that is party to a Supported QFC (each, a “</w:t>
      </w:r>
      <w:r>
        <w:rPr>
          <w:rFonts w:ascii="Times New Roman;sans-serif" w:hAnsi="Times New Roman;sans-serif"/>
          <w:b/>
          <w:color w:val="000000"/>
          <w:sz w:val="22"/>
        </w:rPr>
        <w:t>Covered Party</w:t>
      </w:r>
      <w:r>
        <w:rPr>
          <w:color w:val="000000"/>
        </w:rPr>
        <w:t>”</w:t>
      </w:r>
      <w:r>
        <w:rPr>
          <w:rFonts w:ascii="Times New Roman;sans-serif" w:hAnsi="Times New Roman;sans-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would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9.23.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9.24.    </w:t>
      </w:r>
      <w:r>
        <w:rPr>
          <w:rFonts w:ascii="Times New Roman;sans-serif" w:hAnsi="Times New Roman;sans-serif"/>
          <w:b w:val="false"/>
          <w:i/>
          <w:color w:val="000000"/>
          <w:sz w:val="22"/>
        </w:rPr>
        <w:t>Release of Liens and Guarantees</w:t>
      </w:r>
      <w:r>
        <w:rPr>
          <w:rFonts w:ascii="Times New Roman;sans-serif" w:hAnsi="Times New Roman;sans-serif"/>
          <w:b w:val="false"/>
          <w:color w:val="000000"/>
          <w:sz w:val="22"/>
        </w:rPr>
        <w:t xml:space="preserve">. A Subsidiary Guarantor shall automatically be released from its obligations under the Loan Documents upon the consummation of any single transaction or related series of transactions, or the occurrence of any event or circumstance, in each case, permitted by this Agreement as a result of which such Subsidiary Guarantor ceases to be a Restricted Subsidiary (including pursuant to a merger with a Person that is not a Loan Party or a designation as an Unrestricted Subsidiary) or otherwise becomes an Excluded Subsidiary with respect to the applicable obligations;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 Subsidiary Guarantor shall be automatically released from its obligations under the Loan Documents solely by reason of such Subsidiary Guarantor becoming a non-Wholly-Owned Subsidiary unless either (x) it is no longer a direct or indirect Subsidiary of the Borrower or (y) such Subsidiary Guarantor ceases to be a Wholly Owned Subsidiary as a result of a sale, issuance or transfer of Equity Interests to (A) a Person that is not an Affiliate of the Borrower or (B) an Affiliate of the Borrower if, in the case of this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xml:space="preserve">, such sale or transfer is made for a bona fide business purpose of the Borrower and its Subsidiaries and not for the primary purpose of evading the requirements under Section 5.13 (in each case as determined by the Borrower in good faith). Upon Payment in Full, all obligations under the Loan Documents and all Guarantees in respect thereof shall be automatically released. In connection with any termination or release pursuant to this </w:t>
      </w:r>
      <w:r>
        <w:rPr>
          <w:rFonts w:ascii="Times New Roman;sans-serif" w:hAnsi="Times New Roman;sans-serif"/>
          <w:b w:val="false"/>
          <w:color w:val="000000"/>
          <w:sz w:val="22"/>
          <w:u w:val="single"/>
        </w:rPr>
        <w:t>Section 9.24</w:t>
      </w:r>
      <w:r>
        <w:rPr>
          <w:color w:val="000000"/>
        </w:rPr>
        <w:t xml:space="preserve"> </w:t>
      </w:r>
      <w:r>
        <w:rPr>
          <w:rFonts w:ascii="Times New Roman;sans-serif" w:hAnsi="Times New Roman;sans-serif"/>
          <w:b w:val="false"/>
          <w:color w:val="000000"/>
          <w:sz w:val="22"/>
        </w:rPr>
        <w:t xml:space="preserve">or in connection with any subordination of its interest as required hereunder, the Administrative Agent shall execute and deliver to any Loan Party, at such Loan Party’s expense, all documents that such Loan Party shall reasonably request to evidence such termination, release or subordination. Any execution and delivery of documents pursuant to this </w:t>
      </w:r>
      <w:r>
        <w:rPr>
          <w:rFonts w:ascii="Times New Roman;sans-serif" w:hAnsi="Times New Roman;sans-serif"/>
          <w:b w:val="false"/>
          <w:color w:val="000000"/>
          <w:sz w:val="22"/>
          <w:u w:val="single"/>
        </w:rPr>
        <w:t xml:space="preserve">Section 9.24 </w:t>
      </w:r>
      <w:r>
        <w:rPr>
          <w:rFonts w:ascii="Times New Roman;sans-serif" w:hAnsi="Times New Roman;sans-serif"/>
          <w:b w:val="false"/>
          <w:color w:val="000000"/>
          <w:sz w:val="22"/>
        </w:rPr>
        <w:t xml:space="preserve">shall be without recourse to or warranty by the Administrative Agent. Upon request by the Administrative Agent at any time, the Required Lenders will confirm in writing the Administrative Agent’s authority to release any Loan Party from its obligations under any Loan Document, in each case in accordance with the terms of the Loan Documents and this </w:t>
      </w:r>
      <w:r>
        <w:rPr>
          <w:rFonts w:ascii="Times New Roman;sans-serif" w:hAnsi="Times New Roman;sans-serif"/>
          <w:b w:val="false"/>
          <w:color w:val="000000"/>
          <w:sz w:val="22"/>
          <w:u w:val="single"/>
        </w:rPr>
        <w:t>Section 9.24</w:t>
      </w:r>
      <w:r>
        <w:rPr>
          <w:rFonts w:ascii="Times New Roman;sans-serif" w:hAnsi="Times New Roman;sans-serif"/>
          <w:b w:val="false"/>
          <w:color w:val="000000"/>
          <w:sz w:val="22"/>
        </w:rPr>
        <w:t>.</w:t>
      </w:r>
    </w:p>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Pages Follow</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701040"/>
                <wp:effectExtent l="0" t="0" r="0" b="0"/>
                <wp:wrapNone/>
                <wp:docPr id="239" name="Frame21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duly executed by their respective authorized officers as of the day and year first above written.</w:t>
      </w:r>
    </w:p>
    <w:p>
      <w:pPr>
        <w:pStyle w:val="TextBody"/>
        <w:bidi w:val="0"/>
        <w:spacing w:before="0" w:after="240"/>
        <w:ind w:left="0" w:right="0" w:firstLine="720"/>
        <w:jc w:val="both"/>
        <w:rPr/>
      </w:pPr>
      <w:r>
        <w:rPr/>
      </w:r>
    </w:p>
    <w:p>
      <w:pPr>
        <w:pStyle w:val="TextBody"/>
        <w:bidi w:val="0"/>
        <w:spacing w:before="0" w:after="0"/>
        <w:jc w:val="left"/>
        <w:rPr/>
      </w:pPr>
      <w:r>
        <w:rPr/>
      </w:r>
    </w:p>
    <w:tbl>
      <w:tblPr>
        <w:tblW w:w="5015" w:type="dxa"/>
        <w:jc w:val="left"/>
        <w:tblInd w:w="0" w:type="dxa"/>
        <w:tblLayout w:type="fixed"/>
        <w:tblCellMar>
          <w:top w:w="28" w:type="dxa"/>
          <w:left w:w="28" w:type="dxa"/>
          <w:bottom w:w="28" w:type="dxa"/>
          <w:right w:w="28" w:type="dxa"/>
        </w:tblCellMar>
      </w:tblPr>
      <w:tblGrid>
        <w:gridCol w:w="124"/>
        <w:gridCol w:w="109"/>
        <w:gridCol w:w="109"/>
        <w:gridCol w:w="368"/>
        <w:gridCol w:w="368"/>
        <w:gridCol w:w="368"/>
        <w:gridCol w:w="1038"/>
        <w:gridCol w:w="1038"/>
        <w:gridCol w:w="14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5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 Gagan Dhingra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Gagan Dhingra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Interim Chief Financial Officer</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Principal Accounting Officer </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7450" w:type="dxa"/>
        <w:jc w:val="left"/>
        <w:tblInd w:w="0" w:type="dxa"/>
        <w:tblLayout w:type="fixed"/>
        <w:tblCellMar>
          <w:top w:w="28" w:type="dxa"/>
          <w:left w:w="28" w:type="dxa"/>
          <w:bottom w:w="28" w:type="dxa"/>
          <w:right w:w="28" w:type="dxa"/>
        </w:tblCellMar>
      </w:tblPr>
      <w:tblGrid>
        <w:gridCol w:w="124"/>
        <w:gridCol w:w="109"/>
        <w:gridCol w:w="109"/>
        <w:gridCol w:w="1105"/>
        <w:gridCol w:w="1105"/>
        <w:gridCol w:w="1105"/>
        <w:gridCol w:w="1105"/>
        <w:gridCol w:w="1105"/>
        <w:gridCol w:w="1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Ayar Third Investment Company, as the Administrative Agent and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Turqi A. Alnowaiser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Turqi A. Alnowaiser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Authorized Manager</w:t>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01040"/>
                <wp:effectExtent l="0" t="0" r="0" b="0"/>
                <wp:wrapNone/>
                <wp:docPr id="241" name="Frame21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right"/>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[FORM OF] ASSIGNMENT AND ASSUMPTION</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This Assignment and Assumption (the “</w:t>
      </w:r>
      <w:r>
        <w:rPr>
          <w:rFonts w:ascii="Times New Roman;sans-serif" w:hAnsi="Times New Roman;sans-serif"/>
          <w:b w:val="false"/>
          <w:color w:val="000000"/>
          <w:sz w:val="22"/>
          <w:u w:val="single"/>
        </w:rPr>
        <w:t>Assignment and Assumption</w:t>
      </w:r>
      <w:r>
        <w:rPr>
          <w:color w:val="000000"/>
        </w:rPr>
        <w:t>”</w:t>
      </w:r>
      <w:r>
        <w:rPr>
          <w:rFonts w:ascii="Times New Roman;sans-serif" w:hAnsi="Times New Roman;sans-serif"/>
          <w:b w:val="false"/>
          <w:color w:val="000000"/>
          <w:sz w:val="22"/>
        </w:rPr>
        <w:t>) is dated as of the Effective Date set forth below and is entered into by and between the Assignor identified in item 1 below (the “</w:t>
      </w:r>
      <w:r>
        <w:rPr>
          <w:rFonts w:ascii="Times New Roman;sans-serif" w:hAnsi="Times New Roman;sans-serif"/>
          <w:b w:val="false"/>
          <w:color w:val="000000"/>
          <w:sz w:val="22"/>
          <w:u w:val="single"/>
        </w:rPr>
        <w:t>Assignor</w:t>
      </w:r>
      <w:r>
        <w:rPr>
          <w:color w:val="000000"/>
        </w:rPr>
        <w:t>”</w:t>
      </w:r>
      <w:r>
        <w:rPr>
          <w:rFonts w:ascii="Times New Roman;sans-serif" w:hAnsi="Times New Roman;sans-serif"/>
          <w:b w:val="false"/>
          <w:color w:val="000000"/>
          <w:sz w:val="22"/>
        </w:rPr>
        <w:t>) and the Assignee identified in item 2 below (the “</w:t>
      </w:r>
      <w:r>
        <w:rPr>
          <w:rFonts w:ascii="Times New Roman;sans-serif" w:hAnsi="Times New Roman;sans-serif"/>
          <w:b w:val="false"/>
          <w:color w:val="000000"/>
          <w:sz w:val="22"/>
          <w:u w:val="single"/>
        </w:rPr>
        <w:t>Assignee</w:t>
      </w:r>
      <w:r>
        <w:rPr>
          <w:color w:val="000000"/>
        </w:rPr>
        <w:t>”</w:t>
      </w:r>
      <w:r>
        <w:rPr>
          <w:rFonts w:ascii="Times New Roman;sans-serif" w:hAnsi="Times New Roman;sans-serif"/>
          <w:b w:val="false"/>
          <w:color w:val="000000"/>
          <w:sz w:val="22"/>
        </w:rPr>
        <w:t>). Capitalized terms used but not defined herein shall have the meanings given to them in the Credit Agreement identified below (as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xml:space="preserve">), receipt of a copy of which is hereby acknowledged by the Assignee. The Standard Terms and Conditions set forth in </w:t>
      </w:r>
      <w:r>
        <w:rPr>
          <w:rFonts w:ascii="Times New Roman;sans-serif" w:hAnsi="Times New Roman;sans-serif"/>
          <w:b w:val="false"/>
          <w:color w:val="000000"/>
          <w:sz w:val="22"/>
          <w:u w:val="single"/>
        </w:rPr>
        <w:t>Annex 1</w:t>
      </w:r>
      <w:r>
        <w:rPr>
          <w:color w:val="000000"/>
        </w:rPr>
        <w:t xml:space="preserve"> </w:t>
      </w:r>
      <w:r>
        <w:rPr>
          <w:rFonts w:ascii="Times New Roman;sans-serif" w:hAnsi="Times New Roman;sans-serif"/>
          <w:b w:val="false"/>
          <w:color w:val="000000"/>
          <w:sz w:val="22"/>
        </w:rPr>
        <w:t>attached hereto are hereby agreed to and incorporated herein by reference and made a part of this Assignment and Assumption as if set forth herein in full.</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in respect of any commitments,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sans-serif" w:hAnsi="Times New Roman;sans-serif"/>
          <w:b w:val="false"/>
          <w:color w:val="000000"/>
          <w:sz w:val="22"/>
          <w:u w:val="single"/>
        </w:rPr>
        <w:t>Assigned Interest</w:t>
      </w:r>
      <w:r>
        <w:rPr>
          <w:color w:val="000000"/>
        </w:rPr>
        <w:t>”</w:t>
      </w:r>
      <w:r>
        <w:rPr>
          <w:rFonts w:ascii="Times New Roman;sans-serif" w:hAnsi="Times New Roman;sans-serif"/>
          <w:b w:val="false"/>
          <w:color w:val="000000"/>
          <w:sz w:val="22"/>
        </w:rPr>
        <w:t>). Such sale and assignment is without recourse to the Assignor and, except as expressly provided in this Assignment and Assumption, without representation or warranty by the Assignor.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615"/>
        <w:gridCol w:w="609"/>
        <w:gridCol w:w="575"/>
        <w:gridCol w:w="2529"/>
        <w:gridCol w:w="2292"/>
        <w:gridCol w:w="32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Assignor:</w:t>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Assignee:</w:t>
            </w:r>
          </w:p>
        </w:tc>
        <w:tc>
          <w:tcPr>
            <w:tcW w:w="80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[and is an Affiliate/Approved Fund of [identify Lender]</w:t>
            </w:r>
            <w:r>
              <w:rPr>
                <w:rFonts w:ascii="Times New Roman;sans-serif" w:hAnsi="Times New Roman;sans-serif"/>
                <w:b w:val="false"/>
                <w:color w:val="000000"/>
                <w:sz w:val="14"/>
              </w:rPr>
              <w:t>1</w:t>
            </w:r>
            <w:r>
              <w:rPr>
                <w:rFonts w:ascii="Times New Roman;sans-serif" w:hAnsi="Times New Roman;sans-serif"/>
                <w:b w:val="false"/>
                <w:color w:val="000000"/>
                <w:sz w:val="22"/>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Borrower:</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Ayar Third Investment Company, as the administrative agent under the Credit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Credit Agreement, dated as of August 4, 2024, among Lucid Group, Inc., the Lenders party thereto, and Ayar Third Investment Company, as Administrative Agent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Assigned Interest:</w:t>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2603" w:type="dxa"/>
        <w:jc w:val="left"/>
        <w:tblInd w:w="0" w:type="dxa"/>
        <w:tblLayout w:type="fixed"/>
        <w:tblCellMar>
          <w:top w:w="28" w:type="dxa"/>
          <w:left w:w="28" w:type="dxa"/>
          <w:bottom w:w="28" w:type="dxa"/>
          <w:right w:w="28" w:type="dxa"/>
        </w:tblCellMar>
      </w:tblPr>
      <w:tblGrid>
        <w:gridCol w:w="124"/>
        <w:gridCol w:w="109"/>
        <w:gridCol w:w="109"/>
        <w:gridCol w:w="629"/>
        <w:gridCol w:w="629"/>
        <w:gridCol w:w="6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Select as applicable.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04"/>
        <w:gridCol w:w="691"/>
        <w:gridCol w:w="664"/>
        <w:gridCol w:w="1149"/>
        <w:gridCol w:w="1149"/>
        <w:gridCol w:w="1152"/>
        <w:gridCol w:w="886"/>
        <w:gridCol w:w="886"/>
        <w:gridCol w:w="888"/>
        <w:gridCol w:w="536"/>
        <w:gridCol w:w="536"/>
        <w:gridCol w:w="764"/>
      </w:tblGrid>
      <w:tr>
        <w:trPr/>
        <w:tc>
          <w:tcPr>
            <w:tcW w:w="90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Facility Assigned</w:t>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Aggregate Amount of Commitment/Loans for all Lenders</w:t>
            </w:r>
          </w:p>
        </w:tc>
        <w:tc>
          <w:tcPr>
            <w:tcW w:w="2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Amount of Commitment/Loans Assigned</w:t>
            </w:r>
          </w:p>
        </w:tc>
        <w:tc>
          <w:tcPr>
            <w:tcW w:w="1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Percentage Assigned </w:t>
            </w:r>
          </w:p>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of </w:t>
            </w:r>
          </w:p>
          <w:p>
            <w:pPr>
              <w:pStyle w:val="TableContents"/>
              <w:bidi w:val="0"/>
              <w:spacing w:lineRule="auto" w:line="240" w:before="0" w:after="0"/>
              <w:jc w:val="center"/>
              <w:rPr/>
            </w:pPr>
            <w:r>
              <w:rPr>
                <w:rFonts w:ascii="Times New Roman;sans-serif" w:hAnsi="Times New Roman;sans-serif"/>
                <w:b/>
                <w:color w:val="000000"/>
                <w:sz w:val="22"/>
              </w:rPr>
              <w:t>Commitment/Loans</w:t>
            </w:r>
            <w:r>
              <w:rPr>
                <w:rFonts w:ascii="Times New Roman;sans-serif" w:hAnsi="Times New Roman;sans-serif"/>
                <w:b/>
                <w:color w:val="000000"/>
                <w:sz w:val="14"/>
              </w:rPr>
              <w:t>2</w:t>
            </w:r>
          </w:p>
        </w:tc>
      </w:tr>
      <w:tr>
        <w:trPr/>
        <w:tc>
          <w:tcPr>
            <w:tcW w:w="2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Delayed Draw Term Commitment</w:t>
            </w:r>
          </w:p>
        </w:tc>
        <w:tc>
          <w:tcPr>
            <w:tcW w:w="34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w:t>
            </w:r>
          </w:p>
        </w:tc>
        <w:tc>
          <w:tcPr>
            <w:tcW w:w="18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w:t>
            </w:r>
          </w:p>
        </w:tc>
      </w:tr>
    </w:tbl>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Effective Date: </w:t>
      </w:r>
      <w:r>
        <w:rPr>
          <w:color w:val="000000"/>
          <w:u w:val="single"/>
        </w:rPr>
        <w:t>    </w:t>
      </w:r>
      <w:r>
        <w:rPr>
          <w:rFonts w:ascii="Times New Roman;sans-serif" w:hAnsi="Times New Roman;sans-serif"/>
          <w:b w:val="false"/>
          <w:color w:val="000000"/>
          <w:sz w:val="22"/>
        </w:rPr>
        <w:t>, 20</w:t>
      </w:r>
      <w:r>
        <w:rPr>
          <w:color w:val="000000"/>
          <w:u w:val="single"/>
        </w:rPr>
        <w:t>    </w:t>
      </w:r>
      <w:r>
        <w:rPr>
          <w:color w:val="000000"/>
        </w:rPr>
        <w:t xml:space="preserve"> </w:t>
      </w:r>
      <w:r>
        <w:rPr>
          <w:rFonts w:ascii="Times New Roman;sans-serif" w:hAnsi="Times New Roman;sans-serif"/>
          <w:b w:val="false"/>
          <w:color w:val="000000"/>
          <w:sz w:val="22"/>
        </w:rPr>
        <w:t>[TO BE INSERTED BY ADMINISTRATIVE AGENT AND WHICH SHALL BE THE EFFECTIVE DATE OF RECORDATION OF TRANSFER IN THE REGISTER THEREFOR.]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8708" w:type="dxa"/>
        <w:jc w:val="left"/>
        <w:tblInd w:w="0" w:type="dxa"/>
        <w:tblLayout w:type="fixed"/>
        <w:tblCellMar>
          <w:top w:w="28" w:type="dxa"/>
          <w:left w:w="28" w:type="dxa"/>
          <w:bottom w:w="28" w:type="dxa"/>
          <w:right w:w="28" w:type="dxa"/>
        </w:tblCellMar>
      </w:tblPr>
      <w:tblGrid>
        <w:gridCol w:w="124"/>
        <w:gridCol w:w="109"/>
        <w:gridCol w:w="109"/>
        <w:gridCol w:w="1298"/>
        <w:gridCol w:w="1298"/>
        <w:gridCol w:w="1298"/>
        <w:gridCol w:w="1298"/>
        <w:gridCol w:w="1298"/>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Set forth, to at least 9 decimals, as a percentage of the Commitment/Loans of all Lenders thereunder.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85445"/>
                <wp:effectExtent l="0" t="0" r="0" b="0"/>
                <wp:wrapNone/>
                <wp:docPr id="243" name="Frame2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terms set forth in this Assignment and Assumption are hereby agreed to:</w:t>
      </w:r>
    </w:p>
    <w:tbl>
      <w:tblPr>
        <w:tblW w:w="2830" w:type="dxa"/>
        <w:jc w:val="left"/>
        <w:tblInd w:w="0" w:type="dxa"/>
        <w:tblLayout w:type="fixed"/>
        <w:tblCellMar>
          <w:top w:w="28" w:type="dxa"/>
          <w:left w:w="28" w:type="dxa"/>
          <w:bottom w:w="28" w:type="dxa"/>
          <w:right w:w="28" w:type="dxa"/>
        </w:tblCellMar>
      </w:tblPr>
      <w:tblGrid>
        <w:gridCol w:w="124"/>
        <w:gridCol w:w="109"/>
        <w:gridCol w:w="109"/>
        <w:gridCol w:w="386"/>
        <w:gridCol w:w="386"/>
        <w:gridCol w:w="386"/>
        <w:gridCol w:w="386"/>
        <w:gridCol w:w="386"/>
        <w:gridCol w:w="5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6"/>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ASSIGNOR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6"/>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ASSIGNOR]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tbl>
      <w:tblPr>
        <w:tblW w:w="2785" w:type="dxa"/>
        <w:jc w:val="left"/>
        <w:tblInd w:w="0" w:type="dxa"/>
        <w:tblLayout w:type="fixed"/>
        <w:tblCellMar>
          <w:top w:w="28" w:type="dxa"/>
          <w:left w:w="28" w:type="dxa"/>
          <w:bottom w:w="28" w:type="dxa"/>
          <w:right w:w="28" w:type="dxa"/>
        </w:tblCellMar>
      </w:tblPr>
      <w:tblGrid>
        <w:gridCol w:w="124"/>
        <w:gridCol w:w="109"/>
        <w:gridCol w:w="109"/>
        <w:gridCol w:w="379"/>
        <w:gridCol w:w="379"/>
        <w:gridCol w:w="379"/>
        <w:gridCol w:w="379"/>
        <w:gridCol w:w="379"/>
        <w:gridCol w:w="5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ASSIGNEE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6"/>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ASSIGNEE]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85445"/>
                <wp:effectExtent l="0" t="0" r="0" b="0"/>
                <wp:wrapNone/>
                <wp:docPr id="244" name="Frame2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txbxContent>
                </v:textbox>
                <w10:wrap type="none"/>
              </v:rect>
            </w:pict>
          </mc:Fallback>
        </mc:AlternateContent>
      </w:r>
    </w:p>
    <w:tbl>
      <w:tblPr>
        <w:tblW w:w="3954" w:type="dxa"/>
        <w:jc w:val="left"/>
        <w:tblInd w:w="0" w:type="dxa"/>
        <w:tblLayout w:type="fixed"/>
        <w:tblCellMar>
          <w:top w:w="28" w:type="dxa"/>
          <w:left w:w="28" w:type="dxa"/>
          <w:bottom w:w="28" w:type="dxa"/>
          <w:right w:w="28" w:type="dxa"/>
        </w:tblCellMar>
      </w:tblPr>
      <w:tblGrid>
        <w:gridCol w:w="124"/>
        <w:gridCol w:w="109"/>
        <w:gridCol w:w="109"/>
        <w:gridCol w:w="560"/>
        <w:gridCol w:w="560"/>
        <w:gridCol w:w="560"/>
        <w:gridCol w:w="560"/>
        <w:gridCol w:w="560"/>
        <w:gridCol w:w="8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6"/>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Consented to and Accepted: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6"/>
            <w:tcBorders/>
            <w:tcMar>
              <w:top w:w="0" w:type="dxa"/>
              <w:left w:w="0" w:type="dxa"/>
              <w:bottom w:w="0" w:type="dxa"/>
              <w:right w:w="0" w:type="dxa"/>
            </w:tcMar>
            <w:vAlign w:val="center"/>
          </w:tcPr>
          <w:p>
            <w:pPr>
              <w:pStyle w:val="TableContents"/>
              <w:bidi w:val="0"/>
              <w:spacing w:lineRule="auto" w:line="288" w:before="480" w:after="283"/>
              <w:jc w:val="left"/>
              <w:rPr/>
            </w:pPr>
            <w:r>
              <w:rPr>
                <w:rFonts w:ascii="Times New Roman;sans-serif" w:hAnsi="Times New Roman;sans-serif"/>
                <w:b w:val="false"/>
                <w:color w:val="000000"/>
                <w:sz w:val="22"/>
              </w:rPr>
              <w:t>[</w:t>
            </w:r>
            <w:r>
              <w:rPr>
                <w:rFonts w:ascii="Times New Roman;sans-serif" w:hAnsi="Times New Roman;sans-serif"/>
                <w:b/>
                <w:color w:val="000000"/>
                <w:sz w:val="22"/>
              </w:rPr>
              <w:t>Ayar Third Investment Company</w:t>
            </w:r>
            <w:r>
              <w:rPr>
                <w:rFonts w:ascii="Times New Roman;sans-serif" w:hAnsi="Times New Roman;sans-serif"/>
                <w:b w:val="false"/>
                <w:color w:val="000000"/>
                <w:sz w:val="22"/>
              </w:rPr>
              <w:t xml:space="preserve">, </w:t>
              <w:br/>
              <w:t>as the Administrative Agent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Title: ]</w:t>
            </w:r>
            <w:r>
              <w:rPr>
                <w:rFonts w:ascii="Times New Roman;sans-serif" w:hAnsi="Times New Roman;sans-serif"/>
                <w:b w:val="false"/>
                <w:color w:val="000000"/>
                <w:sz w:val="14"/>
              </w:rPr>
              <w:t>1</w:t>
            </w:r>
          </w:p>
        </w:tc>
      </w:tr>
    </w:tbl>
    <w:tbl>
      <w:tblPr>
        <w:tblW w:w="2904" w:type="dxa"/>
        <w:jc w:val="left"/>
        <w:tblInd w:w="0" w:type="dxa"/>
        <w:tblLayout w:type="fixed"/>
        <w:tblCellMar>
          <w:top w:w="28" w:type="dxa"/>
          <w:left w:w="28" w:type="dxa"/>
          <w:bottom w:w="28" w:type="dxa"/>
          <w:right w:w="28" w:type="dxa"/>
        </w:tblCellMar>
      </w:tblPr>
      <w:tblGrid>
        <w:gridCol w:w="124"/>
        <w:gridCol w:w="109"/>
        <w:gridCol w:w="109"/>
        <w:gridCol w:w="398"/>
        <w:gridCol w:w="398"/>
        <w:gridCol w:w="398"/>
        <w:gridCol w:w="398"/>
        <w:gridCol w:w="398"/>
        <w:gridCol w:w="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cMar>
              <w:top w:w="0" w:type="dxa"/>
              <w:left w:w="0" w:type="dxa"/>
              <w:bottom w:w="0" w:type="dxa"/>
              <w:right w:w="0" w:type="dxa"/>
            </w:tcMar>
            <w:vAlign w:val="center"/>
          </w:tcPr>
          <w:p>
            <w:pPr>
              <w:pStyle w:val="TableContents"/>
              <w:bidi w:val="0"/>
              <w:spacing w:lineRule="auto" w:line="288" w:before="480" w:after="283"/>
              <w:jc w:val="left"/>
              <w:rPr/>
            </w:pPr>
            <w:r>
              <w:rPr>
                <w:rFonts w:ascii="Times New Roman;sans-serif" w:hAnsi="Times New Roman;sans-serif"/>
                <w:b w:val="false"/>
                <w:color w:val="000000"/>
                <w:sz w:val="22"/>
              </w:rPr>
              <w:t>[</w:t>
            </w:r>
            <w:r>
              <w:rPr>
                <w:rFonts w:ascii="Times New Roman;sans-serif" w:hAnsi="Times New Roman;sans-serif"/>
                <w:b/>
                <w:color w:val="000000"/>
                <w:sz w:val="22"/>
              </w:rPr>
              <w:t>LUCID GROUP, INC.</w:t>
            </w:r>
            <w:r>
              <w:rPr>
                <w:rFonts w:ascii="Times New Roman;sans-serif" w:hAnsi="Times New Roman;sans-serif"/>
                <w:b w:val="false"/>
                <w:color w:val="000000"/>
                <w:sz w:val="22"/>
              </w:rPr>
              <w:t xml:space="preserve">, </w:t>
              <w:br/>
              <w:t>as the Borrower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Title: ]</w:t>
            </w:r>
            <w:r>
              <w:rPr>
                <w:rFonts w:ascii="Times New Roman;sans-serif" w:hAnsi="Times New Roman;sans-serif"/>
                <w:b w:val="false"/>
                <w:color w:val="000000"/>
                <w:sz w:val="14"/>
              </w:rPr>
              <w:t>2</w:t>
            </w:r>
          </w:p>
        </w:tc>
      </w:tr>
    </w:tbl>
    <w:p>
      <w:pPr>
        <w:pStyle w:val="TextBody"/>
        <w:bidi w:val="0"/>
        <w:spacing w:before="480" w:after="283"/>
        <w:jc w:val="left"/>
        <w:rPr/>
      </w:pPr>
      <w:r>
        <w:rPr/>
      </w:r>
    </w:p>
    <w:p>
      <w:pPr>
        <w:pStyle w:val="TextBody"/>
        <w:bidi w:val="0"/>
        <w:spacing w:before="0" w:after="0"/>
        <w:jc w:val="left"/>
        <w:rPr/>
      </w:pPr>
      <w:r>
        <w:rPr/>
      </w:r>
    </w:p>
    <w:p>
      <w:pPr>
        <w:pStyle w:val="TextBody"/>
        <w:bidi w:val="0"/>
        <w:spacing w:lineRule="auto" w:line="288" w:before="0" w:after="1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Insert if required pursuant to </w:t>
      </w:r>
      <w:r>
        <w:rPr>
          <w:rFonts w:ascii="Times New Roman;sans-serif" w:hAnsi="Times New Roman;sans-serif"/>
          <w:b w:val="false"/>
          <w:color w:val="000000"/>
          <w:sz w:val="20"/>
          <w:u w:val="single"/>
        </w:rPr>
        <w:t>Section 9.04(b)(i)(B)</w:t>
      </w:r>
      <w:r>
        <w:rPr>
          <w:color w:val="000000"/>
        </w:rPr>
        <w:t xml:space="preserve"> </w:t>
      </w:r>
      <w:r>
        <w:rPr>
          <w:rFonts w:ascii="Times New Roman;sans-serif" w:hAnsi="Times New Roman;sans-serif"/>
          <w:b w:val="false"/>
          <w:color w:val="000000"/>
          <w:sz w:val="20"/>
        </w:rPr>
        <w:t>of the Credit Agreement.</w:t>
      </w:r>
    </w:p>
    <w:p>
      <w:pPr>
        <w:pStyle w:val="TextBody"/>
        <w:bidi w:val="0"/>
        <w:spacing w:lineRule="auto" w:line="288" w:before="0" w:after="10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Insert if required pursuant to </w:t>
      </w:r>
      <w:r>
        <w:rPr>
          <w:rFonts w:ascii="Times New Roman;sans-serif" w:hAnsi="Times New Roman;sans-serif"/>
          <w:b w:val="false"/>
          <w:color w:val="000000"/>
          <w:sz w:val="20"/>
          <w:u w:val="single"/>
        </w:rPr>
        <w:t>Section 9.04(b)(i)(A)</w:t>
      </w:r>
      <w:r>
        <w:rPr>
          <w:color w:val="000000"/>
        </w:rPr>
        <w:t xml:space="preserve"> </w:t>
      </w:r>
      <w:r>
        <w:rPr>
          <w:rFonts w:ascii="Times New Roman;sans-serif" w:hAnsi="Times New Roman;sans-serif"/>
          <w:b w:val="false"/>
          <w:color w:val="000000"/>
          <w:sz w:val="20"/>
        </w:rPr>
        <w:t>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85445"/>
                <wp:effectExtent l="0" t="0" r="0" b="0"/>
                <wp:wrapNone/>
                <wp:docPr id="245" name="Frame2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ANNEX 1</w:t>
        <w:br/>
        <w:t>ASSIGNMENT AND ASSUMPTION</w: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 xml:space="preserve">STANDARD TERMS AND CONDITIONS FOR </w:t>
        <w:br/>
        <w:t>ASSIGNMENT AND ASSUMPTION</w:t>
      </w:r>
    </w:p>
    <w:p>
      <w:pPr>
        <w:pStyle w:val="TextBody"/>
        <w:bidi w:val="0"/>
        <w:spacing w:lineRule="auto" w:line="288" w:before="240" w:after="24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Assignor</w:t>
      </w:r>
      <w:r>
        <w:rPr>
          <w:rFonts w:ascii="Times New Roman;sans-serif" w:hAnsi="Times New Roman;sans-serif"/>
          <w:b w:val="false"/>
          <w:color w:val="000000"/>
          <w:sz w:val="22"/>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Assignee</w:t>
      </w:r>
      <w:r>
        <w:rPr>
          <w:rFonts w:ascii="Times New Roman;sans-serif" w:hAnsi="Times New Roman;sans-serif"/>
          <w:b w:val="false"/>
          <w:color w:val="000000"/>
          <w:sz w:val="22"/>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9.04 of the Credit Agreement (subject to such consents, if any, as may be required thereunder),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thereof, as applicable, and such other documents and information as it has deemed appropriate to make its own credit analysis and decision to enter into this Assignment and Assumption and to purchase the Assigned Interest, (vi) it has independently and without reliance on the Administrative Agent, any arranger or any other Lender and their respective Related Parties and based on documents and information as it has deemed appropriate, made its own credit analysis and decision to enter into this Assignment and Assumption and to purchase the Assigned Interest,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pStyle w:val="TextBody"/>
        <w:bidi w:val="0"/>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85445"/>
                <wp:effectExtent l="0" t="0" r="0" b="0"/>
                <wp:wrapNone/>
                <wp:docPr id="246" name="Frame2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General Provisions</w:t>
      </w:r>
      <w:r>
        <w:rPr>
          <w:rFonts w:ascii="Times New Roman;sans-serif" w:hAnsi="Times New Roman;sans-serif"/>
          <w:b w:val="false"/>
          <w:color w:val="000000"/>
          <w:sz w:val="22"/>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Platform shall be effective as delivery of a manually executed counterpart of this Assignment and Assumption. This Assignment and Assumption shall be governed by, and construed in accordance with, the law of the State of New York.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85445"/>
                <wp:effectExtent l="0" t="0" r="0" b="0"/>
                <wp:wrapNone/>
                <wp:docPr id="247" name="Frame2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right"/>
        <w:rPr>
          <w:rFonts w:ascii="Times New Roman;sans-serif" w:hAnsi="Times New Roman;sans-serif"/>
          <w:b/>
          <w:color w:val="000000"/>
          <w:sz w:val="22"/>
        </w:rPr>
      </w:pPr>
      <w:r>
        <w:rPr>
          <w:rFonts w:ascii="Times New Roman;sans-serif" w:hAnsi="Times New Roman;sans-serif"/>
          <w:b/>
          <w:color w:val="000000"/>
          <w:sz w:val="22"/>
        </w:rPr>
        <w:t>Exhibit B</w: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[FORM OF] BORROWING REQUEST</w:t>
      </w:r>
    </w:p>
    <w:p>
      <w:pPr>
        <w:pStyle w:val="TextBody"/>
        <w:bidi w:val="0"/>
        <w:spacing w:lineRule="auto" w:line="288" w:before="240" w:after="240"/>
        <w:jc w:val="both"/>
        <w:rPr/>
      </w:pPr>
      <w:r>
        <w:rPr>
          <w:rFonts w:ascii="Times New Roman;sans-serif" w:hAnsi="Times New Roman;sans-serif"/>
          <w:b w:val="false"/>
          <w:color w:val="000000"/>
          <w:sz w:val="22"/>
        </w:rPr>
        <w:t>Date: [</w:t>
      </w:r>
      <w:r>
        <w:rPr>
          <w:rFonts w:ascii="Times New Roman;sans-serif" w:hAnsi="Times New Roman;sans-serif"/>
          <w:b w:val="false"/>
          <w:color w:val="000000"/>
          <w:sz w:val="22"/>
          <w:u w:val="single"/>
        </w:rPr>
        <w:t>_____]</w:t>
      </w:r>
      <w:r>
        <w:rPr>
          <w:rFonts w:ascii="Times New Roman;sans-serif" w:hAnsi="Times New Roman;sans-serif"/>
          <w:b w:val="false"/>
          <w:color w:val="000000"/>
          <w:sz w:val="22"/>
        </w:rPr>
        <w:t>, 20[_____]</w:t>
      </w:r>
    </w:p>
    <w:p>
      <w:pPr>
        <w:pStyle w:val="TextBody"/>
        <w:bidi w:val="0"/>
        <w:spacing w:lineRule="auto" w:line="288" w:before="240" w:after="240"/>
        <w:jc w:val="both"/>
        <w:rPr/>
      </w:pPr>
      <w:r>
        <w:rPr>
          <w:rFonts w:ascii="Times New Roman;sans-serif" w:hAnsi="Times New Roman;sans-serif"/>
          <w:b w:val="false"/>
          <w:color w:val="000000"/>
          <w:sz w:val="22"/>
        </w:rPr>
        <w:t>Ayar Third Investment Company,</w:t>
        <w:br/>
        <w:t>as Administrative Agent</w:t>
        <w:br/>
        <w:t>[</w:t>
      </w:r>
      <w:r>
        <w:rPr>
          <w:rFonts w:ascii="Times New Roman;sans-serif" w:hAnsi="Times New Roman;sans-serif"/>
          <w:b w:val="false"/>
          <w:i/>
          <w:color w:val="000000"/>
          <w:sz w:val="22"/>
        </w:rPr>
        <w:t>insert address</w:t>
      </w:r>
      <w:r>
        <w:rPr>
          <w:rFonts w:ascii="Times New Roman;sans-serif" w:hAnsi="Times New Roman;sans-serif"/>
          <w:b w:val="false"/>
          <w:color w:val="000000"/>
          <w:sz w:val="22"/>
        </w:rPr>
        <w:t xml:space="preserve">] </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bidi w:val="0"/>
        <w:spacing w:lineRule="auto" w:line="288" w:before="240" w:after="240"/>
        <w:jc w:val="both"/>
        <w:rPr/>
      </w:pPr>
      <w:r>
        <w:rPr>
          <w:rFonts w:ascii="Times New Roman;sans-serif" w:hAnsi="Times New Roman;sans-serif"/>
          <w:b w:val="false"/>
          <w:color w:val="000000"/>
          <w:sz w:val="22"/>
        </w:rPr>
        <w:t>Reference is hereby made to that certain Credit Agreement dated as of August 4, 2024 (as it may be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capitalized terms used but not defined herein shall have the meaning assigned thereto in the Credit Agreement), among Lucid Group, Inc., a Delaware corporation, as the Borrower, the Lenders from time to time party thereto and Ayar Third Investment Company, as Administrative Agent for the Lenders.</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hereby requests a Borrowing of Delayed Draw Term Loans:</w:t>
      </w:r>
    </w:p>
    <w:p>
      <w:pPr>
        <w:pStyle w:val="TextBody"/>
        <w:bidi w:val="0"/>
        <w:spacing w:lineRule="auto" w:line="288" w:before="24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    Borrower: Lucid Group, Inc.</w:t>
      </w:r>
    </w:p>
    <w:p>
      <w:pPr>
        <w:pStyle w:val="TextBody"/>
        <w:bidi w:val="0"/>
        <w:spacing w:lineRule="auto" w:line="288" w:before="240" w:after="240"/>
        <w:ind w:left="0" w:right="0" w:hanging="360"/>
        <w:jc w:val="both"/>
        <w:rPr/>
      </w:pPr>
      <w:r>
        <w:rPr>
          <w:rFonts w:ascii="Times New Roman;sans-serif" w:hAnsi="Times New Roman;sans-serif"/>
          <w:b w:val="false"/>
          <w:color w:val="000000"/>
          <w:sz w:val="22"/>
        </w:rPr>
        <w:t>2.    In the aggregate principal amount of: [$]_____.</w:t>
      </w:r>
      <w:r>
        <w:rPr>
          <w:rFonts w:ascii="Times New Roman;sans-serif" w:hAnsi="Times New Roman;sans-serif"/>
          <w:b w:val="false"/>
          <w:color w:val="000000"/>
          <w:sz w:val="14"/>
        </w:rPr>
        <w:t>1</w:t>
      </w:r>
    </w:p>
    <w:p>
      <w:pPr>
        <w:pStyle w:val="TextBody"/>
        <w:bidi w:val="0"/>
        <w:spacing w:lineRule="auto" w:line="288" w:before="240" w:after="240"/>
        <w:ind w:left="0" w:right="0" w:hanging="360"/>
        <w:jc w:val="both"/>
        <w:rPr/>
      </w:pPr>
      <w:r>
        <w:rPr>
          <w:rFonts w:ascii="Times New Roman;sans-serif" w:hAnsi="Times New Roman;sans-serif"/>
          <w:b w:val="false"/>
          <w:color w:val="000000"/>
          <w:sz w:val="22"/>
        </w:rPr>
        <w:t>3.    Date of Borrowing: _____.</w:t>
      </w:r>
      <w:r>
        <w:rPr>
          <w:rFonts w:ascii="Times New Roman;sans-serif" w:hAnsi="Times New Roman;sans-serif"/>
          <w:b w:val="false"/>
          <w:color w:val="000000"/>
          <w:sz w:val="14"/>
        </w:rPr>
        <w:t>2</w:t>
      </w:r>
    </w:p>
    <w:p>
      <w:pPr>
        <w:pStyle w:val="TextBody"/>
        <w:bidi w:val="0"/>
        <w:spacing w:lineRule="auto" w:line="288" w:before="240" w:after="240"/>
        <w:ind w:left="0" w:right="0" w:hanging="360"/>
        <w:jc w:val="both"/>
        <w:rPr/>
      </w:pPr>
      <w:r>
        <w:rPr>
          <w:rFonts w:ascii="Times New Roman;sans-serif" w:hAnsi="Times New Roman;sans-serif"/>
          <w:b w:val="false"/>
          <w:color w:val="000000"/>
          <w:sz w:val="22"/>
        </w:rPr>
        <w:t>4.    Type of Borrowing: _____.</w:t>
      </w:r>
      <w:r>
        <w:rPr>
          <w:rFonts w:ascii="Times New Roman;sans-serif" w:hAnsi="Times New Roman;sans-serif"/>
          <w:b w:val="false"/>
          <w:color w:val="000000"/>
          <w:sz w:val="14"/>
        </w:rPr>
        <w:t>3</w:t>
      </w:r>
    </w:p>
    <w:p>
      <w:pPr>
        <w:pStyle w:val="TextBody"/>
        <w:bidi w:val="0"/>
        <w:spacing w:lineRule="auto" w:line="288" w:before="240" w:after="240"/>
        <w:ind w:left="0" w:right="0" w:hanging="360"/>
        <w:jc w:val="both"/>
        <w:rPr/>
      </w:pPr>
      <w:r>
        <w:rPr>
          <w:rFonts w:ascii="Times New Roman;sans-serif" w:hAnsi="Times New Roman;sans-serif"/>
          <w:b w:val="false"/>
          <w:color w:val="000000"/>
          <w:sz w:val="22"/>
        </w:rPr>
        <w:t>5.    [Interest Period: [Three Months.]]</w:t>
      </w:r>
      <w:r>
        <w:rPr>
          <w:rFonts w:ascii="Times New Roman;sans-serif" w:hAnsi="Times New Roman;sans-serif"/>
          <w:b w:val="false"/>
          <w:color w:val="000000"/>
          <w:sz w:val="14"/>
        </w:rPr>
        <w:t>4</w:t>
      </w:r>
      <w:r>
        <w:rPr>
          <w:color w:val="000000"/>
        </w:rPr>
        <w:t xml:space="preserve"> </w:t>
      </w:r>
      <w:r>
        <w:rPr>
          <w:rFonts w:ascii="Times New Roman;sans-serif" w:hAnsi="Times New Roman;sans-serif"/>
          <w:b w:val="false"/>
          <w:color w:val="000000"/>
          <w:sz w:val="14"/>
        </w:rPr>
        <w:t>5</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pStyle w:val="TextBody"/>
        <w:bidi w:val="0"/>
        <w:spacing w:before="0" w:after="0"/>
        <w:jc w:val="both"/>
        <w:rPr/>
      </w:pPr>
      <w:r>
        <w:rPr/>
      </w:r>
    </w:p>
    <w:p>
      <w:pPr>
        <w:pStyle w:val="TextBody"/>
        <w:bidi w:val="0"/>
        <w:spacing w:lineRule="auto" w:line="288" w:before="0" w:after="1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 be an integral multiple of the Dollar Equivalent of $50,000,000 and not less than the Dollar Equivalent of $25,000,000.</w:t>
      </w:r>
    </w:p>
    <w:p>
      <w:pPr>
        <w:pStyle w:val="TextBody"/>
        <w:bidi w:val="0"/>
        <w:spacing w:lineRule="auto" w:line="288" w:before="0" w:after="10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Specify the Business Day that such Borrowing is to be made. A Borrowing Request is required to be delivered by, in the case of (a) a Term SOFR Borrowing, 10:00 a.m., New York City time, ten (10) Business Days in advance of such proposed Borrowing, or (b) an ABR Borrowing, 1:00 p.m., New York City time, one (1) Business Day in advance of such proposed Borrowing.</w:t>
      </w:r>
    </w:p>
    <w:p>
      <w:pPr>
        <w:pStyle w:val="TextBody"/>
        <w:bidi w:val="0"/>
        <w:spacing w:lineRule="auto" w:line="288" w:before="0" w:after="1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Specify whether the requested Borrowing is to be an ABR Borrowing or Term SOFR Borrowing.</w:t>
      </w:r>
    </w:p>
    <w:p>
      <w:pPr>
        <w:pStyle w:val="TextBody"/>
        <w:bidi w:val="0"/>
        <w:spacing w:lineRule="auto" w:line="288" w:before="0" w:after="10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Include if the proposed Borrowing is a Term SOFR Borrowing.</w:t>
      </w:r>
    </w:p>
    <w:p>
      <w:pPr>
        <w:pStyle w:val="TextBody"/>
        <w:bidi w:val="0"/>
        <w:spacing w:lineRule="auto" w:line="288" w:before="0" w:after="100"/>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May be coterminous with another Term SOFR Borrowing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85445"/>
                <wp:effectExtent l="0" t="0" r="0" b="0"/>
                <wp:wrapNone/>
                <wp:docPr id="248" name="Frame2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officer is executing this Borrowing Request not in its individual capacity but in its capacity as a Responsible Officer of the Borrower.</w:t>
      </w:r>
    </w:p>
    <w:tbl>
      <w:tblPr>
        <w:tblW w:w="2831" w:type="dxa"/>
        <w:jc w:val="left"/>
        <w:tblInd w:w="0" w:type="dxa"/>
        <w:tblLayout w:type="fixed"/>
        <w:tblCellMar>
          <w:top w:w="28" w:type="dxa"/>
          <w:left w:w="28" w:type="dxa"/>
          <w:bottom w:w="28" w:type="dxa"/>
          <w:right w:w="28" w:type="dxa"/>
        </w:tblCellMar>
      </w:tblPr>
      <w:tblGrid>
        <w:gridCol w:w="124"/>
        <w:gridCol w:w="109"/>
        <w:gridCol w:w="109"/>
        <w:gridCol w:w="388"/>
        <w:gridCol w:w="388"/>
        <w:gridCol w:w="388"/>
        <w:gridCol w:w="388"/>
        <w:gridCol w:w="388"/>
        <w:gridCol w:w="5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6"/>
            <w:tcBorders/>
            <w:tcMar>
              <w:top w:w="0" w:type="dxa"/>
              <w:left w:w="0" w:type="dxa"/>
              <w:bottom w:w="0" w:type="dxa"/>
              <w:right w:w="0" w:type="dxa"/>
            </w:tcMar>
            <w:vAlign w:val="center"/>
          </w:tcPr>
          <w:p>
            <w:pPr>
              <w:pStyle w:val="TableContents"/>
              <w:bidi w:val="0"/>
              <w:spacing w:lineRule="auto" w:line="288" w:before="480" w:after="283"/>
              <w:jc w:val="left"/>
              <w:rPr/>
            </w:pPr>
            <w:r>
              <w:rPr>
                <w:rFonts w:ascii="Times New Roman;sans-serif" w:hAnsi="Times New Roman;sans-serif"/>
                <w:b/>
                <w:color w:val="000000"/>
                <w:sz w:val="22"/>
              </w:rPr>
              <w:t>LUCID GROUP, INC.</w:t>
            </w:r>
            <w:r>
              <w:rPr>
                <w:rFonts w:ascii="Times New Roman;sans-serif" w:hAnsi="Times New Roman;sans-serif"/>
                <w:b w:val="false"/>
                <w:color w:val="000000"/>
                <w:sz w:val="22"/>
              </w:rPr>
              <w:t xml:space="preserve">, </w:t>
              <w:br/>
              <w:t>as the Borrower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85445"/>
                <wp:effectExtent l="0" t="0" r="0" b="0"/>
                <wp:wrapNone/>
                <wp:docPr id="249" name="Frame2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[Signature Page to Borrowing]</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[Signature Page to Borrowing]</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INTERCOMPANY SUBORDINATION AGREEMENT]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85445"/>
                <wp:effectExtent l="0" t="0" r="0" b="0"/>
                <wp:wrapNone/>
                <wp:docPr id="250" name="Frame2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C-1</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40"/>
        <w:jc w:val="right"/>
        <w:rPr>
          <w:rFonts w:ascii="Times New Roman;sans-serif" w:hAnsi="Times New Roman;sans-serif"/>
          <w:b/>
          <w:color w:val="000000"/>
          <w:sz w:val="22"/>
        </w:rPr>
      </w:pPr>
      <w:r>
        <w:rPr>
          <w:rFonts w:ascii="Times New Roman;sans-serif" w:hAnsi="Times New Roman;sans-serif"/>
          <w:b/>
          <w:color w:val="000000"/>
          <w:sz w:val="22"/>
        </w:rPr>
        <w:t>Exhibit D</w: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[FORM OF] COMPLIANCE CERTIFICATE</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Reference is hereby made to the Credit Agreement dated as of August 4, 2024 (as it may be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Lucid Group, Inc., a Delaware corporation, as the Borrower, the Lenders from time to time party thereto and Ayar Third Investment Company, as Administrative Agent. Capitalized terms used herein and not otherwise defined herein shall have the meanings assigned to such terms in the Credit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Pursuant to </w:t>
      </w:r>
      <w:r>
        <w:rPr>
          <w:rFonts w:ascii="Times New Roman;sans-serif" w:hAnsi="Times New Roman;sans-serif"/>
          <w:b w:val="false"/>
          <w:color w:val="000000"/>
          <w:sz w:val="22"/>
          <w:u w:val="single"/>
        </w:rPr>
        <w:t>Section 5.01(d)</w:t>
      </w:r>
      <w:r>
        <w:rPr>
          <w:color w:val="000000"/>
        </w:rPr>
        <w:t xml:space="preserve"> </w:t>
      </w:r>
      <w:r>
        <w:rPr>
          <w:rFonts w:ascii="Times New Roman;sans-serif" w:hAnsi="Times New Roman;sans-serif"/>
          <w:b w:val="false"/>
          <w:color w:val="000000"/>
          <w:sz w:val="22"/>
        </w:rPr>
        <w:t xml:space="preserve">of the Credit Agreement, the undersigned, in his/her capacity as a Responsible Officer of the Company and not in any individual capacity, certifies as of the date hereof, that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are reasonably detailed calculations of Liquidity, the data and calculations of which are true, complete and correct in all material respects.</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bidi w:val="0"/>
        <w:spacing w:before="240" w:after="2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85445"/>
                <wp:effectExtent l="0" t="0" r="0" b="0"/>
                <wp:wrapNone/>
                <wp:docPr id="251" name="Frame2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in his/her capacity as a Responsible Officer of the Company, has executed this certificate for and on behalf of the Company and has caused this certificate to be delivered this _____ day of _____, 20__.</w:t>
      </w:r>
    </w:p>
    <w:p>
      <w:pPr>
        <w:pStyle w:val="TextBody"/>
        <w:bidi w:val="0"/>
        <w:spacing w:before="0" w:after="0"/>
        <w:jc w:val="both"/>
        <w:rPr/>
      </w:pPr>
      <w:r>
        <w:rPr/>
      </w:r>
    </w:p>
    <w:tbl>
      <w:tblPr>
        <w:tblW w:w="2576" w:type="dxa"/>
        <w:jc w:val="left"/>
        <w:tblInd w:w="0" w:type="dxa"/>
        <w:tblLayout w:type="fixed"/>
        <w:tblCellMar>
          <w:top w:w="28" w:type="dxa"/>
          <w:left w:w="28" w:type="dxa"/>
          <w:bottom w:w="28" w:type="dxa"/>
          <w:right w:w="28" w:type="dxa"/>
        </w:tblCellMar>
      </w:tblPr>
      <w:tblGrid>
        <w:gridCol w:w="124"/>
        <w:gridCol w:w="109"/>
        <w:gridCol w:w="109"/>
        <w:gridCol w:w="348"/>
        <w:gridCol w:w="348"/>
        <w:gridCol w:w="348"/>
        <w:gridCol w:w="348"/>
        <w:gridCol w:w="348"/>
        <w:gridCol w:w="4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6"/>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85445"/>
                <wp:effectExtent l="0" t="0" r="0" b="0"/>
                <wp:wrapNone/>
                <wp:docPr id="252" name="Frame2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[Signature Page to Compliance Certificate]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[Signature Page to Compliance Certificate]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Liquidity calculations</w:t>
      </w:r>
    </w:p>
    <w:p>
      <w:pPr>
        <w:pStyle w:val="TextBody"/>
        <w:bidi w:val="0"/>
        <w:spacing w:before="240" w:after="24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85445"/>
                <wp:effectExtent l="0" t="0" r="0" b="0"/>
                <wp:wrapNone/>
                <wp:docPr id="253" name="Frame2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right"/>
        <w:rPr>
          <w:rFonts w:ascii="Times New Roman;sans-serif" w:hAnsi="Times New Roman;sans-serif"/>
          <w:b/>
          <w:color w:val="000000"/>
          <w:sz w:val="22"/>
        </w:rPr>
      </w:pPr>
      <w:r>
        <w:rPr>
          <w:rFonts w:ascii="Times New Roman;sans-serif" w:hAnsi="Times New Roman;sans-serif"/>
          <w:b/>
          <w:color w:val="000000"/>
          <w:sz w:val="22"/>
        </w:rPr>
        <w:t>Exhibit E-1</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FORM OF</w:t>
        <w:br/>
        <w:t>U.S. TAX COMPLIANCE CERTIFICATE</w:t>
        <w:br/>
        <w:t>(For Foreign Lenders That Are Not Partnerships For U.S. Federal Income Tax Purposes)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Reference is hereby made to that certain Credit Agreement dated as of August 4, 2024 (as it may be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Lucid Group, Inc., a Delaware corporation, as the Borrower, the Lenders from time to time party thereto and Ayar Third Investment Company, as Administrative Agent for the Lenders. Capitalized terms used but not defined herein shall have the meanings assigned to them in the Credit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“10-percent shareholder” of the Borrower within the meaning of Section 871(h)(3)(B) of the Code, (iv) it is not a controlled foreign corporation related to the Borrower as described in Section 881(c)(3)(C) of the Code and (v) no payment under any Loan Document is effectively connected with the undersigned’s conduct of a U.S. trade or business.</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the Borrower and the Administrative Agent with a certificate of its non-U.S. Person status on IRS Form W-8BEN or IRS Form W-8BEN-E,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the Borrower and the Administrative Agent in writing and deliver promptly to the Borrower and the Administrative Agent an updated certificate or other appropriate documentation (including any new documentation reasonably requested by the Borrower or the Administrative Agent) or promptly notify the Borrower and the Administrative Agent in writing of its legal ineligibility to do so and (2) the undersigned shall have at all times furnished the Borrower and the Administrative Agent with a properly completed and currently effective certificate in either the calendar year in which (and prior to the time) each payment is to be made to the undersigned, or either of the two calendar years preceding each payment.</w:t>
      </w:r>
    </w:p>
    <w:p>
      <w:pPr>
        <w:pStyle w:val="TextBody"/>
        <w:bidi w:val="0"/>
        <w:spacing w:before="0" w:after="0"/>
        <w:jc w:val="both"/>
        <w:rPr/>
      </w:pPr>
      <w:r>
        <w:rPr/>
      </w:r>
    </w:p>
    <w:tbl>
      <w:tblPr>
        <w:tblW w:w="3248" w:type="dxa"/>
        <w:jc w:val="left"/>
        <w:tblInd w:w="0" w:type="dxa"/>
        <w:tblLayout w:type="fixed"/>
        <w:tblCellMar>
          <w:top w:w="28" w:type="dxa"/>
          <w:left w:w="28" w:type="dxa"/>
          <w:bottom w:w="28" w:type="dxa"/>
          <w:right w:w="28" w:type="dxa"/>
        </w:tblCellMar>
      </w:tblPr>
      <w:tblGrid>
        <w:gridCol w:w="124"/>
        <w:gridCol w:w="109"/>
        <w:gridCol w:w="109"/>
        <w:gridCol w:w="349"/>
        <w:gridCol w:w="349"/>
        <w:gridCol w:w="349"/>
        <w:gridCol w:w="541"/>
        <w:gridCol w:w="541"/>
        <w:gridCol w:w="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6"/>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_____, 20[_____]</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85445"/>
                <wp:effectExtent l="0" t="0" r="0" b="0"/>
                <wp:wrapNone/>
                <wp:docPr id="254" name="Frame2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right"/>
        <w:rPr>
          <w:rFonts w:ascii="Times New Roman;sans-serif" w:hAnsi="Times New Roman;sans-serif"/>
          <w:b/>
          <w:color w:val="000000"/>
          <w:sz w:val="22"/>
        </w:rPr>
      </w:pPr>
      <w:r>
        <w:rPr>
          <w:rFonts w:ascii="Times New Roman;sans-serif" w:hAnsi="Times New Roman;sans-serif"/>
          <w:b/>
          <w:color w:val="000000"/>
          <w:sz w:val="22"/>
        </w:rPr>
        <w:t>Exhibit E-2</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FORM OF</w:t>
        <w:br/>
        <w:t>U.S. TAX COMPLIANCE CERTIFICATE</w:t>
        <w:br/>
        <w:t>(For Foreign Participants That Are Not Partnerships For U.S. Federal Income Tax Purposes)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Reference is hereby made to that certain Credit Agreement dated as of August 4, 2024 (as it may be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Lucid Group, Inc., a Delaware corporation, as the Borrower, the Lenders from time to time party thereto and Ayar Third Investment Company, as Administrative Agent for the Lenders. Capitalized terms used but not defined herein shall have the meanings assigned to them in the Credit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Borrower within the meaning of Section 871(h)(3)(B) of the Code, (iv) it is not a controlled foreign corporation related to the Borrower as described in Section 881(c)(3)(C) of the Code and (v) no payment under any Loan Document is effectively connected with the undersigned’s conduct of a U.S. trade or business.</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its participating Lender with a certificate of its non-U.S. Person status on IRS Form W-8BEN or IRS Form W- 8BEN-E,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(and prior to the time) each payment is to be made to the undersigned, or either of the two calendar years preceding each payment.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85445"/>
                <wp:effectExtent l="0" t="0" r="0" b="0"/>
                <wp:wrapNone/>
                <wp:docPr id="255" name="Frame2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E-2-1</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3518" w:type="dxa"/>
        <w:jc w:val="left"/>
        <w:tblInd w:w="0" w:type="dxa"/>
        <w:tblLayout w:type="fixed"/>
        <w:tblCellMar>
          <w:top w:w="28" w:type="dxa"/>
          <w:left w:w="28" w:type="dxa"/>
          <w:bottom w:w="28" w:type="dxa"/>
          <w:right w:w="28" w:type="dxa"/>
        </w:tblCellMar>
      </w:tblPr>
      <w:tblGrid>
        <w:gridCol w:w="124"/>
        <w:gridCol w:w="109"/>
        <w:gridCol w:w="109"/>
        <w:gridCol w:w="439"/>
        <w:gridCol w:w="439"/>
        <w:gridCol w:w="439"/>
        <w:gridCol w:w="543"/>
        <w:gridCol w:w="543"/>
        <w:gridCol w:w="7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PARTICIPANT]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_____, 20[_____]</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right"/>
        <w:rPr>
          <w:rFonts w:ascii="Times New Roman;sans-serif" w:hAnsi="Times New Roman;sans-serif"/>
          <w:b/>
          <w:color w:val="000000"/>
          <w:sz w:val="22"/>
        </w:rPr>
      </w:pPr>
      <w:r>
        <w:rPr>
          <w:rFonts w:ascii="Times New Roman;sans-serif" w:hAnsi="Times New Roman;sans-serif"/>
          <w:b/>
          <w:color w:val="000000"/>
          <w:sz w:val="22"/>
        </w:rPr>
        <w:t>Exhibit E-3</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FORM OF</w:t>
        <w:br/>
        <w:t>U.S. TAX COMPLIANCE CERTIFICATE</w:t>
        <w:br/>
        <w:t>(For Foreign Participants That Are Partnerships For U.S. Federal Income Tax Purposes)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Reference is hereby made to that certain Credit Agreement dated as of August 4, 2024 (as it may be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Lucid Group, Inc., a Delaware corporation, as the Borrower, the Lenders from time to time party thereto and Ayar Third Investment Company, as Administrative Agent for the Lenders. Capitalized terms used but not defined herein shall have the meanings assigned to them in the Credit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of the Credit Agreement, the undersigned hereby certifies that (i) it is the sole record owner of the participation in respect of which it is providing this certificate, (ii) it and/or its direct or indirect partners/members are the sole beneficial owners of such participation, (iii) neither the undersigned nor any of its direct or indirect partners/members claiming the portfolio interest exemption on behalf of itself or any of its beneficial owners is a bank within the meaning of Section 881(c)(3)(A) of the Code, (iv) none of its direct or indirect partners/members claiming the portfolio interest exemption on behalf of itself is a “10-percent shareholder” of the Borrower within the meaning of Section 871(h)(3)(B) of the Code, (v) none of its direct or indirect partners/members claiming the portfolio interest exemption on behalf of itself is a controlled foreign corporation related to the Borrower as described in Section 881(c)(3)(C) of the Code and (vi) no payment under any Loan Document is effectively connected with the conduct of a U.S. trade or business by the undersigned or any of its direct or indirect partners/members claiming the portfolio interest exemption on behalf of itself or any of its beneficial owners.</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its participating Lender with an IRS Form W-8IMY accompanied by an IRS Form W-8BEN, W-8BEN-E or W-8IMY, as applicable, from each of its direct or indirect partners/members claiming the portfolio interest exemption on behalf of itself or any of its beneficial owners.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(and prior to the time) each payment is to be made to the undersigned, or either of the two calendar years preceding each payment.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85445"/>
                <wp:effectExtent l="0" t="0" r="0" b="0"/>
                <wp:wrapNone/>
                <wp:docPr id="257" name="Frame2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E-3-1</w:t>
                      </w:r>
                    </w:p>
                    <w:p>
                      <w:pPr>
                        <w:pStyle w:val="TextBody"/>
                        <w:bidi w:val="0"/>
                        <w:spacing w:before="0" w:after="0"/>
                        <w:jc w:val="left"/>
                        <w:rPr/>
                      </w:pPr>
                      <w:r>
                        <w:rPr/>
                      </w:r>
                    </w:p>
                  </w:txbxContent>
                </v:textbox>
                <w10:wrap type="none"/>
              </v:rect>
            </w:pict>
          </mc:Fallback>
        </mc:AlternateContent>
      </w:r>
    </w:p>
    <w:p>
      <w:pPr>
        <w:pStyle w:val="TextBody"/>
        <w:bidi w:val="0"/>
        <w:spacing w:before="480" w:after="283"/>
        <w:jc w:val="left"/>
        <w:rPr/>
      </w:pPr>
      <w:r>
        <w:rPr/>
      </w:r>
    </w:p>
    <w:tbl>
      <w:tblPr>
        <w:tblW w:w="3518" w:type="dxa"/>
        <w:jc w:val="left"/>
        <w:tblInd w:w="0" w:type="dxa"/>
        <w:tblLayout w:type="fixed"/>
        <w:tblCellMar>
          <w:top w:w="28" w:type="dxa"/>
          <w:left w:w="28" w:type="dxa"/>
          <w:bottom w:w="28" w:type="dxa"/>
          <w:right w:w="28" w:type="dxa"/>
        </w:tblCellMar>
      </w:tblPr>
      <w:tblGrid>
        <w:gridCol w:w="124"/>
        <w:gridCol w:w="109"/>
        <w:gridCol w:w="109"/>
        <w:gridCol w:w="439"/>
        <w:gridCol w:w="439"/>
        <w:gridCol w:w="439"/>
        <w:gridCol w:w="543"/>
        <w:gridCol w:w="543"/>
        <w:gridCol w:w="7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PARTICIPANT]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_____, 20[_____]</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50520"/>
                <wp:effectExtent l="0" t="0" r="0" b="0"/>
                <wp:wrapNone/>
                <wp:docPr id="258" name="Frame2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right"/>
        <w:rPr>
          <w:rFonts w:ascii="Times New Roman;sans-serif" w:hAnsi="Times New Roman;sans-serif"/>
          <w:b/>
          <w:color w:val="000000"/>
          <w:sz w:val="22"/>
        </w:rPr>
      </w:pPr>
      <w:r>
        <w:rPr>
          <w:rFonts w:ascii="Times New Roman;sans-serif" w:hAnsi="Times New Roman;sans-serif"/>
          <w:b/>
          <w:color w:val="000000"/>
          <w:sz w:val="22"/>
        </w:rPr>
        <w:t>Exhibit E-4</w:t>
      </w:r>
    </w:p>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FORM OF</w:t>
        <w:br/>
        <w:t>U.S. TAX COMPLIANCE CERTIFICATE</w:t>
        <w:br/>
        <w:t>(For Foreign Lenders That Are Partnerships For U.S. Federal Income Tax Purposes)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Reference is hereby made to that certain Credit Agreement dated as of August 4, 2024 (as it may be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Lucid Group, Inc., a Delaware corporation, as the Borrower, the Lenders from time to time party thereto and Ayar Third Investment Company, as Administrative Agent for the Lenders. Capitalized terms used but not defined herein shall have the meanings assigned to them in the Credit Agreement.</w:t>
      </w:r>
    </w:p>
    <w:p>
      <w:pPr>
        <w:pStyle w:val="TextBody"/>
        <w:bidi w:val="0"/>
        <w:spacing w:lineRule="auto" w:line="288" w:before="240" w:after="240"/>
        <w:ind w:left="0" w:right="0" w:firstLine="720"/>
        <w:jc w:val="both"/>
        <w:rPr/>
      </w:pPr>
      <w:r>
        <w:rPr>
          <w:rFonts w:ascii="Times New Roman;sans-serif" w:hAnsi="Times New Roman;sans-serif"/>
          <w:b w:val="false"/>
          <w:color w:val="000000"/>
          <w:sz w:val="22"/>
        </w:rPr>
        <w:t xml:space="preserve">Pursuant to the provisions of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of the Credit Agreement, the undersigned hereby certifies that (i) it is the sole record owner of the Loan(s) (as well as any promissory note(s) evidencing such Loan(s)) in respect of which it is providing this certificate, (ii) it and/or its direct or indirect partners/members are the sole beneficial owners of such Loan(s) (as well as any promissory note(s) evidencing such Loan(s)), (iii) neither the undersigned nor any of its direct or indirect partners/members claiming the portfolio interest exemption on behalf of itself or any of its beneficial owners is a bank within the meaning of Section 881(c)(3)(A) of the Code, (iv) none of its direct or indirect partners/members claiming the portfolio interest exemption on behalf of itself is a “10-percent shareholder” of the Borrower within the meaning of Section 871(h)(3)(B) of the Code, (v) none of its direct or indirect partners/members claiming the portfolio interest exemption on behalf of itself is a controlled foreign corporation related to the Borrower as described in Section 881(c)(3)(C) of the Code and (vi) no payment under any Loan Document is effectively connected with the conduct of a U.S. trade or business by the undersigned or any of its direct or indirect partners/members claiming the portfolio interest exemption on behalf of itself or any of its beneficial owners.</w:t>
      </w:r>
    </w:p>
    <w:p>
      <w:pPr>
        <w:pStyle w:val="TextBody"/>
        <w:bidi w:val="0"/>
        <w:spacing w:lineRule="auto" w:line="288"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the Borrower and the Administrative Agent with an IRS Form W-8IMY accompanied by an IRS Form W-8BEN, W-8BEN-E or W-8IMY, as applicable, from each of its direct or indirect partners/members claiming the portfolio interest exemption on behalf of itself or any of its beneficial owners.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the Borrower and the Administrative Agent in writing and deliver promptly to the Borrower and the Administrative Agent an updated certificate or other appropriate documentation (including any new documentation reasonably requested by the Borrower or the Administrative Agent) or promptly notify the Borrower and the Administrative Agent in writing of its legal ineligibility to do so and (2) the undersigned shall have at all times furnished the Borrower and the Administrative Agent with a properly completed and currently effective certificate in either the calendar year in which (and prior to the time) each payment is to be made to the undersigned, or either of the two calendar years preceding each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85445"/>
                <wp:effectExtent l="0" t="0" r="0" b="0"/>
                <wp:wrapNone/>
                <wp:docPr id="259" name="Frame2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E-4-1</w:t>
                      </w:r>
                    </w:p>
                    <w:p>
                      <w:pPr>
                        <w:pStyle w:val="TextBody"/>
                        <w:bidi w:val="0"/>
                        <w:spacing w:before="0" w:after="0"/>
                        <w:jc w:val="left"/>
                        <w:rPr/>
                      </w:pPr>
                      <w:r>
                        <w:rPr/>
                      </w:r>
                    </w:p>
                  </w:txbxContent>
                </v:textbox>
                <w10:wrap type="none"/>
              </v:rect>
            </w:pict>
          </mc:Fallback>
        </mc:AlternateContent>
      </w:r>
    </w:p>
    <w:p>
      <w:pPr>
        <w:pStyle w:val="TextBody"/>
        <w:bidi w:val="0"/>
        <w:spacing w:before="480" w:after="283"/>
        <w:jc w:val="left"/>
        <w:rPr/>
      </w:pPr>
      <w:r>
        <w:rPr/>
      </w:r>
    </w:p>
    <w:tbl>
      <w:tblPr>
        <w:tblW w:w="3248" w:type="dxa"/>
        <w:jc w:val="left"/>
        <w:tblInd w:w="0" w:type="dxa"/>
        <w:tblLayout w:type="fixed"/>
        <w:tblCellMar>
          <w:top w:w="28" w:type="dxa"/>
          <w:left w:w="28" w:type="dxa"/>
          <w:bottom w:w="28" w:type="dxa"/>
          <w:right w:w="28" w:type="dxa"/>
        </w:tblCellMar>
      </w:tblPr>
      <w:tblGrid>
        <w:gridCol w:w="124"/>
        <w:gridCol w:w="109"/>
        <w:gridCol w:w="109"/>
        <w:gridCol w:w="349"/>
        <w:gridCol w:w="349"/>
        <w:gridCol w:w="349"/>
        <w:gridCol w:w="541"/>
        <w:gridCol w:w="541"/>
        <w:gridCol w:w="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6"/>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_____, 20[_____]</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2.png"/><Relationship Id="rId7" Type="http://schemas.openxmlformats.org/officeDocument/2006/relationships/image" Target="media/image5.png"/><Relationship Id="rId8" Type="http://schemas.openxmlformats.org/officeDocument/2006/relationships/image" Target="media/image3.png"/><Relationship Id="rId9" Type="http://schemas.openxmlformats.org/officeDocument/2006/relationships/image" Target="media/image6.png"/><Relationship Id="rId10" Type="http://schemas.openxmlformats.org/officeDocument/2006/relationships/image" Target="media/image2.png"/><Relationship Id="rId11" Type="http://schemas.openxmlformats.org/officeDocument/2006/relationships/image" Target="media/image5.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5.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2.png"/><Relationship Id="rId19" Type="http://schemas.openxmlformats.org/officeDocument/2006/relationships/image" Target="media/image5.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2.png"/><Relationship Id="rId23" Type="http://schemas.openxmlformats.org/officeDocument/2006/relationships/image" Target="media/image5.png"/><Relationship Id="rId24" Type="http://schemas.openxmlformats.org/officeDocument/2006/relationships/image" Target="media/image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229</Pages>
  <Words>109358</Words>
  <Characters>582067</Characters>
  <CharactersWithSpaces>691708</CharactersWithSpaces>
  <Paragraphs>2387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