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3_4-winitzer.xml.htm"/>
      <w:bookmarkStart w:id="1" w:name="ksdp192693_4winitze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Winitzer Ori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BLVD.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48,387</w:t>
            </w:r>
            <w:r>
              <w:rPr>
                <w:rFonts w:ascii="Times;serif" w:hAnsi="Times;serif"/>
                <w:color w:val="008000"/>
                <w:position w:val="7"/>
                <w:sz w:val="16"/>
                <w:sz w:val="20"/>
                <w:highlight w:val="white"/>
              </w:rPr>
              <w:t>(1)</w:t>
            </w:r>
            <w:r>
              <w:rPr/>
              <w:t xml:space="preserve"> </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48,387</w:t>
            </w:r>
          </w:p>
        </w:tc>
        <w:tc>
          <w:tcPr>
            <w:tcW w:w="10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will vest in equal annual installments on each of April 24, 2024, April 24, 2025 and April 24, 2026, subject to the reporting person's continued service through each applicable vesting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Ori Winitzer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74165"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596</Words>
  <CharactersWithSpaces>3771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