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333-258348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142875</wp:posOffset>
            </wp:positionV>
            <wp:extent cx="498919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85,750,000 Shares of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1,336,329,949 Shares of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11" w:lineRule="exact"/>
        <w:rPr>
          <w:sz w:val="24"/>
          <w:szCs w:val="24"/>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supplement is being filed to update and supplement the information contained in the prospectus dated August 24, 2021 (the “</w:t>
      </w:r>
      <w:r>
        <w:rPr>
          <w:rFonts w:ascii="Arial" w:cs="Arial" w:eastAsia="Arial" w:hAnsi="Arial"/>
          <w:sz w:val="18"/>
          <w:szCs w:val="18"/>
          <w:i w:val="1"/>
          <w:iCs w:val="1"/>
          <w:color w:val="auto"/>
        </w:rPr>
        <w:t>Prospectus</w:t>
      </w:r>
      <w:r>
        <w:rPr>
          <w:rFonts w:ascii="Arial" w:cs="Arial" w:eastAsia="Arial" w:hAnsi="Arial"/>
          <w:sz w:val="18"/>
          <w:szCs w:val="18"/>
          <w:color w:val="auto"/>
        </w:rPr>
        <w:t>”), which forms part of our registration statement on Form S-1 (No. 333-258348) with the information contained in our Current Report on Form 8-K, filed with the Securities and Exchange Commission (the “</w:t>
      </w:r>
      <w:r>
        <w:rPr>
          <w:rFonts w:ascii="Arial" w:cs="Arial" w:eastAsia="Arial" w:hAnsi="Arial"/>
          <w:sz w:val="18"/>
          <w:szCs w:val="18"/>
          <w:i w:val="1"/>
          <w:iCs w:val="1"/>
          <w:color w:val="auto"/>
        </w:rPr>
        <w:t>SEC</w:t>
      </w:r>
      <w:r>
        <w:rPr>
          <w:rFonts w:ascii="Arial" w:cs="Arial" w:eastAsia="Arial" w:hAnsi="Arial"/>
          <w:sz w:val="18"/>
          <w:szCs w:val="18"/>
          <w:color w:val="auto"/>
        </w:rPr>
        <w:t>”) on September 28, 2021 (the “</w:t>
      </w:r>
      <w:r>
        <w:rPr>
          <w:rFonts w:ascii="Arial" w:cs="Arial" w:eastAsia="Arial" w:hAnsi="Arial"/>
          <w:sz w:val="18"/>
          <w:szCs w:val="18"/>
          <w:i w:val="1"/>
          <w:iCs w:val="1"/>
          <w:color w:val="auto"/>
        </w:rPr>
        <w:t>Current Report</w:t>
      </w:r>
      <w:r>
        <w:rPr>
          <w:rFonts w:ascii="Arial" w:cs="Arial" w:eastAsia="Arial" w:hAnsi="Arial"/>
          <w:sz w:val="18"/>
          <w:szCs w:val="18"/>
          <w:color w:val="auto"/>
        </w:rPr>
        <w:t>”). Accordingly, we have attached the Current Report to this prospectus supplement.</w:t>
      </w:r>
    </w:p>
    <w:p>
      <w:pPr>
        <w:spacing w:after="0" w:line="187" w:lineRule="exact"/>
        <w:rPr>
          <w:sz w:val="24"/>
          <w:szCs w:val="24"/>
          <w:color w:val="auto"/>
        </w:rPr>
      </w:pPr>
    </w:p>
    <w:p>
      <w:pPr>
        <w:ind w:right="60" w:firstLine="324"/>
        <w:spacing w:after="0" w:line="285"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 Securityholders</w:t>
      </w:r>
      <w:r>
        <w:rPr>
          <w:rFonts w:ascii="Arial" w:cs="Arial" w:eastAsia="Arial" w:hAnsi="Arial"/>
          <w:sz w:val="16"/>
          <w:szCs w:val="16"/>
          <w:color w:val="auto"/>
        </w:rPr>
        <w:t>”), or their permitted transferees, of (a) up to 1,336,329,949 shares of Class A common stock, consisting of</w:t>
      </w:r>
    </w:p>
    <w:p>
      <w:pPr>
        <w:spacing w:after="0" w:line="2" w:lineRule="exact"/>
        <w:rPr>
          <w:sz w:val="24"/>
          <w:szCs w:val="24"/>
          <w:color w:val="auto"/>
        </w:rPr>
      </w:pPr>
    </w:p>
    <w:p>
      <w:pPr>
        <w:jc w:val="both"/>
        <w:ind w:right="200" w:firstLine="8"/>
        <w:spacing w:after="0" w:line="302" w:lineRule="auto"/>
        <w:tabs>
          <w:tab w:leader="none" w:pos="215" w:val="left"/>
        </w:tabs>
        <w:numPr>
          <w:ilvl w:val="0"/>
          <w:numId w:val="1"/>
        </w:numPr>
        <w:rPr>
          <w:rFonts w:ascii="Arial" w:cs="Arial" w:eastAsia="Arial" w:hAnsi="Arial"/>
          <w:sz w:val="16"/>
          <w:szCs w:val="16"/>
          <w:color w:val="auto"/>
        </w:rPr>
      </w:pPr>
      <w:r>
        <w:rPr>
          <w:rFonts w:ascii="Arial" w:cs="Arial" w:eastAsia="Arial" w:hAnsi="Arial"/>
          <w:sz w:val="16"/>
          <w:szCs w:val="16"/>
          <w:color w:val="auto"/>
        </w:rPr>
        <w:t>1,244,157,121 issued and 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55" w:lineRule="exact"/>
        <w:rPr>
          <w:sz w:val="24"/>
          <w:szCs w:val="24"/>
          <w:color w:val="auto"/>
        </w:rPr>
      </w:pPr>
    </w:p>
    <w:p>
      <w:pPr>
        <w:ind w:right="280" w:firstLine="324"/>
        <w:spacing w:after="0" w:line="25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8" w:lineRule="exact"/>
        <w:rPr>
          <w:sz w:val="24"/>
          <w:szCs w:val="24"/>
          <w:color w:val="auto"/>
        </w:rPr>
      </w:pPr>
    </w:p>
    <w:p>
      <w:pPr>
        <w:ind w:right="40" w:firstLine="324"/>
        <w:spacing w:after="0" w:line="257" w:lineRule="auto"/>
        <w:rPr>
          <w:sz w:val="20"/>
          <w:szCs w:val="20"/>
          <w:color w:val="auto"/>
        </w:rPr>
      </w:pPr>
      <w:r>
        <w:rPr>
          <w:rFonts w:ascii="Arial" w:cs="Arial" w:eastAsia="Arial" w:hAnsi="Arial"/>
          <w:sz w:val="18"/>
          <w:szCs w:val="18"/>
          <w:color w:val="auto"/>
        </w:rPr>
        <w:t>We are an “emerging growth company” as defined in Section 2(a) of the Securities Act and are subject to reduced public company reporting requirements. We expect that we will cease to be an emerging growth company as of December 31, 2021. As of July 23, 2021 our majority stockholder, Ayar, owned approximately 62.7% of our outstanding common stock. As a result, we are a “controlled company” within the meaning of Nasdaq rules and, as a result, qualify for exemptions from certain corporate governance requirements. Ayar also currently has the ability to nominate five of the nine directors to our Board.</w:t>
      </w:r>
    </w:p>
    <w:p>
      <w:pPr>
        <w:spacing w:after="0" w:line="188" w:lineRule="exact"/>
        <w:rPr>
          <w:sz w:val="24"/>
          <w:szCs w:val="24"/>
          <w:color w:val="auto"/>
        </w:rPr>
      </w:pPr>
    </w:p>
    <w:p>
      <w:pPr>
        <w:ind w:right="20" w:firstLine="324"/>
        <w:spacing w:after="0" w:line="259" w:lineRule="auto"/>
        <w:rPr>
          <w:sz w:val="20"/>
          <w:szCs w:val="20"/>
          <w:color w:val="auto"/>
        </w:rPr>
      </w:pPr>
      <w:r>
        <w:rPr>
          <w:rFonts w:ascii="Arial" w:cs="Arial" w:eastAsia="Arial" w:hAnsi="Arial"/>
          <w:sz w:val="18"/>
          <w:szCs w:val="18"/>
          <w:color w:val="auto"/>
        </w:rPr>
        <w:t>You should read the Prospectus, this prospectus supplement and any additional prospectus supplement or amendment carefully before you invest in our securities. Our Class A common stock and Public Warrants are listed on The Nasdaq Stock Market LLC under the symbols “LCID” and “LCIDW,” respectively. On September 27, 2021, the closing price of our Class A common stock was $25.89 per share and the closing price for our Public Warrants was $11.55.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firstLine="324"/>
        <w:spacing w:after="0" w:line="282" w:lineRule="auto"/>
        <w:rPr>
          <w:sz w:val="20"/>
          <w:szCs w:val="20"/>
          <w:color w:val="auto"/>
        </w:rPr>
      </w:pPr>
      <w:r>
        <w:rPr>
          <w:rFonts w:ascii="Arial" w:cs="Arial" w:eastAsia="Arial" w:hAnsi="Arial"/>
          <w:sz w:val="18"/>
          <w:szCs w:val="18"/>
          <w:b w:val="1"/>
          <w:bCs w:val="1"/>
          <w:color w:val="auto"/>
        </w:rPr>
        <w:t>Investing in our Class A common stock and warrants involves a high degree of risk. See the section 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the Prospectus.</w:t>
      </w:r>
    </w:p>
    <w:p>
      <w:pPr>
        <w:spacing w:after="0" w:line="162"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28,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174625</wp:posOffset>
            </wp:positionV>
            <wp:extent cx="2194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September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170180</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(State or other</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jurisdiction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160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0"/>
          <w:szCs w:val="20"/>
          <w:color w:val="auto"/>
        </w:rPr>
      </w:pPr>
    </w:p>
    <w:p>
      <w:pPr>
        <w:jc w:val="center"/>
        <w:ind w:right="160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Identification No.)</w:t>
      </w:r>
    </w:p>
    <w:p>
      <w:pPr>
        <w:spacing w:after="0" w:line="20" w:lineRule="exact"/>
        <w:rPr>
          <w:sz w:val="20"/>
          <w:szCs w:val="20"/>
          <w:color w:val="auto"/>
        </w:rPr>
      </w:pPr>
    </w:p>
    <w:p>
      <w:pPr>
        <w:sectPr>
          <w:pgSz w:w="11900" w:h="16838" w:orient="portrait"/>
          <w:cols w:equalWidth="0" w:num="3">
            <w:col w:w="4320" w:space="720"/>
            <w:col w:w="2900" w:space="720"/>
            <w:col w:w="2580"/>
          </w:cols>
          <w:pgMar w:left="320" w:top="1210" w:right="339" w:bottom="1440" w:gutter="0" w:footer="0" w:header="0"/>
          <w:type w:val="continuous"/>
        </w:sectPr>
      </w:pPr>
    </w:p>
    <w:p>
      <w:pPr>
        <w:ind w:left="14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40"/>
          </w:cols>
          <w:pgMar w:left="320" w:top="1210" w:right="339" w:bottom="1440" w:gutter="0" w:footer="0" w:header="0"/>
          <w:type w:val="continuous"/>
        </w:sectPr>
      </w:pPr>
    </w:p>
    <w:p>
      <w:pPr>
        <w:spacing w:after="0" w:line="189"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0"/>
          <w:szCs w:val="20"/>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93" w:lineRule="exact"/>
        <w:rPr>
          <w:sz w:val="20"/>
          <w:szCs w:val="20"/>
          <w:color w:val="auto"/>
        </w:rPr>
      </w:pPr>
    </w:p>
    <w:p>
      <w:pPr>
        <w:sectPr>
          <w:pgSz w:w="11900" w:h="16838" w:orient="portrait"/>
          <w:cols w:equalWidth="0" w:num="2">
            <w:col w:w="7320" w:space="720"/>
            <w:col w:w="3200"/>
          </w:cols>
          <w:pgMar w:left="320" w:top="1210"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19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0"/>
          <w:szCs w:val="20"/>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Warrants, each exercisable for one share of Class</w:t>
            </w:r>
          </w:p>
        </w:tc>
        <w:tc>
          <w:tcPr>
            <w:tcW w:w="3800" w:type="dxa"/>
            <w:vAlign w:val="bottom"/>
            <w:gridSpan w:val="2"/>
          </w:tcPr>
          <w:p>
            <w:pPr>
              <w:jc w:val="center"/>
              <w:ind w:right="40"/>
              <w:spacing w:after="0"/>
              <w:rPr>
                <w:sz w:val="20"/>
                <w:szCs w:val="20"/>
                <w:color w:val="auto"/>
              </w:rPr>
            </w:pPr>
            <w:r>
              <w:rPr>
                <w:rFonts w:ascii="Arial" w:cs="Arial" w:eastAsia="Arial" w:hAnsi="Arial"/>
                <w:sz w:val="18"/>
                <w:szCs w:val="18"/>
                <w:color w:val="auto"/>
              </w:rPr>
              <w:t>LCIDW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A Common Stock at an exercise price of $11.50</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per 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On September 28, 2021, Lucid Group, Inc. (the “Company”) issued a press release announcing the production of the Lucid Air at its Advanced Manufacturing Plant-1 factory in Casa Grande, Arizona and that customer deliveries to reservation holders of the Lucid Air Dream Edition are expected to begin in late October 2021. A copy of the Company’s press release is filed as Exhibit 99.1 hereto and is incorporated herein by reference.</w:t>
      </w:r>
    </w:p>
    <w:p>
      <w:pPr>
        <w:spacing w:after="0" w:line="14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Neither this Current Report on Form 8-K nor the press release attached hereto as Exhibit 99.1 constitutes an offer to sell or the solicitation of an offer to buy any of the Company’s securities, and shall not constitute an offer, solicitation or sale in any jurisdiction in which such offering, solicitation or sale would be unlawful.</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36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20" w:type="dxa"/>
            <w:vAlign w:val="bottom"/>
          </w:tcPr>
          <w:p>
            <w:pPr>
              <w:spacing w:after="0"/>
              <w:rPr>
                <w:sz w:val="15"/>
                <w:szCs w:val="15"/>
                <w:color w:val="auto"/>
              </w:rPr>
            </w:pPr>
          </w:p>
        </w:tc>
        <w:tc>
          <w:tcPr>
            <w:tcW w:w="976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September 28,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September 28, 2021</w:t>
      </w:r>
      <w:r>
        <w:rPr>
          <w:sz w:val="20"/>
          <w:szCs w:val="20"/>
          <w:color w:val="auto"/>
        </w:rPr>
        <w:tab/>
      </w:r>
      <w:r>
        <w:rPr>
          <w:rFonts w:ascii="Arial" w:cs="Arial" w:eastAsia="Arial" w:hAnsi="Arial"/>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165100</wp:posOffset>
            </wp:positionV>
            <wp:extent cx="4989195" cy="454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919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Starts Production of the Groundbreaking Lucid Air in Arizona;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Deliveries to Begin in October</w:t>
      </w:r>
    </w:p>
    <w:p>
      <w:pPr>
        <w:spacing w:after="0" w:line="211" w:lineRule="exact"/>
        <w:rPr>
          <w:sz w:val="20"/>
          <w:szCs w:val="20"/>
          <w:color w:val="auto"/>
        </w:rPr>
      </w:pPr>
    </w:p>
    <w:p>
      <w:pPr>
        <w:ind w:left="660" w:right="8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Lucid Production Preview Week events begin at Lucid’s factory in Casa Grande, AZ, with customers, media and policymakers, including Arizona Governor Doug Ducey, in attendance</w:t>
      </w:r>
    </w:p>
    <w:p>
      <w:pPr>
        <w:spacing w:after="0" w:line="1"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 Lucid Air customer-quality cars driven off the assembly line after achieving EPA certification, as well as achieving FMVSS safety certification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deliveries to begin in late October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Reservations for Lucid Air surpass 13,000</w:t>
      </w:r>
    </w:p>
    <w:p>
      <w:pPr>
        <w:spacing w:after="0" w:line="21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 xml:space="preserve">NEWARK, CA — September 28, 2021 — </w:t>
      </w:r>
      <w:r>
        <w:rPr>
          <w:rFonts w:ascii="Arial" w:cs="Arial" w:eastAsia="Arial" w:hAnsi="Arial"/>
          <w:sz w:val="16"/>
          <w:szCs w:val="16"/>
          <w:u w:val="single" w:color="auto"/>
          <w:color w:val="auto"/>
        </w:rPr>
        <w:t>Lucid Group</w:t>
      </w:r>
      <w:r>
        <w:rPr>
          <w:rFonts w:ascii="Arial" w:cs="Arial" w:eastAsia="Arial" w:hAnsi="Arial"/>
          <w:sz w:val="16"/>
          <w:szCs w:val="16"/>
          <w:color w:val="auto"/>
        </w:rPr>
        <w:t>, which is setting new standards with its advanced luxury EVs, kicked off its Production Preview Week, a series of events during which Lucid opened the doors of its Advanced Manufacturing Plant (AMP-1) and Lucid Powertrain Manufacturing (LPM-1) factories in Casa Grande, Arizona, to members of the media and investor communities, policymakers, and Lucid Air Dream Edition customers.</w:t>
      </w:r>
    </w:p>
    <w:p>
      <w:pPr>
        <w:spacing w:after="0" w:line="1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first customer-quality Lucid Air luxury electric sedans rolled off the assembly line today during the event at AMP-1, which included a factory commissioning ceremony with Arizona Governor Doug Ducey. Governor Ducey joined other policymakers and invited guests in highlighting Lucid’s local job creation and economic development, increase in high-tech manufacturing footprint, and plans for future expansion in the state. Lucid’s Arizona manufacturing facilities are expected to bring a projected economic output (direct, indirect, and induced) of $9 billion to the state in 2024, as well as a projected 15,000 jobs annually (direct, indirect, and induced) by 2024. During the event, customers, analysts, investors, and members of the media were also given the opportunity to be some of the first to test drive the Lucid Air.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Lucid Air Customer Deliveries to Begin in Late October</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Lucid expects reservation holders of Lucid Air Dream Edition models will begin receiving their vehicles in late October, with customer deliveries ramping up thereafter. Grand Touring, Touring, and Air Pure model deliveries are expected to follow. Lucid has thus far received more than 13,000 reservations for Lucid Air and increased the planned total production quantity of the Dream Edition to 520 vehicles.</w:t>
      </w:r>
    </w:p>
    <w:p>
      <w:pPr>
        <w:spacing w:after="0" w:line="18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 xml:space="preserve">The EPA recently released its official range estimate for the Lucid Air Dream Edition Range, which is the longest range for any electric car rated by the EPA: </w:t>
      </w:r>
      <w:r>
        <w:rPr>
          <w:rFonts w:ascii="Arial" w:cs="Arial" w:eastAsia="Arial" w:hAnsi="Arial"/>
          <w:sz w:val="17"/>
          <w:szCs w:val="17"/>
          <w:b w:val="1"/>
          <w:bCs w:val="1"/>
          <w:color w:val="auto"/>
        </w:rPr>
        <w:t>520 miles on a single charge</w:t>
      </w:r>
      <w:r>
        <w:rPr>
          <w:rFonts w:ascii="Arial" w:cs="Arial" w:eastAsia="Arial" w:hAnsi="Arial"/>
          <w:sz w:val="17"/>
          <w:szCs w:val="17"/>
          <w:color w:val="auto"/>
        </w:rPr>
        <w:t>, more than 100 miles over its closest competitor. The Lucid Air Dream Edition Performance and Lucid Air Grand Touring also achieved EPA estimated ranges far beyond any other EV. With customer-quality cars now coming off the line, Lucid has confirmed that the Air meets all the applicable regulatory requirements from the EPA and U.S. Department of Transportation.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8"/>
          <w:szCs w:val="18"/>
          <w:color w:val="auto"/>
        </w:rPr>
        <w:t>“The proprietary EV technology that Lucid has developed will make it possible to travel more miles using less battery energy. For example, our Lucid Air Grand Touring has an official EPA rating of 516 miles of range with a 112-kWh battery pack, giving it an industry-leading efficiency of 4.6 miles per kWh. Our technology will allow for increasingly lighter, more efficient, and less expensive EVs, and today represents a major step in our journey to expand the accessibility of more sustainable transportation,” said Peter Rawlinson, CEO and CTO, Lucid Group. “I’m delighted that production cars endowed with this level of efficiency are currently driving off our factory 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AMP-1 Factory Expansion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Lucid completed the construction of the AMP-1 factory, positioned on a 590-acre site in Casa Grande, Arizona, in less than a year. As the first greenfield, dedicated electric vehicle factory to be built in North America, Lucid’s innovative AMP-1 was designed with a future-ready focus that has allowed the company to already embark on a massive expansion of the facility. This will add 2.85 million square feet to support an increase in Air production and establish production of the brand’s first SUV, Gravity, which is expected to start in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Group</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Lucid Air features a luxurious full-size interior space in a mid-size exterior footprint. Customer deliveries of Lucid Air, which is produced at Lucid’s new factory in Casa Grande, Arizona, are planned to begin in late October.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subsidiaries (the “Company”)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facts. These forward-looking statements include, but are not limited to, statements regarding the Company’s expectations related to the start of production and deliveries of the Lucid Air and Lucid Gravity, the performance, range, and other features of the Lucid Air, construction and expansion of the Company’s AMP-1 manufacturing facility, and the promise of the Company’s technology. These statements are based on various assumptions, and actual events and circumstances may differ. Forward-looking statements are subject to a number of risks and uncertainties, including factors discussed in the Company’s Registration Statement on Form S-1, as amended, the Company’s Annual Report on Form 10-K/A for the year ended December 31, 2020 and the Company’s Quarterly Report on Form 10-Q for the quarter ended June 30, 2021, in each case, under the heading “Risk Factors,” as well as other documents of the Company that are filed, or will be filed, with the Securities and Exchange Commission. If any of these risks materialize or the Company’s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communication.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2021-09-28T17:16:37Z</dcterms:created>
  <dcterms:modified xsi:type="dcterms:W3CDTF">2021-09-28T17:16:37Z</dcterms:modified>
</cp:coreProperties>
</file>