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20" w:right="1760" w:hanging="3791"/>
        <w:spacing w:after="0" w:line="500" w:lineRule="auto"/>
        <w:tabs>
          <w:tab w:leader="none" w:pos="67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80" w:hanging="551"/>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001-39408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Churchill Capital Corp IV</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42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42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(State or other jurisdiction of</w:t>
            </w:r>
          </w:p>
        </w:tc>
        <w:tc>
          <w:tcPr>
            <w:tcW w:w="328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0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incorporation or organization)</w:t>
            </w:r>
          </w:p>
        </w:tc>
        <w:tc>
          <w:tcPr>
            <w:tcW w:w="328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99"/>
        <w:spacing w:after="0"/>
        <w:rPr>
          <w:sz w:val="20"/>
          <w:szCs w:val="20"/>
          <w:color w:val="auto"/>
        </w:rPr>
      </w:pPr>
      <w:r>
        <w:rPr>
          <w:rFonts w:ascii="Arial" w:cs="Arial" w:eastAsia="Arial" w:hAnsi="Arial"/>
          <w:sz w:val="18"/>
          <w:szCs w:val="18"/>
          <w:b w:val="1"/>
          <w:bCs w:val="1"/>
          <w:color w:val="auto"/>
        </w:rPr>
        <w:t>New York, NY 10019</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380-7500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Trading Symbol(s)</w:t>
            </w:r>
          </w:p>
        </w:tc>
        <w:tc>
          <w:tcPr>
            <w:tcW w:w="4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7"/>
              </w:rPr>
              <w:t>registered</w:t>
            </w:r>
          </w:p>
        </w:tc>
      </w:tr>
      <w:tr>
        <w:trPr>
          <w:trHeight w:val="191"/>
        </w:trPr>
        <w:tc>
          <w:tcPr>
            <w:tcW w:w="5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share of Class A common stock,</w:t>
            </w:r>
          </w:p>
        </w:tc>
        <w:tc>
          <w:tcPr>
            <w:tcW w:w="2180" w:type="dxa"/>
            <w:vAlign w:val="bottom"/>
          </w:tcPr>
          <w:p>
            <w:pPr>
              <w:jc w:val="center"/>
              <w:ind w:right="310"/>
              <w:spacing w:after="0" w:line="191" w:lineRule="exact"/>
              <w:rPr>
                <w:sz w:val="20"/>
                <w:szCs w:val="20"/>
                <w:color w:val="auto"/>
              </w:rPr>
            </w:pPr>
            <w:r>
              <w:rPr>
                <w:rFonts w:ascii="Arial" w:cs="Arial" w:eastAsia="Arial" w:hAnsi="Arial"/>
                <w:sz w:val="18"/>
                <w:szCs w:val="18"/>
                <w:b w:val="1"/>
                <w:bCs w:val="1"/>
                <w:color w:val="auto"/>
              </w:rPr>
              <w:t>CCIV.U</w:t>
            </w:r>
          </w:p>
        </w:tc>
        <w:tc>
          <w:tcPr>
            <w:tcW w:w="404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9"/>
              </w:rPr>
              <w:t>New York Stock Exchange</w:t>
            </w:r>
          </w:p>
        </w:tc>
      </w:tr>
      <w:tr>
        <w:trPr>
          <w:trHeight w:val="234"/>
        </w:trPr>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1"/>
              </w:rPr>
              <w:t>$0.0001 par value, and one-fifth of one warrant</w:t>
            </w: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of Class A common stock</w:t>
            </w:r>
          </w:p>
        </w:tc>
        <w:tc>
          <w:tcPr>
            <w:tcW w:w="2180" w:type="dxa"/>
            <w:vAlign w:val="bottom"/>
          </w:tcPr>
          <w:p>
            <w:pPr>
              <w:ind w:left="620"/>
              <w:spacing w:after="0"/>
              <w:rPr>
                <w:sz w:val="20"/>
                <w:szCs w:val="20"/>
                <w:color w:val="auto"/>
              </w:rPr>
            </w:pPr>
            <w:r>
              <w:rPr>
                <w:rFonts w:ascii="Arial" w:cs="Arial" w:eastAsia="Arial" w:hAnsi="Arial"/>
                <w:sz w:val="18"/>
                <w:szCs w:val="18"/>
                <w:b w:val="1"/>
                <w:bCs w:val="1"/>
                <w:color w:val="auto"/>
              </w:rPr>
              <w:t>CCIV</w:t>
            </w:r>
          </w:p>
        </w:tc>
        <w:tc>
          <w:tcPr>
            <w:tcW w:w="40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New York Stock Exchange</w:t>
            </w:r>
          </w:p>
        </w:tc>
      </w:tr>
      <w:tr>
        <w:trPr>
          <w:trHeight w:val="432"/>
        </w:trPr>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included as part of the units</w:t>
            </w:r>
          </w:p>
        </w:tc>
        <w:tc>
          <w:tcPr>
            <w:tcW w:w="2180" w:type="dxa"/>
            <w:vAlign w:val="bottom"/>
          </w:tcPr>
          <w:p>
            <w:pPr>
              <w:jc w:val="center"/>
              <w:ind w:right="310"/>
              <w:spacing w:after="0"/>
              <w:rPr>
                <w:sz w:val="20"/>
                <w:szCs w:val="20"/>
                <w:color w:val="auto"/>
              </w:rPr>
            </w:pPr>
            <w:r>
              <w:rPr>
                <w:rFonts w:ascii="Arial" w:cs="Arial" w:eastAsia="Arial" w:hAnsi="Arial"/>
                <w:sz w:val="18"/>
                <w:szCs w:val="18"/>
                <w:b w:val="1"/>
                <w:bCs w:val="1"/>
                <w:color w:val="auto"/>
              </w:rPr>
              <w:t>CCIV WS</w:t>
            </w:r>
          </w:p>
        </w:tc>
        <w:tc>
          <w:tcPr>
            <w:tcW w:w="40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60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0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58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540" w:firstLine="58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5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 of “large accelerated filer,” “accelerated filer,” and “smaller reporting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480"/>
              <w:spacing w:after="0"/>
              <w:rPr>
                <w:sz w:val="20"/>
                <w:szCs w:val="20"/>
                <w:color w:val="auto"/>
              </w:rPr>
            </w:pPr>
            <w:r>
              <w:rPr>
                <w:rFonts w:ascii="Arial" w:cs="Arial" w:eastAsia="Arial" w:hAnsi="Arial"/>
                <w:sz w:val="18"/>
                <w:szCs w:val="18"/>
                <w:color w:val="auto"/>
              </w:rPr>
              <w:t>x</w:t>
            </w:r>
          </w:p>
        </w:tc>
        <w:tc>
          <w:tcPr>
            <w:tcW w:w="4960" w:type="dxa"/>
            <w:vAlign w:val="bottom"/>
          </w:tcPr>
          <w:p>
            <w:pPr>
              <w:ind w:left="2520"/>
              <w:spacing w:after="0"/>
              <w:rPr>
                <w:sz w:val="20"/>
                <w:szCs w:val="20"/>
                <w:color w:val="auto"/>
              </w:rPr>
            </w:pPr>
            <w:r>
              <w:rPr>
                <w:rFonts w:ascii="Arial" w:cs="Arial" w:eastAsia="Arial" w:hAnsi="Arial"/>
                <w:sz w:val="18"/>
                <w:szCs w:val="18"/>
                <w:color w:val="auto"/>
              </w:rPr>
              <w:t>Small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96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ind w:right="340" w:firstLine="583"/>
        <w:spacing w:after="0" w:line="233" w:lineRule="exact"/>
        <w:rPr>
          <w:sz w:val="20"/>
          <w:szCs w:val="20"/>
          <w:color w:val="auto"/>
        </w:rPr>
      </w:pPr>
      <w:r>
        <w:rPr>
          <w:rFonts w:ascii="Arial" w:cs="Arial" w:eastAsia="Arial" w:hAnsi="Arial"/>
          <w:sz w:val="17"/>
          <w:szCs w:val="17"/>
          <w:color w:val="auto"/>
        </w:rPr>
        <w:t xml:space="preserve">If an emerging growth company, indicate by the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ind w:firstLine="583"/>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29" w:right="339" w:bottom="0" w:gutter="0" w:footer="0" w:header="0"/>
        </w:sectPr>
      </w:pPr>
    </w:p>
    <w:bookmarkStart w:id="1" w:name="page2"/>
    <w:bookmarkEnd w:id="1"/>
    <w:p>
      <w:pPr>
        <w:ind w:left="6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9" w:lineRule="exact"/>
        <w:rPr>
          <w:sz w:val="20"/>
          <w:szCs w:val="20"/>
          <w:color w:val="auto"/>
        </w:rPr>
      </w:pPr>
    </w:p>
    <w:p>
      <w:pPr>
        <w:ind w:right="40" w:firstLine="583"/>
        <w:spacing w:after="0" w:line="277" w:lineRule="auto"/>
        <w:rPr>
          <w:sz w:val="20"/>
          <w:szCs w:val="20"/>
          <w:color w:val="auto"/>
        </w:rPr>
      </w:pPr>
      <w:r>
        <w:rPr>
          <w:rFonts w:ascii="Arial" w:cs="Arial" w:eastAsia="Arial" w:hAnsi="Arial"/>
          <w:sz w:val="18"/>
          <w:szCs w:val="18"/>
          <w:color w:val="auto"/>
        </w:rPr>
        <w:t>The Registrant’s Units began trading on the New York Stock Exchange on July 30, 2020 and the Registrant’s shares of Class A common stock began separate trading on the New York Stock Exchange on September 18, 2020.</w:t>
      </w:r>
    </w:p>
    <w:p>
      <w:pPr>
        <w:spacing w:after="0" w:line="170" w:lineRule="exact"/>
        <w:rPr>
          <w:sz w:val="20"/>
          <w:szCs w:val="20"/>
          <w:color w:val="auto"/>
        </w:rPr>
      </w:pPr>
    </w:p>
    <w:p>
      <w:pPr>
        <w:ind w:right="220" w:firstLine="583"/>
        <w:spacing w:after="0" w:line="277" w:lineRule="auto"/>
        <w:rPr>
          <w:sz w:val="20"/>
          <w:szCs w:val="20"/>
          <w:color w:val="auto"/>
        </w:rPr>
      </w:pPr>
      <w:r>
        <w:rPr>
          <w:rFonts w:ascii="Arial" w:cs="Arial" w:eastAsia="Arial" w:hAnsi="Arial"/>
          <w:sz w:val="18"/>
          <w:szCs w:val="18"/>
          <w:color w:val="auto"/>
        </w:rPr>
        <w:t>The aggregate market value of the Registrant’s shares of Class A common stock outstanding, other than shares held by persons who may be deemed affiliates of the Registrant, at December 31, 2020 was $2,072,070,000.</w:t>
      </w:r>
    </w:p>
    <w:p>
      <w:pPr>
        <w:spacing w:after="0" w:line="170"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As of March 15, 2021, there were 207,000,000 shares of Class A common stock, $0.0001 par value and 51,750,000 shares of Class B common stock, $0.0001 par value, issued and outstanding.</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1" w:right="719" w:bottom="1440" w:gutter="0" w:footer="0" w:header="0"/>
        </w:sectPr>
      </w:pPr>
    </w:p>
    <w:bookmarkStart w:id="2" w:name="page3"/>
    <w:bookmarkEnd w:id="2"/>
    <w:p>
      <w:pPr>
        <w:ind w:left="4240"/>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78"/>
              </w:rPr>
              <w:t>Page</w:t>
            </w:r>
          </w:p>
        </w:tc>
      </w:tr>
      <w:tr>
        <w:trPr>
          <w:trHeight w:val="48"/>
        </w:trPr>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800" w:type="dxa"/>
            <w:vAlign w:val="bottom"/>
            <w:gridSpan w:val="25"/>
            <w:shd w:val="clear" w:color="auto" w:fill="CCEEFF"/>
          </w:tcPr>
          <w:p>
            <w:pPr>
              <w:spacing w:after="0" w:line="20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CAUTIONARY NOTE REGARDING FORWARD-LOOKING STATEMENTS</w:t>
              </w:r>
            </w:hyperlink>
          </w:p>
        </w:tc>
        <w:tc>
          <w:tcPr>
            <w:tcW w:w="4860" w:type="dxa"/>
            <w:vAlign w:val="bottom"/>
            <w:gridSpan w:val="6"/>
            <w:shd w:val="clear" w:color="auto" w:fill="CCEEFF"/>
          </w:tcPr>
          <w:p>
            <w:pPr>
              <w:spacing w:after="0"/>
              <w:rPr>
                <w:sz w:val="17"/>
                <w:szCs w:val="17"/>
                <w:color w:val="auto"/>
              </w:rPr>
            </w:pPr>
          </w:p>
        </w:tc>
        <w:tc>
          <w:tcPr>
            <w:tcW w:w="5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48"/>
        </w:trPr>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240" w:type="dxa"/>
            <w:vAlign w:val="bottom"/>
            <w:gridSpan w:val="11"/>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gridSpan w:val="5"/>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00" w:type="dxa"/>
            <w:vAlign w:val="bottom"/>
            <w:shd w:val="clear" w:color="auto" w:fill="CCEEFF"/>
          </w:tcPr>
          <w:p>
            <w:pPr>
              <w:spacing w:after="0"/>
              <w:rPr>
                <w:sz w:val="17"/>
                <w:szCs w:val="17"/>
                <w:color w:val="auto"/>
              </w:rPr>
            </w:pPr>
          </w:p>
        </w:tc>
        <w:tc>
          <w:tcPr>
            <w:tcW w:w="940" w:type="dxa"/>
            <w:vAlign w:val="bottom"/>
            <w:gridSpan w:val="10"/>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9420" w:type="dxa"/>
            <w:vAlign w:val="bottom"/>
            <w:gridSpan w:val="20"/>
            <w:shd w:val="clear" w:color="auto" w:fill="CCEEFF"/>
          </w:tcPr>
          <w:p>
            <w:pPr>
              <w:ind w:lef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Item 1A.</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0" w:type="dxa"/>
            <w:vAlign w:val="bottom"/>
            <w:shd w:val="clear" w:color="auto" w:fill="CCEEFF"/>
          </w:tcPr>
          <w:p>
            <w:pPr>
              <w:spacing w:after="0"/>
              <w:rPr>
                <w:sz w:val="21"/>
                <w:szCs w:val="21"/>
                <w:color w:val="auto"/>
              </w:rPr>
            </w:pPr>
          </w:p>
        </w:tc>
        <w:tc>
          <w:tcPr>
            <w:tcW w:w="940" w:type="dxa"/>
            <w:vAlign w:val="bottom"/>
            <w:gridSpan w:val="10"/>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1B.</w:t>
              </w:r>
            </w:hyperlink>
          </w:p>
        </w:tc>
        <w:tc>
          <w:tcPr>
            <w:tcW w:w="9420" w:type="dxa"/>
            <w:vAlign w:val="bottom"/>
            <w:gridSpan w:val="20"/>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Unresolved Staff Comments</w:t>
              </w:r>
            </w:hyperlink>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37</w:t>
              </w:r>
            </w:hyperlink>
          </w:p>
        </w:tc>
        <w:tc>
          <w:tcPr>
            <w:tcW w:w="2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620" w:type="dxa"/>
            <w:vAlign w:val="bottom"/>
            <w:tcBorders>
              <w:top w:val="single" w:sz="8" w:color="0000EE"/>
            </w:tcBorders>
            <w:gridSpan w:val="7"/>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320" w:type="dxa"/>
            <w:vAlign w:val="bottom"/>
            <w:tcBorders>
              <w:top w:val="single" w:sz="8" w:color="CCEEFF"/>
            </w:tcBorders>
            <w:gridSpan w:val="3"/>
          </w:tcPr>
          <w:p>
            <w:pPr>
              <w:spacing w:after="0"/>
              <w:rPr>
                <w:sz w:val="17"/>
                <w:szCs w:val="17"/>
                <w:color w:val="auto"/>
              </w:rPr>
            </w:pPr>
          </w:p>
        </w:tc>
        <w:tc>
          <w:tcPr>
            <w:tcW w:w="2060" w:type="dxa"/>
            <w:vAlign w:val="bottom"/>
            <w:tcBorders>
              <w:top w:val="single" w:sz="8" w:color="0000EE"/>
            </w:tcBorders>
            <w:gridSpan w:val="8"/>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Properties</w:t>
              </w:r>
            </w:hyperlink>
          </w:p>
        </w:tc>
        <w:tc>
          <w:tcPr>
            <w:tcW w:w="7360" w:type="dxa"/>
            <w:vAlign w:val="bottom"/>
            <w:tcBorders>
              <w:top w:val="single" w:sz="8" w:color="CCEEFF"/>
            </w:tcBorders>
            <w:gridSpan w:val="12"/>
          </w:tcPr>
          <w:p>
            <w:pPr>
              <w:spacing w:after="0"/>
              <w:rPr>
                <w:sz w:val="17"/>
                <w:szCs w:val="17"/>
                <w:color w:val="auto"/>
              </w:rPr>
            </w:pPr>
          </w:p>
        </w:tc>
        <w:tc>
          <w:tcPr>
            <w:tcW w:w="38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37</w:t>
              </w:r>
            </w:hyperlink>
          </w:p>
        </w:tc>
        <w:tc>
          <w:tcPr>
            <w:tcW w:w="20" w:type="dxa"/>
            <w:vAlign w:val="bottom"/>
            <w:tcBorders>
              <w:top w:val="single" w:sz="8" w:color="CCEEFF"/>
            </w:tcBorders>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00" w:type="dxa"/>
            <w:vAlign w:val="bottom"/>
            <w:shd w:val="clear" w:color="auto" w:fill="CCEEFF"/>
          </w:tcPr>
          <w:p>
            <w:pPr>
              <w:spacing w:after="0"/>
              <w:rPr>
                <w:sz w:val="17"/>
                <w:szCs w:val="17"/>
                <w:color w:val="auto"/>
              </w:rPr>
            </w:pPr>
          </w:p>
        </w:tc>
        <w:tc>
          <w:tcPr>
            <w:tcW w:w="940" w:type="dxa"/>
            <w:vAlign w:val="bottom"/>
            <w:gridSpan w:val="10"/>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420" w:type="dxa"/>
            <w:vAlign w:val="bottom"/>
            <w:gridSpan w:val="20"/>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37</w:t>
              </w:r>
            </w:hyperlink>
          </w:p>
        </w:tc>
        <w:tc>
          <w:tcPr>
            <w:tcW w:w="2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37</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gridSpan w:val="11"/>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PART 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38</w:t>
              </w:r>
            </w:hyperlink>
          </w:p>
        </w:tc>
        <w:tc>
          <w:tcPr>
            <w:tcW w:w="2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5.</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38</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00" w:type="dxa"/>
            <w:vAlign w:val="bottom"/>
            <w:shd w:val="clear" w:color="auto" w:fill="CCEEFF"/>
          </w:tcPr>
          <w:p>
            <w:pPr>
              <w:spacing w:after="0"/>
              <w:rPr>
                <w:sz w:val="17"/>
                <w:szCs w:val="17"/>
                <w:color w:val="auto"/>
              </w:rPr>
            </w:pPr>
          </w:p>
        </w:tc>
        <w:tc>
          <w:tcPr>
            <w:tcW w:w="940" w:type="dxa"/>
            <w:vAlign w:val="bottom"/>
            <w:gridSpan w:val="10"/>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9420" w:type="dxa"/>
            <w:vAlign w:val="bottom"/>
            <w:gridSpan w:val="20"/>
            <w:shd w:val="clear" w:color="auto" w:fill="CCEEFF"/>
          </w:tcPr>
          <w:p>
            <w:pPr>
              <w:ind w:lef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Selected Financial Data</w:t>
              </w:r>
            </w:hyperlink>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39</w:t>
              </w:r>
            </w:hyperlink>
          </w:p>
        </w:tc>
        <w:tc>
          <w:tcPr>
            <w:tcW w:w="2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7.</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39</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0" w:type="dxa"/>
            <w:vAlign w:val="bottom"/>
            <w:shd w:val="clear" w:color="auto" w:fill="CCEEFF"/>
          </w:tcPr>
          <w:p>
            <w:pPr>
              <w:spacing w:after="0"/>
              <w:rPr>
                <w:sz w:val="21"/>
                <w:szCs w:val="21"/>
                <w:color w:val="auto"/>
              </w:rPr>
            </w:pPr>
          </w:p>
        </w:tc>
        <w:tc>
          <w:tcPr>
            <w:tcW w:w="640" w:type="dxa"/>
            <w:vAlign w:val="bottom"/>
            <w:gridSpan w:val="8"/>
            <w:shd w:val="clear" w:color="auto" w:fill="CCEEFF"/>
          </w:tcPr>
          <w:p>
            <w:pPr>
              <w:spacing w:after="0" w:line="202"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7A.</w:t>
              </w:r>
            </w:hyperlink>
          </w:p>
        </w:tc>
        <w:tc>
          <w:tcPr>
            <w:tcW w:w="300" w:type="dxa"/>
            <w:vAlign w:val="bottom"/>
            <w:gridSpan w:val="2"/>
            <w:shd w:val="clear" w:color="auto" w:fill="CCEEFF"/>
          </w:tcPr>
          <w:p>
            <w:pPr>
              <w:spacing w:after="0"/>
              <w:rPr>
                <w:sz w:val="21"/>
                <w:szCs w:val="21"/>
                <w:color w:val="auto"/>
              </w:rPr>
            </w:pPr>
          </w:p>
        </w:tc>
        <w:tc>
          <w:tcPr>
            <w:tcW w:w="9420" w:type="dxa"/>
            <w:vAlign w:val="bottom"/>
            <w:gridSpan w:val="20"/>
            <w:shd w:val="clear" w:color="auto" w:fill="CCEEFF"/>
          </w:tcPr>
          <w:p>
            <w:pPr>
              <w:ind w:lef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43</w:t>
              </w:r>
            </w:hyperlink>
          </w:p>
        </w:tc>
        <w:tc>
          <w:tcPr>
            <w:tcW w:w="2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640" w:type="dxa"/>
            <w:vAlign w:val="bottom"/>
            <w:tcBorders>
              <w:top w:val="single" w:sz="8" w:color="0000EE"/>
            </w:tcBorders>
            <w:gridSpan w:val="8"/>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8.</w:t>
              </w:r>
            </w:hyperlink>
          </w:p>
        </w:tc>
        <w:tc>
          <w:tcPr>
            <w:tcW w:w="300" w:type="dxa"/>
            <w:vAlign w:val="bottom"/>
            <w:tcBorders>
              <w:top w:val="single" w:sz="8" w:color="CCEEFF"/>
            </w:tcBorders>
            <w:gridSpan w:val="2"/>
          </w:tcPr>
          <w:p>
            <w:pPr>
              <w:spacing w:after="0"/>
              <w:rPr>
                <w:sz w:val="17"/>
                <w:szCs w:val="17"/>
                <w:color w:val="auto"/>
              </w:rPr>
            </w:pPr>
          </w:p>
        </w:tc>
        <w:tc>
          <w:tcPr>
            <w:tcW w:w="4360" w:type="dxa"/>
            <w:vAlign w:val="bottom"/>
            <w:tcBorders>
              <w:top w:val="single" w:sz="8" w:color="0000EE"/>
            </w:tcBorders>
            <w:gridSpan w:val="13"/>
          </w:tcPr>
          <w:p>
            <w:pPr>
              <w:ind w:lef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5060" w:type="dxa"/>
            <w:vAlign w:val="bottom"/>
            <w:tcBorders>
              <w:top w:val="single" w:sz="8" w:color="CCEEFF"/>
            </w:tcBorders>
            <w:gridSpan w:val="7"/>
          </w:tcPr>
          <w:p>
            <w:pPr>
              <w:spacing w:after="0"/>
              <w:rPr>
                <w:sz w:val="17"/>
                <w:szCs w:val="17"/>
                <w:color w:val="auto"/>
              </w:rPr>
            </w:pPr>
          </w:p>
        </w:tc>
        <w:tc>
          <w:tcPr>
            <w:tcW w:w="38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43</w:t>
              </w:r>
            </w:hyperlink>
          </w:p>
        </w:tc>
        <w:tc>
          <w:tcPr>
            <w:tcW w:w="20" w:type="dxa"/>
            <w:vAlign w:val="bottom"/>
            <w:tcBorders>
              <w:top w:val="single" w:sz="8" w:color="CCEEFF"/>
            </w:tcBorders>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00" w:type="dxa"/>
            <w:vAlign w:val="bottom"/>
            <w:shd w:val="clear" w:color="auto" w:fill="CCEEFF"/>
          </w:tcPr>
          <w:p>
            <w:pPr>
              <w:spacing w:after="0"/>
              <w:rPr>
                <w:sz w:val="17"/>
                <w:szCs w:val="17"/>
                <w:color w:val="auto"/>
              </w:rPr>
            </w:pPr>
          </w:p>
        </w:tc>
        <w:tc>
          <w:tcPr>
            <w:tcW w:w="940" w:type="dxa"/>
            <w:vAlign w:val="bottom"/>
            <w:gridSpan w:val="10"/>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9.</w:t>
              </w:r>
            </w:hyperlink>
          </w:p>
        </w:tc>
        <w:tc>
          <w:tcPr>
            <w:tcW w:w="9420" w:type="dxa"/>
            <w:vAlign w:val="bottom"/>
            <w:gridSpan w:val="20"/>
            <w:shd w:val="clear" w:color="auto" w:fill="CCEEFF"/>
          </w:tcPr>
          <w:p>
            <w:pPr>
              <w:ind w:lef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44</w:t>
              </w:r>
            </w:hyperlink>
          </w:p>
        </w:tc>
        <w:tc>
          <w:tcPr>
            <w:tcW w:w="2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9A.</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44</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gridSpan w:val="11"/>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PART III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45</w:t>
              </w:r>
            </w:hyperlink>
          </w:p>
        </w:tc>
        <w:tc>
          <w:tcPr>
            <w:tcW w:w="2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10.</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45</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Item 11.</w:t>
              </w:r>
            </w:hyperlink>
          </w:p>
        </w:tc>
        <w:tc>
          <w:tcPr>
            <w:tcW w:w="340" w:type="dxa"/>
            <w:vAlign w:val="bottom"/>
            <w:tcBorders>
              <w:bottom w:val="single" w:sz="8" w:color="CCEEFF"/>
            </w:tcBorders>
            <w:gridSpan w:val="4"/>
            <w:shd w:val="clear" w:color="auto" w:fill="CCEEFF"/>
          </w:tcPr>
          <w:p>
            <w:pPr>
              <w:spacing w:after="0"/>
              <w:rPr>
                <w:sz w:val="21"/>
                <w:szCs w:val="21"/>
                <w:color w:val="auto"/>
              </w:rPr>
            </w:pPr>
          </w:p>
        </w:tc>
        <w:tc>
          <w:tcPr>
            <w:tcW w:w="1820" w:type="dxa"/>
            <w:vAlign w:val="bottom"/>
            <w:tcBorders>
              <w:bottom w:val="single" w:sz="8" w:color="0000EE"/>
            </w:tcBorders>
            <w:gridSpan w:val="7"/>
            <w:shd w:val="clear" w:color="auto" w:fill="CCEEFF"/>
          </w:tcPr>
          <w:p>
            <w:pPr>
              <w:ind w:left="2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Executive Compensation</w:t>
              </w:r>
            </w:hyperlink>
          </w:p>
        </w:tc>
        <w:tc>
          <w:tcPr>
            <w:tcW w:w="7600" w:type="dxa"/>
            <w:vAlign w:val="bottom"/>
            <w:tcBorders>
              <w:bottom w:val="single" w:sz="8" w:color="CCEEFF"/>
            </w:tcBorders>
            <w:gridSpan w:val="13"/>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12.</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54</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13.</w:t>
              </w:r>
            </w:hyperlink>
          </w:p>
        </w:tc>
        <w:tc>
          <w:tcPr>
            <w:tcW w:w="340" w:type="dxa"/>
            <w:vAlign w:val="bottom"/>
            <w:tcBorders>
              <w:bottom w:val="single" w:sz="8" w:color="CCEEFF"/>
            </w:tcBorders>
            <w:gridSpan w:val="4"/>
            <w:shd w:val="clear" w:color="auto" w:fill="CCEEFF"/>
          </w:tcPr>
          <w:p>
            <w:pPr>
              <w:spacing w:after="0"/>
              <w:rPr>
                <w:sz w:val="21"/>
                <w:szCs w:val="21"/>
                <w:color w:val="auto"/>
              </w:rPr>
            </w:pPr>
          </w:p>
        </w:tc>
        <w:tc>
          <w:tcPr>
            <w:tcW w:w="5460" w:type="dxa"/>
            <w:vAlign w:val="bottom"/>
            <w:tcBorders>
              <w:bottom w:val="single" w:sz="8" w:color="0000EE"/>
            </w:tcBorders>
            <w:gridSpan w:val="15"/>
            <w:shd w:val="clear" w:color="auto" w:fill="CCEEFF"/>
          </w:tcPr>
          <w:p>
            <w:pPr>
              <w:ind w:left="20"/>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Certain Relationships and Related Transactions, and Director Independence</w:t>
              </w:r>
            </w:hyperlink>
          </w:p>
        </w:tc>
        <w:tc>
          <w:tcPr>
            <w:tcW w:w="3960" w:type="dxa"/>
            <w:vAlign w:val="bottom"/>
            <w:tcBorders>
              <w:bottom w:val="single" w:sz="8" w:color="CCEEFF"/>
            </w:tcBorders>
            <w:gridSpan w:val="5"/>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55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14.</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57</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8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PART IV</w:t>
              </w:r>
            </w:hyperlink>
          </w:p>
        </w:tc>
        <w:tc>
          <w:tcPr>
            <w:tcW w:w="560" w:type="dxa"/>
            <w:vAlign w:val="bottom"/>
            <w:tcBorders>
              <w:bottom w:val="single" w:sz="8" w:color="CCEEFF"/>
            </w:tcBorders>
            <w:gridSpan w:val="6"/>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940" w:type="dxa"/>
            <w:vAlign w:val="bottom"/>
            <w:gridSpan w:val="10"/>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15.</w:t>
              </w:r>
            </w:hyperlink>
          </w:p>
        </w:tc>
        <w:tc>
          <w:tcPr>
            <w:tcW w:w="9420" w:type="dxa"/>
            <w:vAlign w:val="bottom"/>
            <w:gridSpan w:val="20"/>
          </w:tcPr>
          <w:p>
            <w:pPr>
              <w:ind w:lef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Exhibits, Financial Statement Schedules</w:t>
              </w:r>
            </w:hyperlink>
          </w:p>
        </w:tc>
        <w:tc>
          <w:tcPr>
            <w:tcW w:w="560" w:type="dxa"/>
            <w:vAlign w:val="bottom"/>
            <w:gridSpan w:val="4"/>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58</w:t>
              </w:r>
            </w:hyperlink>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gridSpan w:val="11"/>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59</w:t>
              </w:r>
            </w:hyperlink>
          </w:p>
        </w:tc>
        <w:tc>
          <w:tcPr>
            <w:tcW w:w="2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Churchill Capital Corp IV (“Churchill,” the “Company,” “we”, “our” or “us”) is filing this Annual Report on Form 10-K/A (“Amendment No. 1” or the “Amendment”), or this Annual Report, to amend our Annual Report on Form 10-K for the period ended December 31, 2020, originally filed with the Securities and Exchange Commission, or the SEC, on March 16, 2021 (the “Original Filing”), to restate our financial statements for the period ended December 31, 2020. We are also restating the financial statements as of August 3, 2020 and as of and for the period ended September 30, 2020 (collectively, the “Original Financial Statements”), in the accompanying financial statements included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Background</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w:t>
      </w:r>
    </w:p>
    <w:p>
      <w:pPr>
        <w:spacing w:after="0" w:line="17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This Amendment reflects the correction of the following errors identified in light of the SEC Warrant Accounting Statement, subsequent to the filing of the Original Financial Statements (see Item 8 “Financial Statements and Supplementary Data” and Note 2 of the notes to the financial statements included herein for more details on the impact of the restatement on our financial statements).</w:t>
      </w:r>
    </w:p>
    <w:p>
      <w:pPr>
        <w:spacing w:after="0" w:line="1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The restatement primarily relates to consideration of the factors in determining whether to classify contracts that may be settled in an entity’s own stock as equity of the entity or as an asset or liability in accordance with Accounting Standards Codification (“ASC”) 815-40,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In the Original Financial Statements, the Company classified the public warrants and private placement warrants issued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connection with the Company’s initial public offering (the “Warrants”) as equity instruments. Upon further consideration of the rules and guidance, management of the Company concluded that the Warrants are precluded from equity classification. As a result, the Warrants should be recorded as liabilities on the balance sheet and measured at fair value at inception and on a recurring basis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with changes in fair value recognized in the statement of operations.</w:t>
      </w:r>
    </w:p>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result, on May 14, 2021, the Company's management and the Audit Committee of the Company's board of directors (the "Audit Committee"), after consultation with management and a discussion with Marcum LLP, the Company's independent registered public accounting firm (the "Independent Accounting Firm"), concluded that the Original Financial Statements should no longer be relied upon and are to be restated in order to correct the classification error. The Company’s accounting for the Warrants as components of equity instead of as derivative liabilities did not have any effect on the Company’s previously reported investments held in trust or cash.</w:t>
      </w:r>
    </w:p>
    <w:p>
      <w:pPr>
        <w:spacing w:after="0" w:line="18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Company has not amended its Original Financial Statements for the periods affected by the restatement. The financial information that has been previously filed or otherwise reported is superseded by the information in this Amendment, and the financial statements and related financial information contained in such previously filed report should no longer be relied upon.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restatement is more fully described in Note 2 of the notes to the financial statements included herein.</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In addition, as required by Rule 12b-15 under the Securities Exchange Act of 1934, as amended, new certifications by the Company’s principal executive officer and principal financial officer are filed as exhibits (in Exhibits 31.1, 31.2, 32.1 and 32.2) to this Amendment under Item 15 of Part IV 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and Disclosure Controls Considerations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connection with the restatement, the Company's management has re-evaluated the effectiveness of the Company's disclosure controls and procedures and internal control over financial reporting as of December 31, 2020. The Company's management has concluded that the Company's disclosure controls and procedures and internal control over financial reporting were not effective as of December 31, 2020, due to a material weakness in internal controls over financial reporting solely related to the accounting for warrants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Amended In This Amendment</w:t>
      </w:r>
    </w:p>
    <w:p>
      <w:pPr>
        <w:spacing w:after="0" w:line="22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For the convenience of the reader, this Amendment sets forth the Original Filing in its entirety, as amended to reflect the restatement. No attempt has been made in this Amendment to update other disclosures presented in the Original Filing, except as required to reflect the effects of the restatement. The following items have been amended as a result of the restatement:</w:t>
      </w:r>
    </w:p>
    <w:p>
      <w:pPr>
        <w:spacing w:after="0" w:line="184" w:lineRule="exact"/>
        <w:rPr>
          <w:sz w:val="20"/>
          <w:szCs w:val="20"/>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 Item 1A. Risk Factors.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6. Selected Financial Data.</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7. Management’s Discussion and Analysis of Financial Condition and Results of Operations.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8. Financial Statements and Supplementary Data.</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9A. Controls and Procedures.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IV – Item 15. Exhibits, Financial Statement Schedules.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38" w:gutter="0" w:footer="0" w:header="0"/>
        </w:sectPr>
      </w:pPr>
    </w:p>
    <w:bookmarkStart w:id="4" w:name="page5"/>
    <w:bookmarkEnd w:id="4"/>
    <w:p>
      <w:pPr>
        <w:ind w:firstLine="648"/>
        <w:spacing w:after="0" w:line="301" w:lineRule="auto"/>
        <w:rPr>
          <w:sz w:val="20"/>
          <w:szCs w:val="20"/>
          <w:color w:val="auto"/>
        </w:rPr>
      </w:pPr>
      <w:r>
        <w:rPr>
          <w:rFonts w:ascii="Arial" w:cs="Arial" w:eastAsia="Arial" w:hAnsi="Arial"/>
          <w:sz w:val="16"/>
          <w:szCs w:val="16"/>
          <w:color w:val="auto"/>
        </w:rPr>
        <w:t>Except as described above, this Amendment does not amend, update or change any other items or disclosures contained in the Original Filing, and accordingly, this Amendment does not reflect or purport to reflect any information or events occurring after the original filing date or modify or update those disclosures affected by subsequent events. Accordingly, this Amendment should be read in conjunction with the Original Filing and the Company’s other filings with the SEC. Capitalized terms used but not defined herein shall have the meanings ascribed to such terms in the Original Filing.</w:t>
      </w:r>
    </w:p>
    <w:p>
      <w:pPr>
        <w:spacing w:after="0" w:line="15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This Amendment does not reflect adjustments for events occurring after March 16, 2021, the date of the filing of the Original Filing, except to the extent they are otherwise required to be included and discussed herein and did not substantively modify or update the disclosures herein other than as required to reflect the adjustments described above. This Amendment should be read in conjunction with the Company’s Current Reports on Form 8-K filed with the SEC since the date of filing of the Original Filing and all of the Company’s filings after the date 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auto"/>
        </w:rPr>
        <w:t>This annual report includes, and oral statements made from time to time by representatives of the Company may include,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annual report. Factors that might cause or contribute to such a discrepancy include, but are not limited to, those described in our other Securities and Exchange Commission (“SEC”) filings. Forward-looking statements in this annual report may include, for example, statements about:</w:t>
      </w:r>
    </w:p>
    <w:p>
      <w:pPr>
        <w:spacing w:after="0" w:line="182" w:lineRule="exact"/>
        <w:rPr>
          <w:sz w:val="20"/>
          <w:szCs w:val="20"/>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5" w:lineRule="exact"/>
        <w:rPr>
          <w:rFonts w:ascii="Arial" w:cs="Arial" w:eastAsia="Arial" w:hAnsi="Arial"/>
          <w:sz w:val="18"/>
          <w:szCs w:val="18"/>
          <w:color w:val="auto"/>
        </w:rPr>
      </w:pPr>
    </w:p>
    <w:p>
      <w:pPr>
        <w:ind w:left="800" w:right="960" w:hanging="225"/>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800" w:right="140" w:hanging="225"/>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acquisition opportunities;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right="80" w:firstLine="583"/>
        <w:spacing w:after="0" w:line="271" w:lineRule="auto"/>
        <w:rPr>
          <w:sz w:val="20"/>
          <w:szCs w:val="20"/>
          <w:color w:val="auto"/>
        </w:rPr>
      </w:pPr>
      <w:r>
        <w:rPr>
          <w:rFonts w:ascii="Arial" w:cs="Arial" w:eastAsia="Arial" w:hAnsi="Arial"/>
          <w:sz w:val="17"/>
          <w:szCs w:val="17"/>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“Item 1A.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60" w:firstLine="583"/>
        <w:spacing w:after="0" w:line="311" w:lineRule="auto"/>
        <w:rPr>
          <w:sz w:val="20"/>
          <w:szCs w:val="20"/>
          <w:color w:val="auto"/>
        </w:rPr>
      </w:pPr>
      <w:r>
        <w:rPr>
          <w:rFonts w:ascii="Arial" w:cs="Arial" w:eastAsia="Arial" w:hAnsi="Arial"/>
          <w:sz w:val="16"/>
          <w:szCs w:val="16"/>
          <w:i w:val="1"/>
          <w:iCs w:val="1"/>
          <w:color w:val="auto"/>
        </w:rPr>
        <w:t>References in this annual report to “we,” “us,” “company” or “our company” are to Churchill Capital Corp IV, a Delaware corporation. References to “management” or our “management team” are to our officers and directors. References to our “sponsor” is to Churchill Sponsor IV LLC, a Delaware limited liability company. References to our “initial stockholders” are to the holders of our founder shares prior to our initial public offering.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583"/>
        <w:spacing w:after="0" w:line="257" w:lineRule="auto"/>
        <w:rPr>
          <w:sz w:val="20"/>
          <w:szCs w:val="20"/>
          <w:color w:val="auto"/>
        </w:rPr>
      </w:pPr>
      <w:r>
        <w:rPr>
          <w:rFonts w:ascii="Arial" w:cs="Arial" w:eastAsia="Arial" w:hAnsi="Arial"/>
          <w:sz w:val="18"/>
          <w:szCs w:val="18"/>
          <w:color w:val="auto"/>
        </w:rPr>
        <w:t>We are a blank check company formed for the purpose of effecting a merger, capital stock exchange, asset acquisition, stock purchase, reorganization or other similar business combination with one or more businesses, which we refer to throughout this annual report as our initial business combination. We have reviewed a number of opportunities to enter into a business combination. We have neither engaged in any operations nor generated any revenue to date. Based on our business activities, the Company is a “shell company” as defined under the Exchange Act because we have no operations and nominal assets consisting almost entirely of cash.</w:t>
      </w:r>
    </w:p>
    <w:p>
      <w:pPr>
        <w:spacing w:after="0" w:line="188" w:lineRule="exact"/>
        <w:rPr>
          <w:sz w:val="20"/>
          <w:szCs w:val="20"/>
          <w:color w:val="auto"/>
        </w:rPr>
      </w:pPr>
    </w:p>
    <w:p>
      <w:pPr>
        <w:ind w:right="140" w:firstLine="583"/>
        <w:spacing w:after="0" w:line="293" w:lineRule="auto"/>
        <w:rPr>
          <w:sz w:val="20"/>
          <w:szCs w:val="20"/>
          <w:color w:val="auto"/>
        </w:rPr>
      </w:pPr>
      <w:r>
        <w:rPr>
          <w:rFonts w:ascii="Arial" w:cs="Arial" w:eastAsia="Arial" w:hAnsi="Arial"/>
          <w:sz w:val="16"/>
          <w:szCs w:val="16"/>
          <w:color w:val="auto"/>
        </w:rPr>
        <w:t>Our founder, Michael Klein, is also the founder and managing partner of M. Klein and Company, which he founded in 2012. M. Klein and Company is a global strategic advisory firm that provides its clients a variety of advice tailored to their objectives. M. Klein and Company has established an entity within the firm, Archimedes Advisors, which will invest in our sponsor and which consists of operating partners (“operating partners”) who will assist Mr. Klein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w:t>
      </w:r>
    </w:p>
    <w:p>
      <w:pPr>
        <w:spacing w:after="0" w:line="168" w:lineRule="exact"/>
        <w:rPr>
          <w:sz w:val="20"/>
          <w:szCs w:val="20"/>
          <w:color w:val="auto"/>
        </w:rPr>
      </w:pPr>
    </w:p>
    <w:p>
      <w:pPr>
        <w:ind w:right="60" w:firstLine="583"/>
        <w:spacing w:after="0" w:line="230" w:lineRule="auto"/>
        <w:rPr>
          <w:sz w:val="20"/>
          <w:szCs w:val="20"/>
          <w:color w:val="auto"/>
        </w:rPr>
      </w:pPr>
      <w:r>
        <w:rPr>
          <w:rFonts w:ascii="Arial" w:cs="Arial" w:eastAsia="Arial" w:hAnsi="Arial"/>
          <w:sz w:val="18"/>
          <w:szCs w:val="18"/>
          <w:color w:val="auto"/>
        </w:rPr>
        <w:t>Our executive offices are located at 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10019 and our telephone number is (212) 380-7500. Our corporate website address https://iv.churchillcapitalcorp.com. Our website and the information contained on, or that can be accessed through, the website is not deemed to be incorporated by reference in, and is not considered part of, this annual report. You should not rely on any such information in making your decision whether to invest in our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ind w:firstLine="583"/>
        <w:spacing w:after="0" w:line="289" w:lineRule="auto"/>
        <w:rPr>
          <w:sz w:val="20"/>
          <w:szCs w:val="20"/>
          <w:color w:val="auto"/>
        </w:rPr>
      </w:pPr>
      <w:r>
        <w:rPr>
          <w:rFonts w:ascii="Arial" w:cs="Arial" w:eastAsia="Arial" w:hAnsi="Arial"/>
          <w:sz w:val="16"/>
          <w:szCs w:val="16"/>
          <w:color w:val="auto"/>
        </w:rPr>
        <w:t>In May 2020, our sponsor purchased an aggregate of 21,562,500 shares of Class B common stock (our “founder shares”) for an aggregate purchase price of $25,000, or approximately $0.001 per share. Our Class B common stock will automatically convert into shares of Class A common stock, on a one-for-one basis, upon the completion of a business combination.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number of founder shares issued was based on the expectation that the founder shares would represent 20% of the outstanding shares of our determined Class A common stock and our Class B common stock (collectively, our “common stock’) upon completion of the initial public offering (the “IPO”).</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August 3, 2020 we completed our IPO of 207,000,000 units at a price of $10.00 per unit (the “units”), generating gross proceeds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$2,070,000,000. Each unit consists of one of the Company’s shares of Class A common stock, par value $0.0001 per share, and one-fifth of one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whole warrant entitles the holder thereof to purchase one share of Class A common stock at a price of $11.50 per share, subject to certain adjustments.</w:t>
      </w:r>
    </w:p>
    <w:p>
      <w:pPr>
        <w:spacing w:after="0" w:line="234" w:lineRule="exact"/>
        <w:rPr>
          <w:sz w:val="20"/>
          <w:szCs w:val="20"/>
          <w:color w:val="auto"/>
        </w:rPr>
      </w:pPr>
    </w:p>
    <w:p>
      <w:pPr>
        <w:ind w:right="240" w:firstLine="583"/>
        <w:spacing w:after="0" w:line="257" w:lineRule="auto"/>
        <w:rPr>
          <w:sz w:val="20"/>
          <w:szCs w:val="20"/>
          <w:color w:val="auto"/>
        </w:rPr>
      </w:pPr>
      <w:r>
        <w:rPr>
          <w:rFonts w:ascii="Arial" w:cs="Arial" w:eastAsia="Arial" w:hAnsi="Arial"/>
          <w:sz w:val="18"/>
          <w:szCs w:val="18"/>
          <w:color w:val="auto"/>
        </w:rPr>
        <w:t>Concurrently with the completion of the IPO, our sponsor purchased an aggregate 42,850,000 warrants (the “private placement warrants”) at a price of $1.00 per warrant, or $42,850,000 in the aggregate. An aggregate of $2,070,000,000 from the proceeds of the IPO and the private placement warrants was placed in a trust account (the “trust account”) such that the trust account held $2,070,000,000 at the time of closing of the IPO. Each whole private placement warrant entitles the holder thereof to purchase one share of Class A common stock at a price of $11.50 per share, subject to certain adjustments.</w:t>
      </w:r>
    </w:p>
    <w:p>
      <w:pPr>
        <w:spacing w:after="0" w:line="188" w:lineRule="exact"/>
        <w:rPr>
          <w:sz w:val="20"/>
          <w:szCs w:val="20"/>
          <w:color w:val="auto"/>
        </w:rPr>
      </w:pPr>
    </w:p>
    <w:p>
      <w:pPr>
        <w:ind w:right="180" w:firstLine="583"/>
        <w:spacing w:after="0" w:line="259" w:lineRule="auto"/>
        <w:rPr>
          <w:sz w:val="20"/>
          <w:szCs w:val="20"/>
          <w:color w:val="auto"/>
        </w:rPr>
      </w:pPr>
      <w:r>
        <w:rPr>
          <w:rFonts w:ascii="Arial" w:cs="Arial" w:eastAsia="Arial" w:hAnsi="Arial"/>
          <w:sz w:val="18"/>
          <w:szCs w:val="18"/>
          <w:color w:val="auto"/>
        </w:rPr>
        <w:t>On September 17, 2020, we announced that, commencing September 18, 2020, holders of the 207,000,000 units sold in the IPO may elect to separately trade the shares of Class A common stock and the warrants included in the units. Those units not separated continued to trade on the New York Stock Exchange (the “NYSE”) under the symbol “CCIV.U” and the shares of Class A common stock and warrants that were separated trade under the symbols “CCIV” and “CCIV WS,”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380" w:firstLine="583"/>
        <w:spacing w:after="0" w:line="263" w:lineRule="auto"/>
        <w:rPr>
          <w:sz w:val="20"/>
          <w:szCs w:val="20"/>
          <w:color w:val="auto"/>
        </w:rPr>
      </w:pPr>
      <w:r>
        <w:rPr>
          <w:rFonts w:ascii="Arial" w:cs="Arial" w:eastAsia="Arial" w:hAnsi="Arial"/>
          <w:sz w:val="18"/>
          <w:szCs w:val="18"/>
          <w:color w:val="auto"/>
        </w:rPr>
        <w:t>On February 22, 2021, we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us, Air Merger Sub, Inc., a Delaware corporation and direct, wholly owned subsidiary of Churchill (“</w:t>
      </w:r>
      <w:r>
        <w:rPr>
          <w:rFonts w:ascii="Arial" w:cs="Arial" w:eastAsia="Arial" w:hAnsi="Arial"/>
          <w:sz w:val="18"/>
          <w:szCs w:val="18"/>
          <w:u w:val="single" w:color="auto"/>
          <w:color w:val="auto"/>
        </w:rPr>
        <w:t>Merger Sub</w:t>
      </w:r>
      <w:r>
        <w:rPr>
          <w:rFonts w:ascii="Arial" w:cs="Arial" w:eastAsia="Arial" w:hAnsi="Arial"/>
          <w:sz w:val="18"/>
          <w:szCs w:val="18"/>
          <w:color w:val="auto"/>
        </w:rPr>
        <w:t>”), and Atieva, Inc., d/b/a Lucid Motors, an exempted company incorporated with limited liability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4" w:lineRule="exact"/>
        <w:rPr>
          <w:sz w:val="20"/>
          <w:szCs w:val="20"/>
          <w:color w:val="auto"/>
        </w:rPr>
      </w:pPr>
    </w:p>
    <w:p>
      <w:pPr>
        <w:jc w:val="both"/>
        <w:ind w:right="220" w:firstLine="583"/>
        <w:spacing w:after="0" w:line="263" w:lineRule="auto"/>
        <w:rPr>
          <w:sz w:val="20"/>
          <w:szCs w:val="20"/>
          <w:color w:val="auto"/>
        </w:rPr>
      </w:pPr>
      <w:r>
        <w:rPr>
          <w:rFonts w:ascii="Arial" w:cs="Arial" w:eastAsia="Arial" w:hAnsi="Arial"/>
          <w:sz w:val="18"/>
          <w:szCs w:val="18"/>
          <w:color w:val="auto"/>
        </w:rPr>
        <w:t>Pursuant to the Merger Agreement, the parties thereto will enter into a business combination transaction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by which Merger Sub will merge with and into the Company with the Company being the surviving entity in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and, together with the other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4" w:lineRule="exact"/>
        <w:rPr>
          <w:sz w:val="20"/>
          <w:szCs w:val="20"/>
          <w:color w:val="auto"/>
        </w:rPr>
      </w:pPr>
    </w:p>
    <w:p>
      <w:pPr>
        <w:ind w:right="400" w:firstLine="583"/>
        <w:spacing w:after="0" w:line="277" w:lineRule="auto"/>
        <w:rPr>
          <w:sz w:val="20"/>
          <w:szCs w:val="20"/>
          <w:color w:val="auto"/>
        </w:rPr>
      </w:pPr>
      <w:r>
        <w:rPr>
          <w:rFonts w:ascii="Arial" w:cs="Arial" w:eastAsia="Arial" w:hAnsi="Arial"/>
          <w:sz w:val="18"/>
          <w:szCs w:val="18"/>
          <w:color w:val="auto"/>
        </w:rPr>
        <w:t>The proposed Business Combination is expected to be consummated after the required approval by our stockholders and the Company and the satisfaction of certain other conditions summarized below.</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214" w:gutter="0" w:footer="0" w:header="0"/>
        </w:sectPr>
      </w:pPr>
    </w:p>
    <w:bookmarkStart w:id="6" w:name="page7"/>
    <w:bookmarkEnd w:id="6"/>
    <w:p>
      <w:pPr>
        <w:ind w:left="600"/>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ind w:right="200" w:firstLine="583"/>
        <w:spacing w:after="0" w:line="259" w:lineRule="auto"/>
        <w:rPr>
          <w:sz w:val="20"/>
          <w:szCs w:val="20"/>
          <w:color w:val="auto"/>
        </w:rPr>
      </w:pPr>
      <w:r>
        <w:rPr>
          <w:rFonts w:ascii="Arial" w:cs="Arial" w:eastAsia="Arial" w:hAnsi="Arial"/>
          <w:sz w:val="18"/>
          <w:szCs w:val="18"/>
          <w:color w:val="auto"/>
        </w:rPr>
        <w:t>The aggregate consideration to be paid to the shareholders of the Company will be equal to (a) $11,750,000,000 plus (b) (i) all cash and cash equivalents of the Company and its subsidiaries less (ii) all indebtedness for borrowed money of the Company and its subsidiaries, in each case as of two business days prior to the closing date (the “</w:t>
      </w:r>
      <w:r>
        <w:rPr>
          <w:rFonts w:ascii="Arial" w:cs="Arial" w:eastAsia="Arial" w:hAnsi="Arial"/>
          <w:sz w:val="18"/>
          <w:szCs w:val="18"/>
          <w:u w:val="single" w:color="auto"/>
          <w:color w:val="auto"/>
        </w:rPr>
        <w:t>Equity Value</w:t>
      </w:r>
      <w:r>
        <w:rPr>
          <w:rFonts w:ascii="Arial" w:cs="Arial" w:eastAsia="Arial" w:hAnsi="Arial"/>
          <w:sz w:val="18"/>
          <w:szCs w:val="18"/>
          <w:color w:val="auto"/>
        </w:rPr>
        <w:t>”) and will be paid entirely in shares of Class A common stock, par value $0.0001 per share, of Churchill in an amount equal to $10.00 per share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87" w:lineRule="exact"/>
        <w:rPr>
          <w:sz w:val="20"/>
          <w:szCs w:val="20"/>
          <w:color w:val="auto"/>
        </w:rPr>
      </w:pPr>
    </w:p>
    <w:p>
      <w:pPr>
        <w:ind w:right="60" w:firstLine="583"/>
        <w:spacing w:after="0" w:line="255" w:lineRule="auto"/>
        <w:rPr>
          <w:sz w:val="20"/>
          <w:szCs w:val="20"/>
          <w:color w:val="auto"/>
        </w:rPr>
      </w:pPr>
      <w:r>
        <w:rPr>
          <w:rFonts w:ascii="Arial" w:cs="Arial" w:eastAsia="Arial" w:hAnsi="Arial"/>
          <w:sz w:val="18"/>
          <w:szCs w:val="18"/>
          <w:color w:val="auto"/>
        </w:rPr>
        <w:t>At the effective time of the Merger, each share of capital stock of the Company (the “</w:t>
      </w:r>
      <w:r>
        <w:rPr>
          <w:rFonts w:ascii="Arial" w:cs="Arial" w:eastAsia="Arial" w:hAnsi="Arial"/>
          <w:sz w:val="18"/>
          <w:szCs w:val="18"/>
          <w:u w:val="single" w:color="auto"/>
          <w:color w:val="auto"/>
        </w:rPr>
        <w:t>Company Shares</w:t>
      </w:r>
      <w:r>
        <w:rPr>
          <w:rFonts w:ascii="Arial" w:cs="Arial" w:eastAsia="Arial" w:hAnsi="Arial"/>
          <w:sz w:val="18"/>
          <w:szCs w:val="18"/>
          <w:color w:val="auto"/>
        </w:rPr>
        <w:t>”) will be cancelled and automatically deemed for all purposes to represent the right to receive, in the aggregate, the Merger Consideration. At the effective time of the Merger, all share incentive plan or similar equity-based compensation plans maintained for employees of the Company will be assumed by Churchill and all outstanding options to purchase Company Shares (each, a “</w:t>
      </w:r>
      <w:r>
        <w:rPr>
          <w:rFonts w:ascii="Arial" w:cs="Arial" w:eastAsia="Arial" w:hAnsi="Arial"/>
          <w:sz w:val="18"/>
          <w:szCs w:val="18"/>
          <w:u w:val="single" w:color="auto"/>
          <w:color w:val="auto"/>
        </w:rPr>
        <w:t>Company Option</w:t>
      </w:r>
      <w:r>
        <w:rPr>
          <w:rFonts w:ascii="Arial" w:cs="Arial" w:eastAsia="Arial" w:hAnsi="Arial"/>
          <w:sz w:val="18"/>
          <w:szCs w:val="18"/>
          <w:color w:val="auto"/>
        </w:rPr>
        <w:t>”) and each restricted stock unit award (“</w:t>
      </w:r>
      <w:r>
        <w:rPr>
          <w:rFonts w:ascii="Arial" w:cs="Arial" w:eastAsia="Arial" w:hAnsi="Arial"/>
          <w:sz w:val="18"/>
          <w:szCs w:val="18"/>
          <w:u w:val="single" w:color="auto"/>
          <w:color w:val="auto"/>
        </w:rPr>
        <w:t>RSU</w:t>
      </w:r>
      <w:r>
        <w:rPr>
          <w:rFonts w:ascii="Arial" w:cs="Arial" w:eastAsia="Arial" w:hAnsi="Arial"/>
          <w:sz w:val="18"/>
          <w:szCs w:val="18"/>
          <w:color w:val="auto"/>
        </w:rPr>
        <w:t>”) with respect to Company Shares (each, a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RSU</w:t>
      </w:r>
      <w:r>
        <w:rPr>
          <w:rFonts w:ascii="Arial" w:cs="Arial" w:eastAsia="Arial" w:hAnsi="Arial"/>
          <w:sz w:val="18"/>
          <w:szCs w:val="18"/>
          <w:color w:val="auto"/>
        </w:rPr>
        <w:t>”) will be assumed by Churchill as described below. For purposes of the following paragraph, the “</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means the Equity Value per share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$10.00.</w:t>
      </w:r>
    </w:p>
    <w:p>
      <w:pPr>
        <w:spacing w:after="0" w:line="192" w:lineRule="exact"/>
        <w:rPr>
          <w:sz w:val="20"/>
          <w:szCs w:val="20"/>
          <w:color w:val="auto"/>
        </w:rPr>
      </w:pPr>
    </w:p>
    <w:p>
      <w:pPr>
        <w:ind w:firstLine="583"/>
        <w:spacing w:after="0" w:line="254" w:lineRule="auto"/>
        <w:rPr>
          <w:sz w:val="20"/>
          <w:szCs w:val="20"/>
          <w:color w:val="auto"/>
        </w:rPr>
      </w:pPr>
      <w:r>
        <w:rPr>
          <w:rFonts w:ascii="Arial" w:cs="Arial" w:eastAsia="Arial" w:hAnsi="Arial"/>
          <w:sz w:val="18"/>
          <w:szCs w:val="18"/>
          <w:color w:val="auto"/>
        </w:rPr>
        <w:t>At the effective time of the Merger, each Company Option will become an option to purchase shares of Class A common stock (each, an “</w:t>
      </w:r>
      <w:r>
        <w:rPr>
          <w:rFonts w:ascii="Arial" w:cs="Arial" w:eastAsia="Arial" w:hAnsi="Arial"/>
          <w:sz w:val="18"/>
          <w:szCs w:val="18"/>
          <w:u w:val="single" w:color="auto"/>
          <w:color w:val="auto"/>
        </w:rPr>
        <w:t>Assumed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on the same terms and conditions (including applicable vesting, exercise and expiration provisions) as applied to the Company Option immediately prior to the effective time of the Merger, except that (i) the number of shares of Class A common stock subject to such Assumed Option shall equal the product of (x) the number of Company Shares that were subject to the option immediately prior to the effective time of the Merger,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w:t>
      </w:r>
      <w:r>
        <w:rPr>
          <w:rFonts w:ascii="Arial" w:cs="Arial" w:eastAsia="Arial" w:hAnsi="Arial"/>
          <w:sz w:val="18"/>
          <w:szCs w:val="18"/>
          <w:color w:val="auto"/>
        </w:rPr>
        <w:t>(y) the Exchange Ratio, rounded down to the nearest whole share, and (B) the per-share exercise price shall equal the quotient of (1) the 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 Company Share at which such option was exercisable immediately prior to the effective time of the Merger,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(2) the Exchange Ratio, rounded up to the nearest whole cent.</w:t>
      </w:r>
    </w:p>
    <w:p>
      <w:pPr>
        <w:spacing w:after="0" w:line="195" w:lineRule="exact"/>
        <w:rPr>
          <w:sz w:val="20"/>
          <w:szCs w:val="20"/>
          <w:color w:val="auto"/>
        </w:rPr>
      </w:pPr>
    </w:p>
    <w:p>
      <w:pPr>
        <w:ind w:right="40" w:firstLine="583"/>
        <w:spacing w:after="0" w:line="257" w:lineRule="auto"/>
        <w:rPr>
          <w:sz w:val="20"/>
          <w:szCs w:val="20"/>
          <w:color w:val="auto"/>
        </w:rPr>
      </w:pPr>
      <w:r>
        <w:rPr>
          <w:rFonts w:ascii="Arial" w:cs="Arial" w:eastAsia="Arial" w:hAnsi="Arial"/>
          <w:sz w:val="18"/>
          <w:szCs w:val="18"/>
          <w:color w:val="auto"/>
        </w:rPr>
        <w:t>At the effective time of the Merger, each Company RSU, will be assumed by Churchill and become an RSU with respect to shares of Class A common stock (each, an “</w:t>
      </w:r>
      <w:r>
        <w:rPr>
          <w:rFonts w:ascii="Arial" w:cs="Arial" w:eastAsia="Arial" w:hAnsi="Arial"/>
          <w:sz w:val="18"/>
          <w:szCs w:val="18"/>
          <w:u w:val="single" w:color="auto"/>
          <w:color w:val="auto"/>
        </w:rPr>
        <w:t>Assumed RSU</w:t>
      </w:r>
      <w:r>
        <w:rPr>
          <w:rFonts w:ascii="Arial" w:cs="Arial" w:eastAsia="Arial" w:hAnsi="Arial"/>
          <w:sz w:val="18"/>
          <w:szCs w:val="18"/>
          <w:color w:val="auto"/>
        </w:rPr>
        <w:t>”) on the same terms and conditions (including applicable vesting provisions) as applied to each Company RSU immediately prior to the effective time of the Merger, except that the number of shares of Class A common stock subject to such Assumed RSU Award will be equal the product of (x) the number of Company Shares that were subject to such RSU immediately prior to the effective time of the Merger, multiplied by (y) the Exchange Ratio, rounded down to the nearest whole share.</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ind w:right="180" w:firstLine="583"/>
        <w:spacing w:after="0" w:line="291" w:lineRule="auto"/>
        <w:rPr>
          <w:sz w:val="20"/>
          <w:szCs w:val="20"/>
          <w:color w:val="auto"/>
        </w:rPr>
      </w:pPr>
      <w:r>
        <w:rPr>
          <w:rFonts w:ascii="Arial" w:cs="Arial" w:eastAsia="Arial" w:hAnsi="Arial"/>
          <w:sz w:val="16"/>
          <w:szCs w:val="16"/>
          <w:color w:val="auto"/>
        </w:rPr>
        <w:t>The Merger Agreement contains representations and warranties of the parties thereto with respect to, among other things, (i) entity organization, formation and authority, (ii) authorization to enter into the Merger Agreement, (iii) capital structure, (iv) consents and approvals, (v) financial statements,</w:t>
      </w: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undisclosed liabilities, (vii) real property, (viii) litigation and proceedings, (ix) material contracts, (x) taxes, (xi) title to assets, (xii) absence of changes,</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environmental matters, (xiv) employee matters, (xv) licenses and permits, (xvi) compliance with laws (xvii) intellectual property and IT security,</w:t>
      </w:r>
    </w:p>
    <w:p>
      <w:pPr>
        <w:spacing w:after="0" w:line="20" w:lineRule="exact"/>
        <w:rPr>
          <w:rFonts w:ascii="Arial" w:cs="Arial" w:eastAsia="Arial" w:hAnsi="Arial"/>
          <w:sz w:val="17"/>
          <w:szCs w:val="17"/>
          <w:color w:val="auto"/>
        </w:rPr>
      </w:pPr>
    </w:p>
    <w:p>
      <w:pPr>
        <w:ind w:right="660" w:firstLine="8"/>
        <w:spacing w:after="0" w:line="290" w:lineRule="auto"/>
        <w:tabs>
          <w:tab w:leader="none" w:pos="495"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governmental authorities and consents, (xix) insurance, and (xx) related party transactions. The representations and warranties of the parties contained in the Merger Agreement will terminate and be of no further force and effect as of the closing of the Transactions.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40" w:firstLine="583"/>
        <w:spacing w:after="0" w:line="270" w:lineRule="auto"/>
        <w:rPr>
          <w:sz w:val="20"/>
          <w:szCs w:val="20"/>
          <w:color w:val="auto"/>
        </w:rPr>
      </w:pPr>
      <w:r>
        <w:rPr>
          <w:rFonts w:ascii="Arial" w:cs="Arial" w:eastAsia="Arial" w:hAnsi="Arial"/>
          <w:sz w:val="17"/>
          <w:szCs w:val="17"/>
          <w:color w:val="auto"/>
        </w:rPr>
        <w:t>The Merger Agreement contains customary covenants of the parties, including, among others, covenants providing for (i) the operation of the parties’ respective businesses prior to consummation of the Transactions, (ii) Churchill and the Company’s efforts to satisfy conditions to consummation of the Transactions, (iii) Churchill and the Company to cease discussions for alternative transactions, (iv) Churchill to prepare and file a registration statement and a proxy statement for the purpose of soliciting proxies from Churchill’s stockholders to vote in favor of certain matters (the “</w:t>
      </w:r>
      <w:r>
        <w:rPr>
          <w:rFonts w:ascii="Arial" w:cs="Arial" w:eastAsia="Arial" w:hAnsi="Arial"/>
          <w:sz w:val="17"/>
          <w:szCs w:val="17"/>
          <w:u w:val="single" w:color="auto"/>
          <w:color w:val="auto"/>
        </w:rPr>
        <w:t>SPAC Stockholder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Matters</w:t>
      </w:r>
      <w:r>
        <w:rPr>
          <w:rFonts w:ascii="Arial" w:cs="Arial" w:eastAsia="Arial" w:hAnsi="Arial"/>
          <w:sz w:val="17"/>
          <w:szCs w:val="17"/>
          <w:color w:val="auto"/>
        </w:rPr>
        <w:t>”), including the adoption of the Merger Agreement, approval of the Transactions, amendment and restatement of Churchill’s certificate of incorporation and certain other matters at a special meeting called therefor (the “</w:t>
      </w:r>
      <w:r>
        <w:rPr>
          <w:rFonts w:ascii="Arial" w:cs="Arial" w:eastAsia="Arial" w:hAnsi="Arial"/>
          <w:sz w:val="17"/>
          <w:szCs w:val="17"/>
          <w:u w:val="single" w:color="auto"/>
          <w:color w:val="auto"/>
        </w:rPr>
        <w:t>Special Meeting</w:t>
      </w:r>
      <w:r>
        <w:rPr>
          <w:rFonts w:ascii="Arial" w:cs="Arial" w:eastAsia="Arial" w:hAnsi="Arial"/>
          <w:sz w:val="17"/>
          <w:szCs w:val="17"/>
          <w:color w:val="auto"/>
        </w:rPr>
        <w:t>”), (v) the Company to convene an extraordinary general meeting of its shareholders to approve certain matters, including the adoption of the Merger Agreement, the Plan of Merger and approval of the Transactions (the “</w:t>
      </w:r>
      <w:r>
        <w:rPr>
          <w:rFonts w:ascii="Arial" w:cs="Arial" w:eastAsia="Arial" w:hAnsi="Arial"/>
          <w:sz w:val="17"/>
          <w:szCs w:val="17"/>
          <w:u w:val="single" w:color="auto"/>
          <w:color w:val="auto"/>
        </w:rPr>
        <w:t>Company Shareholder Matters</w:t>
      </w:r>
      <w:r>
        <w:rPr>
          <w:rFonts w:ascii="Arial" w:cs="Arial" w:eastAsia="Arial" w:hAnsi="Arial"/>
          <w:sz w:val="17"/>
          <w:szCs w:val="17"/>
          <w:color w:val="auto"/>
        </w:rPr>
        <w:t>”), (vi) the protection of, and access to, confidential information of the parties and (vii) the parties’ efforts to obtain necessary approvals from governmental agencies.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Conditions to Closing</w:t>
      </w:r>
    </w:p>
    <w:p>
      <w:pPr>
        <w:spacing w:after="0" w:line="225" w:lineRule="exact"/>
        <w:rPr>
          <w:sz w:val="20"/>
          <w:szCs w:val="20"/>
          <w:color w:val="auto"/>
        </w:rPr>
      </w:pPr>
    </w:p>
    <w:p>
      <w:pPr>
        <w:ind w:right="280" w:firstLine="583"/>
        <w:spacing w:after="0" w:line="286" w:lineRule="auto"/>
        <w:rPr>
          <w:sz w:val="20"/>
          <w:szCs w:val="20"/>
          <w:color w:val="auto"/>
        </w:rPr>
      </w:pPr>
      <w:r>
        <w:rPr>
          <w:rFonts w:ascii="Arial" w:cs="Arial" w:eastAsia="Arial" w:hAnsi="Arial"/>
          <w:sz w:val="16"/>
          <w:szCs w:val="16"/>
          <w:color w:val="auto"/>
        </w:rPr>
        <w:t>The consummation of the Transactions is subject to customary closing conditions for special purpose acquisition companies, including, among others: (i) approval by Churchill’s stockholders, (ii) the expiration or termination of the waiting period under the Hart-Scott-Rodino Antitrust Improvements Act of 1976, as amended, (iii) no order, statute, rule or regulation enjoining or prohibiting the consummation of the Transactions being in force, (iv) Churchill having at least $5,000,001 of net tangible assets as of the closing of the Transactions, (v) approval by the Company’s shareholders,</w:t>
      </w:r>
    </w:p>
    <w:p>
      <w:pPr>
        <w:spacing w:after="0" w:line="1" w:lineRule="exact"/>
        <w:rPr>
          <w:sz w:val="20"/>
          <w:szCs w:val="20"/>
          <w:color w:val="auto"/>
        </w:rPr>
      </w:pPr>
    </w:p>
    <w:p>
      <w:pPr>
        <w:ind w:right="60" w:firstLine="8"/>
        <w:spacing w:after="0" w:line="251"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Churchill’s common stock being listed on the New York Stock Exchange or other stock exchange mutually agreed between Churchill and the Company, (vi) the registration statement becoming effective in accordance with the Securities Act and (vii) customary bringdown conditions. Additionally, the obligations of the Company to consummate the Transactions are also conditioned upon, among others, the amount of Available Closing SPAC Cash being at least $2.8 billion as of the closing of the Transactions and each of the covenants of each of Churchill Sponsor and the Insiders (both as defined below) required under the Sponsor Agreement (as defined below) to be performed as of or prior to the closing of the Transactions shall have been performed in all material respects, and none of Churchill Sponsor or the Insiders shall have threatened (orally or in writing) (a) that the Sponsor Agreement is not valid, binding and in full force and effect, (b) that the Company is in breach of or default under the Sponsor Agreement or (c) to terminate the Sponsor Agreement.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86" w:gutter="0" w:footer="0" w:header="0"/>
        </w:sectPr>
      </w:pPr>
    </w:p>
    <w:bookmarkStart w:id="7" w:name="page8"/>
    <w:bookmarkEnd w:id="7"/>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Merger Agreement may be terminated at any time, but not later than the closing of the Transactions, as follows:</w:t>
      </w:r>
    </w:p>
    <w:p>
      <w:pPr>
        <w:spacing w:after="0" w:line="225" w:lineRule="exact"/>
        <w:rPr>
          <w:sz w:val="20"/>
          <w:szCs w:val="20"/>
          <w:color w:val="auto"/>
        </w:rPr>
      </w:pPr>
    </w:p>
    <w:p>
      <w:pPr>
        <w:ind w:left="1880" w:hanging="706"/>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mutual written consent of Churchill and the Company;</w:t>
      </w:r>
    </w:p>
    <w:p>
      <w:pPr>
        <w:spacing w:after="0" w:line="225" w:lineRule="exact"/>
        <w:rPr>
          <w:rFonts w:ascii="Arial" w:cs="Arial" w:eastAsia="Arial" w:hAnsi="Arial"/>
          <w:sz w:val="18"/>
          <w:szCs w:val="18"/>
          <w:color w:val="auto"/>
        </w:rPr>
      </w:pPr>
    </w:p>
    <w:p>
      <w:pPr>
        <w:ind w:right="280" w:firstLine="1174"/>
        <w:spacing w:after="0" w:line="275" w:lineRule="auto"/>
        <w:tabs>
          <w:tab w:leader="none" w:pos="1881"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either Churchill or the Company if the Transactions are not consummated on or before October 22, 2021 (the “Termination Date”), but Churchill’s right to terminate will be automatically extended if any action for specific performance or other equitable relief filed by the Company with respect to the Merger Agreement, the other transaction agreements specified in the Merger Agreement or otherwise regarding the Transactions is commenced or pending on or prior to the Termination Date, provided that the terminating party’s failure to fulfill any of its obligations under the Merger Agreement is not the primary cause of the failure of the closing to occur by such date;</w:t>
      </w:r>
    </w:p>
    <w:p>
      <w:pPr>
        <w:spacing w:after="0" w:line="176" w:lineRule="exact"/>
        <w:rPr>
          <w:rFonts w:ascii="Arial" w:cs="Arial" w:eastAsia="Arial" w:hAnsi="Arial"/>
          <w:sz w:val="17"/>
          <w:szCs w:val="17"/>
          <w:color w:val="auto"/>
        </w:rPr>
      </w:pPr>
    </w:p>
    <w:p>
      <w:pPr>
        <w:ind w:firstLine="1174"/>
        <w:spacing w:after="0" w:line="263" w:lineRule="auto"/>
        <w:tabs>
          <w:tab w:leader="none" w:pos="1886"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either Churchill or the Company if a governmental entity shall have issued an order, decree or ruling or taken any other action, in any case having the effect of permanently enjoining or prohibiting the Merger, which order, decree, judgment, ruling or other action is final and nonappealable;</w:t>
      </w:r>
    </w:p>
    <w:p>
      <w:pPr>
        <w:spacing w:after="0" w:line="183" w:lineRule="exact"/>
        <w:rPr>
          <w:rFonts w:ascii="Arial" w:cs="Arial" w:eastAsia="Arial" w:hAnsi="Arial"/>
          <w:sz w:val="18"/>
          <w:szCs w:val="18"/>
          <w:color w:val="auto"/>
        </w:rPr>
      </w:pPr>
    </w:p>
    <w:p>
      <w:pPr>
        <w:ind w:firstLine="1174"/>
        <w:spacing w:after="0" w:line="259" w:lineRule="auto"/>
        <w:tabs>
          <w:tab w:leader="none" w:pos="18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either Churchill or the Company if the other party has breached any of its covenants, agreements, representations or warranties which would result in the failure of certain conditions to be satisfied at the closing and has not cured its breach within thirty days of the notice of an intent to terminate, provided that the terminating party’s failure to fulfill any of its obligations under the Merger Agreement is not the primary cause of the failure of the closing to occur;</w:t>
      </w:r>
    </w:p>
    <w:p>
      <w:pPr>
        <w:spacing w:after="0" w:line="186" w:lineRule="exact"/>
        <w:rPr>
          <w:rFonts w:ascii="Arial" w:cs="Arial" w:eastAsia="Arial" w:hAnsi="Arial"/>
          <w:sz w:val="18"/>
          <w:szCs w:val="18"/>
          <w:color w:val="auto"/>
        </w:rPr>
      </w:pPr>
    </w:p>
    <w:p>
      <w:pPr>
        <w:ind w:right="20" w:firstLine="1174"/>
        <w:spacing w:after="0" w:line="279" w:lineRule="auto"/>
        <w:tabs>
          <w:tab w:leader="none" w:pos="1871"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either Churchill or the Company if, at the Special Meeting, the Transactions and the other SPAC Stockholder Matters shall fail to be approved by holders of Churchill’s outstanding shares, provided that Churchill’s right to terminate for failure to obtain such approval shall not be available if, at the time of such termination, SPAC is in breach of certain of its obligations under the Merger Agreement, including with respect to the preparation, filing and mailing of the registration statement and the proxy statement and convening the Special Meeting; or</w:t>
      </w:r>
    </w:p>
    <w:p>
      <w:pPr>
        <w:spacing w:after="0" w:line="171" w:lineRule="exact"/>
        <w:rPr>
          <w:rFonts w:ascii="Arial" w:cs="Arial" w:eastAsia="Arial" w:hAnsi="Arial"/>
          <w:sz w:val="17"/>
          <w:szCs w:val="17"/>
          <w:color w:val="auto"/>
        </w:rPr>
      </w:pPr>
    </w:p>
    <w:p>
      <w:pPr>
        <w:ind w:left="1880" w:hanging="706"/>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Churchill if the Company shall fail to obtain the Company Shareholder Matters.</w:t>
      </w:r>
    </w:p>
    <w:p>
      <w:pPr>
        <w:spacing w:after="0" w:line="225" w:lineRule="exact"/>
        <w:rPr>
          <w:sz w:val="20"/>
          <w:szCs w:val="20"/>
          <w:color w:val="auto"/>
        </w:rPr>
      </w:pPr>
    </w:p>
    <w:p>
      <w:pPr>
        <w:ind w:right="20" w:firstLine="583"/>
        <w:spacing w:after="0" w:line="286" w:lineRule="auto"/>
        <w:rPr>
          <w:sz w:val="20"/>
          <w:szCs w:val="20"/>
          <w:color w:val="auto"/>
        </w:rPr>
      </w:pPr>
      <w:r>
        <w:rPr>
          <w:rFonts w:ascii="Arial" w:cs="Arial" w:eastAsia="Arial" w:hAnsi="Arial"/>
          <w:sz w:val="16"/>
          <w:szCs w:val="16"/>
          <w:color w:val="auto"/>
        </w:rPr>
        <w:t>The foregoing description of the Merger Agreement and the Transactions does not purport to be complete and is qualified in its entirety by the terms and conditions of the Merger Agreement and any related agreements. 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included as an exhibit to this Annual Report on Form 10-K (this “Current Report”) to provide investors with information regarding its terms. It is not intended to provide any other factual information about Churchill, the Company, or any other party to the Merger Agreement or any related agreement. In particular, the representations, warranties, covenants and agreements contained in the Merger Agreement, which were made only for purposes of such agreement and as of specific dates, were solely for the benefit of the parties to the Merger Agreement, are subject to limitations agreed upon by the contracting parties (including being qualified by confidential disclosures made for the purposes of allocating contractual risk between the parties to the Merger Agreement instead of establishing these matters as facts) and are subject to standards of materiality applicable to the contracting parties that may differ from those applicable to investors and security holders. Investors and security holders are not third-party beneficiaries under the Merger Agreement and should not rely on the representations, warranties, covenants and agreements, or any descriptions thereof, as characterizations of the actual state of facts or condition of any party to the Merger Agreement. Moreover, information concerning the subject matter of the representations and warranties may change after the date of the Merger Agreement, which subsequent information may or may not be fully reflected in Churchill’s public disclosures.</w:t>
      </w:r>
    </w:p>
    <w:p>
      <w:pPr>
        <w:spacing w:after="0" w:line="167" w:lineRule="exact"/>
        <w:rPr>
          <w:sz w:val="20"/>
          <w:szCs w:val="20"/>
          <w:color w:val="auto"/>
        </w:rPr>
      </w:pPr>
    </w:p>
    <w:p>
      <w:pPr>
        <w:ind w:right="680" w:firstLine="583"/>
        <w:spacing w:after="0" w:line="277" w:lineRule="auto"/>
        <w:rPr>
          <w:sz w:val="20"/>
          <w:szCs w:val="20"/>
          <w:color w:val="auto"/>
        </w:rPr>
      </w:pPr>
      <w:r>
        <w:rPr>
          <w:rFonts w:ascii="Arial" w:cs="Arial" w:eastAsia="Arial" w:hAnsi="Arial"/>
          <w:sz w:val="18"/>
          <w:szCs w:val="18"/>
          <w:color w:val="auto"/>
        </w:rPr>
        <w:t>A copy of the Merger Agreement is filed with this Annual Report as Exhibit 2.1 and is incorporated herein by reference, and the foregoing description of the Merger Agreement is qualified in its entirety by reference thereto.</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Related Agreements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Investor Rights Agreement</w:t>
      </w:r>
    </w:p>
    <w:p>
      <w:pPr>
        <w:spacing w:after="0" w:line="225" w:lineRule="exact"/>
        <w:rPr>
          <w:sz w:val="20"/>
          <w:szCs w:val="20"/>
          <w:color w:val="auto"/>
        </w:rPr>
      </w:pPr>
    </w:p>
    <w:p>
      <w:pPr>
        <w:ind w:firstLine="583"/>
        <w:spacing w:after="0" w:line="284" w:lineRule="auto"/>
        <w:rPr>
          <w:sz w:val="20"/>
          <w:szCs w:val="20"/>
          <w:color w:val="auto"/>
        </w:rPr>
      </w:pPr>
      <w:r>
        <w:rPr>
          <w:rFonts w:ascii="Arial" w:cs="Arial" w:eastAsia="Arial" w:hAnsi="Arial"/>
          <w:sz w:val="16"/>
          <w:szCs w:val="16"/>
          <w:color w:val="auto"/>
        </w:rPr>
        <w:t>In connection with the execution of the Merger Agreement, Churchill entered into an Investor Rights Agreement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with Ayar Third Investment Company (“</w:t>
      </w:r>
      <w:r>
        <w:rPr>
          <w:rFonts w:ascii="Arial" w:cs="Arial" w:eastAsia="Arial" w:hAnsi="Arial"/>
          <w:sz w:val="16"/>
          <w:szCs w:val="16"/>
          <w:u w:val="single" w:color="auto"/>
          <w:color w:val="auto"/>
        </w:rPr>
        <w:t>Ayar</w:t>
      </w:r>
      <w:r>
        <w:rPr>
          <w:rFonts w:ascii="Arial" w:cs="Arial" w:eastAsia="Arial" w:hAnsi="Arial"/>
          <w:sz w:val="16"/>
          <w:szCs w:val="16"/>
          <w:color w:val="auto"/>
        </w:rPr>
        <w:t>”), Churchill Sponsor IV LLC (“</w:t>
      </w:r>
      <w:r>
        <w:rPr>
          <w:rFonts w:ascii="Arial" w:cs="Arial" w:eastAsia="Arial" w:hAnsi="Arial"/>
          <w:sz w:val="16"/>
          <w:szCs w:val="16"/>
          <w:u w:val="single" w:color="auto"/>
          <w:color w:val="auto"/>
        </w:rPr>
        <w:t>Churchill Sponsor</w:t>
      </w:r>
      <w:r>
        <w:rPr>
          <w:rFonts w:ascii="Arial" w:cs="Arial" w:eastAsia="Arial" w:hAnsi="Arial"/>
          <w:sz w:val="16"/>
          <w:szCs w:val="16"/>
          <w:color w:val="auto"/>
        </w:rPr>
        <w:t>”) and the other parties named therein. Pursuant to the Investor Rights Agreement, as of the date of the closing of the Transactions, Ayar has the right to nominate five directors to Churchill’s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Churchill Sponsor has the right to nominate one director to the Board. Two directors will be independent directors to be nominated by the Company and one director will be the chief executive officer of the combined company. In addition, following the closing of the Transactions, Ayar will have a continuing right to designate directors to the Board, subject to its (and its permitted transferees’) beneficial ownership of Class A common stock as compared to the Class A common stock issued and outstanding as of the record date of each applicable annual or special meeting of stockholders at which directors are to be elected (the “</w:t>
      </w:r>
      <w:r>
        <w:rPr>
          <w:rFonts w:ascii="Arial" w:cs="Arial" w:eastAsia="Arial" w:hAnsi="Arial"/>
          <w:sz w:val="16"/>
          <w:szCs w:val="16"/>
          <w:u w:val="single" w:color="auto"/>
          <w:color w:val="auto"/>
        </w:rPr>
        <w:t>Record Date</w:t>
      </w:r>
      <w:r>
        <w:rPr>
          <w:rFonts w:ascii="Arial" w:cs="Arial" w:eastAsia="Arial" w:hAnsi="Arial"/>
          <w:sz w:val="16"/>
          <w:szCs w:val="16"/>
          <w:color w:val="auto"/>
        </w:rPr>
        <w:t>”). If, following the closing of the Transactions, Ayar (or its permitted transferees) beneficially owns: (i) 50% or greater of the shares of Class A common stock issued and outstanding on the Record Date, it will have the right to nominate five directors; (ii) less than 50% but greater than or equal to 40% of the shares of Class A common stock issued and outstanding on the Record Date, it will have the right to nominate four directors; (iii) less than 40% but greater than or equal to 30% of the shares of Class A common stock issued and outstanding on the Record Date, it will have the right to nominate three directors; (iv) less than 30% but greater than or equal to 20% of the shares of Class A common stock issued and outstanding on the Record Date, it will have the right to nominate two directors; (v) less than 20% but greater than or equal to 10% of the shares of Class A common stock issued and outstanding on the Record Date, it will have the right to nominate one director; and (vi) less than 10% of the shares of Class A common stock issued and outstanding on the Record Date, it will not have the right to nominate any directors; provided, that if after the date of the closing of the Transactions the size of the Board is increased or decreased, the number of directors Ayar is entitled to nominate will be increased or decreased in proportion to such increase or decrease in the size of the Board, rounded down to the nearest whole number. Further, for so long as Ayar beneficially owns 20% or greater of the shares of Class A common stock issued and outstanding on the Record Date, it will have the right to designate the Chairman of the Board. Pursuant to the Investor Rights Agreement, any material changes to the combined company’s business plan will require the affirmative vote of a majority of the Board. In addition, pursuant to the Investor Rights Agreement, certain parties will be entitled to certain registration rights, including, among other things, customary demand, shelf and piggy-back rights, subject to customary cut-back provisions. Pursuant to the Investor Rights Agreement, certain parties will agree not to sell, transfer, pledge or otherwise dispose of shares of Class A common stock or warrants to purchase shares of Class A common</w:t>
      </w:r>
    </w:p>
    <w:p>
      <w:pPr>
        <w:sectPr>
          <w:pgSz w:w="11900" w:h="16914" w:orient="portrait"/>
          <w:cols w:equalWidth="0" w:num="1">
            <w:col w:w="11240"/>
          </w:cols>
          <w:pgMar w:left="320" w:top="908" w:right="339" w:bottom="0" w:gutter="0" w:footer="0" w:header="0"/>
        </w:sectPr>
      </w:pPr>
    </w:p>
    <w:bookmarkStart w:id="8" w:name="page9"/>
    <w:bookmarkEnd w:id="8"/>
    <w:p>
      <w:pPr>
        <w:spacing w:after="0" w:line="263" w:lineRule="auto"/>
        <w:rPr>
          <w:sz w:val="20"/>
          <w:szCs w:val="20"/>
          <w:color w:val="auto"/>
        </w:rPr>
      </w:pPr>
      <w:r>
        <w:rPr>
          <w:rFonts w:ascii="Arial" w:cs="Arial" w:eastAsia="Arial" w:hAnsi="Arial"/>
          <w:sz w:val="18"/>
          <w:szCs w:val="18"/>
          <w:color w:val="auto"/>
        </w:rPr>
        <w:t>stock they receive in connection with the Transactions or otherwise beneficially own as of the date of the closing of the Transactions for certain time periods specified therein. The foregoing description of the Investor Rights Agreement is not complete and is qualified in its entirety by reference to the Investor Rights Agreement, included as Exhibit 10.16 to this Current Report.</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9" w:name="page10"/>
    <w:bookmarkEnd w:id="9"/>
    <w:p>
      <w:pPr>
        <w:ind w:left="600"/>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connection with the execution of the Merger Agreement, (a) Churchill entered into certain common stock subscription agreements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investment funds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pursuant to which, Churchill has agreed to issue and sell to the PIPE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Investors $2.5 billion of Class A common stock (the “</w:t>
      </w:r>
      <w:r>
        <w:rPr>
          <w:rFonts w:ascii="Arial" w:cs="Arial" w:eastAsia="Arial" w:hAnsi="Arial"/>
          <w:sz w:val="17"/>
          <w:szCs w:val="17"/>
          <w:u w:val="single" w:color="auto"/>
          <w:color w:val="auto"/>
        </w:rPr>
        <w:t>PIPE Shares</w:t>
      </w:r>
      <w:r>
        <w:rPr>
          <w:rFonts w:ascii="Arial" w:cs="Arial" w:eastAsia="Arial" w:hAnsi="Arial"/>
          <w:sz w:val="17"/>
          <w:szCs w:val="17"/>
          <w:color w:val="auto"/>
        </w:rPr>
        <w:t>”) in reliance on an exemption from registration under Section 4(a)(2)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at a purchase price of $15 per share (the “</w:t>
      </w:r>
      <w:r>
        <w:rPr>
          <w:rFonts w:ascii="Arial" w:cs="Arial" w:eastAsia="Arial" w:hAnsi="Arial"/>
          <w:sz w:val="16"/>
          <w:szCs w:val="16"/>
          <w:u w:val="single" w:color="auto"/>
          <w:color w:val="auto"/>
        </w:rPr>
        <w:t>PIPE Investment</w:t>
      </w:r>
      <w:r>
        <w:rPr>
          <w:rFonts w:ascii="Arial" w:cs="Arial" w:eastAsia="Arial" w:hAnsi="Arial"/>
          <w:sz w:val="16"/>
          <w:szCs w:val="16"/>
          <w:color w:val="auto"/>
        </w:rPr>
        <w:t>”). Pursuant to the Subscription Agreements, the PIPE Investors have agreed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transfer any PIPE Shares until the later of (i) the effectiveness of the registration statement to be filed following the closing of the Transactions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register the PIPE Shares and (ii) September 1, 2021. The closing of the PIPE Investment is conditioned on all conditions set forth in the Merger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having been satisfied or waived and other customary closing conditions, and the Transactions will be consummated immediately following the closing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PIPE Investment. The Subscription Agreements will terminate upon the earlier to occur of (i) the termination of the Merger Agreement and (ii)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mutual written agreement of the parties thereto.</w:t>
      </w:r>
    </w:p>
    <w:p>
      <w:pPr>
        <w:spacing w:after="0" w:line="211" w:lineRule="exact"/>
        <w:rPr>
          <w:sz w:val="20"/>
          <w:szCs w:val="20"/>
          <w:color w:val="auto"/>
        </w:rPr>
      </w:pPr>
    </w:p>
    <w:p>
      <w:pPr>
        <w:ind w:right="80" w:firstLine="583"/>
        <w:spacing w:after="0" w:line="255" w:lineRule="auto"/>
        <w:rPr>
          <w:sz w:val="20"/>
          <w:szCs w:val="20"/>
          <w:color w:val="auto"/>
        </w:rPr>
      </w:pPr>
      <w:r>
        <w:rPr>
          <w:rFonts w:ascii="Arial" w:cs="Arial" w:eastAsia="Arial" w:hAnsi="Arial"/>
          <w:sz w:val="18"/>
          <w:szCs w:val="18"/>
          <w:color w:val="auto"/>
        </w:rPr>
        <w:t>The Subscription Agreements provide that Churchill is required to file with the SEC, within 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Churchill that it will “review” such registration statement) following the closing of the PIPE Investment and (ii) the 10th business day after the date Churchill is notified (orally or in writing, whichever is earlier) by the SEC that such registration statement will not be “reviewed” or will not be subject to further review.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20" w:firstLine="583"/>
        <w:spacing w:after="0" w:line="293" w:lineRule="auto"/>
        <w:rPr>
          <w:sz w:val="20"/>
          <w:szCs w:val="20"/>
          <w:color w:val="auto"/>
        </w:rPr>
      </w:pPr>
      <w:r>
        <w:rPr>
          <w:rFonts w:ascii="Arial" w:cs="Arial" w:eastAsia="Arial" w:hAnsi="Arial"/>
          <w:sz w:val="16"/>
          <w:szCs w:val="16"/>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164" w:lineRule="exact"/>
        <w:rPr>
          <w:sz w:val="20"/>
          <w:szCs w:val="20"/>
          <w:color w:val="auto"/>
        </w:rPr>
      </w:pPr>
    </w:p>
    <w:p>
      <w:pPr>
        <w:ind w:firstLine="583"/>
        <w:spacing w:after="0" w:line="285" w:lineRule="auto"/>
        <w:rPr>
          <w:sz w:val="20"/>
          <w:szCs w:val="20"/>
          <w:color w:val="auto"/>
        </w:rPr>
      </w:pPr>
      <w:r>
        <w:rPr>
          <w:rFonts w:ascii="Arial" w:cs="Arial" w:eastAsia="Arial" w:hAnsi="Arial"/>
          <w:sz w:val="16"/>
          <w:szCs w:val="16"/>
          <w:color w:val="auto"/>
        </w:rPr>
        <w:t>We may structure our initial business combination so that the post-transaction company in which holders (our “public stockholders”) of our Class A common stock sold as part of the units in the IPO (the “public shares”), including our sponsor, officers and directors to the extent our sponsor, officers or directors own public shares, provided that each of their status as a “public stockholder” shall only exist with respect to their public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174" w:lineRule="exact"/>
        <w:rPr>
          <w:sz w:val="20"/>
          <w:szCs w:val="20"/>
          <w:color w:val="auto"/>
        </w:rPr>
      </w:pPr>
    </w:p>
    <w:p>
      <w:pPr>
        <w:ind w:right="140" w:firstLine="583"/>
        <w:spacing w:after="0" w:line="263" w:lineRule="auto"/>
        <w:rPr>
          <w:sz w:val="20"/>
          <w:szCs w:val="20"/>
          <w:color w:val="auto"/>
        </w:rPr>
      </w:pPr>
      <w:r>
        <w:rPr>
          <w:rFonts w:ascii="Arial" w:cs="Arial" w:eastAsia="Arial" w:hAnsi="Arial"/>
          <w:sz w:val="18"/>
          <w:szCs w:val="18"/>
          <w:color w:val="auto"/>
        </w:rPr>
        <w:t>Our amended and restated certificate of incorporation requires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583"/>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right="180" w:firstLine="583"/>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60" w:firstLine="583"/>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August 3, 2025, (b) in which we have total annual gross revenue of at least $1.07 billion, or (c) in which we are deemed to be a large accelerated filer, which means the market value of our Class A common stock and our Class B common stock (collectively, our “common stock”) that is held by non-affiliates exceeds $700 million as of the end of the prior fiscal year’s second fiscal quarter; and (2) the date on which we have issued more than $1.00 billion in non-convertible debt during the prior three-year period. References herein to “emerging growth company” shall have the meaning associated with it in the JOBS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firstLine="583"/>
        <w:spacing w:after="0" w:line="293" w:lineRule="auto"/>
        <w:rPr>
          <w:sz w:val="20"/>
          <w:szCs w:val="20"/>
          <w:color w:val="auto"/>
        </w:rPr>
      </w:pPr>
      <w:r>
        <w:rPr>
          <w:rFonts w:ascii="Arial" w:cs="Arial" w:eastAsia="Arial" w:hAnsi="Arial"/>
          <w:sz w:val="16"/>
          <w:szCs w:val="16"/>
          <w:color w:val="auto"/>
        </w:rPr>
        <w:t>With funds available for a business combination in the amount of approximately $1,997,550,000 as of December 31, 2020, assuming no redemptions and after payment of up to $72,450,000 of deferred underwriting fees,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140" w:firstLine="583"/>
        <w:spacing w:after="0" w:line="27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w:t>
      </w:r>
    </w:p>
    <w:p>
      <w:pPr>
        <w:spacing w:after="0" w:line="170" w:lineRule="exact"/>
        <w:rPr>
          <w:sz w:val="20"/>
          <w:szCs w:val="20"/>
          <w:color w:val="auto"/>
        </w:rPr>
      </w:pPr>
    </w:p>
    <w:p>
      <w:pPr>
        <w:ind w:firstLine="583"/>
        <w:spacing w:after="0" w:line="263" w:lineRule="auto"/>
        <w:rPr>
          <w:sz w:val="20"/>
          <w:szCs w:val="20"/>
          <w:color w:val="auto"/>
        </w:rPr>
      </w:pPr>
      <w:r>
        <w:rPr>
          <w:rFonts w:ascii="Arial" w:cs="Arial" w:eastAsia="Arial" w:hAnsi="Arial"/>
          <w:sz w:val="18"/>
          <w:szCs w:val="18"/>
          <w:color w:val="auto"/>
        </w:rPr>
        <w:t>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84" w:lineRule="exact"/>
        <w:rPr>
          <w:sz w:val="20"/>
          <w:szCs w:val="20"/>
          <w:color w:val="auto"/>
        </w:rPr>
      </w:pPr>
    </w:p>
    <w:p>
      <w:pPr>
        <w:ind w:left="800" w:right="280" w:hanging="225"/>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60" w:firstLine="583"/>
        <w:spacing w:after="0" w:line="27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highly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7" w:lineRule="exact"/>
        <w:rPr>
          <w:sz w:val="20"/>
          <w:szCs w:val="20"/>
          <w:color w:val="auto"/>
        </w:rPr>
      </w:pPr>
    </w:p>
    <w:p>
      <w:pPr>
        <w:ind w:right="20" w:firstLine="583"/>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300" w:firstLine="583"/>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ind w:right="20" w:firstLine="583"/>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common stock upon the completion of our initial business combination at a per share price, payable in cash, equal to the aggregate amount then on deposit in the trust account as of two business days prior to the consummation of the initial business combination, including interest (net of permitted withdrawals), divided by the number of then outstanding public shares, subject to the limitations described herein. At completion of the business combination, we will be required to purchase any public shares properly delivered for redemption and not withdrawn. The amount in the trust account as of the closing of the IPO was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(the “letter agreement”).</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Manner of conducting redemptions</w:t>
      </w:r>
    </w:p>
    <w:p>
      <w:pPr>
        <w:spacing w:after="0" w:line="225"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(1) in connection with a stockholder meeting called to approve the business combination; or (2)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182" w:lineRule="exact"/>
        <w:rPr>
          <w:sz w:val="20"/>
          <w:szCs w:val="20"/>
          <w:color w:val="auto"/>
        </w:rPr>
      </w:pPr>
    </w:p>
    <w:p>
      <w:pPr>
        <w:ind w:right="680" w:firstLine="583"/>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reasons, we will, pursuant to our amended and restated certificate of incorporation:</w:t>
      </w:r>
    </w:p>
    <w:p>
      <w:pPr>
        <w:spacing w:after="0" w:line="170" w:lineRule="exact"/>
        <w:rPr>
          <w:sz w:val="20"/>
          <w:szCs w:val="20"/>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25" w:lineRule="exact"/>
        <w:rPr>
          <w:rFonts w:ascii="Arial" w:cs="Arial" w:eastAsia="Arial" w:hAnsi="Arial"/>
          <w:sz w:val="18"/>
          <w:szCs w:val="18"/>
          <w:color w:val="auto"/>
        </w:rPr>
      </w:pPr>
    </w:p>
    <w:p>
      <w:pPr>
        <w:ind w:left="800" w:right="20" w:hanging="225"/>
        <w:spacing w:after="0" w:line="26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right="160" w:firstLine="583"/>
        <w:spacing w:after="0" w:line="263"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84" w:lineRule="exact"/>
        <w:rPr>
          <w:sz w:val="20"/>
          <w:szCs w:val="20"/>
          <w:color w:val="auto"/>
        </w:rPr>
      </w:pPr>
    </w:p>
    <w:p>
      <w:pPr>
        <w:ind w:right="40" w:firstLine="583"/>
        <w:spacing w:after="0" w:line="291"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such initial business combination.</w:t>
      </w:r>
    </w:p>
    <w:p>
      <w:pPr>
        <w:spacing w:after="0" w:line="166" w:lineRule="exact"/>
        <w:rPr>
          <w:sz w:val="20"/>
          <w:szCs w:val="20"/>
          <w:color w:val="auto"/>
        </w:rPr>
      </w:pPr>
    </w:p>
    <w:p>
      <w:pPr>
        <w:ind w:right="360" w:firstLine="583"/>
        <w:spacing w:after="0" w:line="308" w:lineRule="auto"/>
        <w:rPr>
          <w:sz w:val="20"/>
          <w:szCs w:val="20"/>
          <w:color w:val="auto"/>
        </w:rPr>
      </w:pPr>
      <w:r>
        <w:rPr>
          <w:rFonts w:ascii="Arial" w:cs="Arial" w:eastAsia="Arial" w:hAnsi="Arial"/>
          <w:sz w:val="17"/>
          <w:szCs w:val="17"/>
          <w:color w:val="auto"/>
        </w:rPr>
        <w:t>If, however, stockholder approval of the transaction is required by applicable law or stock exchange listing requirement, or we decide to obtain stockholder approval for business or other reasons, we will, pursuant to our amended and restated certificate of incorporation:</w:t>
      </w:r>
    </w:p>
    <w:p>
      <w:pPr>
        <w:spacing w:after="0" w:line="146" w:lineRule="exact"/>
        <w:rPr>
          <w:sz w:val="20"/>
          <w:szCs w:val="20"/>
          <w:color w:val="auto"/>
        </w:rPr>
      </w:pPr>
    </w:p>
    <w:p>
      <w:pPr>
        <w:ind w:left="800" w:right="740" w:hanging="225"/>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80" w:firstLine="583"/>
        <w:spacing w:after="0" w:line="257" w:lineRule="auto"/>
        <w:rPr>
          <w:sz w:val="20"/>
          <w:szCs w:val="20"/>
          <w:color w:val="auto"/>
        </w:rPr>
      </w:pPr>
      <w:r>
        <w:rPr>
          <w:rFonts w:ascii="Arial" w:cs="Arial" w:eastAsia="Arial" w:hAnsi="Arial"/>
          <w:sz w:val="18"/>
          <w:szCs w:val="18"/>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188" w:lineRule="exact"/>
        <w:rPr>
          <w:sz w:val="20"/>
          <w:szCs w:val="20"/>
          <w:color w:val="auto"/>
        </w:rPr>
      </w:pPr>
    </w:p>
    <w:p>
      <w:pPr>
        <w:ind w:right="100" w:firstLine="583"/>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902" w:gutter="0" w:footer="0" w:header="0"/>
        </w:sectPr>
      </w:pPr>
    </w:p>
    <w:bookmarkStart w:id="12" w:name="page13"/>
    <w:bookmarkEnd w:id="12"/>
    <w:p>
      <w:pPr>
        <w:ind w:firstLine="583"/>
        <w:spacing w:after="0" w:line="270"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These quorum and voting thresholds and agreements, may make it more likely that we will consummate our initial business combination. Each public stockholder may elect to redeem its public shares without voting, and if they do vote, irrespective of whether they vote for or against the proposed transaction. In addition, our sponsor, officers and directors have entered into a letter agreement with us, pursuant to which they have agreed to waive their redemption rights with respect to any founder shares and any public shares held by them in connection with the completion of a business combination.</w:t>
      </w:r>
    </w:p>
    <w:p>
      <w:pPr>
        <w:spacing w:after="0" w:line="181" w:lineRule="exact"/>
        <w:rPr>
          <w:sz w:val="20"/>
          <w:szCs w:val="20"/>
          <w:color w:val="auto"/>
        </w:rPr>
      </w:pPr>
    </w:p>
    <w:p>
      <w:pPr>
        <w:ind w:firstLine="583"/>
        <w:spacing w:after="0" w:line="289" w:lineRule="auto"/>
        <w:rPr>
          <w:sz w:val="20"/>
          <w:szCs w:val="20"/>
          <w:color w:val="auto"/>
        </w:rPr>
      </w:pPr>
      <w:r>
        <w:rPr>
          <w:rFonts w:ascii="Arial" w:cs="Arial" w:eastAsia="Arial" w:hAnsi="Arial"/>
          <w:sz w:val="16"/>
          <w:szCs w:val="16"/>
          <w:color w:val="auto"/>
        </w:rPr>
        <w:t>Our amended and restated certificate of incorporation provides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Class A common stock submitted for redemption will be returned to the holders thereof.</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Limitation on redemption upon completion of our initial business combination if we seek stockholder approval</w:t>
      </w:r>
    </w:p>
    <w:p>
      <w:pPr>
        <w:spacing w:after="0" w:line="225" w:lineRule="exact"/>
        <w:rPr>
          <w:sz w:val="20"/>
          <w:szCs w:val="20"/>
          <w:color w:val="auto"/>
        </w:rPr>
      </w:pPr>
    </w:p>
    <w:p>
      <w:pPr>
        <w:ind w:right="20" w:firstLine="583"/>
        <w:spacing w:after="0" w:line="286"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the IPO, without our prior consent, which we refer to as the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affiliates to purchase their shares at a significant premium to the then-current market price or on other undesirable terms. Absent this provision, a public stockholder holding more than an aggregate of 15% of the shares sold in the IPO could threaten to exercise its redemption rights if such holder’s shares are not purchased by us or our sponsor or our affiliates at a premium to the then-current market price or on other undesirable terms. By limiting our stockholders’ ability to redeem no more than 15% of the shares sold in the IPO,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Tendering stock certificates in connection with a tender offer or redemption rights</w:t>
      </w:r>
    </w:p>
    <w:p>
      <w:pPr>
        <w:spacing w:after="0" w:line="225" w:lineRule="exact"/>
        <w:rPr>
          <w:sz w:val="20"/>
          <w:szCs w:val="20"/>
          <w:color w:val="auto"/>
        </w:rPr>
      </w:pPr>
    </w:p>
    <w:p>
      <w:pPr>
        <w:ind w:right="20" w:firstLine="583"/>
        <w:spacing w:after="0" w:line="268"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 Accordingly, a public stockholder would have from the time we send out our tender offer materials until the close of the tender offer period, or up to two business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stockholder vote,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184" w:lineRule="exact"/>
        <w:rPr>
          <w:sz w:val="20"/>
          <w:szCs w:val="20"/>
          <w:color w:val="auto"/>
        </w:rPr>
      </w:pPr>
    </w:p>
    <w:p>
      <w:pPr>
        <w:ind w:right="40" w:firstLine="583"/>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Depository Trust Company’s DWAC (Deposit/ Withdrawal At Custodian)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right="40" w:firstLine="583"/>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0" w:gutter="0" w:footer="0" w:header="0"/>
        </w:sectPr>
      </w:pPr>
    </w:p>
    <w:bookmarkStart w:id="13" w:name="page14"/>
    <w:bookmarkEnd w:id="13"/>
    <w:p>
      <w:pPr>
        <w:jc w:val="both"/>
        <w:ind w:right="20" w:firstLine="583"/>
        <w:spacing w:after="0" w:line="275"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6" w:lineRule="exact"/>
        <w:rPr>
          <w:sz w:val="20"/>
          <w:szCs w:val="20"/>
          <w:color w:val="auto"/>
        </w:rPr>
      </w:pPr>
    </w:p>
    <w:p>
      <w:pPr>
        <w:ind w:right="200" w:firstLine="583"/>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260" w:firstLine="583"/>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the end of the completion window.</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Redemption of Public Shares and Liquidation if no Initial Business Combination</w:t>
      </w:r>
    </w:p>
    <w:p>
      <w:pPr>
        <w:spacing w:after="0" w:line="225" w:lineRule="exact"/>
        <w:rPr>
          <w:sz w:val="20"/>
          <w:szCs w:val="20"/>
          <w:color w:val="auto"/>
        </w:rPr>
      </w:pPr>
    </w:p>
    <w:p>
      <w:pPr>
        <w:ind w:right="60" w:firstLine="583"/>
        <w:spacing w:after="0" w:line="269" w:lineRule="auto"/>
        <w:rPr>
          <w:sz w:val="20"/>
          <w:szCs w:val="20"/>
          <w:color w:val="auto"/>
        </w:rPr>
      </w:pPr>
      <w:r>
        <w:rPr>
          <w:rFonts w:ascii="Arial" w:cs="Arial" w:eastAsia="Arial" w:hAnsi="Arial"/>
          <w:sz w:val="17"/>
          <w:szCs w:val="17"/>
          <w:color w:val="auto"/>
        </w:rPr>
        <w:t>Our amended and restated certificate of incorporation provides that we will have until August 3, 2022, the date that is 24 months from the closing of the IPO, to complete our initial business combination (the period from the closing of the IPO until August 3, 2022, the “completion window”). If we are unable to complete our initial business combination within such period,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182" w:lineRule="exact"/>
        <w:rPr>
          <w:sz w:val="20"/>
          <w:szCs w:val="20"/>
          <w:color w:val="auto"/>
        </w:rPr>
      </w:pPr>
    </w:p>
    <w:p>
      <w:pPr>
        <w:ind w:right="420" w:firstLine="583"/>
        <w:spacing w:after="0" w:line="257" w:lineRule="auto"/>
        <w:rPr>
          <w:sz w:val="20"/>
          <w:szCs w:val="20"/>
          <w:color w:val="auto"/>
        </w:rPr>
      </w:pPr>
      <w:r>
        <w:rPr>
          <w:rFonts w:ascii="Arial" w:cs="Arial" w:eastAsia="Arial" w:hAnsi="Arial"/>
          <w:sz w:val="18"/>
          <w:szCs w:val="18"/>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our sponsor or any of our officers and directors acquires public shares after the IPO, it will be entitled to liquidating distributions from the trust account with respect to such public shares if we fail to complete our initial business combination within the completion window.</w:t>
      </w:r>
    </w:p>
    <w:p>
      <w:pPr>
        <w:spacing w:after="0" w:line="188" w:lineRule="exact"/>
        <w:rPr>
          <w:sz w:val="20"/>
          <w:szCs w:val="20"/>
          <w:color w:val="auto"/>
        </w:rPr>
      </w:pPr>
    </w:p>
    <w:p>
      <w:pPr>
        <w:ind w:firstLine="583"/>
        <w:spacing w:after="0" w:line="254"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 share price, payable in cash, equal to the aggregate amount then on deposit in the trust account, including interest (net of permitted withdrawals), divided by the number of then outstanding public shares. However, we may not redeem our public shares in an amount that would cause our net tangible assets, after payment of the deferred underwriting commissions, to be less than $5,000,001 (so that we do not then become subject to the SEC’s “penny stock” rules).</w:t>
      </w:r>
    </w:p>
    <w:p>
      <w:pPr>
        <w:spacing w:after="0" w:line="192" w:lineRule="exact"/>
        <w:rPr>
          <w:sz w:val="20"/>
          <w:szCs w:val="20"/>
          <w:color w:val="auto"/>
        </w:rPr>
      </w:pPr>
    </w:p>
    <w:p>
      <w:pPr>
        <w:ind w:right="220" w:firstLine="583"/>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88"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auto"/>
        </w:rPr>
        <w:t xml:space="preserve">If we were to expend all of the net proceeds of the IPO and the sale of the private placement warrants, other than the proceeds deposited in the trust account, and without taking into account interest, if any, earned on the trust account and any tax payments or expenses for the dissolution of the trust, the per share redemption amount received by stockholders upon our dissolution would be $10.00. The proceeds deposited in the trust account could, however, become subject to the claims of our creditors which would have higher priority than the claims of our public stockholders. We cannot assure you that the actual per share redemption amount received by stockholders will not be substantially less than $10.00. Please see “Item 1A. Risk Factors — </w:t>
      </w:r>
      <w:r>
        <w:rPr>
          <w:rFonts w:ascii="Arial" w:cs="Arial" w:eastAsia="Arial" w:hAnsi="Arial"/>
          <w:sz w:val="17"/>
          <w:szCs w:val="17"/>
          <w:i w:val="1"/>
          <w:iCs w:val="1"/>
          <w:color w:val="auto"/>
        </w:rPr>
        <w:t>If third</w:t>
      </w:r>
      <w:r>
        <w:rPr>
          <w:rFonts w:ascii="Arial" w:cs="Arial" w:eastAsia="Arial" w:hAnsi="Arial"/>
          <w:sz w:val="17"/>
          <w:szCs w:val="17"/>
          <w:color w:val="auto"/>
        </w:rPr>
        <w:t xml:space="preserve"> </w:t>
      </w:r>
      <w:r>
        <w:rPr>
          <w:rFonts w:ascii="Arial" w:cs="Arial" w:eastAsia="Arial" w:hAnsi="Arial"/>
          <w:sz w:val="17"/>
          <w:szCs w:val="17"/>
          <w:i w:val="1"/>
          <w:iCs w:val="1"/>
          <w:color w:val="auto"/>
        </w:rPr>
        <w:t>parties bring claims against us, the proceeds held in the trust account could be reduced and the per share redemption amount received by stockholders may be less than $10.00 per share</w:t>
      </w:r>
      <w:r>
        <w:rPr>
          <w:rFonts w:ascii="Arial" w:cs="Arial" w:eastAsia="Arial" w:hAnsi="Arial"/>
          <w:sz w:val="17"/>
          <w:szCs w:val="17"/>
          <w:color w:val="auto"/>
        </w:rPr>
        <w:t>” and other risk factors included herein. Under Section 281(b) of the DGCL, our plan of dissolution must provide for all</w:t>
      </w:r>
      <w:r>
        <w:rPr>
          <w:rFonts w:ascii="Arial" w:cs="Arial" w:eastAsia="Arial" w:hAnsi="Arial"/>
          <w:sz w:val="17"/>
          <w:szCs w:val="17"/>
          <w:i w:val="1"/>
          <w:iCs w:val="1"/>
          <w:color w:val="auto"/>
        </w:rPr>
        <w:t xml:space="preserve"> </w:t>
      </w:r>
      <w:r>
        <w:rPr>
          <w:rFonts w:ascii="Arial" w:cs="Arial" w:eastAsia="Arial" w:hAnsi="Arial"/>
          <w:sz w:val="17"/>
          <w:szCs w:val="17"/>
          <w:color w:val="auto"/>
        </w:rPr>
        <w:t>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right="40" w:firstLine="583"/>
        <w:spacing w:after="0" w:line="284" w:lineRule="auto"/>
        <w:rPr>
          <w:sz w:val="20"/>
          <w:szCs w:val="20"/>
          <w:color w:val="auto"/>
        </w:rPr>
      </w:pPr>
      <w:r>
        <w:rPr>
          <w:rFonts w:ascii="Arial" w:cs="Arial" w:eastAsia="Arial" w:hAnsi="Arial"/>
          <w:sz w:val="16"/>
          <w:szCs w:val="16"/>
          <w:color w:val="auto"/>
        </w:rPr>
        <w:t>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or not such waiver is enforceable) and except as to any claims under our indemnity of the underwriters of the IPO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w:t>
      </w:r>
    </w:p>
    <w:p>
      <w:pPr>
        <w:spacing w:after="0" w:line="389" w:lineRule="exact"/>
        <w:rPr>
          <w:sz w:val="20"/>
          <w:szCs w:val="20"/>
          <w:color w:val="auto"/>
        </w:rPr>
      </w:pPr>
    </w:p>
    <w:p>
      <w:pPr>
        <w:ind w:right="120" w:firstLine="583"/>
        <w:spacing w:after="0" w:line="269" w:lineRule="auto"/>
        <w:rPr>
          <w:sz w:val="20"/>
          <w:szCs w:val="20"/>
          <w:color w:val="auto"/>
        </w:rPr>
      </w:pPr>
      <w:r>
        <w:rPr>
          <w:rFonts w:ascii="Arial" w:cs="Arial" w:eastAsia="Arial" w:hAnsi="Arial"/>
          <w:sz w:val="17"/>
          <w:szCs w:val="17"/>
          <w:color w:val="auto"/>
        </w:rPr>
        <w:t xml:space="preserve">In the event that the proceeds in the trust account are reduced below: (1) $10.00 per public share; or (2) the actual amount per public share held in the trust account as of the date of the liquidation of the trust account, if less than $10.00 per share due to reductions in the value of the trust assets, in each case net of permitted withdrawals,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Accordingly, we cannot assure you that due to claims of creditors the actual value of the per share redemption price will not be substantially less than $10.00 per share. Please see “Item 1A. Risk Factors — </w:t>
      </w:r>
      <w:r>
        <w:rPr>
          <w:rFonts w:ascii="Arial" w:cs="Arial" w:eastAsia="Arial" w:hAnsi="Arial"/>
          <w:sz w:val="17"/>
          <w:szCs w:val="17"/>
          <w:i w:val="1"/>
          <w:iCs w:val="1"/>
          <w:color w:val="auto"/>
        </w:rPr>
        <w:t>If third parties bring</w:t>
      </w:r>
      <w:r>
        <w:rPr>
          <w:rFonts w:ascii="Arial" w:cs="Arial" w:eastAsia="Arial" w:hAnsi="Arial"/>
          <w:sz w:val="17"/>
          <w:szCs w:val="17"/>
          <w:color w:val="auto"/>
        </w:rPr>
        <w:t xml:space="preserve"> </w:t>
      </w:r>
      <w:r>
        <w:rPr>
          <w:rFonts w:ascii="Arial" w:cs="Arial" w:eastAsia="Arial" w:hAnsi="Arial"/>
          <w:sz w:val="17"/>
          <w:szCs w:val="17"/>
          <w:i w:val="1"/>
          <w:iCs w:val="1"/>
          <w:color w:val="auto"/>
        </w:rPr>
        <w:t>claims against us, the proceeds held in the trust account could be reduced and the per share redemption amount received by stockholders may be less than $10.00 per share</w:t>
      </w:r>
      <w:r>
        <w:rPr>
          <w:rFonts w:ascii="Arial" w:cs="Arial" w:eastAsia="Arial" w:hAnsi="Arial"/>
          <w:sz w:val="17"/>
          <w:szCs w:val="17"/>
          <w:color w:val="auto"/>
        </w:rPr>
        <w:t>” and other risk factors included herein.</w:t>
      </w:r>
    </w:p>
    <w:p>
      <w:pPr>
        <w:spacing w:after="0" w:line="182" w:lineRule="exact"/>
        <w:rPr>
          <w:sz w:val="20"/>
          <w:szCs w:val="20"/>
          <w:color w:val="auto"/>
        </w:rPr>
      </w:pPr>
    </w:p>
    <w:p>
      <w:pPr>
        <w:ind w:right="20" w:firstLine="583"/>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the IPO against certain liabilities, including liabilities under the Securities Act. As of December 31, 2020, we had access to approximately $2,070,086,006 in the trust account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w:t>
      </w:r>
    </w:p>
    <w:p>
      <w:pPr>
        <w:spacing w:after="0" w:line="178" w:lineRule="exact"/>
        <w:rPr>
          <w:sz w:val="20"/>
          <w:szCs w:val="20"/>
          <w:color w:val="auto"/>
        </w:rPr>
      </w:pPr>
    </w:p>
    <w:p>
      <w:pPr>
        <w:ind w:right="40" w:firstLine="583"/>
        <w:spacing w:after="0" w:line="27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78" w:lineRule="exact"/>
        <w:rPr>
          <w:sz w:val="20"/>
          <w:szCs w:val="20"/>
          <w:color w:val="auto"/>
        </w:rPr>
      </w:pPr>
    </w:p>
    <w:p>
      <w:pPr>
        <w:ind w:firstLine="583"/>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the completion window,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July 1, 2021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ectPr>
          <w:pgSz w:w="11900" w:h="16838" w:orient="portrait"/>
          <w:cols w:equalWidth="0" w:num="1">
            <w:col w:w="11240"/>
          </w:cols>
          <w:pgMar w:left="320" w:top="908" w:right="3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right="140" w:firstLine="583"/>
        <w:spacing w:after="0" w:line="291"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w:t>
      </w:r>
    </w:p>
    <w:p>
      <w:pPr>
        <w:spacing w:after="0" w:line="166"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As a result of this obligation, the claims that could be made against us are significantly limited and the likelihood that any claim that would result in any liability extending to the trust account is remote.</w:t>
      </w:r>
    </w:p>
    <w:p>
      <w:pPr>
        <w:spacing w:after="0" w:line="170" w:lineRule="exact"/>
        <w:rPr>
          <w:sz w:val="20"/>
          <w:szCs w:val="20"/>
          <w:color w:val="auto"/>
        </w:rPr>
      </w:pPr>
    </w:p>
    <w:p>
      <w:pPr>
        <w:ind w:right="20" w:firstLine="583"/>
        <w:spacing w:after="0" w:line="279" w:lineRule="auto"/>
        <w:rPr>
          <w:sz w:val="20"/>
          <w:szCs w:val="20"/>
          <w:color w:val="auto"/>
        </w:rPr>
      </w:pPr>
      <w:r>
        <w:rPr>
          <w:rFonts w:ascii="Arial" w:cs="Arial" w:eastAsia="Arial" w:hAnsi="Arial"/>
          <w:sz w:val="17"/>
          <w:szCs w:val="17"/>
          <w:color w:val="auto"/>
        </w:rPr>
        <w:t>Further, our sponsor may be liable only to the extent necessary to ensure that the amounts in the trust account are not reduced below: (1) $10.00 per public share; or (2) the actual amount per public share held in the trust account as of the date of the liquidation of the trust account, if less than $10.00 per share due to reductions in value of the trust assets, in each case net of permitted withdrawals and will not be liable as to any claims under our indemnity of the underwriters of the IPO against certain liabilities, including liabilities under the Securities Act.</w:t>
      </w:r>
    </w:p>
    <w:p>
      <w:pPr>
        <w:spacing w:after="0" w:line="171" w:lineRule="exact"/>
        <w:rPr>
          <w:sz w:val="20"/>
          <w:szCs w:val="20"/>
          <w:color w:val="auto"/>
        </w:rPr>
      </w:pPr>
    </w:p>
    <w:p>
      <w:pPr>
        <w:ind w:right="60" w:firstLine="583"/>
        <w:spacing w:after="0" w:line="287" w:lineRule="auto"/>
        <w:rPr>
          <w:sz w:val="20"/>
          <w:szCs w:val="20"/>
          <w:color w:val="auto"/>
        </w:rPr>
      </w:pPr>
      <w:r>
        <w:rPr>
          <w:rFonts w:ascii="Arial" w:cs="Arial" w:eastAsia="Arial" w:hAnsi="Arial"/>
          <w:sz w:val="16"/>
          <w:szCs w:val="16"/>
          <w:color w:val="auto"/>
        </w:rPr>
        <w:t xml:space="preserve">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 Please see “Item 1A. Risk Factors — </w:t>
      </w:r>
      <w:r>
        <w:rPr>
          <w:rFonts w:ascii="Arial" w:cs="Arial" w:eastAsia="Arial" w:hAnsi="Arial"/>
          <w:sz w:val="16"/>
          <w:szCs w:val="16"/>
          <w:i w:val="1"/>
          <w:iCs w:val="1"/>
          <w:color w:val="auto"/>
        </w:rPr>
        <w:t>If, after we distribute the proceeds in the trust account to our</w:t>
      </w:r>
      <w:r>
        <w:rPr>
          <w:rFonts w:ascii="Arial" w:cs="Arial" w:eastAsia="Arial" w:hAnsi="Arial"/>
          <w:sz w:val="16"/>
          <w:szCs w:val="16"/>
          <w:color w:val="auto"/>
        </w:rPr>
        <w:t xml:space="preserve"> </w:t>
      </w:r>
      <w:r>
        <w:rPr>
          <w:rFonts w:ascii="Arial" w:cs="Arial" w:eastAsia="Arial" w:hAnsi="Arial"/>
          <w:sz w:val="16"/>
          <w:szCs w:val="16"/>
          <w:i w:val="1"/>
          <w:iCs w:val="1"/>
          <w:color w:val="auto"/>
        </w:rPr>
        <w:t>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r>
        <w:rPr>
          <w:rFonts w:ascii="Arial" w:cs="Arial" w:eastAsia="Arial" w:hAnsi="Arial"/>
          <w:sz w:val="16"/>
          <w:szCs w:val="16"/>
          <w:color w:val="auto"/>
        </w:rPr>
        <w:t>”</w:t>
      </w:r>
    </w:p>
    <w:p>
      <w:pPr>
        <w:spacing w:after="0" w:line="168" w:lineRule="exact"/>
        <w:rPr>
          <w:sz w:val="20"/>
          <w:szCs w:val="20"/>
          <w:color w:val="auto"/>
        </w:rPr>
      </w:pPr>
    </w:p>
    <w:p>
      <w:pPr>
        <w:ind w:right="20" w:firstLine="583"/>
        <w:spacing w:after="0" w:line="255" w:lineRule="auto"/>
        <w:rPr>
          <w:sz w:val="20"/>
          <w:szCs w:val="20"/>
          <w:color w:val="auto"/>
        </w:rPr>
      </w:pPr>
      <w:r>
        <w:rPr>
          <w:rFonts w:ascii="Arial" w:cs="Arial" w:eastAsia="Arial" w:hAnsi="Arial"/>
          <w:sz w:val="18"/>
          <w:szCs w:val="18"/>
          <w:color w:val="auto"/>
        </w:rPr>
        <w:t>Our public stockholders will be entitled to receive funds from the trust account only in the event of the redemption of our public shares if we do not complete our initial business combination within the completion window or if they redeem their respective shares for cash upon the completion of the initial business combination. In no other circumstances will a stockholder have any right or interest of any kind to or in the trust account. In the event we seek stockholder approval in connection with our initial business combination, a stockholder’s voting in connection with our initial business combination alone will not result in a stockholder’s redeeming its shares to us for an applicable pro rata share of the trust account. Such stockholder must have also exercised its redemption rights described above.</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Amended and Restated Certificate of Incorporation</w:t>
      </w:r>
    </w:p>
    <w:p>
      <w:pPr>
        <w:spacing w:after="0" w:line="225" w:lineRule="exact"/>
        <w:rPr>
          <w:sz w:val="20"/>
          <w:szCs w:val="20"/>
          <w:color w:val="auto"/>
        </w:rPr>
      </w:pPr>
    </w:p>
    <w:p>
      <w:pPr>
        <w:ind w:firstLine="583"/>
        <w:spacing w:after="0" w:line="290"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relating to the IPO that will apply to us until the consummation of our initial business combination. If we seek to amend any provisions of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or with respect to any other material provisions relating to the rights of holders of our Class A Common Stock or pre-initial business combination business activity, we will provide public stockholders with the opportunity to redeem their public shares in connection with any such vote. Our initial stockholders, officers and directors have agreed to waive any redemption rights with respect to any founder shares and any public shares held by them in connection with the completion of our initial business combination. Specifically, our amended and restated certificate of incorporation provides, among other things, that:</w:t>
      </w:r>
    </w:p>
    <w:p>
      <w:pPr>
        <w:spacing w:after="0" w:line="165" w:lineRule="exact"/>
        <w:rPr>
          <w:sz w:val="20"/>
          <w:szCs w:val="20"/>
          <w:color w:val="auto"/>
        </w:rPr>
      </w:pPr>
    </w:p>
    <w:p>
      <w:pPr>
        <w:ind w:left="800" w:right="40" w:hanging="225"/>
        <w:spacing w:after="0" w:line="286"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prior to the consummation of our initial business combination, we shall either: (1) seek stockholder approval of our initial business combination at a meeting called for such purpose at which stockholders may seek to redeem their shares, regardless of whether they vote for, against, or abstain from voting on, the proposed business combination, into their pro rata share of the aggregate amount on deposit in the trust account as of two business days prior to the consummation of our initial business combination, including interest (net of permitted withdrawals); or</w:t>
      </w:r>
    </w:p>
    <w:p>
      <w:pPr>
        <w:spacing w:after="0" w:line="1" w:lineRule="exact"/>
        <w:rPr>
          <w:rFonts w:ascii="Arial" w:cs="Arial" w:eastAsia="Arial" w:hAnsi="Arial"/>
          <w:sz w:val="16"/>
          <w:szCs w:val="16"/>
          <w:color w:val="auto"/>
        </w:rPr>
      </w:pPr>
    </w:p>
    <w:p>
      <w:pPr>
        <w:ind w:left="800" w:right="80"/>
        <w:spacing w:after="0" w:line="253" w:lineRule="auto"/>
        <w:rPr>
          <w:rFonts w:ascii="Arial" w:cs="Arial" w:eastAsia="Arial" w:hAnsi="Arial"/>
          <w:sz w:val="16"/>
          <w:szCs w:val="16"/>
          <w:color w:val="auto"/>
        </w:rPr>
      </w:pPr>
      <w:r>
        <w:rPr>
          <w:rFonts w:ascii="Arial" w:cs="Arial" w:eastAsia="Arial" w:hAnsi="Arial"/>
          <w:sz w:val="18"/>
          <w:szCs w:val="18"/>
          <w:color w:val="auto"/>
        </w:rPr>
        <w:t>(2) provide our public stockholders with the opportunity to tender their shares to us by means of a tender offer (and thereby avoid the need for a stockholder vote) for an amount equal to their pro rata share of the aggregate amount on deposit in the trust account as of two business days prior to the consummation of our initial business combination, including interest (net of permitted withdrawals), in each case subject to the limitations described herein;</w:t>
      </w:r>
    </w:p>
    <w:p>
      <w:pPr>
        <w:spacing w:after="0" w:line="192" w:lineRule="exact"/>
        <w:rPr>
          <w:rFonts w:ascii="Arial" w:cs="Arial" w:eastAsia="Arial" w:hAnsi="Arial"/>
          <w:sz w:val="16"/>
          <w:szCs w:val="16"/>
          <w:color w:val="auto"/>
        </w:rPr>
      </w:pPr>
    </w:p>
    <w:p>
      <w:pPr>
        <w:ind w:left="800" w:right="260" w:hanging="225"/>
        <w:spacing w:after="0" w:line="263"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upon such consummation and, solely if we seek stockholder approval, a majority of the outstanding shares of common stock voted are voted in favor of the business combination at a duly held stockholders meeting;</w:t>
      </w:r>
    </w:p>
    <w:p>
      <w:pPr>
        <w:spacing w:after="0" w:line="183" w:lineRule="exact"/>
        <w:rPr>
          <w:rFonts w:ascii="Arial" w:cs="Arial" w:eastAsia="Arial" w:hAnsi="Arial"/>
          <w:sz w:val="18"/>
          <w:szCs w:val="18"/>
          <w:color w:val="auto"/>
        </w:rPr>
      </w:pPr>
    </w:p>
    <w:p>
      <w:pPr>
        <w:ind w:left="800" w:right="200" w:hanging="225"/>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the completion window, then our existence will terminate and we will distribute all amounts in the trust account; and</w:t>
      </w:r>
    </w:p>
    <w:p>
      <w:pPr>
        <w:spacing w:after="0" w:line="170" w:lineRule="exact"/>
        <w:rPr>
          <w:rFonts w:ascii="Arial" w:cs="Arial" w:eastAsia="Arial" w:hAnsi="Arial"/>
          <w:sz w:val="18"/>
          <w:szCs w:val="18"/>
          <w:color w:val="auto"/>
        </w:rPr>
      </w:pPr>
    </w:p>
    <w:p>
      <w:pPr>
        <w:ind w:left="800" w:right="120" w:hanging="225"/>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686" w:gutter="0" w:footer="0" w:header="0"/>
        </w:sectPr>
      </w:pPr>
    </w:p>
    <w:bookmarkStart w:id="17" w:name="page18"/>
    <w:bookmarkEnd w:id="17"/>
    <w:p>
      <w:pPr>
        <w:ind w:firstLine="583"/>
        <w:spacing w:after="0" w:line="259" w:lineRule="auto"/>
        <w:rPr>
          <w:sz w:val="20"/>
          <w:szCs w:val="20"/>
          <w:color w:val="auto"/>
        </w:rPr>
      </w:pPr>
      <w:r>
        <w:rPr>
          <w:rFonts w:ascii="Arial" w:cs="Arial" w:eastAsia="Arial" w:hAnsi="Arial"/>
          <w:sz w:val="18"/>
          <w:szCs w:val="18"/>
          <w:color w:val="auto"/>
        </w:rPr>
        <w:t>These provisions cannot be amended without the approval of holders of 65% of our common stock. In the event we seek stockholder approval in connection with our initial business combination, our amended and restated certificate of incorporation provides that, unless otherwise required by applicable law or stock exchange rules, we may consummate our initial business combination only if approved by a majority of the shares of common stock voted by our stockholders at a duly held stockholders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Potential Conflicts of Interest Relating to M. Klein and Company and Our Officers and Directors</w:t>
      </w:r>
    </w:p>
    <w:p>
      <w:pPr>
        <w:spacing w:after="0" w:line="229" w:lineRule="exact"/>
        <w:rPr>
          <w:sz w:val="20"/>
          <w:szCs w:val="20"/>
          <w:color w:val="auto"/>
        </w:rPr>
      </w:pPr>
    </w:p>
    <w:p>
      <w:pPr>
        <w:ind w:right="60" w:firstLine="583"/>
        <w:spacing w:after="0" w:line="269" w:lineRule="auto"/>
        <w:rPr>
          <w:sz w:val="20"/>
          <w:szCs w:val="20"/>
          <w:color w:val="auto"/>
        </w:rPr>
      </w:pPr>
      <w:r>
        <w:rPr>
          <w:rFonts w:ascii="Arial" w:cs="Arial" w:eastAsia="Arial" w:hAnsi="Arial"/>
          <w:sz w:val="17"/>
          <w:szCs w:val="17"/>
          <w:color w:val="auto"/>
        </w:rPr>
        <w:t>Our sponsor is an affiliate of M. Klein and Company, LLC (together with its affiliates “M. Klein and Company”). Michael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 and after he has satisfied his contractual and fiduciary obligations to other parties. As a result, M. Klein and Company’s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M. Klein and Company, including by Mr. Klein and other persons who may make decisions for the company, may be suitable both for us and for M. Klein and Company or any of its clients, and will be directed initially to such persons rather than to us. None of Mr. Klein, M. Klein and Company or members of our management team who are also employed by M. Klein and Company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79" w:lineRule="exact"/>
        <w:rPr>
          <w:sz w:val="20"/>
          <w:szCs w:val="20"/>
          <w:color w:val="auto"/>
        </w:rPr>
      </w:pPr>
    </w:p>
    <w:p>
      <w:pPr>
        <w:ind w:right="40" w:firstLine="583"/>
        <w:spacing w:after="0" w:line="269" w:lineRule="auto"/>
        <w:rPr>
          <w:sz w:val="20"/>
          <w:szCs w:val="20"/>
          <w:color w:val="auto"/>
        </w:rPr>
      </w:pPr>
      <w:r>
        <w:rPr>
          <w:rFonts w:ascii="Arial" w:cs="Arial" w:eastAsia="Arial" w:hAnsi="Arial"/>
          <w:sz w:val="17"/>
          <w:szCs w:val="17"/>
          <w:color w:val="auto"/>
        </w:rPr>
        <w:t>In addition, Mr. Klein and M. Klein and Company may sponsor or form other blank check companies similar to ours during the period in which we are seeking an initial business combination. Any such companies may present additional conflicts of interest in pursuing an acquisition target. In particular, M. Klein and Company, Mr. Klein and the Operating Partners as well as out board of directors, have formed and are actively engaged in Churchill Capital Corp II, Churchill Capital Corp V, Churchill Capital Corp VI and Churchill Capital Corp VII, special purpose acquisition corporations that completed their initial public offerings in July 2019, December 2020, February 2021 and February 2021, respectively. Churchill Capital Corp II, Churchill Capital Corp V, Churchill Capital Corp VI and Churchill Capital Corp VII, like us, may pursue initial business combination targets in any businesses or industries and have until July 1, 2021, December 18, 2022, February 17, 2023 and February 17, 2023, respectively, to do so (absent an extension in accordance with their charters). Any such companies, including Churchill Capital Corp II, Churchill Capital Corp V, Churchill Capital Corp VI and Churchill Capital Corp VII may present additional conflicts of interest in pursuing an acquisition target. M. Klein and Company, Mr. Klein and the Operating Partners are also actively engaged in AltC Acquisition Corp., a special purpose acquisition corporation that is in the process of completing its initial public offering as of the date of this filing and may present additional conflicts of interest in pursuing an acquisition target.</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Mr. Taragin, our Chief Financial Officer, is Chief Financial Officer of M. Klein and Company.</w:t>
      </w:r>
    </w:p>
    <w:p>
      <w:pPr>
        <w:spacing w:after="0" w:line="225" w:lineRule="exact"/>
        <w:rPr>
          <w:sz w:val="20"/>
          <w:szCs w:val="20"/>
          <w:color w:val="auto"/>
        </w:rPr>
      </w:pPr>
    </w:p>
    <w:p>
      <w:pPr>
        <w:ind w:right="120" w:firstLine="583"/>
        <w:spacing w:after="0" w:line="277"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w:t>
      </w:r>
    </w:p>
    <w:p>
      <w:pPr>
        <w:spacing w:after="0" w:line="170" w:lineRule="exact"/>
        <w:rPr>
          <w:sz w:val="20"/>
          <w:szCs w:val="20"/>
          <w:color w:val="auto"/>
        </w:rPr>
      </w:pPr>
    </w:p>
    <w:p>
      <w:pPr>
        <w:ind w:right="40" w:firstLine="583"/>
        <w:spacing w:after="0" w:line="259" w:lineRule="auto"/>
        <w:rPr>
          <w:sz w:val="20"/>
          <w:szCs w:val="20"/>
          <w:color w:val="auto"/>
        </w:rPr>
      </w:pPr>
      <w:r>
        <w:rPr>
          <w:rFonts w:ascii="Arial" w:cs="Arial" w:eastAsia="Arial" w:hAnsi="Arial"/>
          <w:sz w:val="18"/>
          <w:szCs w:val="18"/>
          <w:color w:val="auto"/>
        </w:rPr>
        <w:t xml:space="preserve">Additionally, the engagement of M. Klein and Company, or another affiliate of our sponsor, as our lead financial advisor in connection with our initial business combination may present certain conflicts of interest. See “Item 1A. Risk Factors — </w:t>
      </w:r>
      <w:r>
        <w:rPr>
          <w:rFonts w:ascii="Arial" w:cs="Arial" w:eastAsia="Arial" w:hAnsi="Arial"/>
          <w:sz w:val="18"/>
          <w:szCs w:val="18"/>
          <w:i w:val="1"/>
          <w:iCs w:val="1"/>
          <w:color w:val="auto"/>
        </w:rPr>
        <w:t>We may engage an affiliate of our sponsor who may be</w:t>
      </w:r>
      <w:r>
        <w:rPr>
          <w:rFonts w:ascii="Arial" w:cs="Arial" w:eastAsia="Arial" w:hAnsi="Arial"/>
          <w:sz w:val="18"/>
          <w:szCs w:val="18"/>
          <w:color w:val="auto"/>
        </w:rPr>
        <w:t xml:space="preserve"> </w:t>
      </w:r>
      <w:r>
        <w:rPr>
          <w:rFonts w:ascii="Arial" w:cs="Arial" w:eastAsia="Arial" w:hAnsi="Arial"/>
          <w:sz w:val="18"/>
          <w:szCs w:val="18"/>
          <w:i w:val="1"/>
          <w:iCs w:val="1"/>
          <w:color w:val="auto"/>
        </w:rPr>
        <w:t>entitled to earn an advisory fee upon the completion of an initial business combination. Its financial interest in the completion of the business combination may influence the advice it provides the Company</w:t>
      </w:r>
      <w:r>
        <w:rPr>
          <w:rFonts w:ascii="Arial" w:cs="Arial" w:eastAsia="Arial" w:hAnsi="Arial"/>
          <w:sz w:val="18"/>
          <w:szCs w:val="18"/>
          <w:color w:val="auto"/>
        </w:rPr>
        <w: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can be no assurance that these or other conflicts of interest with the potential for adverse effects on the Company and investors will not arise.</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Limitations on Our Access to Investment Opportunities Sourced by M. Klein and Company</w:t>
      </w:r>
    </w:p>
    <w:p>
      <w:pPr>
        <w:spacing w:after="0" w:line="225" w:lineRule="exact"/>
        <w:rPr>
          <w:sz w:val="20"/>
          <w:szCs w:val="20"/>
          <w:color w:val="auto"/>
        </w:rPr>
      </w:pPr>
    </w:p>
    <w:p>
      <w:pPr>
        <w:ind w:right="100" w:firstLine="583"/>
        <w:spacing w:after="0" w:line="255" w:lineRule="auto"/>
        <w:rPr>
          <w:sz w:val="20"/>
          <w:szCs w:val="20"/>
          <w:color w:val="auto"/>
        </w:rPr>
      </w:pPr>
      <w:r>
        <w:rPr>
          <w:rFonts w:ascii="Arial" w:cs="Arial" w:eastAsia="Arial" w:hAnsi="Arial"/>
          <w:sz w:val="18"/>
          <w:szCs w:val="18"/>
          <w:color w:val="auto"/>
        </w:rPr>
        <w:t>M. Klein and Company may compete with us for acquisition opportunities that we may target for our initial business combination. If M. Klein and Company decides to pursue any such opportunity or determines in its sole discretion not to offer such opportunity to us, we may be precluded from procuring such opportunities. In addition, investment ideas generated within M. Klein and Company or by persons who may make decisions for us may be suitable for both us and for M. Klein and Company may be directed to M. Klein and Company or other third parties rather than to us. M. Klein and Company does not have any fiduciary, contractual or other obligations or duties to our company, including, without limitation, to present us with any opportunity for a potential business combination of which they become aware.</w:t>
      </w:r>
    </w:p>
    <w:p>
      <w:pPr>
        <w:spacing w:after="0" w:line="192" w:lineRule="exact"/>
        <w:rPr>
          <w:sz w:val="20"/>
          <w:szCs w:val="20"/>
          <w:color w:val="auto"/>
        </w:rPr>
      </w:pPr>
    </w:p>
    <w:p>
      <w:pPr>
        <w:ind w:right="20" w:firstLine="583"/>
        <w:spacing w:after="0" w:line="257" w:lineRule="auto"/>
        <w:rPr>
          <w:sz w:val="20"/>
          <w:szCs w:val="20"/>
          <w:color w:val="auto"/>
        </w:rPr>
      </w:pPr>
      <w:r>
        <w:rPr>
          <w:rFonts w:ascii="Arial" w:cs="Arial" w:eastAsia="Arial" w:hAnsi="Arial"/>
          <w:sz w:val="18"/>
          <w:szCs w:val="18"/>
          <w:color w:val="auto"/>
        </w:rPr>
        <w:t xml:space="preserve">Our management team, in their other endeavors (including any affiliation they may have with M. Klein and Company), may choose or be required to present potential business combinations or other transactions to M. Klein and Company or third parties, before they present such opportunities to us. Please see “Item 1A. Risk Factors — </w:t>
      </w:r>
      <w:r>
        <w:rPr>
          <w:rFonts w:ascii="Arial" w:cs="Arial" w:eastAsia="Arial" w:hAnsi="Arial"/>
          <w:sz w:val="18"/>
          <w:szCs w:val="18"/>
          <w:i w:val="1"/>
          <w:iCs w:val="1"/>
          <w:color w:val="auto"/>
        </w:rPr>
        <w:t>Certain of our officers and directors are now, and all of them may in the future become, affiliated with entities</w:t>
      </w:r>
      <w:r>
        <w:rPr>
          <w:rFonts w:ascii="Arial" w:cs="Arial" w:eastAsia="Arial" w:hAnsi="Arial"/>
          <w:sz w:val="18"/>
          <w:szCs w:val="18"/>
          <w:color w:val="auto"/>
        </w:rPr>
        <w:t xml:space="preserve"> </w:t>
      </w:r>
      <w:r>
        <w:rPr>
          <w:rFonts w:ascii="Arial" w:cs="Arial" w:eastAsia="Arial" w:hAnsi="Arial"/>
          <w:sz w:val="18"/>
          <w:szCs w:val="18"/>
          <w:i w:val="1"/>
          <w:iCs w:val="1"/>
          <w:color w:val="auto"/>
        </w:rPr>
        <w:t>engaged in business activities similar to those intended to be conducted by us and, accordingly, may have conflicts of interest in determining to which entity a particular business opportunity or other transaction should be presented.</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00"/>
        <w:spacing w:after="0"/>
        <w:rPr>
          <w:sz w:val="20"/>
          <w:szCs w:val="20"/>
          <w:color w:val="auto"/>
        </w:rPr>
      </w:pPr>
      <w:r>
        <w:rPr>
          <w:rFonts w:ascii="Arial" w:cs="Arial" w:eastAsia="Arial" w:hAnsi="Arial"/>
          <w:sz w:val="18"/>
          <w:szCs w:val="18"/>
          <w:i w:val="1"/>
          <w:iCs w:val="1"/>
          <w:color w:val="auto"/>
        </w:rPr>
        <w:t>Sponsor Indemnity</w:t>
      </w:r>
    </w:p>
    <w:p>
      <w:pPr>
        <w:spacing w:after="0" w:line="225"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auto"/>
        </w:rPr>
        <w:t>Our sponsor, an affiliate of M. Klein and Company,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or not any such waiver is enforceable) and except as to any claims under our indemnity of the underwriters of the IPO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We believe the likelihood of our sponsor having to indemnify the trust account is limited because we will endeavor to have all vendors and prospective target businesses as well as other entities execute agreements with us waiving any right, title, interest or claim of any kind in or to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Regarding Our Proposed Initial Business Combination</w:t>
      </w:r>
    </w:p>
    <w:p>
      <w:pPr>
        <w:spacing w:after="0" w:line="229" w:lineRule="exact"/>
        <w:rPr>
          <w:sz w:val="20"/>
          <w:szCs w:val="20"/>
          <w:color w:val="auto"/>
        </w:rPr>
      </w:pPr>
    </w:p>
    <w:p>
      <w:pPr>
        <w:ind w:right="160" w:firstLine="583"/>
        <w:spacing w:after="0" w:line="273" w:lineRule="auto"/>
        <w:rPr>
          <w:sz w:val="20"/>
          <w:szCs w:val="20"/>
          <w:color w:val="auto"/>
        </w:rPr>
      </w:pPr>
      <w:r>
        <w:rPr>
          <w:rFonts w:ascii="Arial" w:cs="Arial" w:eastAsia="Arial" w:hAnsi="Arial"/>
          <w:sz w:val="17"/>
          <w:szCs w:val="17"/>
          <w:color w:val="auto"/>
        </w:rPr>
        <w:t>We have filed a registration statement on Form S-4 with the SEC, which includes a proxy statement and a prospectus, and we will file other documents regarding the Transactions. The definitive proxy statement/prospectus will also be sent to our stockholders and Lucid’s stockholders, seeking any required stockholder approvals. We urge you to carefully read the entire registration statement and proxy statement/prospectus and any other relevant documents filed with the SEC, including any amendments or supplements to these documents, because they contain important information about the proposed transactions, including detailed descriptions of the Transactions and a discussion of historical information and risks relating to the Transactions. The documents filed by us with the SEC may be obtained free of charge at the SEC’s website at www.sec.gov.</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than as specifically discussed, this report does not assume the closing of the Transactions described above.</w:t>
      </w:r>
    </w:p>
    <w:p>
      <w:pPr>
        <w:spacing w:after="0" w:line="225" w:lineRule="exact"/>
        <w:rPr>
          <w:sz w:val="20"/>
          <w:szCs w:val="20"/>
          <w:color w:val="auto"/>
        </w:rPr>
      </w:pPr>
    </w:p>
    <w:p>
      <w:pPr>
        <w:ind w:firstLine="583"/>
        <w:spacing w:after="0" w:line="279" w:lineRule="auto"/>
        <w:rPr>
          <w:sz w:val="20"/>
          <w:szCs w:val="20"/>
          <w:color w:val="auto"/>
        </w:rPr>
      </w:pPr>
      <w:r>
        <w:rPr>
          <w:rFonts w:ascii="Arial" w:cs="Arial" w:eastAsia="Arial" w:hAnsi="Arial"/>
          <w:sz w:val="17"/>
          <w:szCs w:val="17"/>
          <w:color w:val="auto"/>
        </w:rPr>
        <w:t>Our units, Class A common stock and warrants are registered under the Exchange Act and we have reporting obligations, including the requirement that we file annual, quarterly and current reports with the SEC. The SEC’s internet site (http://www.sec.gov) contains such reports, proxy and information statements and other information regarding issuers that file electronically with the SEC. In accordance with the requirements of the Exchange Act, our annual reports contain financial statements audited and reported on by our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500" w:firstLine="583"/>
        <w:spacing w:after="0" w:line="308" w:lineRule="auto"/>
        <w:rPr>
          <w:sz w:val="20"/>
          <w:szCs w:val="20"/>
          <w:color w:val="auto"/>
        </w:rPr>
      </w:pPr>
      <w:r>
        <w:rPr>
          <w:rFonts w:ascii="Arial" w:cs="Arial" w:eastAsia="Arial" w:hAnsi="Arial"/>
          <w:sz w:val="17"/>
          <w:szCs w:val="17"/>
          <w:color w:val="auto"/>
        </w:rPr>
        <w:t>We currently maintain our executive offices at 640 Fifth Avenue, 12th Floor, New York, NY 10019. The cost for this space is included in the $50,000 per month fee that we are paying an affiliate of our sponsor for office space, administrative and support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583"/>
        <w:spacing w:after="0" w:line="257" w:lineRule="auto"/>
        <w:rPr>
          <w:sz w:val="20"/>
          <w:szCs w:val="20"/>
          <w:color w:val="auto"/>
        </w:rPr>
      </w:pPr>
      <w:r>
        <w:rPr>
          <w:rFonts w:ascii="Arial" w:cs="Arial" w:eastAsia="Arial" w:hAnsi="Arial"/>
          <w:sz w:val="18"/>
          <w:szCs w:val="18"/>
          <w:color w:val="auto"/>
        </w:rPr>
        <w:t>We currently have two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firstLine="583"/>
        <w:spacing w:after="0" w:line="301" w:lineRule="auto"/>
        <w:rPr>
          <w:sz w:val="20"/>
          <w:szCs w:val="20"/>
          <w:color w:val="auto"/>
        </w:rPr>
      </w:pPr>
      <w:r>
        <w:rPr>
          <w:rFonts w:ascii="Arial" w:cs="Arial" w:eastAsia="Arial" w:hAnsi="Arial"/>
          <w:sz w:val="16"/>
          <w:szCs w:val="16"/>
          <w:color w:val="auto"/>
        </w:rPr>
        <w:t xml:space="preserve">Our units, Class A common stock and warrants are registered under the Exchange Act and we have reporting obligations, including the requirement that we file annual, quarterly and current reports with the SEC. The SEC maintains an internet 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that contains such reports, proxy and information statements and other information regarding issuers that file electronically with the SEC. In accordance with the requirements of the Exchange Act, our annual reports contain financial statements audited and reported on by our independent registered public accounting firm.</w:t>
      </w:r>
    </w:p>
    <w:p>
      <w:pPr>
        <w:spacing w:after="0" w:line="157" w:lineRule="exact"/>
        <w:rPr>
          <w:sz w:val="20"/>
          <w:szCs w:val="20"/>
          <w:color w:val="auto"/>
        </w:rPr>
      </w:pPr>
    </w:p>
    <w:p>
      <w:pPr>
        <w:ind w:right="120" w:firstLine="583"/>
        <w:spacing w:after="0" w:line="287"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United States generally accepted accounting principles (“GAAP”) or international financial reporting standards as promulgated by the international accounting standards board (“IFRS”), depending on the circumstances and the historical financial statements may be required to be audited in accordance with the standards of the Public Company Accounting Oversight Board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right="20" w:firstLine="583"/>
        <w:spacing w:after="0" w:line="257" w:lineRule="auto"/>
        <w:rPr>
          <w:sz w:val="20"/>
          <w:szCs w:val="20"/>
          <w:color w:val="auto"/>
        </w:rPr>
      </w:pPr>
      <w:r>
        <w:rPr>
          <w:rFonts w:ascii="Arial" w:cs="Arial" w:eastAsia="Arial" w:hAnsi="Arial"/>
          <w:sz w:val="18"/>
          <w:szCs w:val="18"/>
          <w:color w:val="auto"/>
        </w:rPr>
        <w:t>We will be required to evaluate our internal control procedures for the fiscal year ended December 31, 2020 as required by the Sarbanes-Oxley Act. Only in the event we are deemed to be a large accelerated filer or an accelerated filer and no longer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ind w:right="100" w:firstLine="583"/>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220" w:firstLine="583"/>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firstLine="583"/>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August 3, 2025,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$1.00 billion in non-convertible debt during the prior three-year period. References herein to “emerging growth company” shall have the meaning associated with it in the JOBS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583"/>
        <w:spacing w:after="0" w:line="255" w:lineRule="auto"/>
        <w:rPr>
          <w:sz w:val="20"/>
          <w:szCs w:val="20"/>
          <w:color w:val="auto"/>
        </w:rPr>
      </w:pPr>
      <w:r>
        <w:rPr>
          <w:rFonts w:ascii="Arial" w:cs="Arial" w:eastAsia="Arial" w:hAnsi="Arial"/>
          <w:sz w:val="18"/>
          <w:szCs w:val="18"/>
          <w:color w:val="auto"/>
        </w:rPr>
        <w:t>On March 3, 2021, Richard Hofman, a purported stockholder of us, filed a complaint, individually and on behalf of other of our stockholders, in the Superior Court of the State of California against us, Lucid, and other unnamed defendants. The complaint alleges claims for fraud, negligent misrepresentation, and false advertising and unfair business practices in connection with allegedly false and misleading statements and omissions in our public filings, concerning the proposed merger between us and Lucid. The complaint seeks injunctive relief, as well as compensatory and punitive damages. On March 8, 2021, plaintiff filed an ex parte application for a temporary restraining order and preliminary injunction, which the Company opposed and the court denied on March 10, 2021.</w:t>
      </w:r>
    </w:p>
    <w:p>
      <w:pPr>
        <w:spacing w:after="0" w:line="18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20" w:firstLine="583"/>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annual report, the prospectus associated with our IPO and the registration statement relating to our proposed initial business combination of which such prospectus forms a part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231F20"/>
        </w:rPr>
        <w:t>Our business is subject to numerous risks and uncertainties. These risks include, but are not limited to, risks associated with:</w:t>
      </w:r>
    </w:p>
    <w:p>
      <w:pPr>
        <w:spacing w:after="0" w:line="225" w:lineRule="exact"/>
        <w:rPr>
          <w:sz w:val="20"/>
          <w:szCs w:val="20"/>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being a newly incorporated company with no operating history and no revenues;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231F20"/>
        </w:rPr>
        <w:t>our ability to complete our initial business combination, including risks arising from the uncertainty resulting from the COVID-19 pandemic;</w:t>
      </w:r>
    </w:p>
    <w:p>
      <w:pPr>
        <w:spacing w:after="0" w:line="236" w:lineRule="exact"/>
        <w:rPr>
          <w:rFonts w:ascii="Arial" w:cs="Arial" w:eastAsia="Arial" w:hAnsi="Arial"/>
          <w:sz w:val="17"/>
          <w:szCs w:val="17"/>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public shareholders’ ability to exercise redemption rights;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requirement that we complete our initial business combination within the completion window;</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possibility that NYSE may delist our securities from trading on its exchange;</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being declared an investment company under the Investment Company Act;</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complying with changing laws and regulations;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performance of the prospective target business or businesses;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ability to select an appropriate target business or businesses;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pool of prospective target businesses available to us and the ability of our officers and directors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to generate a number of potential business combination opportunities;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254" w:gutter="0" w:footer="0" w:header="0"/>
        </w:sectPr>
      </w:pPr>
    </w:p>
    <w:bookmarkStart w:id="20" w:name="page21"/>
    <w:bookmarkEnd w:id="20"/>
    <w:p>
      <w:pPr>
        <w:ind w:left="800" w:hanging="225"/>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231F20"/>
        </w:rPr>
        <w:t>the issuance of additional Class A common stock in connection with a business combination that may dilute the interest of our shareholders;</w:t>
      </w:r>
    </w:p>
    <w:p>
      <w:pPr>
        <w:spacing w:after="0" w:line="248" w:lineRule="exact"/>
        <w:rPr>
          <w:rFonts w:ascii="Arial" w:cs="Arial" w:eastAsia="Arial" w:hAnsi="Arial"/>
          <w:sz w:val="16"/>
          <w:szCs w:val="16"/>
          <w:color w:val="auto"/>
        </w:rPr>
      </w:pPr>
    </w:p>
    <w:p>
      <w:pPr>
        <w:ind w:left="800" w:right="80" w:hanging="225"/>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incentives to our sponsor, officers and directors to complete a business combination to avoid losing their entire investment in us if our initial business combination is not completed;</w:t>
      </w:r>
    </w:p>
    <w:p>
      <w:pPr>
        <w:spacing w:after="0" w:line="170" w:lineRule="exact"/>
        <w:rPr>
          <w:rFonts w:ascii="Arial" w:cs="Arial" w:eastAsia="Arial" w:hAnsi="Arial"/>
          <w:sz w:val="18"/>
          <w:szCs w:val="18"/>
          <w:color w:val="auto"/>
        </w:rPr>
      </w:pPr>
    </w:p>
    <w:p>
      <w:pPr>
        <w:ind w:left="800" w:right="180" w:hanging="225"/>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800" w:right="1000" w:hanging="225"/>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ability to obtain additional financing to complete our initial business combination;</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ability to amend the terms of warrants in a manner that may be adverse to the holders of public warrants;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ability to redeem your unexpired warrants prior to their exercise;</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our public securities’ potential liquidity and trading; and</w:t>
      </w:r>
    </w:p>
    <w:p>
      <w:pPr>
        <w:spacing w:after="0" w:line="225" w:lineRule="exact"/>
        <w:rPr>
          <w:rFonts w:ascii="Arial" w:cs="Arial" w:eastAsia="Arial" w:hAnsi="Arial"/>
          <w:sz w:val="18"/>
          <w:szCs w:val="18"/>
          <w:color w:val="auto"/>
        </w:rPr>
      </w:pPr>
    </w:p>
    <w:p>
      <w:pPr>
        <w:ind w:left="800" w:right="100" w:hanging="225"/>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provisions in our amended and restated certificate of incorporation and Delaware law that may have the effect of inhibiting a takeover of us and discouraging lawsuits against our directors and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an Initial Business Combination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84"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231F20"/>
        </w:rPr>
        <w:t>We may not hold a stockholder vote to approve our initial business combination unless the business combination would require stockholder approval under applicable law or stock exchange listing requirements or if we decide to hold a stockholder vote for business or other reasons. For instance, the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consummate our initial business combination even if holders of a majority of our outstanding public shares do not approve of the business combination we consummate. Please see “Proposed Business — Stockholders may not have the ability to approve our initial business combination” for additional information.</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ind w:right="40" w:firstLine="583"/>
        <w:spacing w:after="0" w:line="291" w:lineRule="auto"/>
        <w:rPr>
          <w:sz w:val="20"/>
          <w:szCs w:val="20"/>
          <w:color w:val="auto"/>
        </w:rPr>
      </w:pPr>
      <w:r>
        <w:rPr>
          <w:rFonts w:ascii="Arial" w:cs="Arial" w:eastAsia="Arial" w:hAnsi="Arial"/>
          <w:sz w:val="16"/>
          <w:szCs w:val="16"/>
          <w:color w:val="auto"/>
        </w:rPr>
        <w:t>Our initial stockholders, officers and directors have agreed (and their permitted transferees will agree) to vote any founder shares and any public shares held by them in favor of our initial business combination. As a result, in addition to our initial stockholders’ founder shares, we would need 77,625,001, or 37.5%, of the 207,000,000 public shares sold in the IPO to be voted in favor of a transaction (assuming all issued and outstanding shares are voted) in order to have such initial business combination approved. We expect that our initial stockholders and their permitted transferees will own at least 20% of our outstanding shares of common stock at the time of any such stockholder vote. Accordingly, if we seek stockholder approval of our initial business combination, it is more likely that the necessary stockholder approval will be received than would be the case if our initial stockholders and their permitted transferees agreed to vote their founder shares in accordance with the majority of the votes cast by our public stockholders.</w:t>
      </w:r>
    </w:p>
    <w:p>
      <w:pPr>
        <w:spacing w:after="0" w:line="16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such business combination.</w:t>
      </w:r>
    </w:p>
    <w:p>
      <w:pPr>
        <w:spacing w:after="0" w:line="146" w:lineRule="exact"/>
        <w:rPr>
          <w:sz w:val="20"/>
          <w:szCs w:val="20"/>
          <w:color w:val="auto"/>
        </w:rPr>
      </w:pPr>
    </w:p>
    <w:p>
      <w:pPr>
        <w:ind w:right="140" w:firstLine="583"/>
        <w:spacing w:after="0" w:line="255" w:lineRule="auto"/>
        <w:rPr>
          <w:sz w:val="20"/>
          <w:szCs w:val="20"/>
          <w:color w:val="auto"/>
        </w:rPr>
      </w:pPr>
      <w:r>
        <w:rPr>
          <w:rFonts w:ascii="Arial" w:cs="Arial" w:eastAsia="Arial" w:hAnsi="Arial"/>
          <w:sz w:val="18"/>
          <w:szCs w:val="18"/>
          <w:color w:val="231F20"/>
        </w:rPr>
        <w:t>At the time of your investment in us, you will not be provided with an opportunity to evaluate the specific merits or risks of any target businesses. Additionally, since our board of directors may complete a business combination without seeking stockholder approval, public stockholders may not have the right or opportunity to vote on the business combination.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70" w:lineRule="exact"/>
        <w:rPr>
          <w:sz w:val="20"/>
          <w:szCs w:val="20"/>
          <w:color w:val="auto"/>
        </w:rPr>
      </w:pPr>
    </w:p>
    <w:p>
      <w:pPr>
        <w:ind w:right="60" w:firstLine="583"/>
        <w:spacing w:after="0" w:line="287" w:lineRule="auto"/>
        <w:rPr>
          <w:sz w:val="20"/>
          <w:szCs w:val="20"/>
          <w:color w:val="auto"/>
        </w:rPr>
      </w:pPr>
      <w:r>
        <w:rPr>
          <w:rFonts w:ascii="Arial" w:cs="Arial" w:eastAsia="Arial" w:hAnsi="Arial"/>
          <w:sz w:val="16"/>
          <w:szCs w:val="16"/>
          <w:color w:val="231F20"/>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to be less than $5,000,001 (so that we do not then become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ind w:right="20" w:firstLine="583"/>
        <w:spacing w:after="0" w:line="287" w:lineRule="auto"/>
        <w:rPr>
          <w:sz w:val="20"/>
          <w:szCs w:val="20"/>
          <w:color w:val="auto"/>
        </w:rPr>
      </w:pPr>
      <w:r>
        <w:rPr>
          <w:rFonts w:ascii="Arial" w:cs="Arial" w:eastAsia="Arial" w:hAnsi="Arial"/>
          <w:sz w:val="16"/>
          <w:szCs w:val="16"/>
          <w:color w:val="231F20"/>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results in the issuance of shares of Class A common stock on a greater than one-to-one basis upon conversion of the Class B common stock at the time of our initial business combination. In addition, the amount of deferred underwriting commissions payable to the underwriters is not required to be adjusted for any shares that are redeemed in connection with an initial business combination. The above considerations may limit our ability to complete the most desirable business combination available to us or optimize our capital structure.</w:t>
      </w:r>
    </w:p>
    <w:p>
      <w:pPr>
        <w:spacing w:after="0" w:line="17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ind w:firstLine="583"/>
        <w:spacing w:after="0" w:line="273" w:lineRule="auto"/>
        <w:rPr>
          <w:sz w:val="20"/>
          <w:szCs w:val="20"/>
          <w:color w:val="auto"/>
        </w:rPr>
      </w:pPr>
      <w:r>
        <w:rPr>
          <w:rFonts w:ascii="Arial" w:cs="Arial" w:eastAsia="Arial" w:hAnsi="Arial"/>
          <w:sz w:val="17"/>
          <w:szCs w:val="17"/>
          <w:color w:val="231F20"/>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completion window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ind w:right="220" w:firstLine="583"/>
        <w:spacing w:after="0" w:line="277" w:lineRule="auto"/>
        <w:rPr>
          <w:sz w:val="20"/>
          <w:szCs w:val="20"/>
          <w:color w:val="auto"/>
        </w:rPr>
      </w:pPr>
      <w:r>
        <w:rPr>
          <w:rFonts w:ascii="Arial" w:cs="Arial" w:eastAsia="Arial" w:hAnsi="Arial"/>
          <w:sz w:val="18"/>
          <w:szCs w:val="18"/>
          <w:color w:val="231F20"/>
        </w:rPr>
        <w:t>Any potential target business with which we enter into negotiations concerning a business combination will be aware that we must complete our initial business combination within the completion window.</w:t>
      </w:r>
    </w:p>
    <w:p>
      <w:pPr>
        <w:spacing w:after="0" w:line="170" w:lineRule="exact"/>
        <w:rPr>
          <w:sz w:val="20"/>
          <w:szCs w:val="20"/>
          <w:color w:val="auto"/>
        </w:rPr>
      </w:pPr>
    </w:p>
    <w:p>
      <w:pPr>
        <w:ind w:right="200" w:firstLine="583"/>
        <w:spacing w:after="0" w:line="279" w:lineRule="auto"/>
        <w:rPr>
          <w:sz w:val="20"/>
          <w:szCs w:val="20"/>
          <w:color w:val="auto"/>
        </w:rPr>
      </w:pPr>
      <w:r>
        <w:rPr>
          <w:rFonts w:ascii="Arial" w:cs="Arial" w:eastAsia="Arial" w:hAnsi="Arial"/>
          <w:sz w:val="17"/>
          <w:szCs w:val="17"/>
          <w:color w:val="231F20"/>
        </w:rPr>
        <w:t>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completion window,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149" w:lineRule="exact"/>
        <w:rPr>
          <w:sz w:val="20"/>
          <w:szCs w:val="20"/>
          <w:color w:val="auto"/>
        </w:rPr>
      </w:pPr>
    </w:p>
    <w:p>
      <w:pPr>
        <w:jc w:val="both"/>
        <w:ind w:firstLine="583"/>
        <w:spacing w:after="0" w:line="311"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the completion window.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149" w:lineRule="exact"/>
        <w:rPr>
          <w:sz w:val="20"/>
          <w:szCs w:val="20"/>
          <w:color w:val="auto"/>
        </w:rPr>
      </w:pPr>
    </w:p>
    <w:p>
      <w:pPr>
        <w:ind w:right="60" w:firstLine="583"/>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receive only $10.00 per share, or less than $10.00 per share, on the redemption of their shares, and our warrants will expire worthless. Please see “</w:t>
      </w:r>
      <w:r>
        <w:rPr>
          <w:rFonts w:ascii="Arial" w:cs="Arial" w:eastAsia="Arial" w:hAnsi="Arial"/>
          <w:sz w:val="17"/>
          <w:szCs w:val="17"/>
          <w:i w:val="1"/>
          <w:iCs w:val="1"/>
          <w:color w:val="auto"/>
        </w:rPr>
        <w:t>If third parties bring claims against us, the proceeds held in the trust account could be reduced and the per share redemption amount received</w:t>
      </w:r>
      <w:r>
        <w:rPr>
          <w:rFonts w:ascii="Arial" w:cs="Arial" w:eastAsia="Arial" w:hAnsi="Arial"/>
          <w:sz w:val="17"/>
          <w:szCs w:val="17"/>
          <w:color w:val="auto"/>
        </w:rPr>
        <w:t xml:space="preserve"> </w:t>
      </w:r>
      <w:r>
        <w:rPr>
          <w:rFonts w:ascii="Arial" w:cs="Arial" w:eastAsia="Arial" w:hAnsi="Arial"/>
          <w:sz w:val="17"/>
          <w:szCs w:val="17"/>
          <w:i w:val="1"/>
          <w:iCs w:val="1"/>
          <w:color w:val="auto"/>
        </w:rPr>
        <w:t>by stockholders may be less than $10.00 per share</w:t>
      </w:r>
      <w:r>
        <w:rPr>
          <w:rFonts w:ascii="Arial" w:cs="Arial" w:eastAsia="Arial" w:hAnsi="Arial"/>
          <w:sz w:val="17"/>
          <w:szCs w:val="17"/>
          <w:color w:val="auto"/>
        </w:rPr>
        <w:t>” and other risk factors herein.</w:t>
      </w:r>
    </w:p>
    <w:p>
      <w:pPr>
        <w:sectPr>
          <w:pgSz w:w="11900" w:h="16838" w:orient="portrait"/>
          <w:cols w:equalWidth="0" w:num="1">
            <w:col w:w="11200"/>
          </w:cols>
          <w:pgMar w:left="320" w:top="908" w:right="379" w:bottom="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firstLine="583"/>
        <w:spacing w:after="0" w:line="259" w:lineRule="auto"/>
        <w:rPr>
          <w:sz w:val="20"/>
          <w:szCs w:val="20"/>
          <w:color w:val="auto"/>
        </w:rPr>
      </w:pPr>
      <w:r>
        <w:rPr>
          <w:rFonts w:ascii="Arial" w:cs="Arial" w:eastAsia="Arial" w:hAnsi="Arial"/>
          <w:sz w:val="18"/>
          <w:szCs w:val="18"/>
          <w:color w:val="auto"/>
        </w:rPr>
        <w:t>If the net proceeds of the IPO and the sale of the private placement warrants not being held in the trust account are insufficient, it could limit the amount available to fund our search for a target business or businesses and complete our initial business combination and we will depend on loans from our sponsor or management team to fund our search, to pay our taxes and to complete our initial business combination. If we are unable to obtain such loans, we may be unable to complete our initial business combination.</w:t>
      </w:r>
    </w:p>
    <w:p>
      <w:pPr>
        <w:spacing w:after="0" w:line="187" w:lineRule="exact"/>
        <w:rPr>
          <w:sz w:val="20"/>
          <w:szCs w:val="20"/>
          <w:color w:val="auto"/>
        </w:rPr>
      </w:pPr>
    </w:p>
    <w:p>
      <w:pPr>
        <w:ind w:right="40" w:firstLine="606"/>
        <w:spacing w:after="0" w:line="273" w:lineRule="auto"/>
        <w:rPr>
          <w:sz w:val="20"/>
          <w:szCs w:val="20"/>
          <w:color w:val="auto"/>
        </w:rPr>
      </w:pPr>
      <w:r>
        <w:rPr>
          <w:rFonts w:ascii="Arial" w:cs="Arial" w:eastAsia="Arial" w:hAnsi="Arial"/>
          <w:sz w:val="17"/>
          <w:szCs w:val="17"/>
          <w:color w:val="auto"/>
        </w:rPr>
        <w:t>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 $10.00 per share, or less in certain circumstances, and our warrants will expire worthless.</w:t>
      </w:r>
    </w:p>
    <w:p>
      <w:pPr>
        <w:spacing w:after="0" w:line="17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aggregate value of the assets held in the trust account such that the per share redemption amount received by public stockholders may be less than your anticipated per share redemption amount.</w:t>
      </w:r>
    </w:p>
    <w:p>
      <w:pPr>
        <w:spacing w:after="0" w:line="184" w:lineRule="exact"/>
        <w:rPr>
          <w:sz w:val="20"/>
          <w:szCs w:val="20"/>
          <w:color w:val="auto"/>
        </w:rPr>
      </w:pPr>
    </w:p>
    <w:p>
      <w:pPr>
        <w:ind w:right="40" w:firstLine="583"/>
        <w:spacing w:after="0" w:line="271" w:lineRule="auto"/>
        <w:rPr>
          <w:sz w:val="20"/>
          <w:szCs w:val="20"/>
          <w:color w:val="auto"/>
        </w:rPr>
      </w:pPr>
      <w:r>
        <w:rPr>
          <w:rFonts w:ascii="Arial" w:cs="Arial" w:eastAsia="Arial" w:hAnsi="Arial"/>
          <w:sz w:val="17"/>
          <w:szCs w:val="17"/>
          <w:color w:val="231F20"/>
        </w:rPr>
        <w:t>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While short-term U.S. government treasury bills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 share redemption amount that may be received by public stockholders.</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the public, which may influence a vote on a proposed business combination and reduce the public “float” of our common stock.</w:t>
      </w:r>
    </w:p>
    <w:p>
      <w:pPr>
        <w:spacing w:after="0" w:line="184" w:lineRule="exact"/>
        <w:rPr>
          <w:sz w:val="20"/>
          <w:szCs w:val="20"/>
          <w:color w:val="auto"/>
        </w:rPr>
      </w:pPr>
    </w:p>
    <w:p>
      <w:pPr>
        <w:ind w:right="80" w:firstLine="583"/>
        <w:spacing w:after="0" w:line="255" w:lineRule="auto"/>
        <w:rPr>
          <w:sz w:val="20"/>
          <w:szCs w:val="20"/>
          <w:color w:val="auto"/>
        </w:rPr>
      </w:pPr>
      <w:r>
        <w:rPr>
          <w:rFonts w:ascii="Arial" w:cs="Arial" w:eastAsia="Arial" w:hAnsi="Arial"/>
          <w:sz w:val="18"/>
          <w:szCs w:val="18"/>
          <w:color w:val="231F20"/>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Such a purchase may include a contractual acknowledgement that such public stockholder, although still the record holder of our shares is no longer the beneficial owner thereof and therefore agrees not to exercise its redemption rights.</w:t>
      </w:r>
    </w:p>
    <w:p>
      <w:pPr>
        <w:spacing w:after="0" w:line="192" w:lineRule="exact"/>
        <w:rPr>
          <w:sz w:val="20"/>
          <w:szCs w:val="20"/>
          <w:color w:val="auto"/>
        </w:rPr>
      </w:pPr>
    </w:p>
    <w:p>
      <w:pPr>
        <w:ind w:right="20" w:firstLine="583"/>
        <w:spacing w:after="0" w:line="268" w:lineRule="auto"/>
        <w:rPr>
          <w:sz w:val="20"/>
          <w:szCs w:val="20"/>
          <w:color w:val="auto"/>
        </w:rPr>
      </w:pPr>
      <w:r>
        <w:rPr>
          <w:rFonts w:ascii="Arial" w:cs="Arial" w:eastAsia="Arial" w:hAnsi="Arial"/>
          <w:sz w:val="17"/>
          <w:szCs w:val="17"/>
          <w:color w:val="231F20"/>
        </w:rPr>
        <w:t>In the event that our sponsor, directors, officers, advisors or any of their respective affiliates purchase public shares in privately negotiated transactions from public stockholders who have already elected to exercise their redemption rights, such selling public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84" w:lineRule="exact"/>
        <w:rPr>
          <w:sz w:val="20"/>
          <w:szCs w:val="20"/>
          <w:color w:val="auto"/>
        </w:rPr>
      </w:pPr>
    </w:p>
    <w:p>
      <w:pPr>
        <w:ind w:right="60" w:firstLine="583"/>
        <w:spacing w:after="0" w:line="308" w:lineRule="auto"/>
        <w:rPr>
          <w:sz w:val="20"/>
          <w:szCs w:val="20"/>
          <w:color w:val="auto"/>
        </w:rPr>
      </w:pPr>
      <w:r>
        <w:rPr>
          <w:rFonts w:ascii="Arial" w:cs="Arial" w:eastAsia="Arial" w:hAnsi="Arial"/>
          <w:sz w:val="17"/>
          <w:szCs w:val="17"/>
          <w:color w:val="231F20"/>
        </w:rPr>
        <w:t>In addition, if such purchases are made, the public “float” of our Class A common stock and the number of beneficial holders of our securities may be reduced, possibly making it difficult to maintain or obtain the quotation, listing or trading of our securities on a national securities exchange.</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right="40" w:firstLine="583"/>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procedures, its shares may not be redeemed. You will not have any rights or interests in funds from the trust account, except under certain limited circumstances. To liquidate your investment, therefore, you may be forced to sell your public shares or warrants, potentially at a loss.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254" w:gutter="0" w:footer="0" w:header="0"/>
        </w:sectPr>
      </w:pPr>
    </w:p>
    <w:bookmarkStart w:id="24" w:name="page25"/>
    <w:bookmarkEnd w:id="24"/>
    <w:p>
      <w:pPr>
        <w:ind w:firstLine="583"/>
        <w:spacing w:after="0" w:line="287" w:lineRule="auto"/>
        <w:rPr>
          <w:sz w:val="20"/>
          <w:szCs w:val="20"/>
          <w:color w:val="auto"/>
        </w:rPr>
      </w:pPr>
      <w:r>
        <w:rPr>
          <w:rFonts w:ascii="Arial" w:cs="Arial" w:eastAsia="Arial" w:hAnsi="Arial"/>
          <w:sz w:val="16"/>
          <w:szCs w:val="16"/>
          <w:color w:val="231F20"/>
        </w:rPr>
        <w:t>Our public stockholders will be entitled to receive funds from the trust account only upon the earlier to occur of: (1) the completion of our initial business combination, and then only in connection with those shares of Class A common stock that such stockholder properly elected to redeem, subject to the limitations described herein;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and as further described herein. In addition, if we are unable to complete an initial business combination within the completion window for any reason, compliance with Delaware law may require that we submit a plan of dissolution to our then-existing stockholders for approval prior to the distribution of the proceeds held in our trust account. In that case, public stockholders may be forced to wait beyond the completion window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or less in certain circumstances, on our redemption of their stock, and our warrants will expire worthless.</w:t>
      </w:r>
    </w:p>
    <w:p>
      <w:pPr>
        <w:spacing w:after="0" w:line="149" w:lineRule="exact"/>
        <w:rPr>
          <w:sz w:val="20"/>
          <w:szCs w:val="20"/>
          <w:color w:val="auto"/>
        </w:rPr>
      </w:pPr>
    </w:p>
    <w:p>
      <w:pPr>
        <w:ind w:firstLine="583"/>
        <w:spacing w:after="0" w:line="253" w:lineRule="auto"/>
        <w:rPr>
          <w:sz w:val="20"/>
          <w:szCs w:val="20"/>
          <w:color w:val="auto"/>
        </w:rPr>
      </w:pPr>
      <w:r>
        <w:rPr>
          <w:rFonts w:ascii="Arial" w:cs="Arial" w:eastAsia="Arial" w:hAnsi="Arial"/>
          <w:sz w:val="18"/>
          <w:szCs w:val="18"/>
          <w:color w:val="231F20"/>
        </w:rPr>
        <w:t>We expect to encounter intense competition from other entities having a business objective similar to ours, including private investors (which may be individuals or investment partnerships), other blank check companies and other entities, domestic and international, including, without limitation, M. Klein and Company and our Strategic and Operating Partners,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the IPO and the sale of the private placement warrants,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w:t>
      </w:r>
    </w:p>
    <w:p>
      <w:pPr>
        <w:spacing w:after="0" w:line="194" w:lineRule="exact"/>
        <w:rPr>
          <w:sz w:val="20"/>
          <w:szCs w:val="20"/>
          <w:color w:val="auto"/>
        </w:rPr>
      </w:pPr>
    </w:p>
    <w:p>
      <w:pPr>
        <w:ind w:right="20" w:firstLine="583"/>
        <w:spacing w:after="0" w:line="255" w:lineRule="auto"/>
        <w:rPr>
          <w:sz w:val="20"/>
          <w:szCs w:val="20"/>
          <w:color w:val="auto"/>
        </w:rPr>
      </w:pPr>
      <w:r>
        <w:rPr>
          <w:rFonts w:ascii="Arial" w:cs="Arial" w:eastAsia="Arial" w:hAnsi="Arial"/>
          <w:sz w:val="18"/>
          <w:szCs w:val="18"/>
          <w:color w:val="231F20"/>
        </w:rPr>
        <w:t>This inherent competitive limitation gives others an advantage in pursuing the acquisition of certain target businesses. Furthermore, in the event we seek stockholder approval of our initial business combination and we are obligated to pay cash for public shares that are redeemed, it will potentially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 funds available to us outside of the trust account are insufficient to allow us to operate for at least the completion window, we may be unable to complete our initial business combination.</w:t>
      </w:r>
    </w:p>
    <w:p>
      <w:pPr>
        <w:spacing w:after="0" w:line="170" w:lineRule="exact"/>
        <w:rPr>
          <w:sz w:val="20"/>
          <w:szCs w:val="20"/>
          <w:color w:val="auto"/>
        </w:rPr>
      </w:pPr>
    </w:p>
    <w:p>
      <w:pPr>
        <w:ind w:right="20" w:firstLine="583"/>
        <w:spacing w:after="0" w:line="301" w:lineRule="auto"/>
        <w:rPr>
          <w:sz w:val="20"/>
          <w:szCs w:val="20"/>
          <w:color w:val="auto"/>
        </w:rPr>
      </w:pPr>
      <w:r>
        <w:rPr>
          <w:rFonts w:ascii="Arial" w:cs="Arial" w:eastAsia="Arial" w:hAnsi="Arial"/>
          <w:sz w:val="16"/>
          <w:szCs w:val="16"/>
          <w:color w:val="231F20"/>
        </w:rPr>
        <w:t>The funds available to us outside of the trust account may not be sufficient to allow us to operate for at least the completion window, assuming that our initial business combination is not completed during that time. We expect to incur significant costs in pursuit of our acquisition plans.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157" w:lineRule="exact"/>
        <w:rPr>
          <w:sz w:val="20"/>
          <w:szCs w:val="20"/>
          <w:color w:val="auto"/>
        </w:rPr>
      </w:pPr>
    </w:p>
    <w:p>
      <w:pPr>
        <w:ind w:right="20" w:firstLine="583"/>
        <w:spacing w:after="0" w:line="288" w:lineRule="auto"/>
        <w:rPr>
          <w:sz w:val="20"/>
          <w:szCs w:val="20"/>
          <w:color w:val="auto"/>
        </w:rPr>
      </w:pPr>
      <w:r>
        <w:rPr>
          <w:rFonts w:ascii="Arial" w:cs="Arial" w:eastAsia="Arial" w:hAnsi="Arial"/>
          <w:sz w:val="16"/>
          <w:szCs w:val="16"/>
          <w:color w:val="231F20"/>
        </w:rPr>
        <w:t>We believe that the funds available to us outside of the trust account, including permitted withdrawals and loans or additional investments from our sponsor, will be sufficient to allow us to operate for at least the completion window;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 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5" w:name="page26"/>
    <w:bookmarkEnd w:id="25"/>
    <w:p>
      <w:pPr>
        <w:ind w:right="10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4" w:lineRule="exact"/>
        <w:rPr>
          <w:sz w:val="20"/>
          <w:szCs w:val="20"/>
          <w:color w:val="auto"/>
        </w:rPr>
      </w:pPr>
    </w:p>
    <w:p>
      <w:pPr>
        <w:ind w:right="80" w:firstLine="583"/>
        <w:spacing w:after="0" w:line="269" w:lineRule="auto"/>
        <w:rPr>
          <w:sz w:val="20"/>
          <w:szCs w:val="20"/>
          <w:color w:val="auto"/>
        </w:rPr>
      </w:pPr>
      <w:r>
        <w:rPr>
          <w:rFonts w:ascii="Arial" w:cs="Arial" w:eastAsia="Arial" w:hAnsi="Arial"/>
          <w:sz w:val="17"/>
          <w:szCs w:val="17"/>
          <w:color w:val="231F20"/>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170" w:lineRule="exact"/>
        <w:rPr>
          <w:sz w:val="20"/>
          <w:szCs w:val="20"/>
          <w:color w:val="auto"/>
        </w:rPr>
      </w:pPr>
    </w:p>
    <w:p>
      <w:pPr>
        <w:ind w:right="20" w:firstLine="583"/>
        <w:spacing w:after="0" w:line="285" w:lineRule="auto"/>
        <w:rPr>
          <w:sz w:val="20"/>
          <w:szCs w:val="20"/>
          <w:color w:val="auto"/>
        </w:rPr>
      </w:pPr>
      <w:r>
        <w:rPr>
          <w:rFonts w:ascii="Arial" w:cs="Arial" w:eastAsia="Arial" w:hAnsi="Arial"/>
          <w:sz w:val="16"/>
          <w:szCs w:val="16"/>
          <w:color w:val="231F20"/>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completion window,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per share amount initially held in the trust account, due to claims of such creditors.</w:t>
      </w:r>
    </w:p>
    <w:p>
      <w:pPr>
        <w:spacing w:after="0" w:line="169" w:lineRule="exact"/>
        <w:rPr>
          <w:sz w:val="20"/>
          <w:szCs w:val="20"/>
          <w:color w:val="auto"/>
        </w:rPr>
      </w:pPr>
    </w:p>
    <w:p>
      <w:pPr>
        <w:ind w:firstLine="583"/>
        <w:spacing w:after="0" w:line="287" w:lineRule="auto"/>
        <w:rPr>
          <w:sz w:val="20"/>
          <w:szCs w:val="20"/>
          <w:color w:val="auto"/>
        </w:rPr>
      </w:pPr>
      <w:r>
        <w:rPr>
          <w:rFonts w:ascii="Arial" w:cs="Arial" w:eastAsia="Arial" w:hAnsi="Arial"/>
          <w:sz w:val="16"/>
          <w:szCs w:val="16"/>
          <w:color w:val="231F20"/>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the IPO against certain liabilities, including liabilities under the Securities Act. We have not independently verified whether our sponsor has sufficient funds to satisfy its indemnity obligations and we have not asked our sponsor to reserve for such indemnification obligations. We have not asked our sponsor to reserve for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independent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ind w:right="180" w:firstLine="583"/>
        <w:spacing w:after="0" w:line="289" w:lineRule="auto"/>
        <w:rPr>
          <w:sz w:val="20"/>
          <w:szCs w:val="20"/>
          <w:color w:val="auto"/>
        </w:rPr>
      </w:pPr>
      <w:r>
        <w:rPr>
          <w:rFonts w:ascii="Arial" w:cs="Arial" w:eastAsia="Arial" w:hAnsi="Arial"/>
          <w:sz w:val="16"/>
          <w:szCs w:val="16"/>
          <w:color w:val="231F20"/>
        </w:rPr>
        <w:t>In the event that the proceeds in the trust account are reduced below the lesser of: (1) $10.00 per public share; or (2) the actual amount per share held in the trust account as of the date of the liquidation of the trust account, if less than $10.00 per share due to reductions in the value of the trust assets, in each case net of permitted withdrawals,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ind w:firstLine="583"/>
        <w:spacing w:after="0" w:line="255" w:lineRule="auto"/>
        <w:rPr>
          <w:sz w:val="20"/>
          <w:szCs w:val="20"/>
          <w:color w:val="auto"/>
        </w:rPr>
      </w:pPr>
      <w:r>
        <w:rPr>
          <w:rFonts w:ascii="Arial" w:cs="Arial" w:eastAsia="Arial" w:hAnsi="Arial"/>
          <w:sz w:val="18"/>
          <w:szCs w:val="18"/>
          <w:color w:val="231F20"/>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 share amount that would otherwise be received by our stockholders in connection with our liquidation may be reduced.</w:t>
      </w:r>
    </w:p>
    <w:p>
      <w:pPr>
        <w:spacing w:after="0" w:line="149" w:lineRule="exact"/>
        <w:rPr>
          <w:sz w:val="20"/>
          <w:szCs w:val="20"/>
          <w:color w:val="auto"/>
        </w:rPr>
      </w:pPr>
    </w:p>
    <w:p>
      <w:pPr>
        <w:ind w:firstLine="583"/>
        <w:spacing w:after="0" w:line="257" w:lineRule="auto"/>
        <w:rPr>
          <w:sz w:val="20"/>
          <w:szCs w:val="20"/>
          <w:color w:val="auto"/>
        </w:rPr>
      </w:pPr>
      <w:r>
        <w:rPr>
          <w:rFonts w:ascii="Arial" w:cs="Arial" w:eastAsia="Arial" w:hAnsi="Arial"/>
          <w:sz w:val="18"/>
          <w:szCs w:val="18"/>
          <w:color w:val="231F20"/>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amount that would otherwise be received by our public stockholders in connection with our liquidation would be reduced.</w:t>
      </w:r>
    </w:p>
    <w:p>
      <w:pPr>
        <w:spacing w:after="0" w:line="188" w:lineRule="exact"/>
        <w:rPr>
          <w:sz w:val="20"/>
          <w:szCs w:val="20"/>
          <w:color w:val="auto"/>
        </w:rPr>
      </w:pPr>
    </w:p>
    <w:p>
      <w:pPr>
        <w:ind w:right="880"/>
        <w:spacing w:after="0" w:line="381"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0" w:lineRule="exact"/>
        <w:rPr>
          <w:sz w:val="20"/>
          <w:szCs w:val="20"/>
          <w:color w:val="auto"/>
        </w:rPr>
      </w:pPr>
    </w:p>
    <w:p>
      <w:pPr>
        <w:ind w:right="140" w:firstLine="583"/>
        <w:spacing w:after="0" w:line="25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 without limitation, restrictions on the nature of our investments, and restrictions on the issuance of our securities, each of which may make it difficult for us to complete our business combination. In addition, we may have imposed upon us burdensome requirements, including, without limitation, registration as an investment company; adoption of a specific form of corporate structure; and reporting, record keeping, voting, proxy and disclosure requirements and other rules and regulations.</w:t>
      </w:r>
    </w:p>
    <w:p>
      <w:pPr>
        <w:spacing w:after="0" w:line="188" w:lineRule="exact"/>
        <w:rPr>
          <w:sz w:val="20"/>
          <w:szCs w:val="20"/>
          <w:color w:val="auto"/>
        </w:rPr>
      </w:pPr>
    </w:p>
    <w:p>
      <w:pPr>
        <w:ind w:right="60" w:firstLine="583"/>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ind w:right="80" w:firstLine="583"/>
        <w:spacing w:after="0" w:line="254" w:lineRule="auto"/>
        <w:rPr>
          <w:sz w:val="20"/>
          <w:szCs w:val="20"/>
          <w:color w:val="auto"/>
        </w:rPr>
      </w:pPr>
      <w:r>
        <w:rPr>
          <w:rFonts w:ascii="Arial" w:cs="Arial" w:eastAsia="Arial" w:hAnsi="Arial"/>
          <w:sz w:val="18"/>
          <w:szCs w:val="18"/>
          <w:color w:val="auto"/>
        </w:rPr>
        <w:t>We do not believe that our anticipated principal activities will subject us to the Investment Company Act. The proceeds held in the trust account may be invested by the trustee only in United States government treasury bills with a maturity of 180 days or less or in money market funds investing solely in United States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consummate a business combination. If we are unable to complete our initial business combination, our public stockholders may receive only approximately $10.00 per share on the liquidation of our trust account and our warrants will expire worthless.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ind w:right="40" w:firstLine="583"/>
        <w:spacing w:after="0" w:line="255" w:lineRule="auto"/>
        <w:rPr>
          <w:sz w:val="20"/>
          <w:szCs w:val="20"/>
          <w:color w:val="auto"/>
        </w:rPr>
      </w:pPr>
      <w:r>
        <w:rPr>
          <w:rFonts w:ascii="Arial" w:cs="Arial" w:eastAsia="Arial" w:hAnsi="Arial"/>
          <w:sz w:val="18"/>
          <w:szCs w:val="18"/>
          <w:color w:val="231F20"/>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Because we are neither limited to evaluating target businesses in a particular industry nor have we selected any specific target businesses with which to pursue our initial business combination, you will be unable to ascertain the merits or risks of any particular target business’s operations.</w:t>
      </w:r>
    </w:p>
    <w:p>
      <w:pPr>
        <w:spacing w:after="0" w:line="124" w:lineRule="exact"/>
        <w:rPr>
          <w:sz w:val="20"/>
          <w:szCs w:val="20"/>
          <w:color w:val="auto"/>
        </w:rPr>
      </w:pPr>
    </w:p>
    <w:p>
      <w:pPr>
        <w:ind w:right="60" w:firstLine="583"/>
        <w:spacing w:after="0" w:line="287" w:lineRule="auto"/>
        <w:rPr>
          <w:sz w:val="20"/>
          <w:szCs w:val="20"/>
          <w:color w:val="auto"/>
        </w:rPr>
      </w:pPr>
      <w:r>
        <w:rPr>
          <w:rFonts w:ascii="Arial" w:cs="Arial" w:eastAsia="Arial" w:hAnsi="Arial"/>
          <w:sz w:val="16"/>
          <w:szCs w:val="16"/>
          <w:color w:val="231F20"/>
        </w:rPr>
        <w:t>We may seek to complete a business combination with an operating company in any industry or sector. However,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a stockholder or warrant holder following our initial business</w:t>
      </w:r>
    </w:p>
    <w:p>
      <w:pPr>
        <w:sectPr>
          <w:pgSz w:w="11900" w:h="16838" w:orient="portrait"/>
          <w:cols w:equalWidth="0" w:num="1">
            <w:col w:w="11240"/>
          </w:cols>
          <w:pgMar w:left="320" w:top="908" w:right="339" w:bottom="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231F20"/>
        </w:rPr>
        <w:t>combination could suffer a reduction in the value of their securities. Such stockholders or warrant holders are unlikely to have a remedy for such reduction in value.</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8" w:name="page29"/>
    <w:bookmarkEnd w:id="28"/>
    <w:p>
      <w:pPr>
        <w:ind w:right="4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ind w:right="60" w:firstLine="583"/>
        <w:spacing w:after="0" w:line="269" w:lineRule="auto"/>
        <w:rPr>
          <w:sz w:val="20"/>
          <w:szCs w:val="20"/>
          <w:color w:val="auto"/>
        </w:rPr>
      </w:pPr>
      <w:r>
        <w:rPr>
          <w:rFonts w:ascii="Arial" w:cs="Arial" w:eastAsia="Arial" w:hAnsi="Arial"/>
          <w:sz w:val="17"/>
          <w:szCs w:val="17"/>
          <w:color w:val="231F20"/>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acquisition opportunities in acquisition targets that may be outside of our management’s areas of expertise.</w:t>
      </w:r>
    </w:p>
    <w:p>
      <w:pPr>
        <w:spacing w:after="0" w:line="225" w:lineRule="exact"/>
        <w:rPr>
          <w:sz w:val="20"/>
          <w:szCs w:val="20"/>
          <w:color w:val="auto"/>
        </w:rPr>
      </w:pPr>
    </w:p>
    <w:p>
      <w:pPr>
        <w:ind w:right="40" w:firstLine="583"/>
        <w:spacing w:after="0" w:line="291" w:lineRule="auto"/>
        <w:rPr>
          <w:sz w:val="20"/>
          <w:szCs w:val="20"/>
          <w:color w:val="auto"/>
        </w:rPr>
      </w:pPr>
      <w:r>
        <w:rPr>
          <w:rFonts w:ascii="Arial" w:cs="Arial" w:eastAsia="Arial" w:hAnsi="Arial"/>
          <w:sz w:val="16"/>
          <w:szCs w:val="16"/>
          <w:color w:val="231F20"/>
        </w:rPr>
        <w:t>We will consider a business combination in sectors which may be outside of our management’s areas of expertise if such business combination candidate is presented to us and we determine that such candidate offers an attractive acquisition opportunity for our company. In the event we elect to pursue an acquisition outside of the areas of our management’s expertise, our management’s expertise may not be directly applicable to its evaluation or operation, and the information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66"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184" w:lineRule="exact"/>
        <w:rPr>
          <w:sz w:val="20"/>
          <w:szCs w:val="20"/>
          <w:color w:val="auto"/>
        </w:rPr>
      </w:pPr>
    </w:p>
    <w:p>
      <w:pPr>
        <w:ind w:right="220" w:firstLine="583"/>
        <w:spacing w:after="0" w:line="254" w:lineRule="auto"/>
        <w:rPr>
          <w:sz w:val="20"/>
          <w:szCs w:val="20"/>
          <w:color w:val="auto"/>
        </w:rPr>
      </w:pPr>
      <w:r>
        <w:rPr>
          <w:rFonts w:ascii="Arial" w:cs="Arial" w:eastAsia="Arial" w:hAnsi="Arial"/>
          <w:sz w:val="18"/>
          <w:szCs w:val="18"/>
          <w:color w:val="231F20"/>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ind w:right="80" w:firstLine="583"/>
        <w:spacing w:after="0" w:line="263" w:lineRule="auto"/>
        <w:rPr>
          <w:sz w:val="20"/>
          <w:szCs w:val="20"/>
          <w:color w:val="auto"/>
        </w:rPr>
      </w:pPr>
      <w:r>
        <w:rPr>
          <w:rFonts w:ascii="Arial" w:cs="Arial" w:eastAsia="Arial" w:hAnsi="Arial"/>
          <w:sz w:val="18"/>
          <w:szCs w:val="18"/>
          <w:color w:val="231F20"/>
        </w:rPr>
        <w:t>Unless we complete our initial business combination with an affiliated entity, we are not required to obtain an opinion from an independent investment banking firm that is a member of FINRA or from an independent accounting firm that the price we are paying is fair to our stockholders from a financial point of view.</w:t>
      </w:r>
    </w:p>
    <w:p>
      <w:pPr>
        <w:spacing w:after="0" w:line="184" w:lineRule="exact"/>
        <w:rPr>
          <w:sz w:val="20"/>
          <w:szCs w:val="20"/>
          <w:color w:val="auto"/>
        </w:rPr>
      </w:pPr>
    </w:p>
    <w:p>
      <w:pPr>
        <w:ind w:firstLine="583"/>
        <w:spacing w:after="0" w:line="257" w:lineRule="auto"/>
        <w:rPr>
          <w:sz w:val="20"/>
          <w:szCs w:val="20"/>
          <w:color w:val="auto"/>
        </w:rPr>
      </w:pPr>
      <w:r>
        <w:rPr>
          <w:rFonts w:ascii="Arial" w:cs="Arial" w:eastAsia="Arial" w:hAnsi="Arial"/>
          <w:sz w:val="18"/>
          <w:szCs w:val="18"/>
          <w:color w:val="231F20"/>
        </w:rPr>
        <w:t>In addition, if our board of directors is not able to determine the fair market value of the target business or businesses, in connection with the NYSE rules that require that an initial business combination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will obtain an opinion from an independent investment banking firm that is a member of FINRA or from an independent accounting firm with respect to the satisfaction of such criteria.</w:t>
      </w:r>
    </w:p>
    <w:p>
      <w:pPr>
        <w:spacing w:after="0" w:line="188" w:lineRule="exact"/>
        <w:rPr>
          <w:sz w:val="20"/>
          <w:szCs w:val="20"/>
          <w:color w:val="auto"/>
        </w:rPr>
      </w:pPr>
    </w:p>
    <w:p>
      <w:pPr>
        <w:ind w:right="40" w:firstLine="583"/>
        <w:spacing w:after="0" w:line="279" w:lineRule="auto"/>
        <w:rPr>
          <w:sz w:val="20"/>
          <w:szCs w:val="20"/>
          <w:color w:val="auto"/>
        </w:rPr>
      </w:pPr>
      <w:r>
        <w:rPr>
          <w:rFonts w:ascii="Arial" w:cs="Arial" w:eastAsia="Arial" w:hAnsi="Arial"/>
          <w:sz w:val="17"/>
          <w:szCs w:val="17"/>
          <w:color w:val="231F20"/>
        </w:rPr>
        <w:t>Other than the two circumstances described above, we are not required to obtain an opinion from an independent investment banking firm that is a member of FINRA or from an independent accounting firm.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line="90"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described herein. Any such issuances would dilute the interest of our stockholders and likely present other risks.</w:t>
      </w:r>
    </w:p>
    <w:p>
      <w:pPr>
        <w:spacing w:after="0" w:line="157" w:lineRule="exact"/>
        <w:rPr>
          <w:sz w:val="20"/>
          <w:szCs w:val="20"/>
          <w:color w:val="auto"/>
        </w:rPr>
      </w:pPr>
    </w:p>
    <w:p>
      <w:pPr>
        <w:ind w:right="20" w:firstLine="583"/>
        <w:spacing w:after="0" w:line="272" w:lineRule="auto"/>
        <w:rPr>
          <w:sz w:val="20"/>
          <w:szCs w:val="20"/>
          <w:color w:val="auto"/>
        </w:rPr>
      </w:pPr>
      <w:r>
        <w:rPr>
          <w:rFonts w:ascii="Arial" w:cs="Arial" w:eastAsia="Arial" w:hAnsi="Arial"/>
          <w:sz w:val="17"/>
          <w:szCs w:val="17"/>
          <w:color w:val="auto"/>
        </w:rPr>
        <w:t>Our amended and restated certificate of incorporation authorizes the issuance of up to 400,000,000 shares of Class A common stock, par value $0.0001 per share, and 100,000,000 shares of Class B common stock, par value $0.0001 per share and 1,000,000 shares of undesignated preferred stock, par value $0.0001 per share. There are 21,656,223 (excluding 185,343,777 shares subject to possible redemption) and 51,750,000 authorized but unissued shares of Class A and Class B common stock, respectively, available for issuance, which amount takes into account shares reserved for issuance upon exercise of outstanding warrants but not upon the conversion of the Class B common stock. Shares of Class B common stock are automatically convertible into shares of our Class A common stock at the time of our initial business combination, initially at a one-for-one ratio but subject to adjustment as set forth herein. There are no shares of preferred stock issued and outstanding.</w:t>
      </w:r>
    </w:p>
    <w:p>
      <w:pPr>
        <w:spacing w:after="0" w:line="177" w:lineRule="exact"/>
        <w:rPr>
          <w:sz w:val="20"/>
          <w:szCs w:val="20"/>
          <w:color w:val="auto"/>
        </w:rPr>
      </w:pPr>
    </w:p>
    <w:p>
      <w:pPr>
        <w:ind w:firstLine="583"/>
        <w:spacing w:after="0" w:line="290" w:lineRule="auto"/>
        <w:rPr>
          <w:sz w:val="20"/>
          <w:szCs w:val="20"/>
          <w:color w:val="auto"/>
        </w:rPr>
      </w:pPr>
      <w:r>
        <w:rPr>
          <w:rFonts w:ascii="Arial" w:cs="Arial" w:eastAsia="Arial" w:hAnsi="Arial"/>
          <w:sz w:val="16"/>
          <w:szCs w:val="16"/>
          <w:color w:val="auto"/>
        </w:rPr>
        <w:t>We may issue a substantial number of additional shares of Class A common stock, and may issue shares of preferred stock, in order to complete our initial business combination or under an employee incentive plan after completion of our initial business combination (although our amended and restated certificate of incorporation will provide that we may not issue additional securities that can vote on amendments to our amended and restated certificate of incorporation or on our initial business combination or that would entitle holders thereof to receive funds from the trust account). We may also issue shares upon conversion of the Class B common stock at a ratio greater than one-to-one at the time of our initial business combination as a result of the anti-dilution provisions described herein. However, our amended and restated certificate of incorporation will provide, among other things, that prior to our initial business combination, we may not issue additional shares of capital stock that would entitle the holders thereof to receive funds from the trust account or (2) vote on any initial business combination. The issuance of additional shares of common or preferred stock:</w:t>
      </w:r>
    </w:p>
    <w:p>
      <w:pPr>
        <w:spacing w:after="0" w:line="165" w:lineRule="exact"/>
        <w:rPr>
          <w:sz w:val="20"/>
          <w:szCs w:val="20"/>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IPO;</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may subordinate the rights of holders of common stock if preferred stock is issued with rights senior to those afforded our common stock;</w:t>
      </w:r>
    </w:p>
    <w:p>
      <w:pPr>
        <w:spacing w:after="0" w:line="236" w:lineRule="exact"/>
        <w:rPr>
          <w:rFonts w:ascii="Arial" w:cs="Arial" w:eastAsia="Arial" w:hAnsi="Arial"/>
          <w:sz w:val="17"/>
          <w:szCs w:val="17"/>
          <w:color w:val="231F20"/>
        </w:rPr>
      </w:pPr>
    </w:p>
    <w:p>
      <w:pPr>
        <w:ind w:left="800" w:right="80" w:hanging="225"/>
        <w:spacing w:after="0" w:line="342" w:lineRule="auto"/>
        <w:tabs>
          <w:tab w:leader="none" w:pos="800" w:val="left"/>
        </w:tabs>
        <w:numPr>
          <w:ilvl w:val="0"/>
          <w:numId w:val="16"/>
        </w:numPr>
        <w:rPr>
          <w:rFonts w:ascii="Arial" w:cs="Arial" w:eastAsia="Arial" w:hAnsi="Arial"/>
          <w:sz w:val="16"/>
          <w:szCs w:val="16"/>
          <w:color w:val="231F20"/>
        </w:rPr>
      </w:pPr>
      <w:r>
        <w:rPr>
          <w:rFonts w:ascii="Arial" w:cs="Arial" w:eastAsia="Arial" w:hAnsi="Arial"/>
          <w:sz w:val="16"/>
          <w:szCs w:val="16"/>
          <w:color w:val="231F20"/>
        </w:rPr>
        <w:t>could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23" w:lineRule="exact"/>
        <w:rPr>
          <w:rFonts w:ascii="Arial" w:cs="Arial" w:eastAsia="Arial" w:hAnsi="Arial"/>
          <w:sz w:val="16"/>
          <w:szCs w:val="16"/>
          <w:color w:val="231F20"/>
        </w:rPr>
      </w:pPr>
    </w:p>
    <w:p>
      <w:pPr>
        <w:ind w:left="800" w:hanging="225"/>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may adversely affect prevailing market prices for our units, common stock and/or warrants.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initial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ind w:right="140" w:firstLine="583"/>
        <w:spacing w:after="0" w:line="271" w:lineRule="auto"/>
        <w:rPr>
          <w:sz w:val="20"/>
          <w:szCs w:val="20"/>
          <w:color w:val="auto"/>
        </w:rPr>
      </w:pPr>
      <w:r>
        <w:rPr>
          <w:rFonts w:ascii="Arial" w:cs="Arial" w:eastAsia="Arial" w:hAnsi="Arial"/>
          <w:sz w:val="17"/>
          <w:szCs w:val="17"/>
          <w:color w:val="231F20"/>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78"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00" w:lineRule="exact"/>
        <w:rPr>
          <w:sz w:val="20"/>
          <w:szCs w:val="20"/>
          <w:color w:val="auto"/>
        </w:rPr>
      </w:pPr>
    </w:p>
    <w:p>
      <w:pPr>
        <w:ind w:right="80" w:firstLine="583"/>
        <w:spacing w:after="0" w:line="273" w:lineRule="auto"/>
        <w:rPr>
          <w:sz w:val="20"/>
          <w:szCs w:val="20"/>
          <w:color w:val="auto"/>
        </w:rPr>
      </w:pPr>
      <w:r>
        <w:rPr>
          <w:rFonts w:ascii="Arial" w:cs="Arial" w:eastAsia="Arial" w:hAnsi="Arial"/>
          <w:sz w:val="17"/>
          <w:szCs w:val="17"/>
          <w:color w:val="231F20"/>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ind w:right="80" w:firstLine="583"/>
        <w:spacing w:after="0" w:line="259" w:lineRule="auto"/>
        <w:rPr>
          <w:sz w:val="20"/>
          <w:szCs w:val="20"/>
          <w:color w:val="auto"/>
        </w:rPr>
      </w:pPr>
      <w:r>
        <w:rPr>
          <w:rFonts w:ascii="Arial" w:cs="Arial" w:eastAsia="Arial" w:hAnsi="Arial"/>
          <w:sz w:val="18"/>
          <w:szCs w:val="18"/>
          <w:color w:val="231F20"/>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4" w:lineRule="exact"/>
        <w:rPr>
          <w:sz w:val="20"/>
          <w:szCs w:val="20"/>
          <w:color w:val="auto"/>
        </w:rPr>
      </w:pPr>
    </w:p>
    <w:p>
      <w:pPr>
        <w:ind w:right="60" w:firstLine="583"/>
        <w:spacing w:after="0" w:line="293" w:lineRule="auto"/>
        <w:rPr>
          <w:sz w:val="20"/>
          <w:szCs w:val="20"/>
          <w:color w:val="auto"/>
        </w:rPr>
      </w:pPr>
      <w:r>
        <w:rPr>
          <w:rFonts w:ascii="Arial" w:cs="Arial" w:eastAsia="Arial" w:hAnsi="Arial"/>
          <w:sz w:val="16"/>
          <w:szCs w:val="16"/>
          <w:color w:val="231F20"/>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our initial business combination may collectively own a minority interest in the post business combination company, depending on valuations ascribed to the target and us in</w:t>
      </w:r>
    </w:p>
    <w:p>
      <w:pPr>
        <w:sectPr>
          <w:pgSz w:w="11900" w:h="16928" w:orient="portrait"/>
          <w:cols w:equalWidth="0" w:num="1">
            <w:col w:w="11220"/>
          </w:cols>
          <w:pgMar w:left="320" w:top="908" w:right="359" w:bottom="0" w:gutter="0" w:footer="0" w:header="0"/>
        </w:sectPr>
      </w:pPr>
    </w:p>
    <w:bookmarkStart w:id="30" w:name="page31"/>
    <w:bookmarkEnd w:id="30"/>
    <w:p>
      <w:pPr>
        <w:spacing w:after="0" w:line="273" w:lineRule="auto"/>
        <w:rPr>
          <w:sz w:val="20"/>
          <w:szCs w:val="20"/>
          <w:color w:val="auto"/>
        </w:rPr>
      </w:pPr>
      <w:r>
        <w:rPr>
          <w:rFonts w:ascii="Arial" w:cs="Arial" w:eastAsia="Arial" w:hAnsi="Arial"/>
          <w:sz w:val="17"/>
          <w:szCs w:val="17"/>
          <w:color w:val="231F20"/>
        </w:rPr>
        <w:t>our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170" w:lineRule="exact"/>
        <w:rPr>
          <w:sz w:val="20"/>
          <w:szCs w:val="20"/>
          <w:color w:val="auto"/>
        </w:rPr>
      </w:pPr>
    </w:p>
    <w:p>
      <w:pPr>
        <w:ind w:right="20" w:firstLine="583"/>
        <w:spacing w:after="0" w:line="269" w:lineRule="auto"/>
        <w:rPr>
          <w:sz w:val="20"/>
          <w:szCs w:val="20"/>
          <w:color w:val="auto"/>
        </w:rPr>
      </w:pPr>
      <w:r>
        <w:rPr>
          <w:rFonts w:ascii="Arial" w:cs="Arial" w:eastAsia="Arial" w:hAnsi="Arial"/>
          <w:sz w:val="17"/>
          <w:szCs w:val="17"/>
          <w:color w:val="231F20"/>
        </w:rPr>
        <w:t>Our amended and restated certificate of incorporation does not provide a specified maximum redemption threshold, except that in no event will we redeem our public shares in an amount that would cause our net tangible assets to be less than $5,000,001 (such that we do not then become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common stock submitted for redemption will be returned to the holders thereof, and we instead may search for an alternate business combination.</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In order to effectuate an initial business combination, blank check companies have, in the recent past, amended various provisions of their charters and modified governing instruments, including their warrant agreements. We cannot assure you that we will not seek to amend our amended and restated certificate of incorporation or governing instruments, including our warrant agreement, in a manner that will make it easier for us to complete our initial business combination that some of our stockholders or warrant holders may not support.</w:t>
      </w:r>
    </w:p>
    <w:p>
      <w:pPr>
        <w:spacing w:after="0" w:line="171" w:lineRule="exact"/>
        <w:rPr>
          <w:sz w:val="20"/>
          <w:szCs w:val="20"/>
          <w:color w:val="auto"/>
        </w:rPr>
      </w:pPr>
    </w:p>
    <w:p>
      <w:pPr>
        <w:ind w:right="100" w:firstLine="583"/>
        <w:spacing w:after="0" w:line="255" w:lineRule="auto"/>
        <w:rPr>
          <w:sz w:val="20"/>
          <w:szCs w:val="20"/>
          <w:color w:val="auto"/>
        </w:rPr>
      </w:pPr>
      <w:r>
        <w:rPr>
          <w:rFonts w:ascii="Arial" w:cs="Arial" w:eastAsia="Arial" w:hAnsi="Arial"/>
          <w:sz w:val="18"/>
          <w:szCs w:val="18"/>
          <w:color w:val="231F20"/>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We cannot assure you that we will not seek to amend our charter or governing instruments or extend the time to consummate an initial business combination in order to effectuate our initial business combination.</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Certain provisions of our amended and restated certificate of incorporation that relate to our pre-business combination activity (and corresponding provisions of the agreement governing the release of funds from our trust account) may be amended with the approval of holders of not less than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76" w:lineRule="exact"/>
        <w:rPr>
          <w:sz w:val="20"/>
          <w:szCs w:val="20"/>
          <w:color w:val="auto"/>
        </w:rPr>
      </w:pPr>
    </w:p>
    <w:p>
      <w:pPr>
        <w:ind w:firstLine="583"/>
        <w:spacing w:after="0" w:line="268" w:lineRule="auto"/>
        <w:rPr>
          <w:sz w:val="20"/>
          <w:szCs w:val="20"/>
          <w:color w:val="auto"/>
        </w:rPr>
      </w:pPr>
      <w:r>
        <w:rPr>
          <w:rFonts w:ascii="Arial" w:cs="Arial" w:eastAsia="Arial" w:hAnsi="Arial"/>
          <w:sz w:val="17"/>
          <w:szCs w:val="17"/>
          <w:color w:val="231F20"/>
        </w:rPr>
        <w:t>Our amended and restated certificate of incorporation will provide that any of its provisions (other than amendments relating to the appointment of directors, which require the approval by a majority of at least 90% of our common stock voting at a stockholder meeting)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our amended and restated certificate of incorporation will provide that it may be amended by holders of a majority of our common stock, subject to applicable provisions of the DGCL, or applicable stock exchange rules. We may not issue additional securities that can vote on amendments to our amended and restated certificate of incorporation or on our initial business combination. Our initial stockholders, who will beneficially own 20% of our common stock,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will govern our pre-business combination behavior more easily than some other blank check companies, and this may increase our ability to complete our initial business combination with which you do not agree. Our stockholders may pursue remedies against us for any breach of our amended and restated certificate of incorporation.</w:t>
      </w:r>
    </w:p>
    <w:p>
      <w:pPr>
        <w:spacing w:after="0" w:line="186" w:lineRule="exact"/>
        <w:rPr>
          <w:sz w:val="20"/>
          <w:szCs w:val="20"/>
          <w:color w:val="auto"/>
        </w:rPr>
      </w:pPr>
    </w:p>
    <w:p>
      <w:pPr>
        <w:ind w:right="100" w:firstLine="583"/>
        <w:spacing w:after="0" w:line="270" w:lineRule="auto"/>
        <w:rPr>
          <w:sz w:val="20"/>
          <w:szCs w:val="20"/>
          <w:color w:val="auto"/>
        </w:rPr>
      </w:pPr>
      <w:r>
        <w:rPr>
          <w:rFonts w:ascii="Arial" w:cs="Arial" w:eastAsia="Arial" w:hAnsi="Arial"/>
          <w:sz w:val="17"/>
          <w:szCs w:val="17"/>
          <w:color w:val="231F20"/>
        </w:rPr>
        <w:t>Our sponsor, officers and directors have agreed, pursuant to a written agreement,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ind w:firstLine="583"/>
        <w:spacing w:after="0" w:line="268" w:lineRule="auto"/>
        <w:rPr>
          <w:sz w:val="20"/>
          <w:szCs w:val="20"/>
          <w:color w:val="auto"/>
        </w:rPr>
      </w:pPr>
      <w:r>
        <w:rPr>
          <w:rFonts w:ascii="Arial" w:cs="Arial" w:eastAsia="Arial" w:hAnsi="Arial"/>
          <w:sz w:val="17"/>
          <w:szCs w:val="17"/>
          <w:color w:val="231F20"/>
        </w:rPr>
        <w:t>Although we believe that the net proceeds of the IPO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the IPO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(including from M. Klein and Company) or to abandon the proposed business combination. We cannot assure you that such financing will be available on acceptable terms, if at all. M. Klein and Company is not obligated to provide, or seek, any such financing or, except as expressly set forth herein, to provide any other services to us.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novel coronavirus (“COVID-19”) outbreak.</w:t>
      </w:r>
    </w:p>
    <w:p>
      <w:pPr>
        <w:spacing w:after="0" w:line="170"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231F20"/>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4" w:lineRule="exact"/>
        <w:rPr>
          <w:sz w:val="20"/>
          <w:szCs w:val="20"/>
          <w:color w:val="auto"/>
        </w:rPr>
      </w:pPr>
    </w:p>
    <w:p>
      <w:pPr>
        <w:ind w:right="80" w:firstLine="583"/>
        <w:spacing w:after="0" w:line="257" w:lineRule="auto"/>
        <w:rPr>
          <w:sz w:val="20"/>
          <w:szCs w:val="20"/>
          <w:color w:val="auto"/>
        </w:rPr>
      </w:pPr>
      <w:r>
        <w:rPr>
          <w:rFonts w:ascii="Arial" w:cs="Arial" w:eastAsia="Arial" w:hAnsi="Arial"/>
          <w:sz w:val="18"/>
          <w:szCs w:val="18"/>
          <w:color w:val="231F20"/>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40" w:firstLine="583"/>
        <w:spacing w:after="0" w:line="273" w:lineRule="auto"/>
        <w:rPr>
          <w:sz w:val="20"/>
          <w:szCs w:val="20"/>
          <w:color w:val="auto"/>
        </w:rPr>
      </w:pPr>
      <w:r>
        <w:rPr>
          <w:rFonts w:ascii="Arial" w:cs="Arial" w:eastAsia="Arial" w:hAnsi="Arial"/>
          <w:sz w:val="17"/>
          <w:szCs w:val="17"/>
          <w:color w:val="231F20"/>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business combination, the outcomes of which are uncertain, could delay or prevent the completion of the business combination.</w:t>
      </w:r>
    </w:p>
    <w:p>
      <w:pPr>
        <w:spacing w:after="0" w:line="170" w:lineRule="exact"/>
        <w:rPr>
          <w:sz w:val="20"/>
          <w:szCs w:val="20"/>
          <w:color w:val="auto"/>
        </w:rPr>
      </w:pPr>
    </w:p>
    <w:p>
      <w:pPr>
        <w:ind w:right="80" w:firstLine="583"/>
        <w:spacing w:after="0" w:line="257" w:lineRule="auto"/>
        <w:rPr>
          <w:sz w:val="20"/>
          <w:szCs w:val="20"/>
          <w:color w:val="auto"/>
        </w:rPr>
      </w:pPr>
      <w:r>
        <w:rPr>
          <w:rFonts w:ascii="Arial" w:cs="Arial" w:eastAsia="Arial" w:hAnsi="Arial"/>
          <w:sz w:val="18"/>
          <w:szCs w:val="18"/>
          <w:color w:val="auto"/>
        </w:rPr>
        <w:t>On March 3, 2021, Richard Hofman, a purported stockholder of ours, filed a complaint, individually and on behalf of other of our stockholders, in the Superior Court of the State of California against us, Lucid, and other unnamed defendants. The complaint alleges claims for fraud, negligent misrepresentation, and false advertising and unfair business practices in connection with allegedly false and misleading statements and omissions in our public filings, concerning the proposed merger between us and Lucid. The complaint seeks injunctive relief, as well as compensatory and punitive damages.</w:t>
      </w:r>
    </w:p>
    <w:p>
      <w:pPr>
        <w:spacing w:after="0" w:line="188" w:lineRule="exact"/>
        <w:rPr>
          <w:sz w:val="20"/>
          <w:szCs w:val="20"/>
          <w:color w:val="auto"/>
        </w:rPr>
      </w:pPr>
    </w:p>
    <w:p>
      <w:pPr>
        <w:ind w:firstLine="583"/>
        <w:spacing w:after="0" w:line="257" w:lineRule="auto"/>
        <w:rPr>
          <w:sz w:val="20"/>
          <w:szCs w:val="20"/>
          <w:color w:val="auto"/>
        </w:rPr>
      </w:pPr>
      <w:r>
        <w:rPr>
          <w:rFonts w:ascii="Arial" w:cs="Arial" w:eastAsia="Arial" w:hAnsi="Arial"/>
          <w:sz w:val="18"/>
          <w:szCs w:val="18"/>
          <w:color w:val="auto"/>
        </w:rPr>
        <w:t>Additional lawsuits may be filed against us or our directors and officers in connection with the Transactions. Defending such additional lawsuits could require us to incur significant costs and draw the attention of our management team away from the Transactions. Further, the defense or settlement of any lawsuit or claim that remains unresolved at the time the Transactions are consummated may adversely affect the combined company's business, financial condition, results of operations and cash flows. Such legal proceedings could delay or prevent the business combination from becoming effective within the agreed upon timeframe.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902"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ind w:right="60" w:firstLine="583"/>
        <w:spacing w:after="0" w:line="254" w:lineRule="auto"/>
        <w:rPr>
          <w:sz w:val="20"/>
          <w:szCs w:val="20"/>
          <w:color w:val="auto"/>
        </w:rPr>
      </w:pPr>
      <w:r>
        <w:rPr>
          <w:rFonts w:ascii="Arial" w:cs="Arial" w:eastAsia="Arial" w:hAnsi="Arial"/>
          <w:sz w:val="18"/>
          <w:szCs w:val="18"/>
          <w:color w:val="231F20"/>
        </w:rPr>
        <w:t>Our units, Class A common stock and warrants are listed on the NYSE.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stock price levels. In general, we must maintain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stock price would generally be required to be at least $4 per share. We cannot assure you that we will be able to meet those initial listing requirements at that time.</w:t>
      </w:r>
    </w:p>
    <w:p>
      <w:pPr>
        <w:spacing w:after="0" w:line="195" w:lineRule="exact"/>
        <w:rPr>
          <w:sz w:val="20"/>
          <w:szCs w:val="20"/>
          <w:color w:val="auto"/>
        </w:rPr>
      </w:pPr>
    </w:p>
    <w:p>
      <w:pPr>
        <w:jc w:val="both"/>
        <w:ind w:right="460" w:firstLine="583"/>
        <w:spacing w:after="0" w:line="263" w:lineRule="auto"/>
        <w:rPr>
          <w:sz w:val="20"/>
          <w:szCs w:val="20"/>
          <w:color w:val="auto"/>
        </w:rPr>
      </w:pPr>
      <w:r>
        <w:rPr>
          <w:rFonts w:ascii="Arial" w:cs="Arial" w:eastAsia="Arial" w:hAnsi="Arial"/>
          <w:sz w:val="18"/>
          <w:szCs w:val="18"/>
          <w:color w:val="auto"/>
        </w:rPr>
        <w:t>If the NYSE delists any of our securities from trading on its exchange and we are not able to list such securities on another national securities exchange, we expect such securities could be quoted on an over-the- counter market. If this were to occur, we could face significant material adverse consequences, including:</w:t>
      </w:r>
    </w:p>
    <w:p>
      <w:pPr>
        <w:spacing w:after="0" w:line="184" w:lineRule="exact"/>
        <w:rPr>
          <w:sz w:val="20"/>
          <w:szCs w:val="20"/>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225" w:lineRule="exact"/>
        <w:rPr>
          <w:rFonts w:ascii="Arial" w:cs="Arial" w:eastAsia="Arial" w:hAnsi="Arial"/>
          <w:sz w:val="18"/>
          <w:szCs w:val="18"/>
          <w:color w:val="231F20"/>
        </w:rPr>
      </w:pPr>
    </w:p>
    <w:p>
      <w:pPr>
        <w:ind w:left="800" w:right="60" w:hanging="225"/>
        <w:spacing w:after="0" w:line="308" w:lineRule="auto"/>
        <w:tabs>
          <w:tab w:leader="none" w:pos="80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231F20"/>
        </w:rPr>
      </w:pPr>
    </w:p>
    <w:p>
      <w:pPr>
        <w:ind w:left="800" w:hanging="225"/>
        <w:spacing w:after="0"/>
        <w:tabs>
          <w:tab w:leader="none" w:pos="80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a limited amount of news and analyst coverage; and a decreased ability to issue additional securities or obtain additional financing in the future.</w:t>
      </w:r>
    </w:p>
    <w:p>
      <w:pPr>
        <w:spacing w:after="0" w:line="248" w:lineRule="exact"/>
        <w:rPr>
          <w:sz w:val="20"/>
          <w:szCs w:val="20"/>
          <w:color w:val="auto"/>
        </w:rPr>
      </w:pPr>
    </w:p>
    <w:p>
      <w:pPr>
        <w:ind w:right="20" w:firstLine="583"/>
        <w:spacing w:after="0" w:line="289" w:lineRule="auto"/>
        <w:rPr>
          <w:sz w:val="20"/>
          <w:szCs w:val="20"/>
          <w:color w:val="auto"/>
        </w:rPr>
      </w:pPr>
      <w:r>
        <w:rPr>
          <w:rFonts w:ascii="Arial" w:cs="Arial" w:eastAsia="Arial" w:hAnsi="Arial"/>
          <w:sz w:val="16"/>
          <w:szCs w:val="16"/>
          <w:color w:val="231F20"/>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the NYSE, our units, Class A common stock and warrants will qualify as covered securities under such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such statute and we would be subject to regulation in each state in which we offer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ind w:firstLine="583"/>
        <w:spacing w:after="0" w:line="271" w:lineRule="auto"/>
        <w:rPr>
          <w:sz w:val="20"/>
          <w:szCs w:val="20"/>
          <w:color w:val="auto"/>
        </w:rPr>
      </w:pPr>
      <w:r>
        <w:rPr>
          <w:rFonts w:ascii="Arial" w:cs="Arial" w:eastAsia="Arial" w:hAnsi="Arial"/>
          <w:sz w:val="17"/>
          <w:szCs w:val="17"/>
          <w:color w:val="231F20"/>
        </w:rPr>
        <w:t>Since the net proceeds of the IPO and the sale of the private placement warrants are intended to be used to complete an initial business combination with a target business, we may be deemed to be a “blank check” company under the U.S. securities laws. However, because we have net tangible assets in excess of $5,000,000 and filed a Current Reports on Form 8-K, including an audited balance sheet of our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the IPO were subject to Rule 419, that rule would prohibit the release of any interest earned on funds held in the trust account to us unless and until the funds in the trust account were released to us in connection with our completion of our initial business combination.</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84"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231F20"/>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the IPO, without our prior consent, which we refer to as the “Excess Shares.” However, our amended and restated certificate of incorporation does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Excess Shares in open market transactions, potentially at a loss.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right="480"/>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231F20"/>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24th month from the closing of the IPO in the event we do not complete our initial business combination and, therefore, we do not intend to comply with the foregoing procedures.</w:t>
      </w:r>
    </w:p>
    <w:p>
      <w:pPr>
        <w:spacing w:after="0" w:line="185" w:lineRule="exact"/>
        <w:rPr>
          <w:sz w:val="20"/>
          <w:szCs w:val="20"/>
          <w:color w:val="auto"/>
        </w:rPr>
      </w:pPr>
    </w:p>
    <w:p>
      <w:pPr>
        <w:ind w:firstLine="583"/>
        <w:spacing w:after="0" w:line="268" w:lineRule="auto"/>
        <w:rPr>
          <w:sz w:val="20"/>
          <w:szCs w:val="20"/>
          <w:color w:val="auto"/>
        </w:rPr>
      </w:pPr>
      <w:r>
        <w:rPr>
          <w:rFonts w:ascii="Arial" w:cs="Arial" w:eastAsia="Arial" w:hAnsi="Arial"/>
          <w:sz w:val="17"/>
          <w:szCs w:val="17"/>
          <w:color w:val="231F20"/>
        </w:rPr>
        <w:t>Because we do not intend to comply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consultants,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we consummate our initial business combination and you will not be entitled to any of the corporate protections provided by such a meeting.</w:t>
      </w:r>
    </w:p>
    <w:p>
      <w:pPr>
        <w:spacing w:after="0" w:line="170" w:lineRule="exact"/>
        <w:rPr>
          <w:sz w:val="20"/>
          <w:szCs w:val="20"/>
          <w:color w:val="auto"/>
        </w:rPr>
      </w:pPr>
    </w:p>
    <w:p>
      <w:pPr>
        <w:ind w:firstLine="583"/>
        <w:spacing w:after="0" w:line="293" w:lineRule="auto"/>
        <w:rPr>
          <w:sz w:val="20"/>
          <w:szCs w:val="20"/>
          <w:color w:val="auto"/>
        </w:rPr>
      </w:pPr>
      <w:r>
        <w:rPr>
          <w:rFonts w:ascii="Arial" w:cs="Arial" w:eastAsia="Arial" w:hAnsi="Arial"/>
          <w:sz w:val="16"/>
          <w:szCs w:val="16"/>
          <w:color w:val="231F20"/>
        </w:rPr>
        <w:t>We may not hold an annual meeting of stockholders until after we consummate our initial business combination (unless required by the NYSE) and thus may not be in compliance with Section 211(b) of the DGCL, which requires an annual meeting of stockholders be held for the purposes of electing directors in accordance with a company’s bylaws unless such election is made by written consent in lieu of such a meeting. Therefore, if our stockholders want us to hold an annual meeting prior to our consummation of our initial business combination, they may attempt to force us to hold one by submitting an application to the Delaware Court of Chancery in accordance with Section 211(c) of the DGCL. Moreover, our Class B stockholders will be entitled to elect all of our directors prior to the completion of our initial business combination and may elect to do so by written consent without a meeting.</w:t>
      </w:r>
    </w:p>
    <w:p>
      <w:pPr>
        <w:spacing w:after="0" w:line="16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49" w:lineRule="exact"/>
        <w:rPr>
          <w:sz w:val="20"/>
          <w:szCs w:val="20"/>
          <w:color w:val="auto"/>
        </w:rPr>
      </w:pPr>
    </w:p>
    <w:p>
      <w:pPr>
        <w:ind w:right="40" w:firstLine="583"/>
        <w:spacing w:after="0" w:line="284" w:lineRule="auto"/>
        <w:rPr>
          <w:sz w:val="20"/>
          <w:szCs w:val="20"/>
          <w:color w:val="auto"/>
        </w:rPr>
      </w:pPr>
      <w:r>
        <w:rPr>
          <w:rFonts w:ascii="Arial" w:cs="Arial" w:eastAsia="Arial" w:hAnsi="Arial"/>
          <w:sz w:val="16"/>
          <w:szCs w:val="16"/>
          <w:color w:val="231F20"/>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902" w:gutter="0" w:footer="0" w:header="0"/>
        </w:sectPr>
      </w:pPr>
    </w:p>
    <w:bookmarkStart w:id="35" w:name="page36"/>
    <w:bookmarkEnd w:id="35"/>
    <w:p>
      <w:pPr>
        <w:ind w:right="240"/>
        <w:spacing w:after="0" w:line="342" w:lineRule="auto"/>
        <w:rPr>
          <w:sz w:val="20"/>
          <w:szCs w:val="20"/>
          <w:color w:val="auto"/>
        </w:rPr>
      </w:pPr>
      <w:r>
        <w:rPr>
          <w:rFonts w:ascii="Arial" w:cs="Arial" w:eastAsia="Arial" w:hAnsi="Arial"/>
          <w:sz w:val="16"/>
          <w:szCs w:val="16"/>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Class A common stock.</w:t>
      </w:r>
    </w:p>
    <w:p>
      <w:pPr>
        <w:spacing w:after="0" w:line="124" w:lineRule="exact"/>
        <w:rPr>
          <w:sz w:val="20"/>
          <w:szCs w:val="20"/>
          <w:color w:val="auto"/>
        </w:rPr>
      </w:pPr>
    </w:p>
    <w:p>
      <w:pPr>
        <w:ind w:right="40" w:firstLine="583"/>
        <w:spacing w:after="0" w:line="287" w:lineRule="auto"/>
        <w:rPr>
          <w:sz w:val="20"/>
          <w:szCs w:val="20"/>
          <w:color w:val="auto"/>
        </w:rPr>
      </w:pPr>
      <w:r>
        <w:rPr>
          <w:rFonts w:ascii="Arial" w:cs="Arial" w:eastAsia="Arial" w:hAnsi="Arial"/>
          <w:sz w:val="16"/>
          <w:szCs w:val="16"/>
          <w:color w:val="231F20"/>
        </w:rPr>
        <w:t>Pursuant to an agreement entered into concurrently with the issuance and sale of the securities in the IPO, our initial stockholders and their permitted transferees can demand that we register the resale of their founder shares after those shares convert to shares of our Class A common stock at the time of our initial business combination. In addition, our sponsor and its permitted transferees can demand that we register the resale of the private placement warrants and the shares of Class A common stock issuable upon exercise of the private placement warrants, and holders of warrants that may be issued upon conversion of working capital loans may demand that we register the resale of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or their permitted transferees, the private placement warrants owned by our sponsor or warrants issued in connection with working capital loans are registered for resale.</w:t>
      </w:r>
    </w:p>
    <w:p>
      <w:pPr>
        <w:spacing w:after="0" w:line="17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ind w:right="60" w:firstLine="583"/>
        <w:spacing w:after="0" w:line="257" w:lineRule="auto"/>
        <w:rPr>
          <w:sz w:val="20"/>
          <w:szCs w:val="20"/>
          <w:color w:val="auto"/>
        </w:rPr>
      </w:pPr>
      <w:r>
        <w:rPr>
          <w:rFonts w:ascii="Arial" w:cs="Arial" w:eastAsia="Arial" w:hAnsi="Arial"/>
          <w:sz w:val="18"/>
          <w:szCs w:val="18"/>
          <w:color w:val="auto"/>
        </w:rPr>
        <w:t>Although we have no commitments as of the date of this annual report to issue any notes or other debt securities, or to otherwise incur outstanding debt following the IPO,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800" w:right="860" w:hanging="225"/>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800" w:right="380" w:hanging="225"/>
        <w:spacing w:after="0" w:line="342" w:lineRule="auto"/>
        <w:tabs>
          <w:tab w:leader="none" w:pos="800"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231F20"/>
        </w:rPr>
      </w:pPr>
    </w:p>
    <w:p>
      <w:pPr>
        <w:ind w:left="800" w:hanging="225"/>
        <w:spacing w:after="0"/>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immediate payment of all principal and accrued interest, if any, if the debt is payable on demand;</w:t>
      </w:r>
    </w:p>
    <w:p>
      <w:pPr>
        <w:spacing w:after="0" w:line="225" w:lineRule="exact"/>
        <w:rPr>
          <w:rFonts w:ascii="Arial" w:cs="Arial" w:eastAsia="Arial" w:hAnsi="Arial"/>
          <w:sz w:val="18"/>
          <w:szCs w:val="18"/>
          <w:color w:val="231F20"/>
        </w:rPr>
      </w:pPr>
    </w:p>
    <w:p>
      <w:pPr>
        <w:ind w:left="800" w:hanging="225"/>
        <w:spacing w:after="0" w:line="277" w:lineRule="auto"/>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inability to obtain necessary additional financing if the debt contains covenants restricting our ability to obtain such financing while the debt security is outstanding;</w:t>
      </w:r>
    </w:p>
    <w:p>
      <w:pPr>
        <w:spacing w:after="0" w:line="170" w:lineRule="exact"/>
        <w:rPr>
          <w:rFonts w:ascii="Arial" w:cs="Arial" w:eastAsia="Arial" w:hAnsi="Arial"/>
          <w:sz w:val="18"/>
          <w:szCs w:val="18"/>
          <w:color w:val="231F20"/>
        </w:rPr>
      </w:pPr>
    </w:p>
    <w:p>
      <w:pPr>
        <w:ind w:left="800" w:hanging="225"/>
        <w:spacing w:after="0"/>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inability to pay dividends on our common stock;</w:t>
      </w:r>
    </w:p>
    <w:p>
      <w:pPr>
        <w:spacing w:after="0" w:line="225" w:lineRule="exact"/>
        <w:rPr>
          <w:rFonts w:ascii="Arial" w:cs="Arial" w:eastAsia="Arial" w:hAnsi="Arial"/>
          <w:sz w:val="18"/>
          <w:szCs w:val="18"/>
          <w:color w:val="231F20"/>
        </w:rPr>
      </w:pPr>
    </w:p>
    <w:p>
      <w:pPr>
        <w:ind w:left="800" w:right="80" w:hanging="225"/>
        <w:spacing w:after="0" w:line="277" w:lineRule="auto"/>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170" w:lineRule="exact"/>
        <w:rPr>
          <w:rFonts w:ascii="Arial" w:cs="Arial" w:eastAsia="Arial" w:hAnsi="Arial"/>
          <w:sz w:val="18"/>
          <w:szCs w:val="18"/>
          <w:color w:val="231F20"/>
        </w:rPr>
      </w:pPr>
    </w:p>
    <w:p>
      <w:pPr>
        <w:ind w:left="800" w:hanging="225"/>
        <w:spacing w:after="0"/>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231F20"/>
        </w:rPr>
      </w:pPr>
    </w:p>
    <w:p>
      <w:pPr>
        <w:ind w:left="800" w:right="560" w:hanging="225"/>
        <w:spacing w:after="0" w:line="311" w:lineRule="auto"/>
        <w:tabs>
          <w:tab w:leader="none" w:pos="800"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increased vulnerability to adverse changes in general economic, industry and competitive conditions and adverse changes in government regulation; and 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149" w:lineRule="exact"/>
        <w:rPr>
          <w:sz w:val="20"/>
          <w:szCs w:val="20"/>
          <w:color w:val="auto"/>
        </w:rPr>
      </w:pPr>
    </w:p>
    <w:p>
      <w:pPr>
        <w:ind w:firstLine="583"/>
        <w:spacing w:after="0" w:line="257" w:lineRule="auto"/>
        <w:rPr>
          <w:sz w:val="20"/>
          <w:szCs w:val="20"/>
          <w:color w:val="auto"/>
        </w:rPr>
      </w:pPr>
      <w:r>
        <w:rPr>
          <w:rFonts w:ascii="Arial" w:cs="Arial" w:eastAsia="Arial" w:hAnsi="Arial"/>
          <w:sz w:val="18"/>
          <w:szCs w:val="18"/>
          <w:color w:val="231F20"/>
        </w:rPr>
        <w:t>Our initial stockholders own 20% of our outstanding common stock. In addition, the founder shares, all of which are held by our initial stockholders, entitle the holders to elect all of our directors prior to the consummation of our initial business combination. Holders of our public shares will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188" w:lineRule="exact"/>
        <w:rPr>
          <w:sz w:val="20"/>
          <w:szCs w:val="20"/>
          <w:color w:val="auto"/>
        </w:rPr>
      </w:pPr>
    </w:p>
    <w:p>
      <w:pPr>
        <w:ind w:right="20" w:firstLine="583"/>
        <w:spacing w:after="0" w:line="272" w:lineRule="auto"/>
        <w:rPr>
          <w:sz w:val="20"/>
          <w:szCs w:val="20"/>
          <w:color w:val="auto"/>
        </w:rPr>
      </w:pPr>
      <w:r>
        <w:rPr>
          <w:rFonts w:ascii="Arial" w:cs="Arial" w:eastAsia="Arial" w:hAnsi="Arial"/>
          <w:sz w:val="17"/>
          <w:szCs w:val="17"/>
          <w:color w:val="auto"/>
        </w:rPr>
        <w:t>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118" w:gutter="0" w:footer="0" w:header="0"/>
        </w:sectPr>
      </w:pPr>
    </w:p>
    <w:bookmarkStart w:id="36" w:name="page37"/>
    <w:bookmarkEnd w:id="36"/>
    <w:p>
      <w:pPr>
        <w:ind w:right="40"/>
        <w:spacing w:after="0" w:line="277" w:lineRule="auto"/>
        <w:rPr>
          <w:sz w:val="20"/>
          <w:szCs w:val="20"/>
          <w:color w:val="auto"/>
        </w:rPr>
      </w:pPr>
      <w:r>
        <w:rPr>
          <w:rFonts w:ascii="Arial" w:cs="Arial" w:eastAsia="Arial" w:hAnsi="Arial"/>
          <w:sz w:val="18"/>
          <w:szCs w:val="18"/>
          <w:b w:val="1"/>
          <w:bCs w:val="1"/>
          <w:i w:val="1"/>
          <w:iCs w:val="1"/>
          <w:color w:val="auto"/>
        </w:rPr>
        <w:t>Our sponsor contributed $25,000, or approximately $0.001 per founder share, and, accordingly, you will experience immediate and substantial dilution from the purchase of our Class A common stock.</w:t>
      </w:r>
    </w:p>
    <w:p>
      <w:pPr>
        <w:spacing w:after="0" w:line="170" w:lineRule="exact"/>
        <w:rPr>
          <w:sz w:val="20"/>
          <w:szCs w:val="20"/>
          <w:color w:val="auto"/>
        </w:rPr>
      </w:pPr>
    </w:p>
    <w:p>
      <w:pPr>
        <w:ind w:right="40" w:firstLine="583"/>
        <w:spacing w:after="0" w:line="296" w:lineRule="auto"/>
        <w:rPr>
          <w:sz w:val="20"/>
          <w:szCs w:val="20"/>
          <w:color w:val="auto"/>
        </w:rPr>
      </w:pPr>
      <w:r>
        <w:rPr>
          <w:rFonts w:ascii="Arial" w:cs="Arial" w:eastAsia="Arial" w:hAnsi="Arial"/>
          <w:sz w:val="16"/>
          <w:szCs w:val="16"/>
          <w:color w:val="231F20"/>
        </w:rPr>
        <w:t>Our sponsor acquired the founder shares at a nominal price, significantly contributing to the dilution of holders of our Class A common stock. This dilution would increase to the extent that the anti-dilution provisions of the Class B common stock result in the issuance of Class A shares on a greater than one-to-one basis upon conversion of the Class B common stock at the time of our initial business combination and would become exacerbated to the extent that public stockholders seek redemptions from the trust.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6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warrants could be converted into cash or stock (at a ratio different than initially provided), the exercise period could be shortened and the number of shares of our Class A common stock purchasable upon exercise of a warrant could be decreased, all without your approval.</w:t>
      </w:r>
    </w:p>
    <w:p>
      <w:pPr>
        <w:spacing w:after="0" w:line="171" w:lineRule="exact"/>
        <w:rPr>
          <w:sz w:val="20"/>
          <w:szCs w:val="20"/>
          <w:color w:val="auto"/>
        </w:rPr>
      </w:pPr>
    </w:p>
    <w:p>
      <w:pPr>
        <w:ind w:firstLine="583"/>
        <w:spacing w:after="0" w:line="286" w:lineRule="auto"/>
        <w:rPr>
          <w:sz w:val="20"/>
          <w:szCs w:val="20"/>
          <w:color w:val="auto"/>
        </w:rPr>
      </w:pPr>
      <w:r>
        <w:rPr>
          <w:rFonts w:ascii="Arial" w:cs="Arial" w:eastAsia="Arial" w:hAnsi="Arial"/>
          <w:sz w:val="16"/>
          <w:szCs w:val="16"/>
          <w:color w:val="231F20"/>
        </w:rPr>
        <w:t xml:space="preserve">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 </w:t>
      </w:r>
      <w:r>
        <w:rPr>
          <w:rFonts w:ascii="Arial" w:cs="Arial" w:eastAsia="Arial" w:hAnsi="Arial"/>
          <w:sz w:val="16"/>
          <w:szCs w:val="16"/>
          <w:color w:val="000000"/>
        </w:rPr>
        <w:t>Accordingly, we may amend the terms of the public warrants in a manner adverse to a</w:t>
      </w:r>
      <w:r>
        <w:rPr>
          <w:rFonts w:ascii="Arial" w:cs="Arial" w:eastAsia="Arial" w:hAnsi="Arial"/>
          <w:sz w:val="16"/>
          <w:szCs w:val="16"/>
          <w:color w:val="231F20"/>
        </w:rPr>
        <w:t xml:space="preserve"> </w:t>
      </w:r>
      <w:r>
        <w:rPr>
          <w:rFonts w:ascii="Arial" w:cs="Arial" w:eastAsia="Arial" w:hAnsi="Arial"/>
          <w:sz w:val="16"/>
          <w:szCs w:val="16"/>
          <w:color w:val="000000"/>
        </w:rPr>
        <w:t>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 Our initial stockholders may purchase public warrants with the intention of reducing the number of public warrants outstanding or to vote such warrants on any matters submitted to warrantholders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ind w:right="20" w:firstLine="583"/>
        <w:spacing w:after="0" w:line="290" w:lineRule="auto"/>
        <w:rPr>
          <w:sz w:val="20"/>
          <w:szCs w:val="20"/>
          <w:color w:val="auto"/>
        </w:rPr>
      </w:pPr>
      <w:r>
        <w:rPr>
          <w:rFonts w:ascii="Arial" w:cs="Arial" w:eastAsia="Arial" w:hAnsi="Arial"/>
          <w:sz w:val="16"/>
          <w:szCs w:val="16"/>
          <w:color w:val="231F20"/>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effectuate our initial business combination.</w:t>
      </w:r>
    </w:p>
    <w:p>
      <w:pPr>
        <w:spacing w:after="0" w:line="170" w:lineRule="exact"/>
        <w:rPr>
          <w:sz w:val="20"/>
          <w:szCs w:val="20"/>
          <w:color w:val="auto"/>
        </w:rPr>
      </w:pPr>
    </w:p>
    <w:p>
      <w:pPr>
        <w:ind w:right="60" w:firstLine="583"/>
        <w:spacing w:after="0" w:line="272" w:lineRule="auto"/>
        <w:rPr>
          <w:sz w:val="20"/>
          <w:szCs w:val="20"/>
          <w:color w:val="auto"/>
        </w:rPr>
      </w:pPr>
      <w:r>
        <w:rPr>
          <w:rFonts w:ascii="Arial" w:cs="Arial" w:eastAsia="Arial" w:hAnsi="Arial"/>
          <w:sz w:val="17"/>
          <w:szCs w:val="17"/>
          <w:color w:val="auto"/>
        </w:rPr>
        <w:t>We issued warrants to purchase 41,400,000 shares of our Class A common stock at a price of $11.50 per whole share (subject to adjustment as provided herein), as part of the units offered in the IPO. Simultaneously with the closing of the IPO, we also issued in a private placement an aggregate of 42,850,000 private placement warrants, each exercisable to purchase one share of Class A common stock at a price of $11.50 per share, subject to adjustment as provided herein. Our initial stockholders currently hold 51,750,000 founder shares. The founder shares are convertible into shares of Class A common stock on a one-for-one basis, subject to adjustment as set forth herein.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w:t>
      </w:r>
    </w:p>
    <w:p>
      <w:pPr>
        <w:spacing w:after="0" w:line="177" w:lineRule="exact"/>
        <w:rPr>
          <w:sz w:val="20"/>
          <w:szCs w:val="20"/>
          <w:color w:val="auto"/>
        </w:rPr>
      </w:pPr>
    </w:p>
    <w:p>
      <w:pPr>
        <w:ind w:right="40" w:firstLine="583"/>
        <w:spacing w:after="0" w:line="257" w:lineRule="auto"/>
        <w:rPr>
          <w:sz w:val="20"/>
          <w:szCs w:val="20"/>
          <w:color w:val="auto"/>
        </w:rPr>
      </w:pPr>
      <w:r>
        <w:rPr>
          <w:rFonts w:ascii="Arial" w:cs="Arial" w:eastAsia="Arial" w:hAnsi="Arial"/>
          <w:sz w:val="18"/>
          <w:szCs w:val="18"/>
          <w:color w:val="auto"/>
        </w:rPr>
        <w:t>To the extent we issue shares of Class A common stock to effectuate a business transaction, the potential for the issuance of a substantial number of additional shares of Class A common stock upon exercise of these warrants or conversion rights could make us a less attractive acquisition vehicle to a target business. Any such issuance will increase the number of outstanding shares of our Class A common stock and reduce the value of the Class A common stock issued to complete the business transaction. Therefore, our warrants and founder shares may make it more difficult to effectuate a business combination or increase the cost of acquiring the target business.</w:t>
      </w:r>
    </w:p>
    <w:p>
      <w:pPr>
        <w:spacing w:after="0" w:line="188" w:lineRule="exact"/>
        <w:rPr>
          <w:sz w:val="20"/>
          <w:szCs w:val="20"/>
          <w:color w:val="auto"/>
        </w:rPr>
      </w:pPr>
    </w:p>
    <w:p>
      <w:pPr>
        <w:ind w:right="100" w:firstLine="583"/>
        <w:spacing w:after="0" w:line="275" w:lineRule="auto"/>
        <w:rPr>
          <w:sz w:val="20"/>
          <w:szCs w:val="20"/>
          <w:color w:val="auto"/>
        </w:rPr>
      </w:pPr>
      <w:r>
        <w:rPr>
          <w:rFonts w:ascii="Arial" w:cs="Arial" w:eastAsia="Arial" w:hAnsi="Arial"/>
          <w:sz w:val="17"/>
          <w:szCs w:val="17"/>
          <w:color w:val="auto"/>
        </w:rPr>
        <w:t>The private placement warrants are identical to the warrants sold as part of the units in the IPO except that, so long as they are held by our sponsor or its permitted transferees: (1) they will not be redeemable by us; (2) they (including the Class A common stock issuable upon exercise of these warrants) may not, subject to certain limited exceptions, be transferred, assigned or sold by our sponsor until 30 days after the completion of our initial business combination; (3) they may be exercised by the holders on a cashless basis; and (4) the holders thereof (including with respect to the shares of common stock issuable upon exercise of these warrants) are entitled to registration rights.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3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April 12, 2021, the SEC Warrant Accounting Statement discussing the accounting implications of certain terms that are common in warrants issued by special purpose acquisition companies was released. In light of the SEC Warrant Accounting Statement and guidance in Accounting Standards Codification (“ASC”) 815-40, “Derivatives and Hedging — Contracts in Entity’s Own Equity”, Churchill’s management evaluated the terms of the warrant agreement entered into in connection with Churchill’s IPO and concluded that the Warrants include provisions that, based on the SEC Warrant Accounting Statement, preclude the Warrants from being classified as components of equity. As a result, we have classified the Warrants as liabilities. Under this accounting treatment, we are required to measure the fair value of the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In connection with the restatement of our financial statement reflected in this Amendment, our management has concluded that our disclosure controls and procedures and internal control over financial reporting were not effective as of December 31, 2020 due to a material weakness in internal controls over financial reporting solely related to our accounting for warrants. If we are unable to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7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Following the issuance of the SEC Warrant Accounting Statement, and after consultation with our independent registered public accounting firm and our management team, we concluded that, in light of the SEC Warrant Accounting Statement, it was appropriate to restate the Original Financial Statements. See “—Our Warrants are accounted for as liabilities and the changes in value of our Warrants could have a material effect on our financial results.” As part of such process, we identified a material weakness in our internal controls over financial reporting, solely related to our accounting for warrants.</w:t>
      </w:r>
    </w:p>
    <w:p>
      <w:pPr>
        <w:spacing w:after="0" w:line="18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We expect to take steps to remediate the material weakness, but there is no assurance that any remediation efforts will ultimately have the intended effects.</w:t>
      </w:r>
    </w:p>
    <w:p>
      <w:pPr>
        <w:spacing w:after="0" w:line="17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timing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20" w:firstLine="583"/>
        <w:spacing w:after="0" w:line="290" w:lineRule="auto"/>
        <w:rPr>
          <w:sz w:val="20"/>
          <w:szCs w:val="20"/>
          <w:color w:val="auto"/>
        </w:rPr>
      </w:pPr>
      <w:r>
        <w:rPr>
          <w:rFonts w:ascii="Arial" w:cs="Arial" w:eastAsia="Arial" w:hAnsi="Arial"/>
          <w:sz w:val="16"/>
          <w:szCs w:val="16"/>
          <w:color w:val="231F20"/>
        </w:rPr>
        <w:t>The federal proxy rules require that a proxy statement with respect to a vote on a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w:t>
      </w:r>
    </w:p>
    <w:p>
      <w:pPr>
        <w:spacing w:after="0" w:line="16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ectPr>
          <w:pgSz w:w="11900" w:h="16838" w:orient="portrait"/>
          <w:cols w:equalWidth="0" w:num="1">
            <w:col w:w="11240"/>
          </w:cols>
          <w:pgMar w:left="320" w:top="908" w:right="339" w:bottom="0" w:gutter="0" w:footer="0" w:header="0"/>
        </w:sectPr>
      </w:pPr>
    </w:p>
    <w:bookmarkStart w:id="38" w:name="page39"/>
    <w:bookmarkEnd w:id="38"/>
    <w:p>
      <w:pPr>
        <w:ind w:firstLine="583"/>
        <w:spacing w:after="0" w:line="289" w:lineRule="auto"/>
        <w:rPr>
          <w:sz w:val="20"/>
          <w:szCs w:val="20"/>
          <w:color w:val="auto"/>
        </w:rPr>
      </w:pPr>
      <w:r>
        <w:rPr>
          <w:rFonts w:ascii="Arial" w:cs="Arial" w:eastAsia="Arial" w:hAnsi="Arial"/>
          <w:sz w:val="16"/>
          <w:szCs w:val="16"/>
          <w:color w:val="231F20"/>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66"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46" w:lineRule="exact"/>
        <w:rPr>
          <w:sz w:val="20"/>
          <w:szCs w:val="20"/>
          <w:color w:val="auto"/>
        </w:rPr>
      </w:pPr>
    </w:p>
    <w:p>
      <w:pPr>
        <w:ind w:right="80" w:firstLine="583"/>
        <w:spacing w:after="0" w:line="259" w:lineRule="auto"/>
        <w:rPr>
          <w:sz w:val="20"/>
          <w:szCs w:val="20"/>
          <w:color w:val="auto"/>
        </w:rPr>
      </w:pPr>
      <w:r>
        <w:rPr>
          <w:rFonts w:ascii="Arial" w:cs="Arial" w:eastAsia="Arial" w:hAnsi="Arial"/>
          <w:sz w:val="18"/>
          <w:szCs w:val="18"/>
          <w:color w:val="231F20"/>
        </w:rPr>
        <w:t>Our amended and restated certificate of incorporation will contain provisions that may discourage unsolicited takeover proposals that stockholders may consider to be in their best interests. These provisions include three-year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ind w:firstLine="583"/>
        <w:spacing w:after="0" w:line="255" w:lineRule="auto"/>
        <w:rPr>
          <w:sz w:val="20"/>
          <w:szCs w:val="20"/>
          <w:color w:val="auto"/>
        </w:rPr>
      </w:pPr>
      <w:r>
        <w:rPr>
          <w:rFonts w:ascii="Arial" w:cs="Arial" w:eastAsia="Arial" w:hAnsi="Arial"/>
          <w:sz w:val="18"/>
          <w:szCs w:val="18"/>
          <w:color w:val="231F20"/>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ind w:right="80" w:firstLine="583"/>
        <w:spacing w:after="0" w:line="257" w:lineRule="auto"/>
        <w:rPr>
          <w:sz w:val="20"/>
          <w:szCs w:val="20"/>
          <w:color w:val="auto"/>
        </w:rPr>
      </w:pPr>
      <w:r>
        <w:rPr>
          <w:rFonts w:ascii="Arial" w:cs="Arial" w:eastAsia="Arial" w:hAnsi="Arial"/>
          <w:sz w:val="18"/>
          <w:szCs w:val="18"/>
          <w:color w:val="231F20"/>
        </w:rPr>
        <w:t>Our officers and directors are not required to, and will not, commit their full time to our affairs, which may result in a conflict of interest in allocating their time between our operations and our search for a business combination and their other responsibilities. We do not intend to have any full-time employees prior to the completion of our business combination. Each of our officers and directors is engaged in several other business endeavors for which he or she may be entitled to substantial compensation and our officers and directors are not obligated to contribute any specific number of hours per week to our affairs.</w:t>
      </w:r>
    </w:p>
    <w:p>
      <w:pPr>
        <w:spacing w:after="0" w:line="188" w:lineRule="exact"/>
        <w:rPr>
          <w:sz w:val="20"/>
          <w:szCs w:val="20"/>
          <w:color w:val="auto"/>
        </w:rPr>
      </w:pPr>
    </w:p>
    <w:p>
      <w:pPr>
        <w:ind w:firstLine="583"/>
        <w:spacing w:after="0" w:line="311" w:lineRule="auto"/>
        <w:rPr>
          <w:sz w:val="20"/>
          <w:szCs w:val="20"/>
          <w:color w:val="auto"/>
        </w:rPr>
      </w:pPr>
      <w:r>
        <w:rPr>
          <w:rFonts w:ascii="Arial" w:cs="Arial" w:eastAsia="Arial" w:hAnsi="Arial"/>
          <w:sz w:val="16"/>
          <w:szCs w:val="16"/>
          <w:color w:val="231F20"/>
        </w:rPr>
        <w:t>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w:t>
      </w:r>
    </w:p>
    <w:p>
      <w:pPr>
        <w:spacing w:after="0" w:line="149" w:lineRule="exact"/>
        <w:rPr>
          <w:sz w:val="20"/>
          <w:szCs w:val="20"/>
          <w:color w:val="auto"/>
        </w:rPr>
      </w:pPr>
    </w:p>
    <w:p>
      <w:pPr>
        <w:jc w:val="both"/>
        <w:ind w:right="380" w:firstLine="583"/>
        <w:spacing w:after="0" w:line="263" w:lineRule="auto"/>
        <w:rPr>
          <w:sz w:val="20"/>
          <w:szCs w:val="20"/>
          <w:color w:val="auto"/>
        </w:rPr>
      </w:pPr>
      <w:r>
        <w:rPr>
          <w:rFonts w:ascii="Arial" w:cs="Arial" w:eastAsia="Arial" w:hAnsi="Arial"/>
          <w:sz w:val="18"/>
          <w:szCs w:val="18"/>
          <w:color w:val="231F20"/>
        </w:rPr>
        <w:t>Mr. August is the Founder and CEO of OHA and acts as a strategic advisor to its clients. Mr. August has a fiduciary duty to OHA. As a result, Mr. August may have a duty to offer acquisition opportunities to clients of OHA. Mr. August will have no duty to offer acquisition opportunities to the Company unless presented to him solely in his capacity as a director of the Company.</w:t>
      </w:r>
    </w:p>
    <w:p>
      <w:pPr>
        <w:spacing w:after="0" w:line="184" w:lineRule="exact"/>
        <w:rPr>
          <w:sz w:val="20"/>
          <w:szCs w:val="20"/>
          <w:color w:val="auto"/>
        </w:rPr>
      </w:pPr>
    </w:p>
    <w:p>
      <w:pPr>
        <w:ind w:right="40" w:firstLine="583"/>
        <w:spacing w:after="0" w:line="263" w:lineRule="auto"/>
        <w:rPr>
          <w:sz w:val="20"/>
          <w:szCs w:val="20"/>
          <w:color w:val="auto"/>
        </w:rPr>
      </w:pPr>
      <w:r>
        <w:rPr>
          <w:rFonts w:ascii="Arial" w:cs="Arial" w:eastAsia="Arial" w:hAnsi="Arial"/>
          <w:sz w:val="18"/>
          <w:szCs w:val="18"/>
          <w:color w:val="231F20"/>
        </w:rPr>
        <w:t>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ind w:right="240" w:firstLine="583"/>
        <w:spacing w:after="0" w:line="259" w:lineRule="auto"/>
        <w:rPr>
          <w:sz w:val="20"/>
          <w:szCs w:val="20"/>
          <w:color w:val="auto"/>
        </w:rPr>
      </w:pPr>
      <w:r>
        <w:rPr>
          <w:rFonts w:ascii="Arial" w:cs="Arial" w:eastAsia="Arial" w:hAnsi="Arial"/>
          <w:sz w:val="18"/>
          <w:szCs w:val="18"/>
          <w:color w:val="231F20"/>
        </w:rPr>
        <w:t>Our operations are dependent upon a relatively small group of individuals. We believe that our success depends on the continued service of our officers and directors, at least until we have completed our initial business combination. We do not have an employment agreement with, or key-man insurance on the life of any of our other directors or officers. The unexpected loss of the services of one or more of our directors or officers could have a detrimental effect on us.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 combination business.</w:t>
      </w:r>
    </w:p>
    <w:p>
      <w:pPr>
        <w:spacing w:after="0" w:line="184" w:lineRule="exact"/>
        <w:rPr>
          <w:sz w:val="20"/>
          <w:szCs w:val="20"/>
          <w:color w:val="auto"/>
        </w:rPr>
      </w:pPr>
    </w:p>
    <w:p>
      <w:pPr>
        <w:ind w:firstLine="583"/>
        <w:spacing w:after="0" w:line="273" w:lineRule="auto"/>
        <w:rPr>
          <w:sz w:val="20"/>
          <w:szCs w:val="20"/>
          <w:color w:val="auto"/>
        </w:rPr>
      </w:pPr>
      <w:r>
        <w:rPr>
          <w:rFonts w:ascii="Arial" w:cs="Arial" w:eastAsia="Arial" w:hAnsi="Arial"/>
          <w:sz w:val="17"/>
          <w:szCs w:val="17"/>
          <w:color w:val="231F20"/>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we do not currently expect that any of them will do so.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8" w:lineRule="exact"/>
        <w:rPr>
          <w:sz w:val="20"/>
          <w:szCs w:val="20"/>
          <w:color w:val="auto"/>
        </w:rPr>
      </w:pPr>
    </w:p>
    <w:p>
      <w:pPr>
        <w:ind w:right="60" w:firstLine="583"/>
        <w:spacing w:after="0" w:line="273" w:lineRule="auto"/>
        <w:rPr>
          <w:sz w:val="20"/>
          <w:szCs w:val="20"/>
          <w:color w:val="auto"/>
        </w:rPr>
      </w:pPr>
      <w:r>
        <w:rPr>
          <w:rFonts w:ascii="Arial" w:cs="Arial" w:eastAsia="Arial" w:hAnsi="Arial"/>
          <w:sz w:val="17"/>
          <w:szCs w:val="17"/>
          <w:color w:val="231F20"/>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spacing w:after="0" w:line="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cause our key personnel to have conflicts of interest in determining whether to proceed with a particular business combination. However, we do not expect that any of our key personnel will remain with us after the completion of our initial business combination.</w:t>
      </w:r>
    </w:p>
    <w:p>
      <w:pPr>
        <w:spacing w:after="0" w:line="157" w:lineRule="exact"/>
        <w:rPr>
          <w:sz w:val="20"/>
          <w:szCs w:val="20"/>
          <w:color w:val="auto"/>
        </w:rPr>
      </w:pPr>
    </w:p>
    <w:p>
      <w:pPr>
        <w:ind w:right="80" w:firstLine="583"/>
        <w:spacing w:after="0" w:line="270" w:lineRule="auto"/>
        <w:rPr>
          <w:sz w:val="20"/>
          <w:szCs w:val="20"/>
          <w:color w:val="auto"/>
        </w:rPr>
      </w:pPr>
      <w:r>
        <w:rPr>
          <w:rFonts w:ascii="Arial" w:cs="Arial" w:eastAsia="Arial" w:hAnsi="Arial"/>
          <w:sz w:val="17"/>
          <w:szCs w:val="17"/>
          <w:color w:val="231F20"/>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as we do not expect that any of our key personnel will remain with us after the completion of our initial business combination. The determination as to whether any of our key personnel will remain with us will be made at the time of our initial business combination.</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24" w:lineRule="exact"/>
        <w:rPr>
          <w:sz w:val="20"/>
          <w:szCs w:val="20"/>
          <w:color w:val="auto"/>
        </w:rPr>
      </w:pPr>
    </w:p>
    <w:p>
      <w:pPr>
        <w:ind w:right="400" w:firstLine="583"/>
        <w:spacing w:after="0" w:line="286" w:lineRule="auto"/>
        <w:rPr>
          <w:sz w:val="20"/>
          <w:szCs w:val="20"/>
          <w:color w:val="auto"/>
        </w:rPr>
      </w:pPr>
      <w:r>
        <w:rPr>
          <w:rFonts w:ascii="Arial" w:cs="Arial" w:eastAsia="Arial" w:hAnsi="Arial"/>
          <w:sz w:val="17"/>
          <w:szCs w:val="17"/>
          <w:color w:val="231F20"/>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w:t>
      </w:r>
    </w:p>
    <w:p>
      <w:pPr>
        <w:spacing w:after="0" w:line="165" w:lineRule="exact"/>
        <w:rPr>
          <w:sz w:val="20"/>
          <w:szCs w:val="20"/>
          <w:color w:val="auto"/>
        </w:rPr>
      </w:pPr>
    </w:p>
    <w:p>
      <w:pPr>
        <w:ind w:firstLine="583"/>
        <w:spacing w:after="0" w:line="286" w:lineRule="auto"/>
        <w:rPr>
          <w:sz w:val="20"/>
          <w:szCs w:val="20"/>
          <w:color w:val="auto"/>
        </w:rPr>
      </w:pPr>
      <w:r>
        <w:rPr>
          <w:rFonts w:ascii="Arial" w:cs="Arial" w:eastAsia="Arial" w:hAnsi="Arial"/>
          <w:sz w:val="17"/>
          <w:szCs w:val="17"/>
          <w:color w:val="231F20"/>
        </w:rPr>
        <w:t>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a stockholder or warrant holder following our initial business combination could suffer a reduction in the value of their securities.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Such stockholders or warrant holders are unlikely to have a remedy for such reduction in value.</w:t>
      </w:r>
    </w:p>
    <w:p>
      <w:pPr>
        <w:spacing w:after="0" w:line="225" w:lineRule="exact"/>
        <w:rPr>
          <w:sz w:val="20"/>
          <w:szCs w:val="20"/>
          <w:color w:val="auto"/>
        </w:rPr>
      </w:pPr>
    </w:p>
    <w:p>
      <w:pPr>
        <w:ind w:right="20" w:firstLine="583"/>
        <w:spacing w:after="0" w:line="272" w:lineRule="auto"/>
        <w:rPr>
          <w:sz w:val="20"/>
          <w:szCs w:val="20"/>
          <w:color w:val="auto"/>
        </w:rPr>
      </w:pPr>
      <w:r>
        <w:rPr>
          <w:rFonts w:ascii="Arial" w:cs="Arial" w:eastAsia="Arial" w:hAnsi="Arial"/>
          <w:sz w:val="17"/>
          <w:szCs w:val="17"/>
          <w:color w:val="231F20"/>
        </w:rPr>
        <w:t>The officers and directors of an initial business combination candidate may resign upon completion of our initial business combination. The departure of a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acquisition candidate’s management team will remain associated with the initial business combination candidate following our initial business combination, it is possible that members of the management of an acquisition candidate will not wish to remain in place. As a result, we may need to reconstitute the management team of the post-transaction company in connection with our initial business combination, which may adversely impact our ability to complete an initial business combination in a timely manner or at all.</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84" w:lineRule="exact"/>
        <w:rPr>
          <w:sz w:val="20"/>
          <w:szCs w:val="20"/>
          <w:color w:val="auto"/>
        </w:rPr>
      </w:pPr>
    </w:p>
    <w:p>
      <w:pPr>
        <w:ind w:firstLine="583"/>
        <w:spacing w:after="0" w:line="268" w:lineRule="auto"/>
        <w:rPr>
          <w:sz w:val="20"/>
          <w:szCs w:val="20"/>
          <w:color w:val="auto"/>
        </w:rPr>
      </w:pPr>
      <w:r>
        <w:rPr>
          <w:rFonts w:ascii="Arial" w:cs="Arial" w:eastAsia="Arial" w:hAnsi="Arial"/>
          <w:sz w:val="17"/>
          <w:szCs w:val="17"/>
          <w:color w:val="231F20"/>
        </w:rPr>
        <w:t>Until we consummate our initial business combination, we intend to engage in the business of identifying and combining with one or more businesses. Our sponsor and officers and directors are, or may in the future become, affiliated with entities (such as operating companies or investment vehicles) that are engaged in a similar business. We do not have employment contracts with our officers and directors that will limit their ability to work at other businesses.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V, Churchill Capital Corp VI and Churchill Capital Corp VII, special purpose acquisition corporations that completed their initial public offerings in August 2020, December 2020, February 2021 and February 2021, respectively. Churchill Capital Corp V, Churchill Capital Corp VI and Churchill Capital Corp VII, like us, may pursue initial business combination targets in any businesses or industries and have until August 3, 2022, December 18, 2022, February 17, 2023 and February 17, 2023, respectively, to do so (absent an extension in accordance with their charters). Any such companies, including Churchill Capital Corp V, Churchill Capital Corp VI and Churchill Capital Corp VII may present additional conflicts of interest in pursuing an acquisition target. M. Klein and Company, Mr. Klein and the Operating Partners are also actively engaged in AltC Acquisition Corp., a special purpose acquisition corporation that is in the process of completing its initial public offering as of the date of this filing and may present additional conflicts of interest in pursuing an acquisition target.</w:t>
      </w:r>
    </w:p>
    <w:p>
      <w:pPr>
        <w:spacing w:after="0" w:line="182" w:lineRule="exact"/>
        <w:rPr>
          <w:sz w:val="20"/>
          <w:szCs w:val="20"/>
          <w:color w:val="auto"/>
        </w:rPr>
      </w:pPr>
    </w:p>
    <w:p>
      <w:pPr>
        <w:ind w:right="120" w:firstLine="583"/>
        <w:spacing w:after="0" w:line="284" w:lineRule="auto"/>
        <w:rPr>
          <w:sz w:val="20"/>
          <w:szCs w:val="20"/>
          <w:color w:val="auto"/>
        </w:rPr>
      </w:pPr>
      <w:r>
        <w:rPr>
          <w:rFonts w:ascii="Arial" w:cs="Arial" w:eastAsia="Arial" w:hAnsi="Arial"/>
          <w:sz w:val="16"/>
          <w:szCs w:val="16"/>
          <w:color w:val="231F20"/>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1" w:lineRule="exact"/>
        <w:rPr>
          <w:sz w:val="20"/>
          <w:szCs w:val="20"/>
          <w:color w:val="auto"/>
        </w:rPr>
      </w:pPr>
    </w:p>
    <w:p>
      <w:pPr>
        <w:ind w:right="40" w:firstLine="8"/>
        <w:spacing w:after="0" w:line="260" w:lineRule="auto"/>
        <w:tabs>
          <w:tab w:leader="none" w:pos="26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ind w:firstLine="583"/>
        <w:spacing w:after="0" w:line="293" w:lineRule="auto"/>
        <w:rPr>
          <w:sz w:val="20"/>
          <w:szCs w:val="20"/>
          <w:color w:val="auto"/>
        </w:rPr>
      </w:pPr>
      <w:r>
        <w:rPr>
          <w:rFonts w:ascii="Arial" w:cs="Arial" w:eastAsia="Arial" w:hAnsi="Arial"/>
          <w:sz w:val="16"/>
          <w:szCs w:val="16"/>
          <w:color w:val="231F20"/>
        </w:rPr>
        <w:t>In addition, none of the Operating Partners are officers or directors of our company and therefore owe us no fiduciary duties as such. While we expect that they will assist us in identifying business combination targets, they have no obligation to do so and may devote a substantial portion of their business time to activities unrelated to us. Each Operating Partner may have fiduciary, contractual or other obligations or duties to other organizations to present business combination opportunities to such other organizations rather than to us. Accordingly, if any Operating Partner becomes aware of a business combination opportunity which is suitable for one or more entities to which he or she has fiduciary, contractual or other obligations or duties, he or she will honor those obligations and duties to present such business combination opportunity to such entities first and only present it to us if such entities</w:t>
      </w:r>
    </w:p>
    <w:p>
      <w:pPr>
        <w:sectPr>
          <w:pgSz w:w="11900" w:h="16928" w:orient="portrait"/>
          <w:cols w:equalWidth="0" w:num="1">
            <w:col w:w="11240"/>
          </w:cols>
          <w:pgMar w:left="320" w:top="908" w:right="339" w:bottom="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231F20"/>
        </w:rPr>
        <w:t>reject the opportunity and he or she determines to present the opportunity to us. These conflicts may not be resolved in our favor and a potential business may be presented to another entity prior to its presentation to us.</w:t>
      </w: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ind w:right="20" w:firstLine="583"/>
        <w:spacing w:after="0" w:line="275" w:lineRule="auto"/>
        <w:rPr>
          <w:sz w:val="20"/>
          <w:szCs w:val="20"/>
          <w:color w:val="auto"/>
        </w:rPr>
      </w:pPr>
      <w:r>
        <w:rPr>
          <w:rFonts w:ascii="Arial" w:cs="Arial" w:eastAsia="Arial" w:hAnsi="Arial"/>
          <w:sz w:val="17"/>
          <w:szCs w:val="17"/>
          <w:color w:val="231F20"/>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M. Klein and Company, our sponsor or our directors or officers.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ind w:right="480" w:firstLine="583"/>
        <w:spacing w:after="0" w:line="263" w:lineRule="auto"/>
        <w:rPr>
          <w:sz w:val="20"/>
          <w:szCs w:val="20"/>
          <w:color w:val="auto"/>
        </w:rPr>
      </w:pPr>
      <w:r>
        <w:rPr>
          <w:rFonts w:ascii="Arial" w:cs="Arial" w:eastAsia="Arial" w:hAnsi="Arial"/>
          <w:sz w:val="18"/>
          <w:szCs w:val="18"/>
          <w:color w:val="231F20"/>
        </w:rPr>
        <w:t>In particular, affiliates of our sponsor, our directors and our officers have invested, and may in the future invest, in a broad array of sectors, including those in which our company may invest. As a result, there may be substantial overlap between companies that would be a suitable business combination for us and companies that would make an attractive target for such other affiliates.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M. Klein and Company, our sponsor, officers or directors which may raise potential conflicts of interest.</w:t>
      </w:r>
    </w:p>
    <w:p>
      <w:pPr>
        <w:spacing w:after="0" w:line="170" w:lineRule="exact"/>
        <w:rPr>
          <w:sz w:val="20"/>
          <w:szCs w:val="20"/>
          <w:color w:val="auto"/>
        </w:rPr>
      </w:pPr>
    </w:p>
    <w:p>
      <w:pPr>
        <w:ind w:firstLine="583"/>
        <w:spacing w:after="0" w:line="269" w:lineRule="auto"/>
        <w:rPr>
          <w:sz w:val="20"/>
          <w:szCs w:val="20"/>
          <w:color w:val="auto"/>
        </w:rPr>
      </w:pPr>
      <w:r>
        <w:rPr>
          <w:rFonts w:ascii="Arial" w:cs="Arial" w:eastAsia="Arial" w:hAnsi="Arial"/>
          <w:sz w:val="17"/>
          <w:szCs w:val="17"/>
          <w:color w:val="231F20"/>
        </w:rPr>
        <w:t>In light of the involvement of our sponsor, officers and directors with other businesses, we may decide to acquire one or more businesses affiliated with or competitive with M. Klein and Company, our sponsor, officers and directors, and their respective affiliates.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that is a member of FINRA or from an independent accounting firm, regarding the fairness to our stockholders from a financial point of view of a business combination with one or more domestic or international businesses affiliated with M. Klein and Company, our sponsor, officers or directors, potential conflicts of interest still may exist and, as a result, the terms of the business combination may not be as advantageous to our public stockholders as they would be absent any conflicts of interest.</w:t>
      </w:r>
    </w:p>
    <w:p>
      <w:pPr>
        <w:spacing w:after="0" w:line="1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184" w:lineRule="exact"/>
        <w:rPr>
          <w:sz w:val="20"/>
          <w:szCs w:val="20"/>
          <w:color w:val="auto"/>
        </w:rPr>
      </w:pPr>
    </w:p>
    <w:p>
      <w:pPr>
        <w:ind w:right="20" w:firstLine="583"/>
        <w:spacing w:after="0" w:line="273" w:lineRule="auto"/>
        <w:rPr>
          <w:sz w:val="20"/>
          <w:szCs w:val="20"/>
          <w:color w:val="auto"/>
        </w:rPr>
      </w:pPr>
      <w:r>
        <w:rPr>
          <w:rFonts w:ascii="Arial" w:cs="Arial" w:eastAsia="Arial" w:hAnsi="Arial"/>
          <w:sz w:val="17"/>
          <w:szCs w:val="17"/>
          <w:color w:val="231F20"/>
        </w:rPr>
        <w:t>We may engage M. Klein and Company, or another affiliate of our sponsor, as a financial advisor in connection with our initial business combination and pay such affiliate a customary financial advisory fee in an amount that constitutes a market standard financial advisory fee for comparable transactions. Pursuant to any such engagement, the affiliate may earn its fee upon closing of the initial business combination. The payment of such fee would likely be conditioned upon the completion of the initial business combination. Therefore, our sponsor may have additional financial interests in the completion of the initial business combination. These financial interests may influence the advice any such affiliate provides us as our financial advisor, which advice would contribute to our decision on whether to pursue a business combination with any particular target.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3" w:name="page44"/>
    <w:bookmarkEnd w:id="43"/>
    <w:p>
      <w:pPr>
        <w:ind w:right="120"/>
        <w:spacing w:after="0" w:line="263" w:lineRule="auto"/>
        <w:rPr>
          <w:sz w:val="20"/>
          <w:szCs w:val="20"/>
          <w:color w:val="auto"/>
        </w:rPr>
      </w:pPr>
      <w:r>
        <w:rPr>
          <w:rFonts w:ascii="Arial" w:cs="Arial" w:eastAsia="Arial" w:hAnsi="Arial"/>
          <w:sz w:val="18"/>
          <w:szCs w:val="18"/>
          <w:b w:val="1"/>
          <w:bCs w:val="1"/>
          <w:i w:val="1"/>
          <w:iCs w:val="1"/>
          <w:color w:val="auto"/>
        </w:rPr>
        <w:t>Since our initial stockholders will lose their entire investment in us if our initial business combination is not completed (other than with respect to any public shares they may hold), a conflict of interest may arise in determining whether a particular business combination target is appropriate for our initial business combination.</w:t>
      </w:r>
    </w:p>
    <w:p>
      <w:pPr>
        <w:spacing w:after="0" w:line="184" w:lineRule="exact"/>
        <w:rPr>
          <w:sz w:val="20"/>
          <w:szCs w:val="20"/>
          <w:color w:val="auto"/>
        </w:rPr>
      </w:pPr>
    </w:p>
    <w:p>
      <w:pPr>
        <w:ind w:right="80" w:firstLine="583"/>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181" w:lineRule="exact"/>
        <w:rPr>
          <w:sz w:val="20"/>
          <w:szCs w:val="20"/>
          <w:color w:val="auto"/>
        </w:rPr>
      </w:pPr>
    </w:p>
    <w:p>
      <w:pPr>
        <w:ind w:right="280" w:firstLine="583"/>
        <w:spacing w:after="0" w:line="286" w:lineRule="auto"/>
        <w:rPr>
          <w:sz w:val="20"/>
          <w:szCs w:val="20"/>
          <w:color w:val="auto"/>
        </w:rPr>
      </w:pPr>
      <w:r>
        <w:rPr>
          <w:rFonts w:ascii="Arial" w:cs="Arial" w:eastAsia="Arial" w:hAnsi="Arial"/>
          <w:sz w:val="17"/>
          <w:szCs w:val="17"/>
          <w:color w:val="auto"/>
        </w:rPr>
        <w:t>In addition, our sponsor purchased an aggregate of 42,850,000 private placement warrants for a purchase price of $42,850,000, or $1.00 per warrant, that will also be worthless if we do not complete our initial business combination. Each private placement warrant entitles the holder thereof to purchase one share of our Class A common stock at a price of $11.50 per share, subject to adjustment as provided herein.</w:t>
      </w:r>
    </w:p>
    <w:p>
      <w:pPr>
        <w:spacing w:after="0" w:line="165" w:lineRule="exact"/>
        <w:rPr>
          <w:sz w:val="20"/>
          <w:szCs w:val="20"/>
          <w:color w:val="auto"/>
        </w:rPr>
      </w:pPr>
    </w:p>
    <w:p>
      <w:pPr>
        <w:ind w:firstLine="583"/>
        <w:spacing w:after="0" w:line="268"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the IPO, except that: (1) only holders of the founder shares have the right to vote on the election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ind w:right="100" w:firstLine="583"/>
        <w:spacing w:after="0" w:line="263" w:lineRule="auto"/>
        <w:rPr>
          <w:sz w:val="20"/>
          <w:szCs w:val="20"/>
          <w:color w:val="auto"/>
        </w:rPr>
      </w:pPr>
      <w:r>
        <w:rPr>
          <w:rFonts w:ascii="Arial" w:cs="Arial" w:eastAsia="Arial" w:hAnsi="Arial"/>
          <w:sz w:val="18"/>
          <w:szCs w:val="18"/>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for completing our initial business combination nears.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ind w:right="40" w:firstLine="583"/>
        <w:spacing w:after="0" w:line="311" w:lineRule="auto"/>
        <w:rPr>
          <w:sz w:val="20"/>
          <w:szCs w:val="20"/>
          <w:color w:val="auto"/>
        </w:rPr>
      </w:pPr>
      <w:r>
        <w:rPr>
          <w:rFonts w:ascii="Arial" w:cs="Arial" w:eastAsia="Arial" w:hAnsi="Arial"/>
          <w:sz w:val="16"/>
          <w:szCs w:val="16"/>
          <w:color w:val="231F20"/>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49" w:lineRule="exact"/>
        <w:rPr>
          <w:sz w:val="20"/>
          <w:szCs w:val="20"/>
          <w:color w:val="auto"/>
        </w:rPr>
      </w:pPr>
    </w:p>
    <w:p>
      <w:pPr>
        <w:ind w:right="40" w:firstLine="583"/>
        <w:spacing w:after="0" w:line="257" w:lineRule="auto"/>
        <w:rPr>
          <w:sz w:val="20"/>
          <w:szCs w:val="20"/>
          <w:color w:val="auto"/>
        </w:rPr>
      </w:pPr>
      <w:r>
        <w:rPr>
          <w:rFonts w:ascii="Arial" w:cs="Arial" w:eastAsia="Arial" w:hAnsi="Arial"/>
          <w:sz w:val="18"/>
          <w:szCs w:val="18"/>
          <w:color w:val="231F20"/>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ind w:right="200" w:firstLine="583"/>
        <w:spacing w:after="0" w:line="257" w:lineRule="auto"/>
        <w:rPr>
          <w:sz w:val="20"/>
          <w:szCs w:val="20"/>
          <w:color w:val="auto"/>
        </w:rPr>
      </w:pPr>
      <w:r>
        <w:rPr>
          <w:rFonts w:ascii="Arial" w:cs="Arial" w:eastAsia="Arial" w:hAnsi="Arial"/>
          <w:sz w:val="18"/>
          <w:szCs w:val="18"/>
          <w:color w:val="231F20"/>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165" w:lineRule="exact"/>
        <w:rPr>
          <w:sz w:val="20"/>
          <w:szCs w:val="20"/>
          <w:color w:val="auto"/>
        </w:rPr>
      </w:pPr>
    </w:p>
    <w:p>
      <w:pPr>
        <w:jc w:val="both"/>
        <w:ind w:right="160" w:firstLine="583"/>
        <w:spacing w:after="0" w:line="279" w:lineRule="auto"/>
        <w:rPr>
          <w:sz w:val="20"/>
          <w:szCs w:val="20"/>
          <w:color w:val="auto"/>
        </w:rPr>
      </w:pPr>
      <w:r>
        <w:rPr>
          <w:rFonts w:ascii="Arial" w:cs="Arial" w:eastAsia="Arial" w:hAnsi="Arial"/>
          <w:sz w:val="17"/>
          <w:szCs w:val="17"/>
          <w:color w:val="231F20"/>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ind w:right="500" w:firstLine="583"/>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800" w:right="60" w:hanging="225"/>
        <w:spacing w:after="0" w:line="277" w:lineRule="auto"/>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costs and difficulties inherent in managing cross-border business operations and complying with commercial and legal requirements of overseas markets;</w:t>
      </w:r>
    </w:p>
    <w:p>
      <w:pPr>
        <w:spacing w:after="0" w:line="170"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rules and regulations regarding currency redemption;</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complex corporate withholding taxes on individuals;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laws governing the manner in which future business combinations may be effected;</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tariffs and trade barriers;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regulations related to customs and import/export matters;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longer payment cycles;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tax consequences;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currency fluctuations and exchange controls;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rates of inflation;</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challenges in collecting accounts receivable;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800" w:hanging="225"/>
        <w:spacing w:after="0"/>
        <w:tabs>
          <w:tab w:leader="none" w:pos="8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cultural and language differences;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employment regulations;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crime, strikes, riots, civil disturbances, terrorist attacks, natural disasters and wars;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deterioration of political relations with the United States;</w:t>
      </w:r>
    </w:p>
    <w:p>
      <w:pPr>
        <w:spacing w:after="0" w:line="225" w:lineRule="exact"/>
        <w:rPr>
          <w:rFonts w:ascii="Arial" w:cs="Arial" w:eastAsia="Arial" w:hAnsi="Arial"/>
          <w:sz w:val="18"/>
          <w:szCs w:val="18"/>
          <w:color w:val="231F20"/>
        </w:rPr>
      </w:pPr>
    </w:p>
    <w:p>
      <w:pPr>
        <w:ind w:left="800" w:hanging="225"/>
        <w:spacing w:after="0"/>
        <w:tabs>
          <w:tab w:leader="none" w:pos="8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obligatory military service by personnel; and government appropriation of assets.</w:t>
      </w:r>
    </w:p>
    <w:p>
      <w:pPr>
        <w:spacing w:after="0" w:line="225" w:lineRule="exact"/>
        <w:rPr>
          <w:sz w:val="20"/>
          <w:szCs w:val="20"/>
          <w:color w:val="auto"/>
        </w:rPr>
      </w:pPr>
    </w:p>
    <w:p>
      <w:pPr>
        <w:ind w:firstLine="583"/>
        <w:spacing w:after="0" w:line="263" w:lineRule="auto"/>
        <w:rPr>
          <w:sz w:val="20"/>
          <w:szCs w:val="20"/>
          <w:color w:val="auto"/>
        </w:rPr>
      </w:pPr>
      <w:r>
        <w:rPr>
          <w:rFonts w:ascii="Arial" w:cs="Arial" w:eastAsia="Arial" w:hAnsi="Arial"/>
          <w:sz w:val="18"/>
          <w:szCs w:val="18"/>
          <w:color w:val="231F20"/>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ind w:right="120" w:firstLine="583"/>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Past performance by M. Klein and Company and members of our management team or our Strategic and Operating Partners may not be indicative of future performance of an investment in us.</w:t>
      </w:r>
    </w:p>
    <w:p>
      <w:pPr>
        <w:spacing w:after="0" w:line="170" w:lineRule="exact"/>
        <w:rPr>
          <w:sz w:val="20"/>
          <w:szCs w:val="20"/>
          <w:color w:val="auto"/>
        </w:rPr>
      </w:pPr>
    </w:p>
    <w:p>
      <w:pPr>
        <w:ind w:right="80" w:firstLine="583"/>
        <w:spacing w:after="0" w:line="291" w:lineRule="auto"/>
        <w:rPr>
          <w:sz w:val="20"/>
          <w:szCs w:val="20"/>
          <w:color w:val="auto"/>
        </w:rPr>
      </w:pPr>
      <w:r>
        <w:rPr>
          <w:rFonts w:ascii="Arial" w:cs="Arial" w:eastAsia="Arial" w:hAnsi="Arial"/>
          <w:sz w:val="16"/>
          <w:szCs w:val="16"/>
          <w:color w:val="231F20"/>
        </w:rPr>
        <w:t>Information regarding performance by, or businesses associated with, M. Klein and Company and other members of our management team or our Strategic and Operating Partners is presented for informational purposes only. Any past experience and performance, including related to acquisitions, of M. Klein and Company and members of our management team or our Strategic and Operating Partners is not a guarantee either: (1) that we will be able to successfully identify a suitable candidate for our initial business combination; or (2) of any results with respect to any initial business combination we may consummate. You should not rely on the historical record and performance of M. Klein and Company and members of our management team or our Strategic and Operating Partners as indicative of the future performance of an investment in us or the returns we will, or are likely to, generate going forward. An investment in us is not an investment in M. Klein and Company or our Strategic and Operating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agreements related to the IPO may be amended without stockholder approval.</w:t>
      </w:r>
    </w:p>
    <w:p>
      <w:pPr>
        <w:spacing w:after="0" w:line="225" w:lineRule="exact"/>
        <w:rPr>
          <w:sz w:val="20"/>
          <w:szCs w:val="20"/>
          <w:color w:val="auto"/>
        </w:rPr>
      </w:pPr>
    </w:p>
    <w:p>
      <w:pPr>
        <w:ind w:right="60" w:firstLine="583"/>
        <w:spacing w:after="0" w:line="291" w:lineRule="auto"/>
        <w:rPr>
          <w:sz w:val="20"/>
          <w:szCs w:val="20"/>
          <w:color w:val="auto"/>
        </w:rPr>
      </w:pPr>
      <w:r>
        <w:rPr>
          <w:rFonts w:ascii="Arial" w:cs="Arial" w:eastAsia="Arial" w:hAnsi="Arial"/>
          <w:sz w:val="16"/>
          <w:szCs w:val="16"/>
          <w:color w:val="231F20"/>
        </w:rPr>
        <w:t>Certain agreements, including the underwriting agreement relating to this offering, the letter agreement among us and our sponsor, officers and directors, and the registration rights agreement among us and our initial stockholders, may be amended without stockholder approval. These agreements contain various provisions that our public stockholders might deem to be material.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amendments would not require approval from our stockholders, may result in the completion of our initial business combination that may not otherwise have been possible, and may have an adverse effect on the value of an investment in our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44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84" w:lineRule="exact"/>
        <w:rPr>
          <w:sz w:val="20"/>
          <w:szCs w:val="20"/>
          <w:color w:val="auto"/>
        </w:rPr>
      </w:pPr>
    </w:p>
    <w:p>
      <w:pPr>
        <w:ind w:right="40" w:firstLine="583"/>
        <w:spacing w:after="0" w:line="287" w:lineRule="auto"/>
        <w:rPr>
          <w:sz w:val="20"/>
          <w:szCs w:val="20"/>
          <w:color w:val="auto"/>
        </w:rPr>
      </w:pPr>
      <w:r>
        <w:rPr>
          <w:rFonts w:ascii="Arial" w:cs="Arial" w:eastAsia="Arial" w:hAnsi="Arial"/>
          <w:sz w:val="16"/>
          <w:szCs w:val="16"/>
          <w:color w:val="231F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 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right="120" w:firstLine="583"/>
        <w:spacing w:after="0" w:line="270" w:lineRule="auto"/>
        <w:rPr>
          <w:sz w:val="20"/>
          <w:szCs w:val="20"/>
          <w:color w:val="auto"/>
        </w:rPr>
      </w:pPr>
      <w:r>
        <w:rPr>
          <w:rFonts w:ascii="Arial" w:cs="Arial" w:eastAsia="Arial" w:hAnsi="Arial"/>
          <w:sz w:val="17"/>
          <w:szCs w:val="17"/>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170" w:lineRule="exact"/>
        <w:rPr>
          <w:sz w:val="20"/>
          <w:szCs w:val="20"/>
          <w:color w:val="auto"/>
        </w:rPr>
      </w:pPr>
    </w:p>
    <w:p>
      <w:pPr>
        <w:ind w:right="40" w:firstLine="583"/>
        <w:spacing w:after="0" w:line="279" w:lineRule="auto"/>
        <w:rPr>
          <w:sz w:val="20"/>
          <w:szCs w:val="20"/>
          <w:color w:val="auto"/>
        </w:rPr>
      </w:pPr>
      <w:r>
        <w:rPr>
          <w:rFonts w:ascii="Arial" w:cs="Arial" w:eastAsia="Arial" w:hAnsi="Arial"/>
          <w:sz w:val="17"/>
          <w:szCs w:val="17"/>
          <w:color w:val="231F20"/>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This provision may have the effect of discouraging lawsuits against our directors and officers.</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520" w:firstLine="583"/>
        <w:spacing w:after="0" w:line="277" w:lineRule="auto"/>
        <w:rPr>
          <w:sz w:val="20"/>
          <w:szCs w:val="20"/>
          <w:color w:val="auto"/>
        </w:rPr>
      </w:pPr>
      <w:r>
        <w:rPr>
          <w:rFonts w:ascii="Arial" w:cs="Arial" w:eastAsia="Arial" w:hAnsi="Arial"/>
          <w:sz w:val="18"/>
          <w:szCs w:val="18"/>
          <w:color w:val="auto"/>
        </w:rPr>
        <w:t>We currently maintain our executive offices at 640 Fifth Avenue, 12th Floor, New York, NY 10019. The cost for this space is included in the $50,000 per month fee that we will pay an affiliate of our sponsor for office space, administrative and support services.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583"/>
        <w:spacing w:after="0" w:line="255" w:lineRule="auto"/>
        <w:rPr>
          <w:sz w:val="20"/>
          <w:szCs w:val="20"/>
          <w:color w:val="auto"/>
        </w:rPr>
      </w:pPr>
      <w:r>
        <w:rPr>
          <w:rFonts w:ascii="Arial" w:cs="Arial" w:eastAsia="Arial" w:hAnsi="Arial"/>
          <w:sz w:val="18"/>
          <w:szCs w:val="18"/>
          <w:color w:val="auto"/>
        </w:rPr>
        <w:t>On March 3, 2021, Richard Hofman, a purported stockholder of us, filed a complaint, individually and on behalf of other of our stockholders, in the Superior Court of the State of California against us, Lucid, and other unnamed defendants. The complaint alleges claims for fraud, negligent misrepresentation, and false advertising and unfair business practices in connection with allegedly false and misleading statements and omissions in our public filings, concerning the proposed merger between us and Lucid. The complaint seeks injunctive relief, as well as compensatory and punitive damages. On March 8, 2021, plaintiff filed an ex parte application for a temporary restraining order and preliminary injunction, which the Company opposed and the court denied on March 10, 2021.</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units, Class A common stock and warrants are traded on the NYSE under the symbols “CCIV.U”, “CCIV” and “CCIV WS”,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60" w:firstLine="583"/>
        <w:spacing w:after="0" w:line="277" w:lineRule="auto"/>
        <w:rPr>
          <w:sz w:val="20"/>
          <w:szCs w:val="20"/>
          <w:color w:val="auto"/>
        </w:rPr>
      </w:pPr>
      <w:r>
        <w:rPr>
          <w:rFonts w:ascii="Arial" w:cs="Arial" w:eastAsia="Arial" w:hAnsi="Arial"/>
          <w:sz w:val="18"/>
          <w:szCs w:val="18"/>
          <w:color w:val="auto"/>
        </w:rPr>
        <w:t>Although there are a larger number of beneficial owners, at February 28, 2021, there was one holder of record of our units, one holder of record of our separately traded common stock and two holders of record of our separately traded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583"/>
        <w:spacing w:after="0" w:line="293"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ind w:right="40" w:firstLine="583"/>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181" w:lineRule="exact"/>
        <w:rPr>
          <w:sz w:val="20"/>
          <w:szCs w:val="20"/>
          <w:color w:val="auto"/>
        </w:rPr>
      </w:pPr>
    </w:p>
    <w:p>
      <w:pPr>
        <w:ind w:right="160" w:firstLine="583"/>
        <w:spacing w:after="0" w:line="259" w:lineRule="auto"/>
        <w:rPr>
          <w:sz w:val="20"/>
          <w:szCs w:val="20"/>
          <w:color w:val="auto"/>
        </w:rPr>
      </w:pPr>
      <w:r>
        <w:rPr>
          <w:rFonts w:ascii="Arial" w:cs="Arial" w:eastAsia="Arial" w:hAnsi="Arial"/>
          <w:sz w:val="18"/>
          <w:szCs w:val="18"/>
          <w:color w:val="auto"/>
        </w:rPr>
        <w:t>On August 3, 2020, we completed our IPO of 207,000,000 units at a price of $10.00 per unit, generating gross proceeds of $2,070,000,000. Each unit consists of one of the Company’s shares of Class A common stock, par value $0.0001 per share, and one-fifth of one warrant. Each whole warrant entitles the holder thereof to purchase one share of Class A common stock at a price of $11.50 per share, subject to certain adjustments. Following the closing of the IPO, an aggregate of $2,070,000,000 was placed in the trust account.</w:t>
      </w:r>
    </w:p>
    <w:p>
      <w:pPr>
        <w:spacing w:after="0" w:line="187" w:lineRule="exact"/>
        <w:rPr>
          <w:sz w:val="20"/>
          <w:szCs w:val="20"/>
          <w:color w:val="auto"/>
        </w:rPr>
      </w:pPr>
    </w:p>
    <w:p>
      <w:pPr>
        <w:jc w:val="both"/>
        <w:ind w:firstLine="583"/>
        <w:spacing w:after="0" w:line="311" w:lineRule="auto"/>
        <w:rPr>
          <w:sz w:val="20"/>
          <w:szCs w:val="20"/>
          <w:color w:val="auto"/>
        </w:rPr>
      </w:pPr>
      <w:r>
        <w:rPr>
          <w:rFonts w:ascii="Arial" w:cs="Arial" w:eastAsia="Arial" w:hAnsi="Arial"/>
          <w:sz w:val="16"/>
          <w:szCs w:val="16"/>
          <w:color w:val="auto"/>
        </w:rPr>
        <w:t>The Company incurred $109,714,885 of offering costs in connection with the IPO, inclusive of $72,450,000 of deferred underwriting commissions payable to the underwriters from the amounts held in the trust account solely in the event the Company completes a business combination. There has been no material change in the planned use of proceeds from the IPO as described in our final prospectus dated July 30, 2020, which was filed with the SEC.</w:t>
      </w:r>
    </w:p>
    <w:p>
      <w:pPr>
        <w:spacing w:after="0" w:line="149" w:lineRule="exact"/>
        <w:rPr>
          <w:sz w:val="20"/>
          <w:szCs w:val="20"/>
          <w:color w:val="auto"/>
        </w:rPr>
      </w:pPr>
    </w:p>
    <w:p>
      <w:pPr>
        <w:ind w:right="60" w:firstLine="583"/>
        <w:spacing w:after="0" w:line="279" w:lineRule="auto"/>
        <w:rPr>
          <w:sz w:val="20"/>
          <w:szCs w:val="20"/>
          <w:color w:val="auto"/>
        </w:rPr>
      </w:pPr>
      <w:r>
        <w:rPr>
          <w:rFonts w:ascii="Arial" w:cs="Arial" w:eastAsia="Arial" w:hAnsi="Arial"/>
          <w:sz w:val="17"/>
          <w:szCs w:val="17"/>
          <w:color w:val="auto"/>
        </w:rPr>
        <w:t>Concurrently with the completion of the IPO, our sponsor purchased an aggregate of 42,850,000 warrants at a price of $1.00 per warrant, or $42,850,000 in the aggregate. An aggregate of $2,070,000,000 from the proceeds of the IPO and the private placement warrants was placed in a trust account such that the trust account held $2,070,000,000 at the time of closing of the IPO. Each whole private placement warrant entitles the holder thereof to purchase one share of Class A common stock at a price of $11.50 per share, subject to certain adjustments.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80" w:firstLine="583"/>
        <w:spacing w:after="0" w:line="277" w:lineRule="auto"/>
        <w:rPr>
          <w:sz w:val="20"/>
          <w:szCs w:val="20"/>
          <w:color w:val="auto"/>
        </w:rPr>
      </w:pPr>
      <w:r>
        <w:rPr>
          <w:rFonts w:ascii="Arial" w:cs="Arial" w:eastAsia="Arial" w:hAnsi="Arial"/>
          <w:sz w:val="18"/>
          <w:szCs w:val="18"/>
          <w:color w:val="auto"/>
        </w:rPr>
        <w:t>The following table summarizes the relevant data for our business as of December 31, 2020 and should be read with our financial statements, which are included in this Amendment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For the period</w:t>
            </w:r>
          </w:p>
        </w:tc>
      </w:tr>
      <w:tr>
        <w:trPr>
          <w:trHeight w:val="216"/>
        </w:trPr>
        <w:tc>
          <w:tcPr>
            <w:tcW w:w="9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from</w:t>
            </w:r>
          </w:p>
        </w:tc>
      </w:tr>
      <w:tr>
        <w:trPr>
          <w:trHeight w:val="216"/>
        </w:trPr>
        <w:tc>
          <w:tcPr>
            <w:tcW w:w="9560" w:type="dxa"/>
            <w:vAlign w:val="bottom"/>
          </w:tcPr>
          <w:p>
            <w:pPr>
              <w:spacing w:after="0"/>
              <w:rPr>
                <w:sz w:val="18"/>
                <w:szCs w:val="18"/>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April 30, 2020</w:t>
            </w:r>
          </w:p>
        </w:tc>
      </w:tr>
      <w:tr>
        <w:trPr>
          <w:trHeight w:val="216"/>
        </w:trPr>
        <w:tc>
          <w:tcPr>
            <w:tcW w:w="9560" w:type="dxa"/>
            <w:vAlign w:val="bottom"/>
          </w:tcPr>
          <w:p>
            <w:pPr>
              <w:spacing w:after="0"/>
              <w:rPr>
                <w:sz w:val="18"/>
                <w:szCs w:val="18"/>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(inception) through</w:t>
            </w:r>
          </w:p>
        </w:tc>
      </w:tr>
      <w:tr>
        <w:trPr>
          <w:trHeight w:val="230"/>
        </w:trPr>
        <w:tc>
          <w:tcPr>
            <w:tcW w:w="956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December 31, 2020</w:t>
            </w:r>
          </w:p>
        </w:tc>
      </w:tr>
      <w:tr>
        <w:trPr>
          <w:trHeight w:val="209"/>
        </w:trPr>
        <w:tc>
          <w:tcPr>
            <w:tcW w:w="9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 Income Statement Data:</w:t>
            </w: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ind w:left="6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(2,976,423)</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(63,467,875)</w:t>
            </w:r>
          </w:p>
        </w:tc>
      </w:tr>
      <w:tr>
        <w:trPr>
          <w:trHeight w:val="414"/>
        </w:trPr>
        <w:tc>
          <w:tcPr>
            <w:tcW w:w="9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95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Cash</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3,592,857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2,070,086,006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2,074,616,649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216,178,873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1,853,437,770</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Amendment.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Amendment.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All statements other than statements of historical fact included in this Amendment including, without limitation, statements under “Management’s Discussion and Analysis of Financial Condition and Results of Operations” regarding the Company’s financial position, business strategy and the plans and objectives of management for future operations, are forward-looking statements. When used in this Amendment,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our filings with the SEC.</w:t>
      </w:r>
    </w:p>
    <w:p>
      <w:pPr>
        <w:spacing w:after="0" w:line="17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financial statements and the notes thereto contained elsewhere in this Amendment. Certain information contained in the discussion and analysis set forth below includes forward-looking statements that involve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and Revision of Previously Issued Financial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has been amended and restated to give effect to the restatement and revision of our Original Financial Statements. We are restating our historical financial results to reclassify our Warrants as derivative liabilities pursuant to ASC 815-40 rather than as a component of equity as we had previously treated them. The impact of the restatement is reflected in the Management’s Discussion and Analysis of Financial Condition and Results of Operations below. Other than as disclosed in the Explanatory Note and with respect to the impact of the restatement, no other information in this Item 7 has been amended and this Item 7 does not reflect any events occurring after the Original Filing. The impact of the restatement is more fully described in Note 2 to our financial statements included in Item 15 of Part IV of this Amendment and Item 9A: Controls and Procedures, both contained herein.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We are a blank check company formed under the laws of the State of Delaware for the purpose of effecting a merger, capital stock exchange, asset acquisition, stock purchase, reorganization or other similar business combination with one or more businesses. We intend to effectuate our Business Combination using cash from the proceeds of the Initial Public Offering and the sale of the Private Placement Warrants, our capital stock, debt or a combination of cash, stock and debt.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raise capital or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22, 2021, we entered into a Merger Agreement with Merger Sub and Atieva, relating to a proposed business combination transaction between us and Atieva.</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 (the “Merger” and, together with the other transactions contemplated by the Merger Agreement, the “Transactions”).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consideration to be paid to the shareholders of Atieva will be equal to (a) $11,750,000,000 plus (b) (i) all cash and cash equivalents of Atieva and its subsidiaries less (ii) all indebtedness for borrowed money of Atieva and its subsidiaries, in each case as of two business days prior to the closing date (the “Equity Value”) and will be paid entirely in shares of Class A common stock, par value $0.0001 per share, of the Company (the “Class A Common Stock”) in an amount equal to $10.00 per share (the “Merger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 of the Merger:</w:t>
      </w:r>
    </w:p>
    <w:p>
      <w:pPr>
        <w:spacing w:after="0" w:line="225" w:lineRule="exact"/>
        <w:rPr>
          <w:sz w:val="20"/>
          <w:szCs w:val="20"/>
          <w:color w:val="auto"/>
        </w:rPr>
      </w:pPr>
    </w:p>
    <w:p>
      <w:pPr>
        <w:ind w:left="680" w:right="140" w:hanging="335"/>
        <w:spacing w:after="0" w:line="296"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each share of capital stock of Atieva (the “Atieva Shares”) will be cancelled and automatically deemed for all purposes to represent the right to receive, in the aggregate, the Merger Consideration. All share incentive plan or similar equity-based compensation plans maintained for employees of Atieva will be assumed by the Company and all outstanding options to purchase Atieva Shares (each, a “Atieva Option”) and each restricted stock unit award (“RSU”) with respect to Atieva Shares (each, a “Atieva RSU”) will be assumed by the Company as described below. For purposes of the following paragraph, the “Exchange Ratio” means the Equity Value per share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161" w:lineRule="exact"/>
        <w:rPr>
          <w:rFonts w:ascii="Arial" w:cs="Arial" w:eastAsia="Arial" w:hAnsi="Arial"/>
          <w:sz w:val="16"/>
          <w:szCs w:val="16"/>
          <w:color w:val="auto"/>
        </w:rPr>
      </w:pPr>
    </w:p>
    <w:p>
      <w:pPr>
        <w:jc w:val="both"/>
        <w:ind w:left="680" w:right="300" w:hanging="335"/>
        <w:spacing w:after="0" w:line="287"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Atieva Option will become an option to purchase shares of Class A Common Stock (each, an “Assumed Option”), on the same terms and conditions (including applicable vesting, exercise and expiration provisions) as applied to the Atieva Option immediately prior to the effective time of the Merger, except that (i) the number of shares of Class A Common Stock subject to such Assumed Option shall equal the product of</w:t>
      </w:r>
    </w:p>
    <w:p>
      <w:pPr>
        <w:spacing w:after="0" w:line="2" w:lineRule="exact"/>
        <w:rPr>
          <w:rFonts w:ascii="Arial" w:cs="Arial" w:eastAsia="Arial" w:hAnsi="Arial"/>
          <w:sz w:val="16"/>
          <w:szCs w:val="16"/>
          <w:color w:val="auto"/>
        </w:rPr>
      </w:pPr>
    </w:p>
    <w:p>
      <w:pPr>
        <w:ind w:left="680" w:right="180" w:firstLine="3"/>
        <w:spacing w:after="0" w:line="253" w:lineRule="auto"/>
        <w:tabs>
          <w:tab w:leader="none" w:pos="9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number of Atieva Shares that were subject to the option immediately prior to the effective time of the Merger, multiplied by (y) the Exchange Ratio, rounded down to the nearest whole share, and (B) the per-share exercise price shall equal the quotient of (1) the exercise price per Atieva Share at which such option was exercisable immediately prior to the effective time of the Merger, divided by (2) the Exchange Ratio, rounded up to the nearest whole cent.</w:t>
      </w:r>
    </w:p>
    <w:p>
      <w:pPr>
        <w:spacing w:after="0" w:line="192" w:lineRule="exact"/>
        <w:rPr>
          <w:rFonts w:ascii="Arial" w:cs="Arial" w:eastAsia="Arial" w:hAnsi="Arial"/>
          <w:sz w:val="18"/>
          <w:szCs w:val="18"/>
          <w:color w:val="auto"/>
        </w:rPr>
      </w:pPr>
    </w:p>
    <w:p>
      <w:pPr>
        <w:ind w:left="680" w:right="180" w:hanging="335"/>
        <w:spacing w:after="0" w:line="286"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Atieva RSU, will be assumed by the Company and become an RSU with respect to shares of Class A Common Stock (each, an “Assumed RSU”) on the same terms and conditions (including applicable vesting provisions) as applied to each Atieva RSU immediately prior to the effective time of the Merger, except that the number of shares of Class A Common Stock subject to such Assumed RSU Award will be equal the product of (x) the number of Atieva Shares that were subject to such RSU immediately prior to the effective time of the Merger, multiplied by</w:t>
      </w:r>
    </w:p>
    <w:p>
      <w:pPr>
        <w:spacing w:after="0" w:line="1" w:lineRule="exact"/>
        <w:rPr>
          <w:rFonts w:ascii="Arial" w:cs="Arial" w:eastAsia="Arial" w:hAnsi="Arial"/>
          <w:sz w:val="16"/>
          <w:szCs w:val="16"/>
          <w:color w:val="auto"/>
        </w:rPr>
      </w:pPr>
    </w:p>
    <w:p>
      <w:pPr>
        <w:ind w:left="940" w:hanging="257"/>
        <w:spacing w:after="0"/>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Exchange Ratio, rounded down to the nearest whole share.</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February 20, 2021, we entered into a transactional support agreement with a service provider, pursuant to which the service provider agreed to render certain financial advisory and capital markets advisory services for a potential Business Combination. We agreed to pay the service provider a fee of</w:t>
      </w:r>
    </w:p>
    <w:p>
      <w:pPr>
        <w:ind w:right="360" w:firstLine="8"/>
        <w:spacing w:after="0" w:line="260"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$6,000,000 is payable upon the consummation of a Business Combination (ii) $500,000 is payable upon consummation of the financing (iii) out-of-pocket expenses not to exceed $125,000 without prior approval.</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February 22, 2021, we entered into a convertible promissory note with the Sponsor pursuant to which the Sponsor agreed to loan us up to an aggregate principal amount of $1,500,000 (the “Note”). The Note is non-interest bearing and payable on the earlier of (i) the date of which we consummate a Business Combination or (ii) the date that the winding up of the Company. If we do not consummate a Business Combination, we may use a portion of any funds held outside the Trust Account to repay the Promissory Note; however, no proceeds from the Trust Account may be used for such repayment. Up to $1,500,000 of the Note may be converted into warrants at a price of $1.00 per warrant at the option of the Sponsor. The warrants would be identical to the Private Placement Warrants. We borrowed an aggregate of $1,500,000 on February 22,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through December 31, 2020 were organizational activities, those necessary to prepare for the Initial Public Offering, identifying a target for our Business Combination, and activities in connection with the proposed acquisition of Atieva.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For the period from April 30, 2020 (inception) through December 31, 2020, we had a net loss of $63,467,875, which consists of operating costs of</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$2,976,423, a change in the fair value of warrant liability of $58,778,500, transaction costs of $2,167,536 and a provision for income taxes of $81,422 offset by interest income on marketable securities held in the Trust Account of $531,361 and an unrealized gain on marketable securities held in our Trust Account of $4,645.</w:t>
      </w:r>
    </w:p>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September 30, 2020, we had a net loss of $54,303,650, which consists of operating costs of $332,427, a loss on warrant liability of $51,980,500, transaction costs of $2,167,536 and an unrealized loss on marketable securities held in our Trust Account of $42,999, offset by interest income on marketable securities held in the Trust Account of $210,782 and a benefit from income taxes of $9,030.</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For the period from April 30, 2020 (inception) through September 30, 2020, we had a net loss of $54,304,650, which consists of operating costs of $333,427, a loss on warrant liability of $51,980,500, transaction costs of $2,167,536 and an unrealized loss on marketable securities held in our Trust Account of $42,999, offset by interest income on marketable securities held in the Trust Account of $210,782 and a benefit from income taxes of $9,030.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common stock by the Sponsor and loans from our Sponsor.</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On August 3, 2020, we consummated the Initial Public Offering of 207,000,000 Units, which includes the full exercise by the underwriters of the over-allotment option, at $10.00 per unit, generating gross proceeds of $2,070,000,000. Simultaneously with the closing of the Initial Public Offering, we consummated the sale of 42,850,000 Private Placement Warrants to the Sponsor at a price of $1.00 per warrant, generating gross proceeds of $42,850,000.</w:t>
      </w:r>
    </w:p>
    <w:p>
      <w:pPr>
        <w:spacing w:after="0" w:line="1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$2,070,000,000 was placed in the Trust Account. We incurred $109,714,885 in transaction costs, including $36,403,600 of underwriting fees, $72,450,000 of deferred underwriting fees and $861,285 of other costs.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period from April 30, 2020 (inception) through December 31, 2020, cash used in operating activities was $2,467,258. Net loss of $63,467,875 was affected by interest earned on marketable securities held in the Trust Account of $531,361, an unrealized gain of on marketable securities held in our Trust Account $4,645, a non-cash loss on warrant liabilities of $58,778,500, transaction costs of $2,167,536 and changes in operating assets and liabilities, which provided $590,587 of cash from operating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spacing w:after="0" w:line="259" w:lineRule="auto"/>
        <w:rPr>
          <w:sz w:val="20"/>
          <w:szCs w:val="20"/>
          <w:color w:val="auto"/>
        </w:rPr>
      </w:pPr>
      <w:r>
        <w:rPr>
          <w:rFonts w:ascii="Arial" w:cs="Arial" w:eastAsia="Arial" w:hAnsi="Arial"/>
          <w:sz w:val="18"/>
          <w:szCs w:val="18"/>
          <w:color w:val="auto"/>
        </w:rPr>
        <w:t>For the period from April 30, 2020 (inception) through September 30, 2020, cash used in operating activities was $1,391,728. Net loss of $54,304,650 was affected by interest earned on marketable securities held in the Trust Account of $210,782, a non-cash loss on warrant liabilities of $51,980,500, transaction costs of $2,167,536, an unrealized loss of $42,999, a deferred tax provision change of $9,030, and changes in operating assets and liabilities, which used $1,058,301 of cash from operating activities.</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December 31, 2020, we had cash and marketable securities held in the trust account of $2,070,086,006. As of September 30, 2020, we had cash and marketable securities held in the trust account of $2,070,167,783. We intend to use substantially all of the funds held in the Trust Account, including any amounts representing interest earned on the Trust Account (less permitted withdrawals, deferred underwriting commissions and income taxes payable), to complete our Business Combination. We may withdraw interest for working capital requirement and to pay franchise and income taxes. During the period ended December 31, 2020, we withdrew $450,000 of interest earned on the Trust Account for working capital purpose.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2020, we had cash of $3,592,857 outside of the Trust Account. As of September 30, 2020, we had cash of $4,218,387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the initial stockholders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monitor the adequacy of our working capital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7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an affiliate of the Sponsor a monthly fee of $50,000 for office space, administrative and support services to the Company. We began incurring these fees on July 30, 2020 and will continue to incur these fees monthly until the earlier of the completion of the Business Combination and our liquidation.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right="100"/>
        <w:spacing w:after="0" w:line="259" w:lineRule="auto"/>
        <w:rPr>
          <w:sz w:val="20"/>
          <w:szCs w:val="20"/>
          <w:color w:val="auto"/>
        </w:rPr>
      </w:pPr>
      <w:r>
        <w:rPr>
          <w:rFonts w:ascii="Arial" w:cs="Arial" w:eastAsia="Arial" w:hAnsi="Arial"/>
          <w:sz w:val="18"/>
          <w:szCs w:val="18"/>
          <w:color w:val="auto"/>
        </w:rPr>
        <w:t>The underwriters are entitled to a deferred fee of $72,450,000 in the aggregate. The deferred fee will be waived by the underwriters in the event that we do not complete a Business Combination, subject to the terms of the underwriting agreement. The underwriters waived the upfront underwriting discount on 19,982,000 Units, resulting in a reduction of the upfront underwriting discount of $3,996,400. In addition, the underwriters reimbursed us an aggregate of $1,000,000 for costs incurred in connection with the Initial Public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account for the Warrants in accordance with the guidance contained in ASC 815-40-15-7D and 7F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Public Warrants and Private Placement Warrants for periods where no observable traded price was available are valued using a Monte Carlo simulation and a modified Black Scholes model, respectively. For periods subsequent to the detachment of the Public Warrants from the Units, the Public Warrant quoted market price was used as the fair value as of each relevant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account for our shares of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apply the two-class method in calculating earnings per share. Net income (loss) per common share, basic and diluted for Class A common stock subject to possible redemption is calculated by dividing the interest income earned on the Trust Account, net of applicable taxes, if any, by the weighted average number of shares of Class A common stock subject to possible redemption outstanding for the period. Net income (loss) per common share, basic and diluted for non-redeemable common stock is calculated by dividing net loss less income attributable to Class A common stock subject to possible redemption, by the weighted average number of shares of non-redeemable common stock outstanding for the period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appears following Item 15 of this Form 10-K and is included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solely due to the events that led to the Company’s restatement of its financial statements to reclassify the Company’s Warrants as described in the Explanatory Note to this Amendment, as of December 31, 2020, our disclosure controls and procedures were not effective.</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ind w:right="72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Original Financial Statements included in this Amendment,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4" w:name="page55"/>
    <w:bookmarkEnd w:id="54"/>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600"/>
              <w:spacing w:after="0"/>
              <w:rPr>
                <w:sz w:val="20"/>
                <w:szCs w:val="20"/>
                <w:color w:val="auto"/>
              </w:rPr>
            </w:pPr>
            <w:r>
              <w:rPr>
                <w:rFonts w:ascii="Arial" w:cs="Arial" w:eastAsia="Arial" w:hAnsi="Arial"/>
                <w:sz w:val="18"/>
                <w:szCs w:val="18"/>
                <w:color w:val="auto"/>
                <w:w w:val="96"/>
              </w:rPr>
              <w:t>Our current directors and executive officers are as follows: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18"/>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4"/>
                <w:szCs w:val="24"/>
                <w:color w:val="auto"/>
              </w:rPr>
            </w:pPr>
          </w:p>
        </w:tc>
        <w:tc>
          <w:tcPr>
            <w:tcW w:w="504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Title</w:t>
            </w:r>
          </w:p>
        </w:tc>
      </w:tr>
      <w:tr>
        <w:trPr>
          <w:trHeight w:val="195"/>
        </w:trPr>
        <w:tc>
          <w:tcPr>
            <w:tcW w:w="5080" w:type="dxa"/>
            <w:vAlign w:val="bottom"/>
          </w:tcPr>
          <w:p>
            <w:pPr>
              <w:spacing w:after="0" w:line="195" w:lineRule="exact"/>
              <w:rPr>
                <w:sz w:val="20"/>
                <w:szCs w:val="20"/>
                <w:color w:val="auto"/>
              </w:rPr>
            </w:pPr>
            <w:r>
              <w:rPr>
                <w:rFonts w:ascii="Arial" w:cs="Arial" w:eastAsia="Arial" w:hAnsi="Arial"/>
                <w:sz w:val="18"/>
                <w:szCs w:val="18"/>
                <w:color w:val="auto"/>
              </w:rPr>
              <w:t>Michael Klein</w:t>
            </w:r>
          </w:p>
        </w:tc>
        <w:tc>
          <w:tcPr>
            <w:tcW w:w="220" w:type="dxa"/>
            <w:vAlign w:val="bottom"/>
          </w:tcPr>
          <w:p>
            <w:pPr>
              <w:spacing w:after="0"/>
              <w:rPr>
                <w:sz w:val="16"/>
                <w:szCs w:val="16"/>
                <w:color w:val="auto"/>
              </w:rPr>
            </w:pPr>
          </w:p>
        </w:tc>
        <w:tc>
          <w:tcPr>
            <w:tcW w:w="680" w:type="dxa"/>
            <w:vAlign w:val="bottom"/>
          </w:tcPr>
          <w:p>
            <w:pPr>
              <w:jc w:val="center"/>
              <w:spacing w:after="0" w:line="195" w:lineRule="exact"/>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w w:val="98"/>
              </w:rPr>
              <w:t>Chief Executive Officer, President and Chairman of the Board of</w:t>
            </w: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Jay Taragin</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Glenn R. August</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William J. Bynum</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Bonnie Jonas</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Mark Klein</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Malcolm S. McDermid</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Karen G. Mills</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20" w:firstLine="583"/>
        <w:spacing w:after="0" w:line="267" w:lineRule="auto"/>
        <w:rPr>
          <w:sz w:val="20"/>
          <w:szCs w:val="20"/>
          <w:color w:val="auto"/>
        </w:rPr>
      </w:pPr>
      <w:r>
        <w:rPr>
          <w:rFonts w:ascii="Arial" w:cs="Arial" w:eastAsia="Arial" w:hAnsi="Arial"/>
          <w:sz w:val="17"/>
          <w:szCs w:val="17"/>
          <w:b w:val="1"/>
          <w:bCs w:val="1"/>
          <w:i w:val="1"/>
          <w:iCs w:val="1"/>
          <w:color w:val="auto"/>
        </w:rPr>
        <w:t xml:space="preserve">Michael Klein </w:t>
      </w:r>
      <w:r>
        <w:rPr>
          <w:rFonts w:ascii="Arial" w:cs="Arial" w:eastAsia="Arial" w:hAnsi="Arial"/>
          <w:sz w:val="17"/>
          <w:szCs w:val="17"/>
          <w:color w:val="auto"/>
        </w:rPr>
        <w:t>is our Chief Executive Officer, President and the Chairman of our Board of Directors. Mr. Klein is also the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Chairman of the Board of Directors of Churchill Capital Corp II, a blank check company whose sponsor is an affiliate of M. Klein and Company, LLC, Chief Executive Officer, President and Chairman of the Board of Directors of Churchill Capital Corp V, a blank check company whose sponsor is an affiliate of M. Klein and Company, LLC, Chief Executive Officer, President and Chairman of the Board of Directors of Churchill Capital Corp VII, a blank check company whose sponsor is an affiliate of M. Klein and Company, LLC and Chief Executive Officer, President and Chairman of the Board of Directors of AltC Acquisition Corp., a blank check company whose sponsor is an affiliate of M. Klein and Company. Mr. Klein is currently a Director of Credit Suisse Group AG and Credit Suisse AG. Mr. Klein was the co-founder and Chairman of Churchill Capital Corp, a blank check company formed in 2018. Churchill Capital Corp merged with Clarivate Analytics in May 2019. Mr. Klein was also the founder, Chief Executive Officer, President and Chairman of the Board of Directors of Churchill Capital Corp III, a blank check company formed in 2019. Churchill Capital Corp III merged with MultiPlan, Inc. in October 2020, and Mr. Klein currently serves on the board of directors of MultiPlan, Inc. Mr. Klein is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30-year career, including more than two decades at Citi and its predecessors, during which he initiated and executed strategic advisory transactions. He began his career as an investment banker in the M&amp;A Advisory Group at Salomon Smith Barney and subsequently became Chairman and Co-Chief Executive Officer of Citi Markets and Banking, with responsibilities for global corporate and investment banking and Global Transaction Services across Citi. Mr. Klein is a graduate of The Wharton School of the University of Pennsylvania, where he earned his Bachelors of Science in Economics with concentrations in finance and accounting. Mr. Klein was selected to serve on the board of directors due to his significant investment banking and advisory experience.</w:t>
      </w:r>
    </w:p>
    <w:p>
      <w:pPr>
        <w:spacing w:after="0" w:line="190" w:lineRule="exact"/>
        <w:rPr>
          <w:sz w:val="20"/>
          <w:szCs w:val="20"/>
          <w:color w:val="auto"/>
        </w:rPr>
      </w:pPr>
    </w:p>
    <w:p>
      <w:pPr>
        <w:ind w:right="140" w:firstLine="583"/>
        <w:spacing w:after="0" w:line="286" w:lineRule="auto"/>
        <w:rPr>
          <w:sz w:val="20"/>
          <w:szCs w:val="20"/>
          <w:color w:val="auto"/>
        </w:rPr>
      </w:pPr>
      <w:r>
        <w:rPr>
          <w:rFonts w:ascii="Arial" w:cs="Arial" w:eastAsia="Arial" w:hAnsi="Arial"/>
          <w:sz w:val="16"/>
          <w:szCs w:val="16"/>
          <w:b w:val="1"/>
          <w:bCs w:val="1"/>
          <w:i w:val="1"/>
          <w:iCs w:val="1"/>
          <w:color w:val="auto"/>
        </w:rPr>
        <w:t xml:space="preserve">Jay Taragin </w:t>
      </w:r>
      <w:r>
        <w:rPr>
          <w:rFonts w:ascii="Arial" w:cs="Arial" w:eastAsia="Arial" w:hAnsi="Arial"/>
          <w:sz w:val="16"/>
          <w:szCs w:val="16"/>
          <w:color w:val="auto"/>
        </w:rPr>
        <w:t>is our Chief Financial Officer since February 2021. Mr. Taragin is also the Chief Financial Officer of Churchill Capital Corp V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2020, Chief Financial Officer of Churchill Capital Corp VI since December 2020, Chief Financial Officer of Churchill VII since December 2020, Chief Financial Officer of AltC Acquisition Corp. since March 2021 and Chief Financial Officer of M. Klein and Company which he joined in May 2019. Prior to joining M. Klein and Company, Mr. Taragin served as the US Scotiabank Chief Financial Officer from 2013 to 2017. Prior to Scotiabank,</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Mr. Taragin held a Chief Operating and Financial Officer role from 2009 to 2012 at Fundcore Finance Group LLC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firstLine="583"/>
        <w:spacing w:after="0" w:line="272" w:lineRule="auto"/>
        <w:rPr>
          <w:sz w:val="20"/>
          <w:szCs w:val="20"/>
          <w:color w:val="auto"/>
        </w:rPr>
      </w:pPr>
      <w:r>
        <w:rPr>
          <w:rFonts w:ascii="Arial" w:cs="Arial" w:eastAsia="Arial" w:hAnsi="Arial"/>
          <w:sz w:val="17"/>
          <w:szCs w:val="17"/>
          <w:b w:val="1"/>
          <w:bCs w:val="1"/>
          <w:i w:val="1"/>
          <w:iCs w:val="1"/>
          <w:color w:val="auto"/>
        </w:rPr>
        <w:t xml:space="preserve">Glenn R. August </w:t>
      </w:r>
      <w:r>
        <w:rPr>
          <w:rFonts w:ascii="Arial" w:cs="Arial" w:eastAsia="Arial" w:hAnsi="Arial"/>
          <w:sz w:val="17"/>
          <w:szCs w:val="17"/>
          <w:color w:val="auto"/>
        </w:rPr>
        <w:t>is a Director and is also a Director of Churchill Capital Corp II, Churchill Capital Corp V, Churchill Capital Corp VI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Churchill Capital Corp VII. Mr. August is the Founder, Senior Partner and Chief Executive Officer of Oak Hill Advisors. In addition, he serves as global head of the firm’s distressed investment business. Mr. August has played leadership roles in numerous restructurings and served on numerous public and private company boards since 1987. Since 1996, he co-founded each of Oak Hill Advisors’ funds, where he serves as Managing Partner. He co-founded the predecessor firm to Oak Hill Advisors in 1987 and took over responsibility for its credit and distressed investment activities in 1990. Mr. August earned a Bachelor of Science degree from Cornell University and an M.B.A. from Harvard Business School, where he was a Baker Scholar. Mr. August was selected to serve on our Board of Directors due to his significant financial and leadership experience.</w:t>
      </w:r>
    </w:p>
    <w:p>
      <w:pPr>
        <w:spacing w:after="0" w:line="177" w:lineRule="exact"/>
        <w:rPr>
          <w:sz w:val="20"/>
          <w:szCs w:val="20"/>
          <w:color w:val="auto"/>
        </w:rPr>
      </w:pPr>
    </w:p>
    <w:p>
      <w:pPr>
        <w:ind w:right="100" w:firstLine="583"/>
        <w:spacing w:after="0" w:line="271" w:lineRule="auto"/>
        <w:rPr>
          <w:sz w:val="20"/>
          <w:szCs w:val="20"/>
          <w:color w:val="auto"/>
        </w:rPr>
      </w:pPr>
      <w:r>
        <w:rPr>
          <w:rFonts w:ascii="Arial" w:cs="Arial" w:eastAsia="Arial" w:hAnsi="Arial"/>
          <w:sz w:val="17"/>
          <w:szCs w:val="17"/>
          <w:b w:val="1"/>
          <w:bCs w:val="1"/>
          <w:i w:val="1"/>
          <w:iCs w:val="1"/>
          <w:color w:val="auto"/>
        </w:rPr>
        <w:t xml:space="preserve">William J. Bynum </w:t>
      </w:r>
      <w:r>
        <w:rPr>
          <w:rFonts w:ascii="Arial" w:cs="Arial" w:eastAsia="Arial" w:hAnsi="Arial"/>
          <w:sz w:val="17"/>
          <w:szCs w:val="17"/>
          <w:color w:val="auto"/>
        </w:rPr>
        <w:t>is a Director and also a Director of Churchill Capital Corp V. He is the Chief Executive Officer of HOPE (Hope Enterprise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Hope Credit Union and Hope Policy Institute), a family of organizations founded by him in 1994 that provides financial services; leverages private, public and philanthropic resources; and engages in policy analysis to fulfill its mission of strengthening communities, building assets, and improving lives in economically distressed parts of Alabama, Arkansas, Louisiana, Mississippi and Tennessee. Mr. Bynum serves on the boards of the Aspen Institute, NAACP Legal Defense Fund, Prosperity Now, and William Winter Institute for Racial Reconciliation. He previously chaired the Treasury Department’s Community Development Advisory Board and the Consumer Financial Protection Bureau Consumer Advisory Board. Mr. Bynum is a graduate of the University of North Carolina at Chapel Hill, and has completed executive coursework at the Harvard Business School. Mr. Bynum was selected to serve on our Board of Directors due to his significant financial and leadership experience.</w:t>
      </w:r>
    </w:p>
    <w:p>
      <w:pPr>
        <w:spacing w:after="0" w:line="178" w:lineRule="exact"/>
        <w:rPr>
          <w:sz w:val="20"/>
          <w:szCs w:val="20"/>
          <w:color w:val="auto"/>
        </w:rPr>
      </w:pPr>
    </w:p>
    <w:p>
      <w:pPr>
        <w:ind w:right="40" w:firstLine="583"/>
        <w:spacing w:after="0" w:line="289" w:lineRule="auto"/>
        <w:rPr>
          <w:sz w:val="20"/>
          <w:szCs w:val="20"/>
          <w:color w:val="auto"/>
        </w:rPr>
      </w:pPr>
      <w:r>
        <w:rPr>
          <w:rFonts w:ascii="Arial" w:cs="Arial" w:eastAsia="Arial" w:hAnsi="Arial"/>
          <w:sz w:val="16"/>
          <w:szCs w:val="16"/>
          <w:b w:val="1"/>
          <w:bCs w:val="1"/>
          <w:i w:val="1"/>
          <w:iCs w:val="1"/>
          <w:color w:val="auto"/>
        </w:rPr>
        <w:t xml:space="preserve">Bonnie Jonas </w:t>
      </w:r>
      <w:r>
        <w:rPr>
          <w:rFonts w:ascii="Arial" w:cs="Arial" w:eastAsia="Arial" w:hAnsi="Arial"/>
          <w:sz w:val="16"/>
          <w:szCs w:val="16"/>
          <w:color w:val="auto"/>
        </w:rPr>
        <w:t>is a Director and a Director of Churchill Capital Corp VI and Churchill Capital Corp VII. She is the cofounder of Pallas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LLC (“Pallas Global”), a company that provides independent monitoring and consulting services to corporations and organizations. Prior to co-founding Pallas Global, Ms. Jonas served for 18 years as an Assistant United States Attorney in the U.S. Attorney's Office for the Southern District of New York (the “SDNY”). Ms. Jonas's most recent position with the SDNY was as Deputy Chief of the Criminal Division, from 2013 to 2016. She also served as the SDNY's Financial Fraud Coordinator for President Obama's Financial Fraud Enforcement Task Force and as Co-Chief of the General Crimes Unit. Ms. Jonas was an attorney with the law firm Paul, Weiss, Rifkind, Wharton &amp; Garrison LLP and a law clerk for the Honorable Reena Raggi of the U.S. District Court in the Eastern District of New York. Earlier in her career, Ms. Jonas worked as a consultant at Peterson Consulting, where she evaluated settlement amounts in connection with pending asbestos litigation. Ms. Jonas is a graduate of the Wharton School at the University of Pennsylvania and Columbia Law School. Ms. Jonas was selected to serve on our Board of Directors due to her significant leadership and legal experience.</w:t>
      </w:r>
    </w:p>
    <w:p>
      <w:pPr>
        <w:spacing w:after="0" w:line="166" w:lineRule="exact"/>
        <w:rPr>
          <w:sz w:val="20"/>
          <w:szCs w:val="20"/>
          <w:color w:val="auto"/>
        </w:rPr>
      </w:pPr>
    </w:p>
    <w:p>
      <w:pPr>
        <w:jc w:val="both"/>
        <w:ind w:right="160" w:firstLine="583"/>
        <w:spacing w:after="0" w:line="286" w:lineRule="auto"/>
        <w:rPr>
          <w:sz w:val="20"/>
          <w:szCs w:val="20"/>
          <w:color w:val="auto"/>
        </w:rPr>
      </w:pPr>
      <w:r>
        <w:rPr>
          <w:rFonts w:ascii="Arial" w:cs="Arial" w:eastAsia="Arial" w:hAnsi="Arial"/>
          <w:sz w:val="16"/>
          <w:szCs w:val="16"/>
          <w:b w:val="1"/>
          <w:bCs w:val="1"/>
          <w:i w:val="1"/>
          <w:iCs w:val="1"/>
          <w:color w:val="auto"/>
        </w:rPr>
        <w:t xml:space="preserve">Mark Klein </w:t>
      </w:r>
      <w:r>
        <w:rPr>
          <w:rFonts w:ascii="Arial" w:cs="Arial" w:eastAsia="Arial" w:hAnsi="Arial"/>
          <w:sz w:val="16"/>
          <w:szCs w:val="16"/>
          <w:color w:val="auto"/>
        </w:rPr>
        <w:t>is a Director and also a Director of Churchill Capital Corp II, Churchill Capital IV, Churchill Capital Corp V, Churchill Capital Corp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 and Churchill Capital Corp VII. He is the President and Chief Executive Officer of Sutter Rock Capital, and has been a director of Sutter Rock Capital since 2011. Since 2010, Mr. Klein has served as a Managing Member and Majority Partner of M. Klein and Company, LLC. Mr. Klein also serves on the Board of Directors for Atlantic Alliance Partnership Corp. and has served as an investment adviser at B. Riley Wealth Management since April 2012.</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Mr. Klein was a Director of National Holding Corporations from 2011 to 2014, where he also served as Chief Executive Officer and Co- Chairman from March 2013 to December 2014. He served as a director of New University Holdings Corp., from its inception in 2010 through August 2011, when New University Holdings Corp. merged with ePals, Inc. In addition, from April 2010 until May 2011, Mr. Klein served as the Chief Executive Officer and President and a Director of 57th Street General Acquisition Corp. until it completed a merger with Crumbs Bake Shop. Subsequently, Mr. Klein served as a member of the Board of Directors of Crumbs from May 2011 to March 2014. Mr. Klein has a Bachelor’s degree, with high distinction, in Business Administration from Emory University and an MBA from the J. L. Kellogg School of Management, Northwestern University. Mr. Klein was selected to serve on our Board of Directors due to his significant financial and leadership experience.</w:t>
      </w:r>
    </w:p>
    <w:p>
      <w:pPr>
        <w:spacing w:after="0" w:line="180" w:lineRule="exact"/>
        <w:rPr>
          <w:sz w:val="20"/>
          <w:szCs w:val="20"/>
          <w:color w:val="auto"/>
        </w:rPr>
      </w:pPr>
    </w:p>
    <w:p>
      <w:pPr>
        <w:ind w:right="100" w:firstLine="583"/>
        <w:spacing w:after="0" w:line="254" w:lineRule="auto"/>
        <w:rPr>
          <w:sz w:val="20"/>
          <w:szCs w:val="20"/>
          <w:color w:val="auto"/>
        </w:rPr>
      </w:pPr>
      <w:r>
        <w:rPr>
          <w:rFonts w:ascii="Arial" w:cs="Arial" w:eastAsia="Arial" w:hAnsi="Arial"/>
          <w:sz w:val="18"/>
          <w:szCs w:val="18"/>
          <w:b w:val="1"/>
          <w:bCs w:val="1"/>
          <w:i w:val="1"/>
          <w:iCs w:val="1"/>
          <w:color w:val="auto"/>
        </w:rPr>
        <w:t xml:space="preserve">Malcolm S. McDermid </w:t>
      </w:r>
      <w:r>
        <w:rPr>
          <w:rFonts w:ascii="Arial" w:cs="Arial" w:eastAsia="Arial" w:hAnsi="Arial"/>
          <w:sz w:val="18"/>
          <w:szCs w:val="18"/>
          <w:color w:val="auto"/>
        </w:rPr>
        <w:t>is a Director and also a Director of Churchill Capital Corp II, Churchill Capital Corp VI and Churchill Capital Corp VII.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was previously a Director of Churchill Capital Corp. Mr. McDermid is also a Managing Director with Emerson Collective, where he has led Emerson Collective's venture capital investing efforts since August 2017. He was previously a Partner with Andreessen Horowitz, a venture capital firm based in Menlo Park, California from March 2013 to July 2017. Prior to Andreessen Horowitz, Mr. McDermid was a Director with Stifel Nicolaus, formerly Thomas Weisel Partners, a technology focused investment bank in San Francisco. He began his career at Citigroup as a financial analyst. Mr. McDermid received a Bachelor of Arts degree in Computer Science and Quantitative Economics from Tufts University and a Master of Arts in Law and Diplomacy from the Fletcher School at Tufts University. Mr. McDermid was selected to serve on our Board of Directors due to his significant financial and leadership experience.</w:t>
      </w:r>
    </w:p>
    <w:p>
      <w:pPr>
        <w:spacing w:after="0" w:line="192" w:lineRule="exact"/>
        <w:rPr>
          <w:sz w:val="20"/>
          <w:szCs w:val="20"/>
          <w:color w:val="auto"/>
        </w:rPr>
      </w:pPr>
    </w:p>
    <w:p>
      <w:pPr>
        <w:ind w:right="40" w:firstLine="583"/>
        <w:spacing w:after="0" w:line="271" w:lineRule="auto"/>
        <w:rPr>
          <w:sz w:val="20"/>
          <w:szCs w:val="20"/>
          <w:color w:val="auto"/>
        </w:rPr>
      </w:pPr>
      <w:r>
        <w:rPr>
          <w:rFonts w:ascii="Arial" w:cs="Arial" w:eastAsia="Arial" w:hAnsi="Arial"/>
          <w:sz w:val="17"/>
          <w:szCs w:val="17"/>
          <w:b w:val="1"/>
          <w:bCs w:val="1"/>
          <w:i w:val="1"/>
          <w:iCs w:val="1"/>
          <w:color w:val="auto"/>
        </w:rPr>
        <w:t xml:space="preserve">Karen G. Mills </w:t>
      </w:r>
      <w:r>
        <w:rPr>
          <w:rFonts w:ascii="Arial" w:cs="Arial" w:eastAsia="Arial" w:hAnsi="Arial"/>
          <w:sz w:val="17"/>
          <w:szCs w:val="17"/>
          <w:color w:val="auto"/>
        </w:rPr>
        <w:t>is a Director and also a Director of Churchill Capital Corp II, Churchill Capital Corp V, Churchill Capital Corp VI and Churchill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Corp VII. Ms. Mills is also a Senior Fellow at the Harvard Business School since January 2014, focusing on economic policy, U.S. competitiveness, entrepreneurship and innovation. Ms. Mills was a member of President Barack Obama's Cabinet, serving as the Administrator of the U.S. Small Business Administration from April 2009 to August 2013. Ms. Mills is the President of MMP Group since October 1993, which invests in financial services, consumer products and technology-enabled solutions businesses. Ms. Mills is Vice Chair of the immigration services company Envoy Global since September 2014. She also serves as Chair of the Advisory Committee for the Private Capital Research Institute since March 2017. Ms. Mills holds an A.B. degree in Economics from Harvard University, Magna Cum Laude, and earned an M.B.A. from Harvard Business School. Ms. Mills was selected to serve on our Board of Directors due to her significant financial and leadership experience.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firstLine="583"/>
        <w:spacing w:after="0" w:line="268" w:lineRule="auto"/>
        <w:rPr>
          <w:sz w:val="20"/>
          <w:szCs w:val="20"/>
          <w:color w:val="auto"/>
        </w:rPr>
      </w:pPr>
      <w:r>
        <w:rPr>
          <w:rFonts w:ascii="Arial" w:cs="Arial" w:eastAsia="Arial" w:hAnsi="Arial"/>
          <w:sz w:val="17"/>
          <w:szCs w:val="17"/>
          <w:color w:val="auto"/>
        </w:rPr>
        <w:t>Our board of directors consists of seven members. Holders of our founder shares will have the right to elect all of our directors prior to consummation of our initial business combination and holders of our public shares will not have the right to vote on the election of directors during such time. These provisions of our amended and restated certificate of incorporation may only be amended if approved by a majority of at least 90% of our common stock voting at a stockholder meeting. Approval of our initial business combination will require the affirmative vote of a majority of our board directors, including the two director nominees of our sponsor. Our board of directors is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Glenn R. August and Malcolm S. McDermid, will expire at our first annual meeting of stockholders. The term of office of the second class of directors, consisting of Mark Klein and Karen G. Mills, will expire at the second annual meeting of stockholders. The term of office of the third class of directors, consisting of William J. Bynum, Bonnie Jonas and Michael Klein, will expire at the third annual meeting of stockholders. We may not hold an annual meeting of stockholders until after we consummate our initial business combination.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founder shares.</w:t>
      </w:r>
    </w:p>
    <w:p>
      <w:pPr>
        <w:spacing w:after="0" w:line="186" w:lineRule="exact"/>
        <w:rPr>
          <w:sz w:val="20"/>
          <w:szCs w:val="20"/>
          <w:color w:val="auto"/>
        </w:rPr>
      </w:pPr>
    </w:p>
    <w:p>
      <w:pPr>
        <w:ind w:right="20" w:firstLine="583"/>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will provide that our officers may consist of a Chief Executive Officer, a President, a Chief Financial Officer, Vice Presidents, a Secretary, Assistant Secretaries, a Treasurer, Assistant Treasurers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40" w:firstLine="583"/>
        <w:spacing w:after="0" w:line="263"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IPO. Our board has determined that each of Glenn R. August, William J. Bynum, Bonnie Jonas, Malcolm S. McDermid and Karen G. Mills is an independent director under applicable SEC and NYSE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9" w:lineRule="exact"/>
        <w:rPr>
          <w:sz w:val="20"/>
          <w:szCs w:val="20"/>
          <w:color w:val="auto"/>
        </w:rPr>
      </w:pPr>
    </w:p>
    <w:p>
      <w:pPr>
        <w:ind w:right="100" w:firstLine="583"/>
        <w:spacing w:after="0" w:line="273" w:lineRule="auto"/>
        <w:rPr>
          <w:sz w:val="20"/>
          <w:szCs w:val="20"/>
          <w:color w:val="auto"/>
        </w:rPr>
      </w:pPr>
      <w:r>
        <w:rPr>
          <w:rFonts w:ascii="Arial" w:cs="Arial" w:eastAsia="Arial" w:hAnsi="Arial"/>
          <w:sz w:val="17"/>
          <w:szCs w:val="17"/>
          <w:color w:val="auto"/>
        </w:rPr>
        <w:t>None of our officers or directors have received any compensation for services rendered to us. Our sponsor, officers, directors and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178" w:lineRule="exact"/>
        <w:rPr>
          <w:sz w:val="20"/>
          <w:szCs w:val="20"/>
          <w:color w:val="auto"/>
        </w:rPr>
      </w:pPr>
    </w:p>
    <w:p>
      <w:pPr>
        <w:ind w:right="100" w:firstLine="583"/>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8" w:lineRule="exact"/>
        <w:rPr>
          <w:sz w:val="20"/>
          <w:szCs w:val="20"/>
          <w:color w:val="auto"/>
        </w:rPr>
      </w:pPr>
    </w:p>
    <w:p>
      <w:pPr>
        <w:ind w:right="80" w:firstLine="583"/>
        <w:spacing w:after="0" w:line="279" w:lineRule="auto"/>
        <w:rPr>
          <w:sz w:val="20"/>
          <w:szCs w:val="20"/>
          <w:color w:val="auto"/>
        </w:rPr>
      </w:pPr>
      <w:r>
        <w:rPr>
          <w:rFonts w:ascii="Arial" w:cs="Arial" w:eastAsia="Arial" w:hAnsi="Arial"/>
          <w:sz w:val="17"/>
          <w:szCs w:val="17"/>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20" w:firstLine="583"/>
        <w:spacing w:after="0" w:line="273" w:lineRule="auto"/>
        <w:rPr>
          <w:sz w:val="20"/>
          <w:szCs w:val="20"/>
          <w:color w:val="auto"/>
        </w:rPr>
      </w:pPr>
      <w:r>
        <w:rPr>
          <w:rFonts w:ascii="Arial" w:cs="Arial" w:eastAsia="Arial" w:hAnsi="Arial"/>
          <w:sz w:val="17"/>
          <w:szCs w:val="17"/>
          <w:color w:val="auto"/>
        </w:rPr>
        <w:t>Our board of directors has three standing committees: an audit committee, a compensation committee and a nominating and corporate governance committee. Both our audit committee and our compensation committee are composed solely of independent directors. Subject to phase-in rules, the rules of NYSE and Rule 10A-3 of the Exchange Act require that the audit committee of a listed company be comprised solely of independent directors, and the rules of NYSE require that the compensation committee and the nominating and corporate governance committee of a listed company be comprised solely of independent directors. Each committee operates under a charter that was approved by our board and has the composition and responsibilities described below. The charter of each committee is available on our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 w:firstLine="583"/>
        <w:spacing w:after="0" w:line="259" w:lineRule="auto"/>
        <w:rPr>
          <w:sz w:val="20"/>
          <w:szCs w:val="20"/>
          <w:color w:val="auto"/>
        </w:rPr>
      </w:pPr>
      <w:r>
        <w:rPr>
          <w:rFonts w:ascii="Arial" w:cs="Arial" w:eastAsia="Arial" w:hAnsi="Arial"/>
          <w:sz w:val="18"/>
          <w:szCs w:val="18"/>
          <w:color w:val="auto"/>
        </w:rPr>
        <w:t>The members of our audit committee are Glenn R. August and Karen G. Mills, and Karen G. Mills serves as chairman of the audit committee. Each member of the audit committee is financially literate and our board of directors has determined that qualifies as an “audit committee financial expert” as defined in applicable SEC rules and has accounting or related financial management expertise. We have adopted an audit committee charter, which details the purpose and principal functions of the audit committee, including:</w:t>
      </w:r>
    </w:p>
    <w:p>
      <w:pPr>
        <w:spacing w:after="0" w:line="187" w:lineRule="exact"/>
        <w:rPr>
          <w:sz w:val="20"/>
          <w:szCs w:val="20"/>
          <w:color w:val="auto"/>
        </w:rPr>
      </w:pPr>
    </w:p>
    <w:p>
      <w:pPr>
        <w:ind w:left="800" w:right="440" w:hanging="225"/>
        <w:spacing w:after="0" w:line="342"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23" w:lineRule="exact"/>
        <w:rPr>
          <w:rFonts w:ascii="Arial" w:cs="Arial" w:eastAsia="Arial" w:hAnsi="Arial"/>
          <w:sz w:val="16"/>
          <w:szCs w:val="16"/>
          <w:color w:val="auto"/>
        </w:rPr>
      </w:pPr>
    </w:p>
    <w:p>
      <w:pPr>
        <w:ind w:left="800" w:right="580" w:hanging="225"/>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70" w:lineRule="exact"/>
        <w:rPr>
          <w:rFonts w:ascii="Arial" w:cs="Arial" w:eastAsia="Arial" w:hAnsi="Arial"/>
          <w:sz w:val="18"/>
          <w:szCs w:val="18"/>
          <w:color w:val="auto"/>
        </w:rPr>
      </w:pPr>
    </w:p>
    <w:p>
      <w:pPr>
        <w:ind w:left="800" w:hanging="225"/>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800" w:right="840" w:hanging="225"/>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800" w:right="200" w:hanging="225"/>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6" w:lineRule="exact"/>
        <w:rPr>
          <w:rFonts w:ascii="Arial" w:cs="Arial" w:eastAsia="Arial" w:hAnsi="Arial"/>
          <w:sz w:val="18"/>
          <w:szCs w:val="18"/>
          <w:color w:val="auto"/>
        </w:rPr>
      </w:pPr>
    </w:p>
    <w:p>
      <w:pPr>
        <w:jc w:val="both"/>
        <w:ind w:left="800" w:right="100" w:hanging="225"/>
        <w:spacing w:after="0" w:line="263"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“Item 7. Management’s Discussion and Analysis of Financial Condition and Results of Operations”;</w:t>
      </w:r>
    </w:p>
    <w:p>
      <w:pPr>
        <w:spacing w:after="0" w:line="183" w:lineRule="exact"/>
        <w:rPr>
          <w:rFonts w:ascii="Arial" w:cs="Arial" w:eastAsia="Arial" w:hAnsi="Arial"/>
          <w:sz w:val="18"/>
          <w:szCs w:val="18"/>
          <w:color w:val="auto"/>
        </w:rPr>
      </w:pPr>
    </w:p>
    <w:p>
      <w:pPr>
        <w:ind w:left="800" w:right="60" w:hanging="225"/>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800" w:right="60" w:hanging="225"/>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audit committee is governed by a charter that complies with the rules of the NYSE.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20" w:firstLine="583"/>
        <w:spacing w:after="0" w:line="277" w:lineRule="auto"/>
        <w:rPr>
          <w:sz w:val="20"/>
          <w:szCs w:val="20"/>
          <w:color w:val="auto"/>
        </w:rPr>
      </w:pPr>
      <w:r>
        <w:rPr>
          <w:rFonts w:ascii="Arial" w:cs="Arial" w:eastAsia="Arial" w:hAnsi="Arial"/>
          <w:sz w:val="18"/>
          <w:szCs w:val="18"/>
          <w:color w:val="auto"/>
        </w:rPr>
        <w:t>The members of our Compensation Committee are Glenn R. August, Malcolm S. McDermid and Karen G. Mills, and Karen G. Mills serves as chairman of the compensation committee.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adopted a compensation committee charter, which details the purpose and responsibility of the compensation committee, including:</w:t>
      </w:r>
    </w:p>
    <w:p>
      <w:pPr>
        <w:spacing w:after="0" w:line="237" w:lineRule="exact"/>
        <w:rPr>
          <w:sz w:val="20"/>
          <w:szCs w:val="20"/>
          <w:color w:val="auto"/>
        </w:rPr>
      </w:pPr>
    </w:p>
    <w:p>
      <w:pPr>
        <w:ind w:left="800" w:right="100" w:hanging="225"/>
        <w:spacing w:after="0" w:line="263"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800" w:hanging="225"/>
        <w:spacing w:after="0" w:line="263"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(or approving, if such authority is so delegated by our board of directors) the compensation, and any incentive-compensation and equity-based plans that are subject to board approval of all of our other officers;</w:t>
      </w:r>
    </w:p>
    <w:p>
      <w:pPr>
        <w:spacing w:after="0" w:line="183" w:lineRule="exact"/>
        <w:rPr>
          <w:rFonts w:ascii="Arial" w:cs="Arial" w:eastAsia="Arial" w:hAnsi="Arial"/>
          <w:sz w:val="18"/>
          <w:szCs w:val="18"/>
          <w:color w:val="auto"/>
        </w:rPr>
      </w:pPr>
    </w:p>
    <w:p>
      <w:pPr>
        <w:ind w:left="800" w:hanging="22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800" w:right="780" w:hanging="225"/>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right="320" w:firstLine="583"/>
        <w:spacing w:after="0" w:line="263"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The charter complies with the rules of the NYSE.</w:t>
      </w:r>
    </w:p>
    <w:p>
      <w:pPr>
        <w:spacing w:after="0" w:line="184" w:lineRule="exact"/>
        <w:rPr>
          <w:sz w:val="20"/>
          <w:szCs w:val="20"/>
          <w:color w:val="auto"/>
        </w:rPr>
      </w:pPr>
    </w:p>
    <w:p>
      <w:pPr>
        <w:ind w:right="440" w:firstLine="583"/>
        <w:spacing w:after="0" w:line="308" w:lineRule="auto"/>
        <w:rPr>
          <w:sz w:val="20"/>
          <w:szCs w:val="20"/>
          <w:color w:val="auto"/>
        </w:rPr>
      </w:pPr>
      <w:r>
        <w:rPr>
          <w:rFonts w:ascii="Arial" w:cs="Arial" w:eastAsia="Arial" w:hAnsi="Arial"/>
          <w:sz w:val="17"/>
          <w:szCs w:val="17"/>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20" w:firstLine="583"/>
        <w:spacing w:after="0" w:line="277" w:lineRule="auto"/>
        <w:rPr>
          <w:sz w:val="20"/>
          <w:szCs w:val="20"/>
          <w:color w:val="auto"/>
        </w:rPr>
      </w:pPr>
      <w:r>
        <w:rPr>
          <w:rFonts w:ascii="Arial" w:cs="Arial" w:eastAsia="Arial" w:hAnsi="Arial"/>
          <w:sz w:val="18"/>
          <w:szCs w:val="18"/>
          <w:color w:val="auto"/>
        </w:rPr>
        <w:t>The members of our nominating and corporate governance committee are Glenn R. August, Malcolm S. McDermid and Karen G. Mills, and Karen G. Mills serves as chair of the nominating and corporate governance committee.</w:t>
      </w:r>
    </w:p>
    <w:p>
      <w:pPr>
        <w:spacing w:after="0" w:line="170" w:lineRule="exact"/>
        <w:rPr>
          <w:sz w:val="20"/>
          <w:szCs w:val="20"/>
          <w:color w:val="auto"/>
        </w:rPr>
      </w:pPr>
    </w:p>
    <w:p>
      <w:pPr>
        <w:ind w:right="540" w:firstLine="583"/>
        <w:spacing w:after="0" w:line="277" w:lineRule="auto"/>
        <w:rPr>
          <w:sz w:val="20"/>
          <w:szCs w:val="20"/>
          <w:color w:val="auto"/>
        </w:rPr>
      </w:pPr>
      <w:r>
        <w:rPr>
          <w:rFonts w:ascii="Arial" w:cs="Arial" w:eastAsia="Arial" w:hAnsi="Arial"/>
          <w:sz w:val="18"/>
          <w:szCs w:val="18"/>
          <w:color w:val="auto"/>
        </w:rPr>
        <w:t>We adopted a nominating and corporate governance committee charter, which details the purpose and responsibilities of the nominating and corporate governance committee, including:</w:t>
      </w:r>
    </w:p>
    <w:p>
      <w:pPr>
        <w:spacing w:after="0" w:line="170" w:lineRule="exact"/>
        <w:rPr>
          <w:sz w:val="20"/>
          <w:szCs w:val="20"/>
          <w:color w:val="auto"/>
        </w:rPr>
      </w:pPr>
    </w:p>
    <w:p>
      <w:pPr>
        <w:ind w:left="800" w:right="140" w:hanging="225"/>
        <w:spacing w:after="0" w:line="263"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83"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800" w:right="320" w:hanging="225"/>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9" w:name="page60"/>
    <w:bookmarkEnd w:id="59"/>
    <w:p>
      <w:pPr>
        <w:ind w:right="20" w:firstLine="583"/>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 The charter complies with the rules of the NYSE.</w:t>
      </w:r>
    </w:p>
    <w:p>
      <w:pPr>
        <w:spacing w:after="0" w:line="184" w:lineRule="exact"/>
        <w:rPr>
          <w:sz w:val="20"/>
          <w:szCs w:val="20"/>
          <w:color w:val="auto"/>
        </w:rPr>
      </w:pPr>
    </w:p>
    <w:p>
      <w:pPr>
        <w:ind w:firstLine="583"/>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00" w:firstLine="583"/>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80" w:firstLine="583"/>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officers, directors and persons who beneficially own more than ten percent of our common stock to file reports of ownership and changes in ownership with the SEC. These reporting persons are also required to furnish us with copies of all Section 16(a) forms they file. Based solely upon a review of such forms, we believe that during the period from April 30, 2020 (inception) through December 31, 2020, there were no delinquent filers.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adopted a Code of Ethics applicable to our directors, officers and employees.</w:t>
      </w:r>
    </w:p>
    <w:p>
      <w:pPr>
        <w:spacing w:after="0" w:line="225" w:lineRule="exact"/>
        <w:rPr>
          <w:sz w:val="20"/>
          <w:szCs w:val="20"/>
          <w:color w:val="auto"/>
        </w:rPr>
      </w:pPr>
    </w:p>
    <w:p>
      <w:pPr>
        <w:ind w:right="40" w:firstLine="583"/>
        <w:spacing w:after="0" w:line="263" w:lineRule="auto"/>
        <w:rPr>
          <w:sz w:val="20"/>
          <w:szCs w:val="20"/>
          <w:color w:val="auto"/>
        </w:rPr>
      </w:pPr>
      <w:r>
        <w:rPr>
          <w:rFonts w:ascii="Arial" w:cs="Arial" w:eastAsia="Arial" w:hAnsi="Arial"/>
          <w:sz w:val="18"/>
          <w:szCs w:val="18"/>
          <w:color w:val="auto"/>
        </w:rPr>
        <w:t>You will be able to review these documents by accessing our public filings at the SEC’s website at www.sec.gov. In addition, a copy of the Code of Ethics will be provided without charge upon request from us. We intend to disclose any amendments to or waivers of certain provisions of our Code of Ethics in a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60" w:firstLine="583"/>
        <w:spacing w:after="0" w:line="284" w:lineRule="auto"/>
        <w:rPr>
          <w:sz w:val="20"/>
          <w:szCs w:val="20"/>
          <w:color w:val="auto"/>
        </w:rPr>
      </w:pPr>
      <w:r>
        <w:rPr>
          <w:rFonts w:ascii="Arial" w:cs="Arial" w:eastAsia="Arial" w:hAnsi="Arial"/>
          <w:sz w:val="16"/>
          <w:szCs w:val="16"/>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“Item 1. Business</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Sourcing of Potential Business Combination Targets”). These conflicts may not be resolved in our favor and a potential target business may be presented to another entity prior to its presentation to us.</w:t>
      </w:r>
    </w:p>
    <w:p>
      <w:pPr>
        <w:spacing w:after="0" w:line="185" w:lineRule="exact"/>
        <w:rPr>
          <w:sz w:val="20"/>
          <w:szCs w:val="20"/>
          <w:color w:val="auto"/>
        </w:rPr>
      </w:pPr>
    </w:p>
    <w:p>
      <w:pPr>
        <w:ind w:right="120" w:firstLine="583"/>
        <w:spacing w:after="0" w:line="257"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M. Klein and Company, or policies applicable to M. Klein and Company, will materially affect our ability to complete our initial business combination.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0" w:name="page61"/>
    <w:bookmarkEnd w:id="60"/>
    <w:p>
      <w:pPr>
        <w:ind w:right="40" w:firstLine="583"/>
        <w:spacing w:after="0" w:line="308" w:lineRule="auto"/>
        <w:rPr>
          <w:sz w:val="20"/>
          <w:szCs w:val="20"/>
          <w:color w:val="auto"/>
        </w:rPr>
      </w:pPr>
      <w:r>
        <w:rPr>
          <w:rFonts w:ascii="Arial" w:cs="Arial" w:eastAsia="Arial" w:hAnsi="Arial"/>
          <w:sz w:val="17"/>
          <w:szCs w:val="17"/>
          <w:color w:val="auto"/>
        </w:rPr>
        <w:t>Our sponsor, officers and directors may participate in the formation of, or become an officer or director of, any other blank check company prior to completion of our initial business combination. Potential investors should also be aware of the following other potential conflicts of interest:</w:t>
      </w:r>
    </w:p>
    <w:p>
      <w:pPr>
        <w:spacing w:after="0" w:line="146" w:lineRule="exact"/>
        <w:rPr>
          <w:sz w:val="20"/>
          <w:szCs w:val="20"/>
          <w:color w:val="auto"/>
        </w:rPr>
      </w:pPr>
    </w:p>
    <w:p>
      <w:pPr>
        <w:ind w:left="800" w:right="500" w:hanging="225"/>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 (including the activities of M. Klein and Company).</w:t>
      </w:r>
    </w:p>
    <w:p>
      <w:pPr>
        <w:spacing w:after="0" w:line="170" w:lineRule="exact"/>
        <w:rPr>
          <w:rFonts w:ascii="Arial" w:cs="Arial" w:eastAsia="Arial" w:hAnsi="Arial"/>
          <w:sz w:val="18"/>
          <w:szCs w:val="18"/>
          <w:color w:val="auto"/>
        </w:rPr>
      </w:pPr>
    </w:p>
    <w:p>
      <w:pPr>
        <w:ind w:left="800" w:hanging="225"/>
        <w:spacing w:after="0" w:line="263"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83" w:lineRule="exact"/>
        <w:rPr>
          <w:rFonts w:ascii="Arial" w:cs="Arial" w:eastAsia="Arial" w:hAnsi="Arial"/>
          <w:sz w:val="18"/>
          <w:szCs w:val="18"/>
          <w:color w:val="auto"/>
        </w:rPr>
      </w:pPr>
    </w:p>
    <w:p>
      <w:pPr>
        <w:ind w:left="800" w:hanging="225"/>
        <w:spacing w:after="0" w:line="285"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redemption rights with respect to any founder shares held by them if we fail to consummate our initial business combination within the completion window. However, if our initial stockholders or any of our officers, directors or affiliates acquire public shares in or after the IPO, they will be entitled to liquidating distributions from the trust account with respect to such public shares if we fail to consummate our initial business combination within the completion window.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stockholders until the earlier of: (1) one year after the completion of our initial business combination; and (2) the date on which we consummate a liquidation, merger, stock exchange, reorganization or other similar transaction after our initial business combination that results in all of our public stockholders having the right to exchange their shares of common stock for cash, securities or other property. Notwithstanding the foregoing,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shares of common stock underlying such warrants, will not be transferable, assignable or salable by our sponsor until 30 days after the completion of our initial business combination. Since our sponsor, officers and directors may directly or indirectly own common stock and warrants, our officers and directors may have a conflict of interest in determining whether a particular target business is an appropriate business with which to effectuate our initial business combination.</w:t>
      </w:r>
    </w:p>
    <w:p>
      <w:pPr>
        <w:spacing w:after="0" w:line="171" w:lineRule="exact"/>
        <w:rPr>
          <w:rFonts w:ascii="Arial" w:cs="Arial" w:eastAsia="Arial" w:hAnsi="Arial"/>
          <w:sz w:val="16"/>
          <w:szCs w:val="16"/>
          <w:color w:val="auto"/>
        </w:rPr>
      </w:pPr>
    </w:p>
    <w:p>
      <w:pPr>
        <w:ind w:left="800" w:right="160" w:hanging="225"/>
        <w:spacing w:after="0" w:line="286" w:lineRule="auto"/>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65" w:lineRule="exact"/>
        <w:rPr>
          <w:rFonts w:ascii="Arial" w:cs="Arial" w:eastAsia="Arial" w:hAnsi="Arial"/>
          <w:sz w:val="17"/>
          <w:szCs w:val="17"/>
          <w:color w:val="auto"/>
        </w:rPr>
      </w:pPr>
    </w:p>
    <w:p>
      <w:pPr>
        <w:ind w:left="800" w:right="160" w:hanging="225"/>
        <w:spacing w:after="0" w:line="342"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key personnel may have a conflict of interest with respect to evaluating a particular business combination if the retention or resignation of any such key personnel was included by a target business as a condition to any agreement with respect to our initial business combination.</w:t>
      </w:r>
    </w:p>
    <w:p>
      <w:pPr>
        <w:spacing w:after="0" w:line="123" w:lineRule="exact"/>
        <w:rPr>
          <w:rFonts w:ascii="Arial" w:cs="Arial" w:eastAsia="Arial" w:hAnsi="Arial"/>
          <w:sz w:val="16"/>
          <w:szCs w:val="16"/>
          <w:color w:val="auto"/>
        </w:rPr>
      </w:pPr>
    </w:p>
    <w:p>
      <w:pPr>
        <w:ind w:left="800" w:right="20" w:hanging="225"/>
        <w:spacing w:after="0" w:line="25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 See “Item 1A. Risk Factors — We may engage an affiliate of our sponsor who may be entitled to earn an advisory fee upon the completion of an initial business combination. Its financial interest in the completion of the business combination may influence the advice it provides the Company.”</w:t>
      </w:r>
    </w:p>
    <w:p>
      <w:pPr>
        <w:spacing w:after="0" w:line="187"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conflicts described above may not be resolved in our favor.</w:t>
      </w:r>
    </w:p>
    <w:p>
      <w:pPr>
        <w:spacing w:after="0" w:line="225" w:lineRule="exact"/>
        <w:rPr>
          <w:rFonts w:ascii="Arial" w:cs="Arial" w:eastAsia="Arial" w:hAnsi="Arial"/>
          <w:sz w:val="18"/>
          <w:szCs w:val="18"/>
          <w:color w:val="auto"/>
        </w:rPr>
      </w:pPr>
    </w:p>
    <w:p>
      <w:pPr>
        <w:ind w:left="800" w:right="720" w:hanging="225"/>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1" w:name="page62"/>
    <w:bookmarkEnd w:id="61"/>
    <w:p>
      <w:pPr>
        <w:spacing w:after="0" w:line="106" w:lineRule="exact"/>
        <w:rPr>
          <w:sz w:val="20"/>
          <w:szCs w:val="20"/>
          <w:color w:val="auto"/>
        </w:rPr>
      </w:pPr>
    </w:p>
    <w:p>
      <w:pPr>
        <w:ind w:right="40" w:firstLine="583"/>
        <w:spacing w:after="0" w:line="293" w:lineRule="auto"/>
        <w:rPr>
          <w:sz w:val="20"/>
          <w:szCs w:val="20"/>
          <w:color w:val="auto"/>
        </w:rPr>
      </w:pPr>
      <w:r>
        <w:rPr>
          <w:rFonts w:ascii="Arial" w:cs="Arial" w:eastAsia="Arial" w:hAnsi="Arial"/>
          <w:sz w:val="16"/>
          <w:szCs w:val="16"/>
          <w:color w:val="auto"/>
        </w:rPr>
        <w:t>Accordingly, as a result of multiple business affiliations, our officers and directors have similar legal obligations and duties relating to presenting business opportunities meeting the above-listed criteria to multiple entities. Furthermore, our amended and restated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and there will not be any expectancy that any of our directors or officers will offer any such corporate opportunity of which he or she may become aware to us. Below is a table summarizing the entities to which our officers, directors and director nominees currently have fiduciary duties or contractual obligations that may present a conflict of interest: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Name of Individual</w:t>
            </w:r>
          </w:p>
        </w:tc>
        <w:tc>
          <w:tcPr>
            <w:tcW w:w="220" w:type="dxa"/>
            <w:vAlign w:val="bottom"/>
          </w:tcPr>
          <w:p>
            <w:pPr>
              <w:spacing w:after="0"/>
              <w:rPr>
                <w:sz w:val="19"/>
                <w:szCs w:val="19"/>
                <w:color w:val="auto"/>
              </w:rPr>
            </w:pPr>
          </w:p>
        </w:tc>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Entity Name</w:t>
            </w:r>
          </w:p>
        </w:tc>
        <w:tc>
          <w:tcPr>
            <w:tcW w:w="220" w:type="dxa"/>
            <w:vAlign w:val="bottom"/>
          </w:tcPr>
          <w:p>
            <w:pPr>
              <w:spacing w:after="0"/>
              <w:rPr>
                <w:sz w:val="19"/>
                <w:szCs w:val="19"/>
                <w:color w:val="auto"/>
              </w:rPr>
            </w:pPr>
          </w:p>
        </w:tc>
        <w:tc>
          <w:tcPr>
            <w:tcW w:w="25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Entity’s Business</w:t>
            </w:r>
          </w:p>
        </w:tc>
        <w:tc>
          <w:tcPr>
            <w:tcW w:w="220" w:type="dxa"/>
            <w:vAlign w:val="bottom"/>
          </w:tcPr>
          <w:p>
            <w:pPr>
              <w:spacing w:after="0"/>
              <w:rPr>
                <w:sz w:val="19"/>
                <w:szCs w:val="19"/>
                <w:color w:val="auto"/>
              </w:rPr>
            </w:pPr>
          </w:p>
        </w:tc>
        <w:tc>
          <w:tcPr>
            <w:tcW w:w="258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Affiliation</w:t>
            </w:r>
          </w:p>
        </w:tc>
      </w:tr>
      <w:tr>
        <w:trPr>
          <w:trHeight w:val="195"/>
        </w:trPr>
        <w:tc>
          <w:tcPr>
            <w:tcW w:w="2380" w:type="dxa"/>
            <w:vAlign w:val="bottom"/>
          </w:tcPr>
          <w:p>
            <w:pPr>
              <w:spacing w:after="0" w:line="195" w:lineRule="exact"/>
              <w:rPr>
                <w:sz w:val="20"/>
                <w:szCs w:val="20"/>
                <w:color w:val="auto"/>
              </w:rPr>
            </w:pPr>
            <w:r>
              <w:rPr>
                <w:rFonts w:ascii="Arial" w:cs="Arial" w:eastAsia="Arial" w:hAnsi="Arial"/>
                <w:sz w:val="18"/>
                <w:szCs w:val="18"/>
                <w:color w:val="auto"/>
              </w:rPr>
              <w:t>Michael Klein</w:t>
            </w:r>
          </w:p>
        </w:tc>
        <w:tc>
          <w:tcPr>
            <w:tcW w:w="220" w:type="dxa"/>
            <w:vAlign w:val="bottom"/>
          </w:tcPr>
          <w:p>
            <w:pPr>
              <w:spacing w:after="0"/>
              <w:rPr>
                <w:sz w:val="16"/>
                <w:szCs w:val="16"/>
                <w:color w:val="auto"/>
              </w:rPr>
            </w:pPr>
          </w:p>
        </w:tc>
        <w:tc>
          <w:tcPr>
            <w:tcW w:w="3040" w:type="dxa"/>
            <w:vAlign w:val="bottom"/>
          </w:tcPr>
          <w:p>
            <w:pPr>
              <w:spacing w:after="0" w:line="195" w:lineRule="exact"/>
              <w:rPr>
                <w:sz w:val="20"/>
                <w:szCs w:val="20"/>
                <w:color w:val="auto"/>
              </w:rPr>
            </w:pPr>
            <w:r>
              <w:rPr>
                <w:rFonts w:ascii="Arial" w:cs="Arial" w:eastAsia="Arial" w:hAnsi="Arial"/>
                <w:sz w:val="18"/>
                <w:szCs w:val="18"/>
                <w:color w:val="auto"/>
              </w:rPr>
              <w:t>M. Klein and Company</w:t>
            </w:r>
          </w:p>
        </w:tc>
        <w:tc>
          <w:tcPr>
            <w:tcW w:w="220" w:type="dxa"/>
            <w:vAlign w:val="bottom"/>
          </w:tcPr>
          <w:p>
            <w:pPr>
              <w:spacing w:after="0"/>
              <w:rPr>
                <w:sz w:val="16"/>
                <w:szCs w:val="16"/>
                <w:color w:val="auto"/>
              </w:rPr>
            </w:pPr>
          </w:p>
        </w:tc>
        <w:tc>
          <w:tcPr>
            <w:tcW w:w="2580" w:type="dxa"/>
            <w:vAlign w:val="bottom"/>
          </w:tcPr>
          <w:p>
            <w:pPr>
              <w:spacing w:after="0" w:line="195" w:lineRule="exact"/>
              <w:rPr>
                <w:sz w:val="20"/>
                <w:szCs w:val="20"/>
                <w:color w:val="auto"/>
              </w:rPr>
            </w:pPr>
            <w:r>
              <w:rPr>
                <w:rFonts w:ascii="Arial" w:cs="Arial" w:eastAsia="Arial" w:hAnsi="Arial"/>
                <w:sz w:val="18"/>
                <w:szCs w:val="18"/>
                <w:color w:val="auto"/>
              </w:rPr>
              <w:t>Strategic advice</w:t>
            </w:r>
          </w:p>
        </w:tc>
        <w:tc>
          <w:tcPr>
            <w:tcW w:w="220" w:type="dxa"/>
            <w:vAlign w:val="bottom"/>
          </w:tcPr>
          <w:p>
            <w:pPr>
              <w:spacing w:after="0"/>
              <w:rPr>
                <w:sz w:val="16"/>
                <w:szCs w:val="16"/>
                <w:color w:val="auto"/>
              </w:rPr>
            </w:pPr>
          </w:p>
        </w:tc>
        <w:tc>
          <w:tcPr>
            <w:tcW w:w="2580" w:type="dxa"/>
            <w:vAlign w:val="bottom"/>
          </w:tcPr>
          <w:p>
            <w:pPr>
              <w:spacing w:after="0" w:line="195" w:lineRule="exact"/>
              <w:rPr>
                <w:sz w:val="20"/>
                <w:szCs w:val="20"/>
                <w:color w:val="auto"/>
              </w:rPr>
            </w:pPr>
            <w:r>
              <w:rPr>
                <w:rFonts w:ascii="Arial" w:cs="Arial" w:eastAsia="Arial" w:hAnsi="Arial"/>
                <w:sz w:val="18"/>
                <w:szCs w:val="18"/>
                <w:color w:val="auto"/>
                <w:w w:val="99"/>
              </w:rPr>
              <w:t>Founder and Managing Member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Credit Suisse Group AG</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Financial services</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Credit Suisse AG</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Financial services</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w w:val="95"/>
              </w:rPr>
              <w:t>Chief Executive Officer, President</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w w:val="95"/>
              </w:rPr>
              <w:t>Chief Executive Officer, President</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MultiPlan, Inc.</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Healthcare cost management</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solutions</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w w:val="95"/>
              </w:rPr>
              <w:t>Chief Executive Officer, President</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w w:val="95"/>
              </w:rPr>
              <w:t>Chief Executive Officer, President</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AltC Acquisition Corp.</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w w:val="95"/>
              </w:rPr>
              <w:t>Chief Executive Officer, President</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Jay Taragin</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 Klein and Company</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Strategic advice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AltC Acquisition Corp.</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Glenn R. August</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Oak Hill Advisors</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Investment</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w w:val="93"/>
              </w:rPr>
              <w:t>Founder, Senior Partner and Chief</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Executive Officer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William J. Bynum</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HOPE</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Financial services</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Bonnie Jonas</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Pallas Global Group</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Monitoring and consulting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Co-Founder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Mark Klein</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 Klein and Company</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Strategic advice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Managing Member and Majority</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Partner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Sutter Rock Capital</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Investment</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Atlantic Alliance Partnership Corp.</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Malcolm S. McDermid</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Emerson Collective</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Investment</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Managing 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Karen G. Mills</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MMP Group</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Private equity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Envoy Global</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Immigration services</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II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w:t>
            </w: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Churchill Capital Corp VII</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Blank check company</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200" w:firstLine="583"/>
        <w:spacing w:after="0" w:line="275"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“Item 1. Business — Sourcing of Potential Business Combination Targets”). These conflicts may not be resolved in our favor and a potential target business may be presented to another entity prior to its presentation to us.</w:t>
      </w:r>
    </w:p>
    <w:p>
      <w:pPr>
        <w:spacing w:after="0" w:line="176" w:lineRule="exact"/>
        <w:rPr>
          <w:sz w:val="20"/>
          <w:szCs w:val="20"/>
          <w:color w:val="auto"/>
        </w:rPr>
      </w:pPr>
    </w:p>
    <w:p>
      <w:pPr>
        <w:ind w:right="120" w:firstLine="583"/>
        <w:spacing w:after="0" w:line="311" w:lineRule="auto"/>
        <w:rPr>
          <w:sz w:val="20"/>
          <w:szCs w:val="20"/>
          <w:color w:val="auto"/>
        </w:rPr>
      </w:pPr>
      <w:r>
        <w:rPr>
          <w:rFonts w:ascii="Arial" w:cs="Arial" w:eastAsia="Arial" w:hAnsi="Arial"/>
          <w:sz w:val="16"/>
          <w:szCs w:val="16"/>
          <w:color w:val="auto"/>
        </w:rPr>
        <w:t>We do not believe, however, that the fiduciary, contractual or other obligations or duties of our officers or directors, or M. Klein and Company, or policies applicable to M. Klein and Company, will materially affect our ability to complete our initial business combination. Our amended and restated certificate of incorporation provides that we renounce our interest in any corporate opportunity offered to any director or officer unless such opportunity is</w:t>
      </w:r>
    </w:p>
    <w:p>
      <w:pPr>
        <w:sectPr>
          <w:pgSz w:w="11900" w:h="16944" w:orient="portrait"/>
          <w:cols w:equalWidth="0" w:num="1">
            <w:col w:w="11240"/>
          </w:cols>
          <w:pgMar w:left="320" w:top="908" w:right="339" w:bottom="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expressly offered to such person solely in his or her capacity as a director or officer of our company and such opportunity is one we are legally and contractually permitted to undertake and would otherwise be reasonable for us to pursue.</w:t>
      </w: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125" w:right="999" w:bottom="1440" w:gutter="0" w:footer="0" w:header="0"/>
        </w:sectPr>
      </w:pPr>
    </w:p>
    <w:bookmarkStart w:id="63" w:name="page64"/>
    <w:bookmarkEnd w:id="63"/>
    <w:p>
      <w:pPr>
        <w:ind w:right="260" w:firstLine="583"/>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M. Klein and Company, our sponsor, officers or directors. In the event we seek to complete our initial business combination with a business that is affiliated with M. Klein and Company, our sponsor, officers or directors, we, or a committee of independent and 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176" w:lineRule="exact"/>
        <w:rPr>
          <w:sz w:val="20"/>
          <w:szCs w:val="20"/>
          <w:color w:val="auto"/>
        </w:rPr>
      </w:pPr>
    </w:p>
    <w:p>
      <w:pPr>
        <w:ind w:right="100" w:firstLine="583"/>
        <w:spacing w:after="0" w:line="259" w:lineRule="auto"/>
        <w:rPr>
          <w:sz w:val="20"/>
          <w:szCs w:val="20"/>
          <w:color w:val="auto"/>
        </w:rPr>
      </w:pPr>
      <w:r>
        <w:rPr>
          <w:rFonts w:ascii="Arial" w:cs="Arial" w:eastAsia="Arial" w:hAnsi="Arial"/>
          <w:sz w:val="18"/>
          <w:szCs w:val="18"/>
          <w:color w:val="auto"/>
        </w:rPr>
        <w:t>In addition, our sponsor or any of its affiliates (including M. Klein and Company)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187" w:lineRule="exact"/>
        <w:rPr>
          <w:sz w:val="20"/>
          <w:szCs w:val="20"/>
          <w:color w:val="auto"/>
        </w:rPr>
      </w:pPr>
    </w:p>
    <w:p>
      <w:pPr>
        <w:ind w:right="80" w:firstLine="583"/>
        <w:spacing w:after="0" w:line="286" w:lineRule="auto"/>
        <w:rPr>
          <w:sz w:val="20"/>
          <w:szCs w:val="20"/>
          <w:color w:val="auto"/>
        </w:rPr>
      </w:pPr>
      <w:r>
        <w:rPr>
          <w:rFonts w:ascii="Arial" w:cs="Arial" w:eastAsia="Arial" w:hAnsi="Arial"/>
          <w:sz w:val="17"/>
          <w:szCs w:val="17"/>
          <w:color w:val="auto"/>
        </w:rPr>
        <w:t>In the event that we submit our initial business combination to our public stockholders for a vote, our initial stockholders, officers and directors have agreed to vote any founder shares and any public shares held by them in favor of our initial business combination, and our officers and directors have also agreed to vote public shares purchased by them (if any) during or after the IPO in favor of our initial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180" w:firstLine="583"/>
        <w:spacing w:after="0" w:line="259" w:lineRule="auto"/>
        <w:rPr>
          <w:sz w:val="20"/>
          <w:szCs w:val="20"/>
          <w:color w:val="auto"/>
        </w:rPr>
      </w:pPr>
      <w:r>
        <w:rPr>
          <w:rFonts w:ascii="Arial" w:cs="Arial" w:eastAsia="Arial" w:hAnsi="Arial"/>
          <w:sz w:val="18"/>
          <w:szCs w:val="18"/>
          <w:color w:val="auto"/>
        </w:rPr>
        <w:t>Our amended and restated certificate of incorporation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stockholders for breaches of their fiduciary duty as directors, except to the extent such exemption from liability or limitation thereof is not permitted by the DGCL.</w:t>
      </w:r>
    </w:p>
    <w:p>
      <w:pPr>
        <w:spacing w:after="0" w:line="187" w:lineRule="exact"/>
        <w:rPr>
          <w:sz w:val="20"/>
          <w:szCs w:val="20"/>
          <w:color w:val="auto"/>
        </w:rPr>
      </w:pPr>
    </w:p>
    <w:p>
      <w:pPr>
        <w:ind w:right="20" w:firstLine="583"/>
        <w:spacing w:after="0" w:line="286" w:lineRule="auto"/>
        <w:rPr>
          <w:sz w:val="20"/>
          <w:szCs w:val="20"/>
          <w:color w:val="auto"/>
        </w:rPr>
      </w:pPr>
      <w:r>
        <w:rPr>
          <w:rFonts w:ascii="Arial" w:cs="Arial" w:eastAsia="Arial" w:hAnsi="Arial"/>
          <w:sz w:val="17"/>
          <w:szCs w:val="17"/>
          <w:color w:val="auto"/>
        </w:rPr>
        <w:t>We entered into agreements with our officers and directors to provide contractual indemnification in addition to the indemnification provided for in our amended and restated certificate of incorporation. Our bylaws also permit us to maintain insurance on behalf of any officer, director or employee for any liability arising out of his or her actions, regardless of whether Delaware law would permit such indemnification.</w:t>
      </w:r>
    </w:p>
    <w:p>
      <w:pPr>
        <w:spacing w:after="0" w:line="165" w:lineRule="exact"/>
        <w:rPr>
          <w:sz w:val="20"/>
          <w:szCs w:val="20"/>
          <w:color w:val="auto"/>
        </w:rPr>
      </w:pPr>
    </w:p>
    <w:p>
      <w:pPr>
        <w:ind w:right="200" w:firstLine="583"/>
        <w:spacing w:after="0" w:line="277" w:lineRule="auto"/>
        <w:rPr>
          <w:sz w:val="20"/>
          <w:szCs w:val="20"/>
          <w:color w:val="auto"/>
        </w:rPr>
      </w:pPr>
      <w:r>
        <w:rPr>
          <w:rFonts w:ascii="Arial" w:cs="Arial" w:eastAsia="Arial" w:hAnsi="Arial"/>
          <w:sz w:val="18"/>
          <w:szCs w:val="18"/>
          <w:color w:val="auto"/>
        </w:rPr>
        <w:t>We obtained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0" w:lineRule="exact"/>
        <w:rPr>
          <w:sz w:val="20"/>
          <w:szCs w:val="20"/>
          <w:color w:val="auto"/>
        </w:rPr>
      </w:pPr>
    </w:p>
    <w:p>
      <w:pPr>
        <w:jc w:val="both"/>
        <w:ind w:right="140" w:firstLine="583"/>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ind w:right="180" w:firstLine="583"/>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70" w:lineRule="exact"/>
        <w:rPr>
          <w:sz w:val="20"/>
          <w:szCs w:val="20"/>
          <w:color w:val="auto"/>
        </w:rPr>
      </w:pPr>
    </w:p>
    <w:p>
      <w:pPr>
        <w:ind w:right="140" w:firstLine="583"/>
        <w:spacing w:after="0" w:line="263" w:lineRule="auto"/>
        <w:rPr>
          <w:sz w:val="20"/>
          <w:szCs w:val="20"/>
          <w:color w:val="auto"/>
        </w:rPr>
      </w:pPr>
      <w:r>
        <w:rPr>
          <w:rFonts w:ascii="Arial" w:cs="Arial" w:eastAsia="Arial" w:hAnsi="Arial"/>
          <w:sz w:val="18"/>
          <w:szCs w:val="18"/>
          <w:color w:val="auto"/>
        </w:rPr>
        <w:t>In connection with the IPO, we have undertaken that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firstLine="583"/>
        <w:spacing w:after="0" w:line="275"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We pay monthly recurring expenses of $50,000 to an affiliate of our sponsor for office space, administrative and support services. Upon completion of the initial business combination or our liquidation, the Company will cease paying these monthly fees. Accordingly, in the event the consummation of the initial business combination takes the maximum 27 months, an affiliate of the sponsor will be paid a total of $1,350,000 ($50,000 per month) for office space, administrative and support services and will be entitled to be reimbursed for any out-of-pocket expenses.</w:t>
      </w:r>
    </w:p>
    <w:p>
      <w:pPr>
        <w:spacing w:after="0" w:line="176" w:lineRule="exact"/>
        <w:rPr>
          <w:sz w:val="20"/>
          <w:szCs w:val="20"/>
          <w:color w:val="auto"/>
        </w:rPr>
      </w:pPr>
    </w:p>
    <w:p>
      <w:pPr>
        <w:ind w:firstLine="583"/>
        <w:spacing w:after="0" w:line="311" w:lineRule="auto"/>
        <w:rPr>
          <w:sz w:val="20"/>
          <w:szCs w:val="20"/>
          <w:color w:val="auto"/>
        </w:rPr>
      </w:pPr>
      <w:r>
        <w:rPr>
          <w:rFonts w:ascii="Arial" w:cs="Arial" w:eastAsia="Arial" w:hAnsi="Arial"/>
          <w:sz w:val="16"/>
          <w:szCs w:val="16"/>
          <w:color w:val="auto"/>
        </w:rPr>
        <w:t>Our sponsor, executive officers, directors, or any of their respective affiliates, are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directors and our or their affiliates.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4" w:name="page65"/>
    <w:bookmarkEnd w:id="64"/>
    <w:p>
      <w:pPr>
        <w:ind w:right="160" w:firstLine="583"/>
        <w:spacing w:after="0" w:line="255" w:lineRule="auto"/>
        <w:rPr>
          <w:sz w:val="20"/>
          <w:szCs w:val="20"/>
          <w:color w:val="auto"/>
        </w:rPr>
      </w:pPr>
      <w:r>
        <w:rPr>
          <w:rFonts w:ascii="Arial" w:cs="Arial" w:eastAsia="Arial" w:hAnsi="Arial"/>
          <w:sz w:val="18"/>
          <w:szCs w:val="18"/>
          <w:color w:val="auto"/>
        </w:rPr>
        <w:t>After the completion of our business combination, directors or members of our management team who remain with us may be paid consulting, management or other fees from the combined company. All of these fees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executive officers will be determined by a compensation committee constituted solely by independent directors.</w:t>
      </w:r>
    </w:p>
    <w:p>
      <w:pPr>
        <w:spacing w:after="0" w:line="192" w:lineRule="exact"/>
        <w:rPr>
          <w:sz w:val="20"/>
          <w:szCs w:val="20"/>
          <w:color w:val="auto"/>
        </w:rPr>
      </w:pPr>
    </w:p>
    <w:p>
      <w:pPr>
        <w:ind w:right="40" w:firstLine="583"/>
        <w:spacing w:after="0" w:line="293" w:lineRule="auto"/>
        <w:rPr>
          <w:sz w:val="20"/>
          <w:szCs w:val="20"/>
          <w:color w:val="auto"/>
        </w:rPr>
      </w:pPr>
      <w:r>
        <w:rPr>
          <w:rFonts w:ascii="Arial" w:cs="Arial" w:eastAsia="Arial" w:hAnsi="Arial"/>
          <w:sz w:val="16"/>
          <w:szCs w:val="16"/>
          <w:color w:val="auto"/>
        </w:rPr>
        <w:t>We may not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annual report, by:</w:t>
      </w:r>
    </w:p>
    <w:p>
      <w:pPr>
        <w:spacing w:after="0" w:line="237" w:lineRule="exact"/>
        <w:rPr>
          <w:sz w:val="20"/>
          <w:szCs w:val="20"/>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225" w:lineRule="exact"/>
        <w:rPr>
          <w:sz w:val="20"/>
          <w:szCs w:val="20"/>
          <w:color w:val="auto"/>
        </w:rPr>
      </w:pPr>
    </w:p>
    <w:p>
      <w:pPr>
        <w:ind w:right="160" w:firstLine="583"/>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annual report.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Percentage of</w:t>
            </w:r>
          </w:p>
        </w:tc>
      </w:tr>
      <w:tr>
        <w:trPr>
          <w:trHeight w:val="216"/>
        </w:trPr>
        <w:tc>
          <w:tcPr>
            <w:tcW w:w="34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r>
      <w:tr>
        <w:trPr>
          <w:trHeight w:val="216"/>
        </w:trPr>
        <w:tc>
          <w:tcPr>
            <w:tcW w:w="34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r>
      <w:tr>
        <w:trPr>
          <w:trHeight w:val="270"/>
        </w:trPr>
        <w:tc>
          <w:tcPr>
            <w:tcW w:w="8300" w:type="dxa"/>
            <w:vAlign w:val="bottom"/>
            <w:tcBorders>
              <w:bottom w:val="single" w:sz="8" w:color="auto"/>
            </w:tcBorders>
            <w:gridSpan w:val="2"/>
          </w:tcPr>
          <w:p>
            <w:pPr>
              <w:spacing w:after="0" w:line="270" w:lineRule="exact"/>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29"/>
                <w:szCs w:val="29"/>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(2)</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60" w:type="dxa"/>
            <w:vAlign w:val="bottom"/>
            <w:tcBorders>
              <w:bottom w:val="single" w:sz="8" w:color="CCEEFF"/>
            </w:tcBorders>
          </w:tcPr>
          <w:p>
            <w:pPr>
              <w:spacing w:after="0"/>
              <w:rPr>
                <w:sz w:val="23"/>
                <w:szCs w:val="23"/>
                <w:color w:val="auto"/>
              </w:rPr>
            </w:pPr>
          </w:p>
        </w:tc>
      </w:tr>
      <w:tr>
        <w:trPr>
          <w:trHeight w:val="250"/>
        </w:trPr>
        <w:tc>
          <w:tcPr>
            <w:tcW w:w="83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8"/>
                <w:szCs w:val="28"/>
                <w:color w:val="auto"/>
                <w:vertAlign w:val="superscript"/>
              </w:rPr>
              <w:t>(2)(3)</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51,750,000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57"/>
        </w:trPr>
        <w:tc>
          <w:tcPr>
            <w:tcW w:w="8400" w:type="dxa"/>
            <w:vAlign w:val="bottom"/>
            <w:gridSpan w:val="3"/>
          </w:tcPr>
          <w:p>
            <w:pPr>
              <w:spacing w:after="0" w:line="256" w:lineRule="exact"/>
              <w:rPr>
                <w:sz w:val="20"/>
                <w:szCs w:val="20"/>
                <w:color w:val="auto"/>
              </w:rPr>
            </w:pPr>
            <w:r>
              <w:rPr>
                <w:rFonts w:ascii="Arial" w:cs="Arial" w:eastAsia="Arial" w:hAnsi="Arial"/>
                <w:sz w:val="18"/>
                <w:szCs w:val="18"/>
                <w:color w:val="auto"/>
              </w:rPr>
              <w:t>Michael Klein</w:t>
            </w:r>
            <w:r>
              <w:rPr>
                <w:rFonts w:ascii="Arial" w:cs="Arial" w:eastAsia="Arial" w:hAnsi="Arial"/>
                <w:sz w:val="29"/>
                <w:szCs w:val="29"/>
                <w:color w:val="auto"/>
                <w:vertAlign w:val="superscript"/>
              </w:rPr>
              <w:t>(3)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51,750,000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Jay Taragin</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3"/>
          </w:tcPr>
          <w:p>
            <w:pPr>
              <w:spacing w:after="0"/>
              <w:rPr>
                <w:sz w:val="20"/>
                <w:szCs w:val="20"/>
                <w:color w:val="auto"/>
              </w:rPr>
            </w:pPr>
            <w:r>
              <w:rPr>
                <w:rFonts w:ascii="Arial" w:cs="Arial" w:eastAsia="Arial" w:hAnsi="Arial"/>
                <w:sz w:val="18"/>
                <w:szCs w:val="18"/>
                <w:color w:val="auto"/>
              </w:rPr>
              <w:t>Glenn R. August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J. Bynum</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3"/>
          </w:tcPr>
          <w:p>
            <w:pPr>
              <w:spacing w:after="0"/>
              <w:rPr>
                <w:sz w:val="20"/>
                <w:szCs w:val="20"/>
                <w:color w:val="auto"/>
              </w:rPr>
            </w:pPr>
            <w:r>
              <w:rPr>
                <w:rFonts w:ascii="Arial" w:cs="Arial" w:eastAsia="Arial" w:hAnsi="Arial"/>
                <w:sz w:val="18"/>
                <w:szCs w:val="18"/>
                <w:color w:val="auto"/>
              </w:rPr>
              <w:t>Bonnie Jonas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Klein</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3"/>
          </w:tcPr>
          <w:p>
            <w:pPr>
              <w:spacing w:after="0"/>
              <w:rPr>
                <w:sz w:val="20"/>
                <w:szCs w:val="20"/>
                <w:color w:val="auto"/>
              </w:rPr>
            </w:pPr>
            <w:r>
              <w:rPr>
                <w:rFonts w:ascii="Arial" w:cs="Arial" w:eastAsia="Arial" w:hAnsi="Arial"/>
                <w:sz w:val="18"/>
                <w:szCs w:val="18"/>
                <w:color w:val="auto"/>
              </w:rPr>
              <w:t>Malcolm S. McDermid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Karen G. Mills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400" w:type="dxa"/>
            <w:vAlign w:val="bottom"/>
            <w:gridSpan w:val="3"/>
          </w:tcPr>
          <w:p>
            <w:pPr>
              <w:spacing w:after="0" w:line="256" w:lineRule="exact"/>
              <w:rPr>
                <w:sz w:val="20"/>
                <w:szCs w:val="20"/>
                <w:color w:val="auto"/>
              </w:rPr>
            </w:pPr>
            <w:r>
              <w:rPr>
                <w:rFonts w:ascii="Arial" w:cs="Arial" w:eastAsia="Arial" w:hAnsi="Arial"/>
                <w:sz w:val="18"/>
                <w:szCs w:val="18"/>
                <w:color w:val="auto"/>
              </w:rPr>
              <w:t>Magnetar Financial LLC</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17,892,000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Glazer Capital, LLC</w:t>
            </w:r>
            <w:r>
              <w:rPr>
                <w:rFonts w:ascii="Arial" w:cs="Arial" w:eastAsia="Arial" w:hAnsi="Arial"/>
                <w:sz w:val="29"/>
                <w:szCs w:val="29"/>
                <w:color w:val="auto"/>
                <w:vertAlign w:val="superscript"/>
              </w:rPr>
              <w:t>(5)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12,313,947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56"/>
        </w:trPr>
        <w:tc>
          <w:tcPr>
            <w:tcW w:w="8400" w:type="dxa"/>
            <w:vAlign w:val="bottom"/>
            <w:gridSpan w:val="3"/>
          </w:tcPr>
          <w:p>
            <w:pPr>
              <w:spacing w:after="0" w:line="256" w:lineRule="exact"/>
              <w:rPr>
                <w:sz w:val="20"/>
                <w:szCs w:val="20"/>
                <w:color w:val="auto"/>
              </w:rPr>
            </w:pPr>
            <w:r>
              <w:rPr>
                <w:rFonts w:ascii="Arial" w:cs="Arial" w:eastAsia="Arial" w:hAnsi="Arial"/>
                <w:sz w:val="18"/>
                <w:szCs w:val="18"/>
                <w:color w:val="auto"/>
              </w:rPr>
              <w:t>Aristeia Capital, L.L.C.</w:t>
            </w:r>
            <w:r>
              <w:rPr>
                <w:rFonts w:ascii="Arial" w:cs="Arial" w:eastAsia="Arial" w:hAnsi="Arial"/>
                <w:sz w:val="29"/>
                <w:szCs w:val="29"/>
                <w:color w:val="auto"/>
                <w:vertAlign w:val="superscript"/>
              </w:rPr>
              <w:t>(6)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11,190,850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51,750,000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29"/>
        </w:trPr>
        <w:tc>
          <w:tcPr>
            <w:tcW w:w="3460" w:type="dxa"/>
            <w:vAlign w:val="bottom"/>
            <w:tcBorders>
              <w:bottom w:val="single" w:sz="8" w:color="auto"/>
            </w:tcBorders>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42" w:lineRule="exact"/>
        <w:rPr>
          <w:sz w:val="20"/>
          <w:szCs w:val="20"/>
          <w:color w:val="auto"/>
        </w:rPr>
      </w:pPr>
    </w:p>
    <w:p>
      <w:pPr>
        <w:ind w:left="460" w:right="80" w:hanging="331"/>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Churchill Capital Corp IV, 640 Fifth Avenue, 12th Floor, New York, NY 10019.</w:t>
      </w:r>
    </w:p>
    <w:p>
      <w:pPr>
        <w:spacing w:after="0" w:line="170" w:lineRule="exact"/>
        <w:rPr>
          <w:rFonts w:ascii="Arial" w:cs="Arial" w:eastAsia="Arial" w:hAnsi="Arial"/>
          <w:sz w:val="18"/>
          <w:szCs w:val="18"/>
          <w:color w:val="auto"/>
        </w:rPr>
      </w:pPr>
    </w:p>
    <w:p>
      <w:pPr>
        <w:ind w:left="460" w:right="420" w:hanging="331"/>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Interests shown consist solely of shares of Class B common stock which are referred to herein as founder shares. Such shares will automatically convert into shares of Class A common stock at the time of our initial business combination on a one-for-one basis, subject to adjustment, as described in our registration statement.</w:t>
      </w:r>
    </w:p>
    <w:p>
      <w:pPr>
        <w:spacing w:after="0" w:line="183" w:lineRule="exact"/>
        <w:rPr>
          <w:rFonts w:ascii="Arial" w:cs="Arial" w:eastAsia="Arial" w:hAnsi="Arial"/>
          <w:sz w:val="18"/>
          <w:szCs w:val="18"/>
          <w:color w:val="auto"/>
        </w:rPr>
      </w:pPr>
    </w:p>
    <w:p>
      <w:pPr>
        <w:ind w:left="460" w:right="140" w:hanging="331"/>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Michael Klein is the controlling stockholder of M. Klein Associates, Inc., which is the managing member of Churchill Sponsor IV LLC. The shares beneficially owned by Churchill Sponsor IV LLC may also be deemed to be beneficially owned by Mr. Klein.</w:t>
      </w:r>
    </w:p>
    <w:p>
      <w:pPr>
        <w:spacing w:after="0" w:line="170" w:lineRule="exact"/>
        <w:rPr>
          <w:rFonts w:ascii="Arial" w:cs="Arial" w:eastAsia="Arial" w:hAnsi="Arial"/>
          <w:sz w:val="18"/>
          <w:szCs w:val="18"/>
          <w:color w:val="auto"/>
        </w:rPr>
      </w:pPr>
    </w:p>
    <w:p>
      <w:pPr>
        <w:ind w:left="460" w:right="340" w:hanging="331"/>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solely upon the Schedule 13G filed by Magnetar Financial LLC, Magnetar Capital Partners LP, Supernova Management LLC and Alec N. Litowitz with the SEC on February 12, 2021. Beneficial ownership of these shares is shared with Magnetar Capital Partners LP, Supernova Management LLC and Alec N. Litowitz.</w:t>
      </w:r>
    </w:p>
    <w:p>
      <w:pPr>
        <w:spacing w:after="0" w:line="183" w:lineRule="exact"/>
        <w:rPr>
          <w:rFonts w:ascii="Arial" w:cs="Arial" w:eastAsia="Arial" w:hAnsi="Arial"/>
          <w:sz w:val="18"/>
          <w:szCs w:val="18"/>
          <w:color w:val="auto"/>
        </w:rPr>
      </w:pPr>
    </w:p>
    <w:p>
      <w:pPr>
        <w:ind w:left="460" w:right="360" w:hanging="331"/>
        <w:spacing w:after="0" w:line="34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solely upon the Schedule 13G filed by Glazer Capital, LLC, a Delaware limited liability company, on February 16, 2021. Paul J. Glazer, a United States citizen, serves as Managing Member of Glazer Capital, LLC. Beneficial ownership of these shares is shared with Paul J. Glazer.</w:t>
      </w:r>
    </w:p>
    <w:p>
      <w:pPr>
        <w:spacing w:after="0" w:line="123" w:lineRule="exact"/>
        <w:rPr>
          <w:rFonts w:ascii="Arial" w:cs="Arial" w:eastAsia="Arial" w:hAnsi="Arial"/>
          <w:sz w:val="16"/>
          <w:szCs w:val="16"/>
          <w:color w:val="auto"/>
        </w:rPr>
      </w:pPr>
    </w:p>
    <w:p>
      <w:pPr>
        <w:ind w:left="460" w:hanging="33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solely upon the Schedule 13G filed by Aristeia Capital, L.L.C., a Delaware limited liability company, on February 16,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0" w:gutter="0" w:footer="0" w:header="0"/>
        </w:sectPr>
      </w:pPr>
    </w:p>
    <w:bookmarkStart w:id="65" w:name="page66"/>
    <w:bookmarkEnd w:id="65"/>
    <w:p>
      <w:pPr>
        <w:ind w:right="60" w:firstLine="583"/>
        <w:spacing w:after="0" w:line="279" w:lineRule="auto"/>
        <w:rPr>
          <w:sz w:val="20"/>
          <w:szCs w:val="20"/>
          <w:color w:val="auto"/>
        </w:rPr>
      </w:pPr>
      <w:r>
        <w:rPr>
          <w:rFonts w:ascii="Arial" w:cs="Arial" w:eastAsia="Arial" w:hAnsi="Arial"/>
          <w:sz w:val="17"/>
          <w:szCs w:val="17"/>
          <w:color w:val="auto"/>
        </w:rPr>
        <w:t>Our sponsor beneficially own 20.0% of the issued and outstanding shares of our common stock. Our sponsor will have the right to elect all of our directors prior to the consummation of our initial business combination as a result of holding all of the founder shares. In addition, because of this ownership block, our initial stockholders may be able to effectively influence the outcome of all matters requiring approval by our stockholders, including amendments to our amended and restated certificate of incorporation and approval of significant corporate transactions.</w:t>
      </w:r>
    </w:p>
    <w:p>
      <w:pPr>
        <w:spacing w:after="0" w:line="171" w:lineRule="exact"/>
        <w:rPr>
          <w:sz w:val="20"/>
          <w:szCs w:val="20"/>
          <w:color w:val="auto"/>
        </w:rPr>
      </w:pPr>
    </w:p>
    <w:p>
      <w:pPr>
        <w:ind w:right="40" w:firstLine="583"/>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181" w:lineRule="exact"/>
        <w:rPr>
          <w:sz w:val="20"/>
          <w:szCs w:val="20"/>
          <w:color w:val="auto"/>
        </w:rPr>
      </w:pPr>
    </w:p>
    <w:p>
      <w:pPr>
        <w:ind w:right="60" w:firstLine="583"/>
        <w:spacing w:after="0" w:line="279" w:lineRule="auto"/>
        <w:rPr>
          <w:sz w:val="20"/>
          <w:szCs w:val="20"/>
          <w:color w:val="auto"/>
        </w:rPr>
      </w:pPr>
      <w:r>
        <w:rPr>
          <w:rFonts w:ascii="Arial" w:cs="Arial" w:eastAsia="Arial" w:hAnsi="Arial"/>
          <w:sz w:val="17"/>
          <w:szCs w:val="17"/>
          <w:color w:val="auto"/>
        </w:rPr>
        <w:t>Concurrently with the completion of the IPO, our sponsor purchased an aggregate of 42,850,000 warrants at a price of $1.00 per warrant, or $42,850,000 in the aggregate. An aggregate of $2,070,000,000 from the proceeds of the IPO and the private placement warrants was placed in a trust account such that the trust account held $2,070,000,000 at the time of closing of the IPO. Each whole private placement warrant entitles the holder thereof to purchase one share of Class A common stock at a price of $11.50 per share, subject to certain adjustments.</w:t>
      </w:r>
    </w:p>
    <w:p>
      <w:pPr>
        <w:spacing w:after="0" w:line="171" w:lineRule="exact"/>
        <w:rPr>
          <w:sz w:val="20"/>
          <w:szCs w:val="20"/>
          <w:color w:val="auto"/>
        </w:rPr>
      </w:pPr>
    </w:p>
    <w:p>
      <w:pPr>
        <w:jc w:val="both"/>
        <w:ind w:right="220" w:firstLine="583"/>
        <w:spacing w:after="0" w:line="263" w:lineRule="auto"/>
        <w:rPr>
          <w:sz w:val="20"/>
          <w:szCs w:val="20"/>
          <w:color w:val="auto"/>
        </w:rPr>
      </w:pPr>
      <w:r>
        <w:rPr>
          <w:rFonts w:ascii="Arial" w:cs="Arial" w:eastAsia="Arial" w:hAnsi="Arial"/>
          <w:sz w:val="18"/>
          <w:szCs w:val="18"/>
          <w:color w:val="auto"/>
        </w:rPr>
        <w:t>Our sponsor and our executive officers and directors are deemed to be our “promoters” as such term is defined under the federal securities laws. See “Item 13. Certain Relationships and Related Transactions, and Director Independence” below for additional information regarding our relationships with our promoters.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40" w:firstLine="583"/>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181" w:lineRule="exact"/>
        <w:rPr>
          <w:sz w:val="20"/>
          <w:szCs w:val="20"/>
          <w:color w:val="auto"/>
        </w:rPr>
      </w:pPr>
    </w:p>
    <w:p>
      <w:pPr>
        <w:ind w:firstLine="583"/>
        <w:spacing w:after="0" w:line="296" w:lineRule="auto"/>
        <w:rPr>
          <w:sz w:val="20"/>
          <w:szCs w:val="20"/>
          <w:color w:val="auto"/>
        </w:rPr>
      </w:pPr>
      <w:r>
        <w:rPr>
          <w:rFonts w:ascii="Arial" w:cs="Arial" w:eastAsia="Arial" w:hAnsi="Arial"/>
          <w:sz w:val="16"/>
          <w:szCs w:val="16"/>
          <w:color w:val="auto"/>
        </w:rPr>
        <w:t>Our sponsor purchased 42,850,000 private placement warrants for a purchase price of $1.00 per warrant in a private placement that occurred simultaneously with the closing of the IPO. As such, our sponsor’s interest in the IPO is valued at $42,850,000. Each private placement warrant entitles the holder thereof to purchase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our sponsor until 30 days after the completion of our initial business combination.</w:t>
      </w:r>
    </w:p>
    <w:p>
      <w:pPr>
        <w:spacing w:after="0" w:line="161" w:lineRule="exact"/>
        <w:rPr>
          <w:sz w:val="20"/>
          <w:szCs w:val="20"/>
          <w:color w:val="auto"/>
        </w:rPr>
      </w:pPr>
    </w:p>
    <w:p>
      <w:pPr>
        <w:jc w:val="both"/>
        <w:ind w:right="100" w:firstLine="583"/>
        <w:spacing w:after="0" w:line="263" w:lineRule="auto"/>
        <w:rPr>
          <w:sz w:val="20"/>
          <w:szCs w:val="20"/>
          <w:color w:val="auto"/>
        </w:rPr>
      </w:pPr>
      <w:r>
        <w:rPr>
          <w:rFonts w:ascii="Arial" w:cs="Arial" w:eastAsia="Arial" w:hAnsi="Arial"/>
          <w:sz w:val="18"/>
          <w:szCs w:val="18"/>
          <w:color w:val="auto"/>
        </w:rPr>
        <w:t>Michael Klein, Jay Taragin, Glenn R. August, William J. Bynum, Bonnie Jonas, Mark Klein, Malcolm S. McDermid and Karen G. Mills, each of whom is a director of the company, each has an indirect economic interest in the founder shares and private placement warrants purchased by our sponsor as a result of his or her membership interest in our sponsor.</w:t>
      </w:r>
    </w:p>
    <w:p>
      <w:pPr>
        <w:spacing w:after="0" w:line="184" w:lineRule="exact"/>
        <w:rPr>
          <w:sz w:val="20"/>
          <w:szCs w:val="20"/>
          <w:color w:val="auto"/>
        </w:rPr>
      </w:pPr>
    </w:p>
    <w:p>
      <w:pPr>
        <w:ind w:firstLine="583"/>
        <w:spacing w:after="0" w:line="255" w:lineRule="auto"/>
        <w:rPr>
          <w:sz w:val="20"/>
          <w:szCs w:val="20"/>
          <w:color w:val="auto"/>
        </w:rPr>
      </w:pPr>
      <w:r>
        <w:rPr>
          <w:rFonts w:ascii="Arial" w:cs="Arial" w:eastAsia="Arial" w:hAnsi="Arial"/>
          <w:sz w:val="18"/>
          <w:szCs w:val="18"/>
          <w:color w:val="auto"/>
        </w:rPr>
        <w:t>As described in “Item 1. Business — Sourcing of Potential Business Combination Targets” and “Item 10. Directors, Executive Officers and Corporate Governance — Conflicts of Interest.”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Our officers and directors currently have other relevant fiduciary, contractual or other obligations or duties that may take priority over their duties to us.</w:t>
      </w:r>
    </w:p>
    <w:p>
      <w:pPr>
        <w:spacing w:after="0" w:line="192" w:lineRule="exact"/>
        <w:rPr>
          <w:sz w:val="20"/>
          <w:szCs w:val="20"/>
          <w:color w:val="auto"/>
        </w:rPr>
      </w:pPr>
    </w:p>
    <w:p>
      <w:pPr>
        <w:ind w:right="320" w:firstLine="583"/>
        <w:spacing w:after="0" w:line="342" w:lineRule="auto"/>
        <w:rPr>
          <w:sz w:val="20"/>
          <w:szCs w:val="20"/>
          <w:color w:val="auto"/>
        </w:rPr>
      </w:pPr>
      <w:r>
        <w:rPr>
          <w:rFonts w:ascii="Arial" w:cs="Arial" w:eastAsia="Arial" w:hAnsi="Arial"/>
          <w:sz w:val="16"/>
          <w:szCs w:val="16"/>
          <w:color w:val="auto"/>
        </w:rPr>
        <w:t>Our sponsor loaned us an aggregate of $600,000 to cover expenses related to the IPO pursuant to a promissory note. The loan was non-interest bearing, unsecured and due on the earlier of December 31, 2020 or the closing of the IPO. We repaid the promissory note on August 3, 2020.</w:t>
      </w:r>
    </w:p>
    <w:p>
      <w:pPr>
        <w:spacing w:after="0" w:line="124" w:lineRule="exact"/>
        <w:rPr>
          <w:sz w:val="20"/>
          <w:szCs w:val="20"/>
          <w:color w:val="auto"/>
        </w:rPr>
      </w:pPr>
    </w:p>
    <w:p>
      <w:pPr>
        <w:ind w:right="60" w:firstLine="583"/>
        <w:spacing w:after="0" w:line="257" w:lineRule="auto"/>
        <w:rPr>
          <w:sz w:val="20"/>
          <w:szCs w:val="20"/>
          <w:color w:val="auto"/>
        </w:rPr>
      </w:pPr>
      <w:r>
        <w:rPr>
          <w:rFonts w:ascii="Arial" w:cs="Arial" w:eastAsia="Arial" w:hAnsi="Arial"/>
          <w:sz w:val="18"/>
          <w:szCs w:val="18"/>
          <w:color w:val="auto"/>
        </w:rPr>
        <w:t>We entered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 Accordingly, in the event the consummation of our initial business combination takes the maximum 27 months, an affiliate of our sponsor will be paid a total of $1,350,000 ($50,000 per month) for office space, administrative and support services and will be entitled to be reimbursed for any out-of-pocket expenses.</w:t>
      </w:r>
    </w:p>
    <w:p>
      <w:pPr>
        <w:spacing w:after="0" w:line="188" w:lineRule="exact"/>
        <w:rPr>
          <w:sz w:val="20"/>
          <w:szCs w:val="20"/>
          <w:color w:val="auto"/>
        </w:rPr>
      </w:pPr>
    </w:p>
    <w:p>
      <w:pPr>
        <w:ind w:right="140" w:firstLine="583"/>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254" w:gutter="0" w:footer="0" w:header="0"/>
        </w:sectPr>
      </w:pPr>
    </w:p>
    <w:bookmarkStart w:id="66" w:name="page67"/>
    <w:bookmarkEnd w:id="66"/>
    <w:p>
      <w:pPr>
        <w:ind w:firstLine="583"/>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166" w:lineRule="exact"/>
        <w:rPr>
          <w:sz w:val="20"/>
          <w:szCs w:val="20"/>
          <w:color w:val="auto"/>
        </w:rPr>
      </w:pPr>
    </w:p>
    <w:p>
      <w:pPr>
        <w:ind w:right="120" w:firstLine="583"/>
        <w:spacing w:after="0" w:line="296" w:lineRule="auto"/>
        <w:rPr>
          <w:sz w:val="20"/>
          <w:szCs w:val="20"/>
          <w:color w:val="auto"/>
        </w:rPr>
      </w:pPr>
      <w:r>
        <w:rPr>
          <w:rFonts w:ascii="Arial" w:cs="Arial" w:eastAsia="Arial" w:hAnsi="Arial"/>
          <w:sz w:val="16"/>
          <w:szCs w:val="16"/>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161" w:lineRule="exact"/>
        <w:rPr>
          <w:sz w:val="20"/>
          <w:szCs w:val="20"/>
          <w:color w:val="auto"/>
        </w:rPr>
      </w:pPr>
    </w:p>
    <w:p>
      <w:pPr>
        <w:ind w:right="40" w:firstLine="583"/>
        <w:spacing w:after="0" w:line="285" w:lineRule="auto"/>
        <w:rPr>
          <w:sz w:val="20"/>
          <w:szCs w:val="20"/>
          <w:color w:val="auto"/>
        </w:rPr>
      </w:pPr>
      <w:r>
        <w:rPr>
          <w:rFonts w:ascii="Arial" w:cs="Arial" w:eastAsia="Arial" w:hAnsi="Arial"/>
          <w:sz w:val="16"/>
          <w:szCs w:val="16"/>
          <w:color w:val="auto"/>
        </w:rPr>
        <w:t>We have entered into a registration rights agreement with respect to the founder shares, private placement warrants and warrants issued upon conversion of working capital loans (if any). 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dated as of July 29, 2020, requiring us to register such securities for resale (in the case of the founder shares, only after conversion 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(i) in the case of the founder shares, on the earlier of (A) one year after the completion of our initial business combination and (B) subsequent to our initial business combination, (x) if the last reported sale price of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and (2) in the case of the private placement warrants and the respective shares of Class A common stock underlying such warrants, 30 days after the completion of our initial business combination. We will bear the expenses incurred in connection with the filing of any such registration statements.</w:t>
      </w:r>
    </w:p>
    <w:p>
      <w:pPr>
        <w:spacing w:after="0" w:line="174" w:lineRule="exact"/>
        <w:rPr>
          <w:sz w:val="20"/>
          <w:szCs w:val="20"/>
          <w:color w:val="auto"/>
        </w:rPr>
      </w:pPr>
    </w:p>
    <w:p>
      <w:pPr>
        <w:ind w:right="340" w:firstLine="583"/>
        <w:spacing w:after="0" w:line="263"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120" w:firstLine="583"/>
        <w:spacing w:after="0" w:line="263" w:lineRule="auto"/>
        <w:rPr>
          <w:sz w:val="20"/>
          <w:szCs w:val="20"/>
          <w:color w:val="auto"/>
        </w:rPr>
      </w:pPr>
      <w:r>
        <w:rPr>
          <w:rFonts w:ascii="Arial" w:cs="Arial" w:eastAsia="Arial" w:hAnsi="Arial"/>
          <w:sz w:val="18"/>
          <w:szCs w:val="18"/>
          <w:color w:val="auto"/>
        </w:rPr>
        <w:t>We had not yet adopted a formal policy for the review, approval or ratification of related party transactions as of the completion of the IPO. Accordingly, the transactions discussed above (other than the engagement of the Klein Group) were not reviewed, approved or ratified in accordance with any such policy.</w:t>
      </w:r>
    </w:p>
    <w:p>
      <w:pPr>
        <w:spacing w:after="0" w:line="184" w:lineRule="exact"/>
        <w:rPr>
          <w:sz w:val="20"/>
          <w:szCs w:val="20"/>
          <w:color w:val="auto"/>
        </w:rPr>
      </w:pPr>
    </w:p>
    <w:p>
      <w:pPr>
        <w:ind w:right="80" w:firstLine="583"/>
        <w:spacing w:after="0" w:line="259" w:lineRule="auto"/>
        <w:rPr>
          <w:sz w:val="20"/>
          <w:szCs w:val="20"/>
          <w:color w:val="auto"/>
        </w:rPr>
      </w:pPr>
      <w:r>
        <w:rPr>
          <w:rFonts w:ascii="Arial" w:cs="Arial" w:eastAsia="Arial" w:hAnsi="Arial"/>
          <w:sz w:val="18"/>
          <w:szCs w:val="18"/>
          <w:color w:val="auto"/>
        </w:rPr>
        <w:t>Since the completion of the IPO, we have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includes any financial transaction, arrangement or relationship (including any indebtedness or guarantee of indebtedness) involving the company.</w:t>
      </w:r>
    </w:p>
    <w:p>
      <w:pPr>
        <w:spacing w:after="0" w:line="187" w:lineRule="exact"/>
        <w:rPr>
          <w:sz w:val="20"/>
          <w:szCs w:val="20"/>
          <w:color w:val="auto"/>
        </w:rPr>
      </w:pPr>
    </w:p>
    <w:p>
      <w:pPr>
        <w:ind w:right="60" w:firstLine="583"/>
        <w:spacing w:after="0" w:line="296" w:lineRule="auto"/>
        <w:rPr>
          <w:sz w:val="20"/>
          <w:szCs w:val="20"/>
          <w:color w:val="auto"/>
        </w:rPr>
      </w:pPr>
      <w:r>
        <w:rPr>
          <w:rFonts w:ascii="Arial" w:cs="Arial" w:eastAsia="Arial" w:hAnsi="Arial"/>
          <w:sz w:val="16"/>
          <w:szCs w:val="16"/>
          <w:color w:val="auto"/>
        </w:rPr>
        <w:t>In addition, our audit committee, pursuant to a written charter,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will be required to approve a related party transaction. Our audit committee will review on a quarterly basis all payments that were made by us to our sponsor, officers or directors, or our or any of their affiliates.</w:t>
      </w:r>
    </w:p>
    <w:p>
      <w:pPr>
        <w:spacing w:after="0" w:line="161" w:lineRule="exact"/>
        <w:rPr>
          <w:sz w:val="20"/>
          <w:szCs w:val="20"/>
          <w:color w:val="auto"/>
        </w:rPr>
      </w:pPr>
    </w:p>
    <w:p>
      <w:pPr>
        <w:ind w:right="40" w:firstLine="583"/>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80" w:firstLine="583"/>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which is a member of FINRA or an independent accounting firm that our initial business combination is fair to our company from a financial point of view. There will be no finder’s fees, 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 transaction that it is). However, the following payments will be, or have been, made to our sponsor, officers or directors, or our or their affiliates, and, if made prior to our initial business combination will be made from (i) funds held outside the trust account or (ii) permitted withdrawals:</w:t>
      </w:r>
    </w:p>
    <w:p>
      <w:pPr>
        <w:spacing w:after="0" w:line="178" w:lineRule="exact"/>
        <w:rPr>
          <w:sz w:val="20"/>
          <w:szCs w:val="20"/>
          <w:color w:val="auto"/>
        </w:rPr>
      </w:pPr>
    </w:p>
    <w:p>
      <w:pPr>
        <w:ind w:left="800" w:hanging="225"/>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repayment of $600,000 in loans made to us by our sponsor to cover offering-related and organizational expenses;</w:t>
      </w:r>
    </w:p>
    <w:p>
      <w:pPr>
        <w:spacing w:after="0" w:line="225" w:lineRule="exact"/>
        <w:rPr>
          <w:rFonts w:ascii="Arial" w:cs="Arial" w:eastAsia="Arial" w:hAnsi="Arial"/>
          <w:sz w:val="18"/>
          <w:szCs w:val="18"/>
          <w:color w:val="auto"/>
        </w:rPr>
      </w:pPr>
    </w:p>
    <w:p>
      <w:pPr>
        <w:ind w:left="800" w:hanging="22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payment to an affiliate of our sponsor of a total of $50,000 per month, for up to 27 months, for office space, administrative and support services;</w:t>
      </w:r>
    </w:p>
    <w:p>
      <w:pPr>
        <w:spacing w:after="0" w:line="248" w:lineRule="exact"/>
        <w:rPr>
          <w:rFonts w:ascii="Arial" w:cs="Arial" w:eastAsia="Arial" w:hAnsi="Arial"/>
          <w:sz w:val="16"/>
          <w:szCs w:val="16"/>
          <w:color w:val="auto"/>
        </w:rPr>
      </w:pPr>
    </w:p>
    <w:p>
      <w:pPr>
        <w:ind w:left="800" w:hanging="225"/>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ectPr>
          <w:pgSz w:w="11900" w:h="16838" w:orient="portrait"/>
          <w:cols w:equalWidth="0" w:num="1">
            <w:col w:w="11220"/>
          </w:cols>
          <w:pgMar w:left="320" w:top="908" w:right="359" w:bottom="0" w:gutter="0" w:footer="0" w:header="0"/>
        </w:sectPr>
      </w:pPr>
    </w:p>
    <w:bookmarkStart w:id="67" w:name="page68"/>
    <w:bookmarkEnd w:id="67"/>
    <w:p>
      <w:pPr>
        <w:ind w:left="800" w:hanging="225"/>
        <w:spacing w:after="0" w:line="259"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187" w:lineRule="exact"/>
        <w:rPr>
          <w:sz w:val="20"/>
          <w:szCs w:val="20"/>
          <w:color w:val="auto"/>
        </w:rPr>
      </w:pPr>
    </w:p>
    <w:p>
      <w:pPr>
        <w:ind w:right="80" w:firstLine="583"/>
        <w:spacing w:after="0" w:line="263" w:lineRule="auto"/>
        <w:rPr>
          <w:sz w:val="20"/>
          <w:szCs w:val="20"/>
          <w:color w:val="auto"/>
        </w:rPr>
      </w:pPr>
      <w:r>
        <w:rPr>
          <w:rFonts w:ascii="Arial" w:cs="Arial" w:eastAsia="Arial" w:hAnsi="Arial"/>
          <w:sz w:val="18"/>
          <w:szCs w:val="18"/>
          <w:color w:val="auto"/>
        </w:rPr>
        <w:t>These payments may be funded using the net proceeds of the IPO and the sale of the private placement warrants not held in the trust account or, upon completion of the initial business combination, from any amounts remaining from the proceeds of the trust account released to us in connection therewith.</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80" w:firstLine="583"/>
        <w:spacing w:after="0" w:line="255"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IPO. An “independent director” is defined generally as a person that, in the opinion of the company’s board of directors, has no material relationship with the listed company (either directly or as a partner, shareholder or officer of an organization that has a relationship with the company). We have “independent directors” as defined in the NYSE rules and applicable SEC rules. Our board has determined that each or Glenn R. August, William J. Bynum, Bonnie Jonas, Malcolm S. McDermid and Karen G. Mills is an independent director under applicable SEC and NYSE rules. Our independent directors will have regularly scheduled meetings at which only independent directors are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period from April 30, 2020 (inception) through December 31, 2020 totaled $93,040. The above amounts include interim procedures and audit fees, as well as attendance at audit committee meetings.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Audit-related services consist of fees billed for assurance and related services that are reasonably related to performance of the audit or</w:t>
      </w:r>
      <w:r>
        <w:rPr>
          <w:rFonts w:ascii="Arial" w:cs="Arial" w:eastAsia="Arial" w:hAnsi="Arial"/>
          <w:sz w:val="17"/>
          <w:szCs w:val="17"/>
          <w:i w:val="1"/>
          <w:iCs w:val="1"/>
          <w:color w:val="auto"/>
        </w:rPr>
        <w:t xml:space="preserve"> </w:t>
      </w:r>
      <w:r>
        <w:rPr>
          <w:rFonts w:ascii="Arial" w:cs="Arial" w:eastAsia="Arial" w:hAnsi="Arial"/>
          <w:sz w:val="17"/>
          <w:szCs w:val="17"/>
          <w:color w:val="auto"/>
        </w:rPr>
        <w:t>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period from April 30, 2020 (inception) through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We did not pay Marcum for tax planning and tax advice for the period from April 30, 2020 (inception) through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other services for the period from April 30, 2020 (inception) through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9" w:name="page70"/>
    <w:bookmarkEnd w:id="69"/>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80" w:hanging="55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at “Item 8. Financial Statements and Supplementary Data” herein.</w:t>
      </w:r>
    </w:p>
    <w:p>
      <w:pPr>
        <w:spacing w:after="0" w:line="225" w:lineRule="exact"/>
        <w:rPr>
          <w:rFonts w:ascii="Arial" w:cs="Arial" w:eastAsia="Arial" w:hAnsi="Arial"/>
          <w:sz w:val="18"/>
          <w:szCs w:val="18"/>
          <w:color w:val="auto"/>
        </w:rPr>
      </w:pPr>
    </w:p>
    <w:p>
      <w:pPr>
        <w:ind w:left="680" w:right="280" w:hanging="55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for the reason that the information is included in the financial statements or the notes thereto or that they are not required or are not applicable.</w:t>
      </w:r>
    </w:p>
    <w:p>
      <w:pPr>
        <w:spacing w:after="0" w:line="170" w:lineRule="exact"/>
        <w:rPr>
          <w:rFonts w:ascii="Arial" w:cs="Arial" w:eastAsia="Arial" w:hAnsi="Arial"/>
          <w:sz w:val="18"/>
          <w:szCs w:val="18"/>
          <w:color w:val="auto"/>
        </w:rPr>
      </w:pPr>
    </w:p>
    <w:p>
      <w:pPr>
        <w:ind w:left="680" w:right="60" w:hanging="55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 The exhibits listed in the accompanying index to exhibits are filed or incorporated by reference as part of this annual report on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33"/>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680" w:type="dxa"/>
            <w:vAlign w:val="bottom"/>
            <w:gridSpan w:val="2"/>
          </w:tcPr>
          <w:p>
            <w:pPr>
              <w:jc w:val="center"/>
              <w:ind w:left="370"/>
              <w:spacing w:after="0" w:line="169" w:lineRule="exact"/>
              <w:rPr>
                <w:rFonts w:ascii="Arial" w:cs="Arial" w:eastAsia="Arial" w:hAnsi="Arial"/>
                <w:sz w:val="18"/>
                <w:szCs w:val="18"/>
                <w:color w:val="0000EE"/>
                <w:w w:val="87"/>
              </w:rPr>
            </w:pPr>
            <w:hyperlink r:id="rId71">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42"/>
          </w:tcPr>
          <w:p>
            <w:pPr>
              <w:spacing w:after="0" w:line="169" w:lineRule="exact"/>
              <w:rPr>
                <w:rFonts w:ascii="Arial" w:cs="Arial" w:eastAsia="Arial" w:hAnsi="Arial"/>
                <w:sz w:val="18"/>
                <w:szCs w:val="18"/>
                <w:color w:val="0000EE"/>
                <w:w w:val="95"/>
              </w:rPr>
            </w:pPr>
            <w:hyperlink r:id="rId71">
              <w:r>
                <w:rPr>
                  <w:rFonts w:ascii="Arial" w:cs="Arial" w:eastAsia="Arial" w:hAnsi="Arial"/>
                  <w:sz w:val="18"/>
                  <w:szCs w:val="18"/>
                  <w:color w:val="0000EE"/>
                  <w:w w:val="95"/>
                </w:rPr>
                <w:t>Agreement and Plan of Merger, dated as of February 22, 2021, by and among Churchill Capital Corp IV, Air Merger Sub, Inc. and</w:t>
              </w:r>
            </w:hyperlink>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Atieva, Inc. (incorporated by reference to Exhibit 2.1 filed with the Company’s current report on Form 8-K filed by the Registrant on</w:t>
              </w:r>
            </w:hyperlink>
          </w:p>
        </w:tc>
        <w:tc>
          <w:tcPr>
            <w:tcW w:w="280" w:type="dxa"/>
            <w:vAlign w:val="bottom"/>
            <w:gridSpan w:val="1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February 22, 2021).</w:t>
              </w:r>
            </w:hyperlink>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gridSpan w:val="2"/>
          </w:tcPr>
          <w:p>
            <w:pPr>
              <w:jc w:val="center"/>
              <w:ind w:left="370"/>
              <w:spacing w:after="0" w:line="196" w:lineRule="exact"/>
              <w:rPr>
                <w:rFonts w:ascii="Arial" w:cs="Arial" w:eastAsia="Arial" w:hAnsi="Arial"/>
                <w:sz w:val="18"/>
                <w:szCs w:val="18"/>
                <w:color w:val="0000EE"/>
                <w:w w:val="87"/>
              </w:rPr>
            </w:pPr>
            <w:hyperlink r:id="rId7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6"/>
              </w:rPr>
            </w:pPr>
            <w:hyperlink r:id="rId72">
              <w:r>
                <w:rPr>
                  <w:rFonts w:ascii="Arial" w:cs="Arial" w:eastAsia="Arial" w:hAnsi="Arial"/>
                  <w:sz w:val="18"/>
                  <w:szCs w:val="18"/>
                  <w:color w:val="0000EE"/>
                  <w:w w:val="96"/>
                </w:rPr>
                <w:t>Amended and Restated Certificate of Incorporation (incorporated by reference to Exhibit 3.2 filed with the Company's registration</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statement on Form S-1 filed by the Registrant on July 14, 2020).</w:t>
              </w:r>
            </w:hyperlink>
          </w:p>
        </w:tc>
        <w:tc>
          <w:tcPr>
            <w:tcW w:w="480" w:type="dxa"/>
            <w:vAlign w:val="bottom"/>
            <w:gridSpan w:val="17"/>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gridSpan w:val="2"/>
          </w:tcPr>
          <w:p>
            <w:pPr>
              <w:jc w:val="center"/>
              <w:ind w:left="370"/>
              <w:spacing w:after="0" w:line="196" w:lineRule="exact"/>
              <w:rPr>
                <w:rFonts w:ascii="Arial" w:cs="Arial" w:eastAsia="Arial" w:hAnsi="Arial"/>
                <w:sz w:val="18"/>
                <w:szCs w:val="18"/>
                <w:color w:val="0000EE"/>
                <w:w w:val="87"/>
              </w:rPr>
            </w:pPr>
            <w:hyperlink r:id="rId7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Bylaws (incorporated by reference to Exhibit 3.3 filed with the Company’s registration statement on Form S-1 filed by the Registrant on</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July 14, 2020).</w:t>
              </w:r>
            </w:hyperlink>
          </w:p>
        </w:tc>
        <w:tc>
          <w:tcPr>
            <w:tcW w:w="8760" w:type="dxa"/>
            <w:vAlign w:val="bottom"/>
            <w:tcBorders>
              <w:top w:val="single" w:sz="8" w:color="0000EE"/>
            </w:tcBorders>
            <w:gridSpan w:val="39"/>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80" w:type="dxa"/>
            <w:vAlign w:val="bottom"/>
            <w:gridSpan w:val="2"/>
          </w:tcPr>
          <w:p>
            <w:pPr>
              <w:jc w:val="center"/>
              <w:ind w:left="370"/>
              <w:spacing w:after="0" w:line="196" w:lineRule="exact"/>
              <w:rPr>
                <w:rFonts w:ascii="Arial" w:cs="Arial" w:eastAsia="Arial" w:hAnsi="Arial"/>
                <w:sz w:val="18"/>
                <w:szCs w:val="18"/>
                <w:color w:val="0000EE"/>
                <w:w w:val="87"/>
              </w:rPr>
            </w:pPr>
            <w:hyperlink r:id="rId7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Specimen Unit Certificate (incorporated by reference to Exhibit 4.1 filed with the Company’s registration statement on Form S-1 filed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by the Registrant on July 14, 2020).</w:t>
              </w:r>
            </w:hyperlink>
          </w:p>
        </w:tc>
        <w:tc>
          <w:tcPr>
            <w:tcW w:w="7100" w:type="dxa"/>
            <w:vAlign w:val="bottom"/>
            <w:tcBorders>
              <w:top w:val="single" w:sz="8" w:color="0000EE"/>
            </w:tcBorders>
            <w:gridSpan w:val="28"/>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680" w:type="dxa"/>
            <w:vAlign w:val="bottom"/>
            <w:gridSpan w:val="2"/>
          </w:tcPr>
          <w:p>
            <w:pPr>
              <w:jc w:val="center"/>
              <w:ind w:left="370"/>
              <w:spacing w:after="0" w:line="196" w:lineRule="exact"/>
              <w:rPr>
                <w:rFonts w:ascii="Arial" w:cs="Arial" w:eastAsia="Arial" w:hAnsi="Arial"/>
                <w:sz w:val="18"/>
                <w:szCs w:val="18"/>
                <w:color w:val="0000EE"/>
                <w:w w:val="87"/>
              </w:rPr>
            </w:pPr>
            <w:hyperlink r:id="rId7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Specimen Class A Common Stock Certificate (incorporated by reference to Exhibit 4.2 filed with the Company’s registration statement</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on Form S-1 filed by the Registrant on July 14, 2020).</w:t>
              </w:r>
            </w:hyperlink>
          </w:p>
        </w:tc>
        <w:tc>
          <w:tcPr>
            <w:tcW w:w="140" w:type="dxa"/>
            <w:vAlign w:val="bottom"/>
            <w:gridSpan w:val="5"/>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gridSpan w:val="2"/>
          </w:tcPr>
          <w:p>
            <w:pPr>
              <w:jc w:val="center"/>
              <w:ind w:left="370"/>
              <w:spacing w:after="0" w:line="196" w:lineRule="exact"/>
              <w:rPr>
                <w:rFonts w:ascii="Arial" w:cs="Arial" w:eastAsia="Arial" w:hAnsi="Arial"/>
                <w:sz w:val="18"/>
                <w:szCs w:val="18"/>
                <w:color w:val="0000EE"/>
                <w:w w:val="87"/>
              </w:rPr>
            </w:pPr>
            <w:hyperlink r:id="rId7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Specimen Warrant Certificate (incorporated by reference to Exhibit 4.3 filed with the Company’s registration statement on Form S-1</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filed by the Registrant on July 14, 2020).</w:t>
              </w:r>
            </w:hyperlink>
          </w:p>
        </w:tc>
        <w:tc>
          <w:tcPr>
            <w:tcW w:w="6580" w:type="dxa"/>
            <w:vAlign w:val="bottom"/>
            <w:tcBorders>
              <w:top w:val="single" w:sz="8" w:color="0000EE"/>
            </w:tcBorders>
            <w:gridSpan w:val="19"/>
          </w:tcPr>
          <w:p>
            <w:pPr>
              <w:spacing w:after="0"/>
              <w:rPr>
                <w:sz w:val="17"/>
                <w:szCs w:val="17"/>
                <w:color w:val="auto"/>
              </w:rPr>
            </w:pPr>
          </w:p>
        </w:tc>
        <w:tc>
          <w:tcPr>
            <w:tcW w:w="340" w:type="dxa"/>
            <w:vAlign w:val="bottom"/>
            <w:gridSpan w:val="15"/>
          </w:tcPr>
          <w:p>
            <w:pPr>
              <w:spacing w:after="0"/>
              <w:rPr>
                <w:sz w:val="17"/>
                <w:szCs w:val="17"/>
                <w:color w:val="auto"/>
              </w:rPr>
            </w:pPr>
          </w:p>
        </w:tc>
      </w:tr>
      <w:tr>
        <w:trPr>
          <w:trHeight w:val="196"/>
        </w:trPr>
        <w:tc>
          <w:tcPr>
            <w:tcW w:w="680" w:type="dxa"/>
            <w:vAlign w:val="bottom"/>
            <w:gridSpan w:val="2"/>
          </w:tcPr>
          <w:p>
            <w:pPr>
              <w:jc w:val="center"/>
              <w:ind w:left="370"/>
              <w:spacing w:after="0" w:line="196" w:lineRule="exact"/>
              <w:rPr>
                <w:rFonts w:ascii="Arial" w:cs="Arial" w:eastAsia="Arial" w:hAnsi="Arial"/>
                <w:sz w:val="18"/>
                <w:szCs w:val="18"/>
                <w:color w:val="0000EE"/>
                <w:w w:val="87"/>
              </w:rPr>
            </w:pPr>
            <w:hyperlink r:id="rId7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Warrant Agreement, dated July 29, 2020, between Continental Stock Transfer &amp; Trust Company and the Registrant (incorporated by</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reference to Exhibit 4.1 filed with the Company’s current report on Form 8-K filed by the Registrant on August 4, 2020).</w:t>
              </w:r>
            </w:hyperlink>
          </w:p>
        </w:tc>
        <w:tc>
          <w:tcPr>
            <w:tcW w:w="340" w:type="dxa"/>
            <w:vAlign w:val="bottom"/>
            <w:gridSpan w:val="15"/>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7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Promissory Note, dated May 13, 2020, issued to Churchill Sponsor IV LLC (incorporated by reference to Exhibit 10.1 filed with the</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Company’s registration statement on Form S-1 filed by the Registrant on July 14, 2020).</w:t>
              </w:r>
            </w:hyperlink>
          </w:p>
        </w:tc>
        <w:tc>
          <w:tcPr>
            <w:tcW w:w="360" w:type="dxa"/>
            <w:vAlign w:val="bottom"/>
            <w:gridSpan w:val="16"/>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7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Letter Agreement, dated July 29, 2020, among the Registrant and its officers, directors and Churchill Sponsor IV LLC (incorporated by</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reference to Exhibit 10.1 filed with the Company’s current report on Form 8-K filed by the Registrant on August 4, 2020).</w:t>
              </w:r>
            </w:hyperlink>
          </w:p>
        </w:tc>
        <w:tc>
          <w:tcPr>
            <w:tcW w:w="960" w:type="dxa"/>
            <w:vAlign w:val="bottom"/>
            <w:tcBorders>
              <w:top w:val="single" w:sz="8" w:color="0000EE"/>
            </w:tcBorders>
            <w:gridSpan w:val="19"/>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8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7"/>
              </w:rPr>
            </w:pPr>
            <w:hyperlink r:id="rId80">
              <w:r>
                <w:rPr>
                  <w:rFonts w:ascii="Arial" w:cs="Arial" w:eastAsia="Arial" w:hAnsi="Arial"/>
                  <w:sz w:val="18"/>
                  <w:szCs w:val="18"/>
                  <w:color w:val="0000EE"/>
                  <w:w w:val="97"/>
                </w:rPr>
                <w:t>Investment Management Trust Agreement, dated July 29, 2020, between Continental Stock Transfer &amp; Trust Company and the</w:t>
              </w:r>
            </w:hyperlink>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Registrant (incorporated by reference to Exhibit 10.2 filed with the Company’s current report on Form 8-K filed by the Registrant on</w:t>
              </w:r>
            </w:hyperlink>
          </w:p>
        </w:tc>
        <w:tc>
          <w:tcPr>
            <w:tcW w:w="300" w:type="dxa"/>
            <w:vAlign w:val="bottom"/>
            <w:gridSpan w:val="1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August 4, 2020).</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8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Registration Rights Agreement, dated July 29, 2020 among the Registrant and certain securityholders named therein (incorporated by</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reference to Exhibit 10.3 filed with the Company’s current report on Form 8-K filed by the Registrant on August 4, 2020).</w:t>
              </w:r>
            </w:hyperlink>
          </w:p>
        </w:tc>
        <w:tc>
          <w:tcPr>
            <w:tcW w:w="820" w:type="dxa"/>
            <w:vAlign w:val="bottom"/>
            <w:tcBorders>
              <w:top w:val="single" w:sz="8" w:color="0000EE"/>
            </w:tcBorders>
            <w:gridSpan w:val="12"/>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8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Subscription Agreement, dated May 13, 2020, between the Registrant and the Sponsor (incorporated by reference to Exhibit 10.5 filed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with the Company’s registration statement on Form S-1 filed by the Registrant on July 14, 2020).</w:t>
              </w:r>
            </w:hyperlink>
          </w:p>
        </w:tc>
        <w:tc>
          <w:tcPr>
            <w:tcW w:w="2680" w:type="dxa"/>
            <w:vAlign w:val="bottom"/>
            <w:tcBorders>
              <w:top w:val="single" w:sz="8" w:color="0000EE"/>
            </w:tcBorders>
            <w:gridSpan w:val="18"/>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8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Private Placement Warrants Purchase Agreement, dated July 29, 2020, between the Registrant and Churchill Sponsor IV LLC</w:t>
              </w:r>
            </w:hyperlink>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(incorporated by reference to Exhibit 10.4 filed with the Company’s current report on Form 8-K filed by the Registrant on August 4,</w:t>
              </w:r>
            </w:hyperlink>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ind w:left="220"/>
              <w:spacing w:after="0" w:line="196" w:lineRule="exact"/>
              <w:rPr>
                <w:rFonts w:ascii="Arial" w:cs="Arial" w:eastAsia="Arial" w:hAnsi="Arial"/>
                <w:sz w:val="18"/>
                <w:szCs w:val="18"/>
                <w:color w:val="0000EE"/>
                <w:w w:val="86"/>
              </w:rPr>
            </w:pPr>
            <w:hyperlink r:id="rId83">
              <w:r>
                <w:rPr>
                  <w:rFonts w:ascii="Arial" w:cs="Arial" w:eastAsia="Arial" w:hAnsi="Arial"/>
                  <w:sz w:val="18"/>
                  <w:szCs w:val="18"/>
                  <w:color w:val="0000EE"/>
                  <w:w w:val="86"/>
                </w:rPr>
                <w:t>2020).</w:t>
              </w:r>
            </w:hyperlink>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8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Indemnity Agreement, dated July 29, 2020, between the Registrant and Michael Klein (incorporated by reference to Exhibit 10.5 filed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with the Company’s current report on Form 8-K filed by the Registrant on August 4, 2020).</w:t>
              </w:r>
            </w:hyperlink>
          </w:p>
        </w:tc>
        <w:tc>
          <w:tcPr>
            <w:tcW w:w="220" w:type="dxa"/>
            <w:vAlign w:val="bottom"/>
            <w:gridSpan w:val="9"/>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8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Indemnity Agreement, dated July 29, 2020, between the Registrant and Jay Taragin (incorporated by reference to Exhibit 10.6 filed with</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 Company’s current report on Form 8-K filed by the Registrant on August 4, 2020).</w:t>
              </w:r>
            </w:hyperlink>
          </w:p>
        </w:tc>
        <w:tc>
          <w:tcPr>
            <w:tcW w:w="60" w:type="dxa"/>
            <w:vAlign w:val="bottom"/>
            <w:gridSpan w:val="2"/>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gridSpan w:val="3"/>
          </w:tcPr>
          <w:p>
            <w:pPr>
              <w:jc w:val="center"/>
              <w:ind w:left="270"/>
              <w:spacing w:after="0" w:line="196" w:lineRule="exact"/>
              <w:rPr>
                <w:rFonts w:ascii="Arial" w:cs="Arial" w:eastAsia="Arial" w:hAnsi="Arial"/>
                <w:sz w:val="18"/>
                <w:szCs w:val="18"/>
                <w:color w:val="0000EE"/>
                <w:w w:val="85"/>
              </w:rPr>
            </w:pPr>
            <w:hyperlink r:id="rId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Indemnity Agreement, dated July 29, 2020, between the Registrant and Glenn R. August (incorporated by reference to Exhibit 10.7 filed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with the Company’s current report on Form 8-K filed by the Registrant on August 4, 2020).</w:t>
              </w:r>
            </w:hyperlink>
          </w:p>
        </w:tc>
        <w:tc>
          <w:tcPr>
            <w:tcW w:w="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Borders>
              <w:bottom w:val="single" w:sz="8" w:color="0000EE"/>
            </w:tcBorders>
            <w:gridSpan w:val="2"/>
          </w:tcPr>
          <w:p>
            <w:pPr>
              <w:jc w:val="center"/>
              <w:spacing w:after="0" w:line="196" w:lineRule="exact"/>
              <w:rPr>
                <w:rFonts w:ascii="Arial" w:cs="Arial" w:eastAsia="Arial" w:hAnsi="Arial"/>
                <w:sz w:val="18"/>
                <w:szCs w:val="18"/>
                <w:color w:val="0000EE"/>
                <w:w w:val="70"/>
              </w:rPr>
            </w:pPr>
            <w:hyperlink r:id="rId87">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10</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Indemnity Agreement, dated July 29, 2020, between the Registrant and William J. Bynum (incorporated by reference to Exhibit 10.8</w:t>
              </w:r>
            </w:hyperlink>
          </w:p>
        </w:tc>
        <w:tc>
          <w:tcPr>
            <w:tcW w:w="320" w:type="dxa"/>
            <w:vAlign w:val="bottom"/>
            <w:gridSpan w:val="1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filed with the Company’s current report on Form 8-K filed by the Registrant on August 4, 2020).</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gridSpan w:val="2"/>
          </w:tcPr>
          <w:p>
            <w:pPr>
              <w:jc w:val="center"/>
              <w:ind w:right="20"/>
              <w:spacing w:after="0"/>
              <w:rPr>
                <w:rFonts w:ascii="Arial" w:cs="Arial" w:eastAsia="Arial" w:hAnsi="Arial"/>
                <w:sz w:val="17"/>
                <w:szCs w:val="17"/>
                <w:color w:val="0000EE"/>
                <w:w w:val="70"/>
              </w:rPr>
            </w:pPr>
            <w:hyperlink r:id="rId88">
              <w:r>
                <w:rPr>
                  <w:rFonts w:ascii="Arial" w:cs="Arial" w:eastAsia="Arial" w:hAnsi="Arial"/>
                  <w:sz w:val="17"/>
                  <w:szCs w:val="17"/>
                  <w:color w:val="0000EE"/>
                  <w:w w:val="70"/>
                </w:rPr>
                <w:t>10.</w:t>
              </w:r>
              <w:r>
                <w:rPr>
                  <w:rFonts w:ascii="Arial" w:cs="Arial" w:eastAsia="Arial" w:hAnsi="Arial"/>
                  <w:sz w:val="17"/>
                  <w:szCs w:val="17"/>
                  <w:u w:val="single" w:color="auto"/>
                  <w:color w:val="0000EE"/>
                  <w:w w:val="70"/>
                </w:rPr>
                <w:t>11</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Indemnity Agreement, dated July 29, 2020, between the Registrant and Bonnie Jonas (incorporated by reference to Exhibit 10.9 filed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with the Company’s current report on Form 8-K filed by the Registrant on August 4, 2020).</w:t>
              </w:r>
            </w:hyperlink>
          </w:p>
        </w:tc>
        <w:tc>
          <w:tcPr>
            <w:tcW w:w="280" w:type="dxa"/>
            <w:vAlign w:val="bottom"/>
            <w:gridSpan w:val="12"/>
          </w:tcPr>
          <w:p>
            <w:pPr>
              <w:spacing w:after="0"/>
              <w:rPr>
                <w:sz w:val="17"/>
                <w:szCs w:val="17"/>
                <w:color w:val="auto"/>
              </w:rPr>
            </w:pPr>
          </w:p>
        </w:tc>
      </w:tr>
      <w:tr>
        <w:trPr>
          <w:trHeight w:val="20"/>
        </w:trPr>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gridSpan w:val="2"/>
          </w:tcPr>
          <w:p>
            <w:pPr>
              <w:jc w:val="center"/>
              <w:spacing w:after="0" w:line="196" w:lineRule="exact"/>
              <w:rPr>
                <w:rFonts w:ascii="Arial" w:cs="Arial" w:eastAsia="Arial" w:hAnsi="Arial"/>
                <w:sz w:val="18"/>
                <w:szCs w:val="18"/>
                <w:color w:val="0000EE"/>
                <w:w w:val="70"/>
              </w:rPr>
            </w:pPr>
            <w:hyperlink r:id="rId89">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12</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Indemnity Agreement, dated July 29, 2020, between the Registrant and Mark Klein (incorporated by reference to Exhibit 10.10 filed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with the Company’s current report on Form 8-K filed by the Registrant on August 4, 2020).</w:t>
              </w:r>
            </w:hyperlink>
          </w:p>
        </w:tc>
        <w:tc>
          <w:tcPr>
            <w:tcW w:w="340" w:type="dxa"/>
            <w:vAlign w:val="bottom"/>
            <w:gridSpan w:val="15"/>
          </w:tcPr>
          <w:p>
            <w:pPr>
              <w:spacing w:after="0"/>
              <w:rPr>
                <w:sz w:val="17"/>
                <w:szCs w:val="17"/>
                <w:color w:val="auto"/>
              </w:rPr>
            </w:pPr>
          </w:p>
        </w:tc>
      </w:tr>
      <w:tr>
        <w:trPr>
          <w:trHeight w:val="20"/>
        </w:trPr>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gridSpan w:val="2"/>
          </w:tcPr>
          <w:p>
            <w:pPr>
              <w:jc w:val="center"/>
              <w:spacing w:after="0" w:line="196" w:lineRule="exact"/>
              <w:rPr>
                <w:rFonts w:ascii="Arial" w:cs="Arial" w:eastAsia="Arial" w:hAnsi="Arial"/>
                <w:sz w:val="18"/>
                <w:szCs w:val="18"/>
                <w:color w:val="0000EE"/>
                <w:w w:val="70"/>
              </w:rPr>
            </w:pPr>
            <w:hyperlink r:id="rId90">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13</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Indemnity Agreement, dated July 29, 2020, between the Registrant and Malcolm S. McDermid (incorporated by reference to</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Exhibit 10.11 filed with the Company’s current report on Form 8-K filed by the Registrant on August 4, 2020).</w:t>
              </w:r>
            </w:hyperlink>
          </w:p>
        </w:tc>
        <w:tc>
          <w:tcPr>
            <w:tcW w:w="900" w:type="dxa"/>
            <w:vAlign w:val="bottom"/>
            <w:gridSpan w:val="21"/>
          </w:tcPr>
          <w:p>
            <w:pPr>
              <w:spacing w:after="0"/>
              <w:rPr>
                <w:sz w:val="17"/>
                <w:szCs w:val="17"/>
                <w:color w:val="auto"/>
              </w:rPr>
            </w:pPr>
          </w:p>
        </w:tc>
      </w:tr>
      <w:tr>
        <w:trPr>
          <w:trHeight w:val="20"/>
        </w:trPr>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660" w:type="dxa"/>
            <w:vAlign w:val="bottom"/>
            <w:gridSpan w:val="6"/>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Borders>
              <w:bottom w:val="single" w:sz="8" w:color="0000EE"/>
            </w:tcBorders>
            <w:gridSpan w:val="2"/>
          </w:tcPr>
          <w:p>
            <w:pPr>
              <w:jc w:val="center"/>
              <w:spacing w:after="0" w:line="196" w:lineRule="exact"/>
              <w:rPr>
                <w:rFonts w:ascii="Arial" w:cs="Arial" w:eastAsia="Arial" w:hAnsi="Arial"/>
                <w:sz w:val="18"/>
                <w:szCs w:val="18"/>
                <w:color w:val="0000EE"/>
                <w:w w:val="70"/>
              </w:rPr>
            </w:pPr>
            <w:hyperlink r:id="rId91">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14</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Indemnity Agreement, dated July 29, 2020, between the Registrant and Karen G. Mills (incorporated by reference to Exhibit 10.12 filed</w:t>
              </w:r>
            </w:hyperlink>
          </w:p>
        </w:tc>
        <w:tc>
          <w:tcPr>
            <w:tcW w:w="8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with the Company’s current report on Form 8-K filed by the Registrant on August 4, 2020).</w:t>
              </w:r>
            </w:hyperlink>
          </w:p>
        </w:tc>
      </w:tr>
      <w:tr>
        <w:trPr>
          <w:trHeight w:val="20"/>
        </w:trPr>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Borders>
              <w:bottom w:val="single" w:sz="8" w:color="0000EE"/>
            </w:tcBorders>
            <w:gridSpan w:val="2"/>
          </w:tcPr>
          <w:p>
            <w:pPr>
              <w:jc w:val="center"/>
              <w:spacing w:after="0" w:line="196" w:lineRule="exact"/>
              <w:rPr>
                <w:rFonts w:ascii="Arial" w:cs="Arial" w:eastAsia="Arial" w:hAnsi="Arial"/>
                <w:sz w:val="18"/>
                <w:szCs w:val="18"/>
                <w:color w:val="0000EE"/>
                <w:w w:val="70"/>
              </w:rPr>
            </w:pPr>
            <w:hyperlink r:id="rId92">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15</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Administrative Services Agreement, dated July 29, 2020, by and between the Registrant and an affiliate of Churchill Sponsor IV LLC</w:t>
              </w:r>
            </w:hyperlink>
          </w:p>
        </w:tc>
        <w:tc>
          <w:tcPr>
            <w:tcW w:w="240" w:type="dxa"/>
            <w:vAlign w:val="bottom"/>
            <w:gridSpan w:val="10"/>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(incorporated by reference to Exhibit 10.13 filed with the Company’s current report on Form 8-K filed by the Registrant on August 4,</w:t>
              </w:r>
            </w:hyperlink>
          </w:p>
        </w:tc>
        <w:tc>
          <w:tcPr>
            <w:tcW w:w="260" w:type="dxa"/>
            <w:vAlign w:val="bottom"/>
            <w:gridSpan w:val="11"/>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ind w:left="220"/>
              <w:spacing w:after="0" w:line="196" w:lineRule="exact"/>
              <w:rPr>
                <w:rFonts w:ascii="Arial" w:cs="Arial" w:eastAsia="Arial" w:hAnsi="Arial"/>
                <w:sz w:val="18"/>
                <w:szCs w:val="18"/>
                <w:color w:val="0000EE"/>
                <w:w w:val="86"/>
              </w:rPr>
            </w:pPr>
            <w:hyperlink r:id="rId92">
              <w:r>
                <w:rPr>
                  <w:rFonts w:ascii="Arial" w:cs="Arial" w:eastAsia="Arial" w:hAnsi="Arial"/>
                  <w:sz w:val="18"/>
                  <w:szCs w:val="18"/>
                  <w:color w:val="0000EE"/>
                  <w:w w:val="86"/>
                </w:rPr>
                <w:t>2020).</w:t>
              </w:r>
            </w:hyperlink>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560" w:type="dxa"/>
            <w:vAlign w:val="bottom"/>
            <w:gridSpan w:val="9"/>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gridSpan w:val="2"/>
          </w:tcPr>
          <w:p>
            <w:pPr>
              <w:jc w:val="center"/>
              <w:spacing w:after="0" w:line="196" w:lineRule="exact"/>
              <w:rPr>
                <w:rFonts w:ascii="Arial" w:cs="Arial" w:eastAsia="Arial" w:hAnsi="Arial"/>
                <w:sz w:val="18"/>
                <w:szCs w:val="18"/>
                <w:color w:val="0000EE"/>
                <w:w w:val="70"/>
              </w:rPr>
            </w:pPr>
            <w:hyperlink r:id="rId93">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16</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Investor Rights Agreement, dated as of February 22, 2021, by and among Churchill Capital Corp IV, Ayar Third Investment Company,</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Churchill Sponsor IV LLC and the other parties named therein (incorporated by reference to Exhibit 10.1 filed with the Company’s</w:t>
              </w:r>
            </w:hyperlink>
          </w:p>
        </w:tc>
        <w:tc>
          <w:tcPr>
            <w:tcW w:w="180" w:type="dxa"/>
            <w:vAlign w:val="bottom"/>
            <w:tcBorders>
              <w:top w:val="single" w:sz="8" w:color="0000EE"/>
            </w:tcBorders>
            <w:gridSpan w:val="9"/>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current report on Form 8-K filed by the Registrant on February 22, 2021).</w:t>
              </w:r>
            </w:hyperlink>
          </w:p>
        </w:tc>
        <w:tc>
          <w:tcPr>
            <w:tcW w:w="4560" w:type="dxa"/>
            <w:vAlign w:val="bottom"/>
            <w:gridSpan w:val="31"/>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Borders>
              <w:bottom w:val="single" w:sz="8" w:color="0000EE"/>
            </w:tcBorders>
            <w:gridSpan w:val="2"/>
          </w:tcPr>
          <w:p>
            <w:pPr>
              <w:jc w:val="center"/>
              <w:spacing w:after="0" w:line="196" w:lineRule="exact"/>
              <w:rPr>
                <w:rFonts w:ascii="Arial" w:cs="Arial" w:eastAsia="Arial" w:hAnsi="Arial"/>
                <w:sz w:val="18"/>
                <w:szCs w:val="18"/>
                <w:color w:val="0000EE"/>
                <w:w w:val="70"/>
              </w:rPr>
            </w:pPr>
            <w:hyperlink r:id="rId94">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17</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Form of Subscription Agreement (incorporated by reference to Exhibit 10.2 filed with the Company’s current report on Form 8-K filed</w:t>
              </w:r>
            </w:hyperlink>
          </w:p>
        </w:tc>
        <w:tc>
          <w:tcPr>
            <w:tcW w:w="16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by the Registrant on February 22, 2021).</w:t>
              </w:r>
            </w:hyperlink>
          </w:p>
        </w:tc>
      </w:tr>
      <w:tr>
        <w:trPr>
          <w:trHeight w:val="20"/>
        </w:trPr>
        <w:tc>
          <w:tcPr>
            <w:tcW w:w="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960" w:type="dxa"/>
            <w:vAlign w:val="bottom"/>
            <w:gridSpan w:val="1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gridSpan w:val="2"/>
          </w:tcPr>
          <w:p>
            <w:pPr>
              <w:jc w:val="center"/>
              <w:spacing w:after="0" w:line="196" w:lineRule="exact"/>
              <w:rPr>
                <w:rFonts w:ascii="Arial" w:cs="Arial" w:eastAsia="Arial" w:hAnsi="Arial"/>
                <w:sz w:val="18"/>
                <w:szCs w:val="18"/>
                <w:color w:val="0000EE"/>
                <w:w w:val="70"/>
              </w:rPr>
            </w:pPr>
            <w:hyperlink r:id="rId95">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18</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Amended and Restated Sponsor Agreement, dated as February 22, 2021, by and among Churchill Capital Corp IV, Churchill Sponsor IV</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top w:val="single" w:sz="8" w:color="0000EE"/>
            </w:tcBorders>
            <w:gridSpan w:val="41"/>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LLC, and the Insiders (incorporated by reference to Exhibit 10.3 filed with the Company’s current report on Form 8-K filed by the</w:t>
              </w:r>
            </w:hyperlink>
          </w:p>
        </w:tc>
        <w:tc>
          <w:tcPr>
            <w:tcW w:w="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Registrant on February 22, 2021).</w:t>
              </w:r>
            </w:hyperlink>
          </w:p>
        </w:tc>
        <w:tc>
          <w:tcPr>
            <w:tcW w:w="6940" w:type="dxa"/>
            <w:vAlign w:val="bottom"/>
            <w:tcBorders>
              <w:top w:val="single" w:sz="8" w:color="0000EE"/>
            </w:tcBorders>
            <w:gridSpan w:val="19"/>
          </w:tcPr>
          <w:p>
            <w:pPr>
              <w:spacing w:after="0"/>
              <w:rPr>
                <w:sz w:val="17"/>
                <w:szCs w:val="17"/>
                <w:color w:val="auto"/>
              </w:rPr>
            </w:pPr>
          </w:p>
        </w:tc>
        <w:tc>
          <w:tcPr>
            <w:tcW w:w="500" w:type="dxa"/>
            <w:vAlign w:val="bottom"/>
            <w:gridSpan w:val="1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gridSpan w:val="2"/>
          </w:tcPr>
          <w:p>
            <w:pPr>
              <w:jc w:val="center"/>
              <w:spacing w:after="0" w:line="196" w:lineRule="exact"/>
              <w:rPr>
                <w:rFonts w:ascii="Arial" w:cs="Arial" w:eastAsia="Arial" w:hAnsi="Arial"/>
                <w:sz w:val="18"/>
                <w:szCs w:val="18"/>
                <w:color w:val="0000EE"/>
                <w:w w:val="70"/>
              </w:rPr>
            </w:pPr>
            <w:hyperlink r:id="rId96">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19</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2"/>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Promissory Note, dated as of February 22, 2021, by and between Churchill Capital Corp IV and Churchill Sponsor IV LLC</w:t>
              </w:r>
            </w:hyperlink>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64" w:orient="portrait"/>
          <w:cols w:equalWidth="0" w:num="1">
            <w:col w:w="11240"/>
          </w:cols>
          <w:pgMar w:left="320" w:top="904" w:right="3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9"/>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(incorporated by reference to Exhibit 10.4 filed with the Company’s current report on Form 8-K filed by the Registrant on February 22,</w:t>
              </w:r>
            </w:hyperlink>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96">
              <w:r>
                <w:rPr>
                  <w:rFonts w:ascii="Arial" w:cs="Arial" w:eastAsia="Arial" w:hAnsi="Arial"/>
                  <w:sz w:val="18"/>
                  <w:szCs w:val="18"/>
                  <w:color w:val="0000EE"/>
                  <w:w w:val="86"/>
                </w:rPr>
                <w:t>2021).</w:t>
              </w:r>
            </w:hyperlink>
          </w:p>
        </w:tc>
        <w:tc>
          <w:tcPr>
            <w:tcW w:w="92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60" w:type="dxa"/>
            <w:vAlign w:val="bottom"/>
            <w:gridSpan w:val="3"/>
          </w:tcPr>
          <w:p>
            <w:pPr>
              <w:jc w:val="center"/>
              <w:ind w:right="220"/>
              <w:spacing w:after="0" w:line="196" w:lineRule="exact"/>
              <w:rPr>
                <w:rFonts w:ascii="Arial" w:cs="Arial" w:eastAsia="Arial" w:hAnsi="Arial"/>
                <w:sz w:val="18"/>
                <w:szCs w:val="18"/>
                <w:color w:val="0000EE"/>
                <w:w w:val="85"/>
              </w:rPr>
            </w:pPr>
            <w:hyperlink w:anchor="page95">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9880" w:type="dxa"/>
            <w:vAlign w:val="bottom"/>
            <w:gridSpan w:val="9"/>
          </w:tcPr>
          <w:p>
            <w:pPr>
              <w:spacing w:after="0" w:line="196" w:lineRule="exact"/>
              <w:rPr>
                <w:rFonts w:ascii="Arial" w:cs="Arial" w:eastAsia="Arial" w:hAnsi="Arial"/>
                <w:sz w:val="18"/>
                <w:szCs w:val="18"/>
                <w:color w:val="0000EE"/>
                <w:w w:val="93"/>
              </w:rPr>
            </w:pPr>
            <w:hyperlink w:anchor="page95">
              <w:r>
                <w:rPr>
                  <w:rFonts w:ascii="Arial" w:cs="Arial" w:eastAsia="Arial" w:hAnsi="Arial"/>
                  <w:sz w:val="18"/>
                  <w:szCs w:val="18"/>
                  <w:color w:val="0000EE"/>
                  <w:w w:val="93"/>
                </w:rPr>
                <w:t>Certification of Principal Executive Officer pursuant to Rules 13a-14(a) and 15d-14(a) under the Securities Exchange Act of 1934, as</w:t>
              </w:r>
            </w:hyperlink>
          </w:p>
        </w:tc>
      </w:tr>
      <w:tr>
        <w:trPr>
          <w:trHeight w:val="196"/>
        </w:trPr>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adopted pursuant to Section 302 of the Sarbanes-Oxley Act of 2002.</w:t>
              </w:r>
            </w:hyperlink>
          </w:p>
        </w:tc>
        <w:tc>
          <w:tcPr>
            <w:tcW w:w="4680" w:type="dxa"/>
            <w:vAlign w:val="bottom"/>
            <w:tcBorders>
              <w:top w:val="single" w:sz="8" w:color="0000EE"/>
            </w:tcBorders>
            <w:gridSpan w:val="4"/>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196"/>
        </w:trPr>
        <w:tc>
          <w:tcPr>
            <w:tcW w:w="1360" w:type="dxa"/>
            <w:vAlign w:val="bottom"/>
            <w:gridSpan w:val="3"/>
          </w:tcPr>
          <w:p>
            <w:pPr>
              <w:jc w:val="center"/>
              <w:ind w:right="220"/>
              <w:spacing w:after="0" w:line="196" w:lineRule="exact"/>
              <w:rPr>
                <w:rFonts w:ascii="Arial" w:cs="Arial" w:eastAsia="Arial" w:hAnsi="Arial"/>
                <w:sz w:val="18"/>
                <w:szCs w:val="18"/>
                <w:color w:val="0000EE"/>
                <w:w w:val="85"/>
              </w:rPr>
            </w:pPr>
            <w:hyperlink w:anchor="page9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9880" w:type="dxa"/>
            <w:vAlign w:val="bottom"/>
            <w:gridSpan w:val="9"/>
          </w:tcPr>
          <w:p>
            <w:pPr>
              <w:spacing w:after="0" w:line="196" w:lineRule="exact"/>
              <w:rPr>
                <w:rFonts w:ascii="Arial" w:cs="Arial" w:eastAsia="Arial" w:hAnsi="Arial"/>
                <w:sz w:val="18"/>
                <w:szCs w:val="18"/>
                <w:color w:val="0000EE"/>
                <w:w w:val="94"/>
              </w:rPr>
            </w:pPr>
            <w:hyperlink w:anchor="page96">
              <w:r>
                <w:rPr>
                  <w:rFonts w:ascii="Arial" w:cs="Arial" w:eastAsia="Arial" w:hAnsi="Arial"/>
                  <w:sz w:val="18"/>
                  <w:szCs w:val="18"/>
                  <w:color w:val="0000EE"/>
                  <w:w w:val="94"/>
                </w:rPr>
                <w:t>Certification of Principal Financial Officer pursuant to Rules 13a-14(a) and 15d-14(a) under the Securities Exchange Act of 1934, as</w:t>
              </w:r>
            </w:hyperlink>
          </w:p>
        </w:tc>
      </w:tr>
      <w:tr>
        <w:trPr>
          <w:trHeight w:val="196"/>
        </w:trPr>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adopted pursuant to Section 302 of the Sarbanes-Oxley Act of 2002.</w:t>
              </w:r>
            </w:hyperlink>
          </w:p>
        </w:tc>
        <w:tc>
          <w:tcPr>
            <w:tcW w:w="4640" w:type="dxa"/>
            <w:vAlign w:val="bottom"/>
            <w:tcBorders>
              <w:top w:val="single" w:sz="8" w:color="0000EE"/>
            </w:tcBorders>
            <w:gridSpan w:val="3"/>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196"/>
        </w:trPr>
        <w:tc>
          <w:tcPr>
            <w:tcW w:w="1360" w:type="dxa"/>
            <w:vAlign w:val="bottom"/>
            <w:gridSpan w:val="3"/>
          </w:tcPr>
          <w:p>
            <w:pPr>
              <w:jc w:val="center"/>
              <w:ind w:right="220"/>
              <w:spacing w:after="0" w:line="196" w:lineRule="exact"/>
              <w:rPr>
                <w:rFonts w:ascii="Arial" w:cs="Arial" w:eastAsia="Arial" w:hAnsi="Arial"/>
                <w:sz w:val="18"/>
                <w:szCs w:val="18"/>
                <w:color w:val="0000EE"/>
                <w:w w:val="85"/>
              </w:rPr>
            </w:pPr>
            <w:hyperlink w:anchor="page97">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9880" w:type="dxa"/>
            <w:vAlign w:val="bottom"/>
            <w:gridSpan w:val="9"/>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Certification of Principal Executive Officer pursuant to 18 U.S.C. Section 1350, as adopted pursuant to Section 906 of the Sarbanes-</w:t>
              </w:r>
            </w:hyperlink>
          </w:p>
        </w:tc>
      </w:tr>
      <w:tr>
        <w:trPr>
          <w:trHeight w:val="196"/>
        </w:trPr>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Oxley Act of 2002.</w:t>
              </w:r>
            </w:hyperlink>
          </w:p>
        </w:tc>
        <w:tc>
          <w:tcPr>
            <w:tcW w:w="340" w:type="dxa"/>
            <w:vAlign w:val="bottom"/>
            <w:gridSpan w:val="4"/>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96"/>
        </w:trPr>
        <w:tc>
          <w:tcPr>
            <w:tcW w:w="1360" w:type="dxa"/>
            <w:vAlign w:val="bottom"/>
            <w:gridSpan w:val="3"/>
          </w:tcPr>
          <w:p>
            <w:pPr>
              <w:jc w:val="center"/>
              <w:ind w:right="220"/>
              <w:spacing w:after="0" w:line="196" w:lineRule="exact"/>
              <w:rPr>
                <w:rFonts w:ascii="Arial" w:cs="Arial" w:eastAsia="Arial" w:hAnsi="Arial"/>
                <w:sz w:val="18"/>
                <w:szCs w:val="18"/>
                <w:color w:val="0000EE"/>
                <w:w w:val="85"/>
              </w:rPr>
            </w:pPr>
            <w:hyperlink w:anchor="page98">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9880" w:type="dxa"/>
            <w:vAlign w:val="bottom"/>
            <w:gridSpan w:val="9"/>
          </w:tcPr>
          <w:p>
            <w:pPr>
              <w:spacing w:after="0" w:line="196" w:lineRule="exact"/>
              <w:rPr>
                <w:rFonts w:ascii="Arial" w:cs="Arial" w:eastAsia="Arial" w:hAnsi="Arial"/>
                <w:sz w:val="18"/>
                <w:szCs w:val="18"/>
                <w:color w:val="0000EE"/>
                <w:w w:val="94"/>
              </w:rPr>
            </w:pPr>
            <w:hyperlink w:anchor="page98">
              <w:r>
                <w:rPr>
                  <w:rFonts w:ascii="Arial" w:cs="Arial" w:eastAsia="Arial" w:hAnsi="Arial"/>
                  <w:sz w:val="18"/>
                  <w:szCs w:val="18"/>
                  <w:color w:val="0000EE"/>
                  <w:w w:val="94"/>
                </w:rPr>
                <w:t>Certification of Principal Financial Officer pursuant to 18 U.S.C. Section 1350, as adopted pursuant to Section 906 of the Sarbanes-</w:t>
              </w:r>
            </w:hyperlink>
          </w:p>
        </w:tc>
      </w:tr>
      <w:tr>
        <w:trPr>
          <w:trHeight w:val="196"/>
        </w:trPr>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94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Oxley Act of 2002.</w:t>
              </w:r>
            </w:hyperlink>
          </w:p>
        </w:tc>
        <w:tc>
          <w:tcPr>
            <w:tcW w:w="400" w:type="dxa"/>
            <w:vAlign w:val="bottom"/>
            <w:gridSpan w:val="5"/>
          </w:tcPr>
          <w:p>
            <w:pPr>
              <w:spacing w:after="0"/>
              <w:rPr>
                <w:sz w:val="17"/>
                <w:szCs w:val="17"/>
                <w:color w:val="auto"/>
              </w:rPr>
            </w:pPr>
          </w:p>
        </w:tc>
      </w:tr>
      <w:tr>
        <w:trPr>
          <w:trHeight w:val="20"/>
        </w:trPr>
        <w:tc>
          <w:tcPr>
            <w:tcW w:w="1360" w:type="dxa"/>
            <w:vAlign w:val="bottom"/>
            <w:gridSpan w:val="3"/>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500" w:type="dxa"/>
            <w:vAlign w:val="bottom"/>
            <w:gridSpan w:val="7"/>
          </w:tcPr>
          <w:p>
            <w:pPr>
              <w:spacing w:after="0" w:line="20" w:lineRule="exact"/>
              <w:rPr>
                <w:sz w:val="1"/>
                <w:szCs w:val="1"/>
                <w:color w:val="auto"/>
              </w:rPr>
            </w:pPr>
          </w:p>
        </w:tc>
      </w:tr>
      <w:tr>
        <w:trPr>
          <w:trHeight w:val="222"/>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(101.INS)</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(101.SCH)</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(101.CAL)</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(101.DEF)</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(101.LAB)</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(101.PRE)</w:t>
            </w: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3"/>
          </w:tcPr>
          <w:p>
            <w:pPr>
              <w:ind w:left="4180"/>
              <w:spacing w:after="0"/>
              <w:rPr>
                <w:sz w:val="20"/>
                <w:szCs w:val="20"/>
                <w:color w:val="auto"/>
              </w:rPr>
            </w:pPr>
            <w:r>
              <w:rPr>
                <w:rFonts w:ascii="Arial" w:cs="Arial" w:eastAsia="Arial" w:hAnsi="Arial"/>
                <w:sz w:val="18"/>
                <w:szCs w:val="18"/>
                <w:color w:val="auto"/>
              </w:rPr>
              <w:t>58</w:t>
            </w:r>
          </w:p>
        </w:tc>
        <w:tc>
          <w:tcPr>
            <w:tcW w:w="4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83"/>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Amendment to be signed on its behalf by the undersigned, thereunto duly authorized, in New York City, New York, on the 14th day of May, 2021.</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Jay Taragin</w:t>
      </w:r>
    </w:p>
    <w:p>
      <w:pPr>
        <w:spacing w:after="0" w:line="23"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Jay Taragin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80"/>
              <w:spacing w:after="0"/>
              <w:rPr>
                <w:sz w:val="20"/>
                <w:szCs w:val="20"/>
                <w:color w:val="auto"/>
              </w:rPr>
            </w:pPr>
            <w:r>
              <w:rPr>
                <w:rFonts w:ascii="Arial" w:cs="Arial" w:eastAsia="Arial" w:hAnsi="Arial"/>
                <w:sz w:val="18"/>
                <w:szCs w:val="18"/>
                <w:color w:val="auto"/>
                <w:w w:val="94"/>
              </w:rPr>
              <w:t>Chief Financial Officer (Principal Financial and Accounting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Officer)</w:t>
            </w:r>
          </w:p>
        </w:tc>
        <w:tc>
          <w:tcPr>
            <w:tcW w:w="45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40" w:type="dxa"/>
            <w:vAlign w:val="bottom"/>
            <w:gridSpan w:val="8"/>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30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center"/>
              <w:ind w:right="140"/>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F-2</w:t>
              </w:r>
            </w:hyperlink>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302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75"/>
        </w:trPr>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line="17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Balance Sheet</w:t>
              </w:r>
            </w:hyperlink>
          </w:p>
        </w:tc>
        <w:tc>
          <w:tcPr>
            <w:tcW w:w="6060" w:type="dxa"/>
            <w:vAlign w:val="bottom"/>
            <w:gridSpan w:val="6"/>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center"/>
              <w:ind w:right="140"/>
              <w:spacing w:after="0" w:line="17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F-3</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0" w:type="dxa"/>
            <w:vAlign w:val="bottom"/>
          </w:tcPr>
          <w:p>
            <w:pPr>
              <w:spacing w:after="0"/>
              <w:rPr>
                <w:sz w:val="15"/>
                <w:szCs w:val="15"/>
                <w:color w:val="auto"/>
              </w:rPr>
            </w:pPr>
          </w:p>
        </w:tc>
        <w:tc>
          <w:tcPr>
            <w:tcW w:w="7100" w:type="dxa"/>
            <w:vAlign w:val="bottom"/>
            <w:gridSpan w:val="7"/>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Statement of Operations</w:t>
              </w:r>
            </w:hyperlink>
          </w:p>
        </w:tc>
        <w:tc>
          <w:tcPr>
            <w:tcW w:w="3020" w:type="dxa"/>
            <w:vAlign w:val="bottom"/>
          </w:tcPr>
          <w:p>
            <w:pPr>
              <w:spacing w:after="0"/>
              <w:rPr>
                <w:sz w:val="15"/>
                <w:szCs w:val="15"/>
                <w:color w:val="auto"/>
              </w:rPr>
            </w:pPr>
          </w:p>
        </w:tc>
        <w:tc>
          <w:tcPr>
            <w:tcW w:w="980" w:type="dxa"/>
            <w:vAlign w:val="bottom"/>
            <w:gridSpan w:val="4"/>
          </w:tcPr>
          <w:p>
            <w:pPr>
              <w:jc w:val="center"/>
              <w:ind w:right="140"/>
              <w:spacing w:after="0" w:line="17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F-4</w:t>
              </w:r>
            </w:hyperlink>
          </w:p>
        </w:tc>
      </w:tr>
      <w:tr>
        <w:trPr>
          <w:trHeight w:val="21"/>
        </w:trPr>
        <w:tc>
          <w:tcPr>
            <w:tcW w:w="14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7100" w:type="dxa"/>
            <w:vAlign w:val="bottom"/>
            <w:gridSpan w:val="7"/>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Statement of Changes in Stockholders’ Equity</w:t>
              </w:r>
            </w:hyperlink>
          </w:p>
        </w:tc>
        <w:tc>
          <w:tcPr>
            <w:tcW w:w="302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center"/>
              <w:ind w:right="140"/>
              <w:spacing w:after="0" w:line="17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F-5</w:t>
              </w:r>
            </w:hyperlink>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3340" w:type="dxa"/>
            <w:vAlign w:val="bottom"/>
            <w:gridSpan w:val="5"/>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Statement of Cash Flows</w:t>
              </w:r>
            </w:hyperlink>
          </w:p>
        </w:tc>
        <w:tc>
          <w:tcPr>
            <w:tcW w:w="3760" w:type="dxa"/>
            <w:vAlign w:val="bottom"/>
            <w:gridSpan w:val="2"/>
          </w:tcPr>
          <w:p>
            <w:pPr>
              <w:spacing w:after="0"/>
              <w:rPr>
                <w:sz w:val="15"/>
                <w:szCs w:val="15"/>
                <w:color w:val="auto"/>
              </w:rPr>
            </w:pPr>
          </w:p>
        </w:tc>
        <w:tc>
          <w:tcPr>
            <w:tcW w:w="3020" w:type="dxa"/>
            <w:vAlign w:val="bottom"/>
          </w:tcPr>
          <w:p>
            <w:pPr>
              <w:spacing w:after="0"/>
              <w:rPr>
                <w:sz w:val="15"/>
                <w:szCs w:val="15"/>
                <w:color w:val="auto"/>
              </w:rPr>
            </w:pPr>
          </w:p>
        </w:tc>
        <w:tc>
          <w:tcPr>
            <w:tcW w:w="980" w:type="dxa"/>
            <w:vAlign w:val="bottom"/>
            <w:gridSpan w:val="4"/>
          </w:tcPr>
          <w:p>
            <w:pPr>
              <w:jc w:val="center"/>
              <w:ind w:right="140"/>
              <w:spacing w:after="0" w:line="17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F-6</w:t>
              </w:r>
            </w:hyperlink>
          </w:p>
        </w:tc>
      </w:tr>
      <w:tr>
        <w:trPr>
          <w:trHeight w:val="20"/>
        </w:trPr>
        <w:tc>
          <w:tcPr>
            <w:tcW w:w="14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240" w:type="dxa"/>
            <w:vAlign w:val="bottom"/>
            <w:gridSpan w:val="8"/>
            <w:shd w:val="clear" w:color="auto" w:fill="CCEEFF"/>
          </w:tcPr>
          <w:p>
            <w:pPr>
              <w:ind w:left="14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Notes to Financial Statements</w:t>
              </w:r>
            </w:hyperlink>
          </w:p>
        </w:tc>
        <w:tc>
          <w:tcPr>
            <w:tcW w:w="4000" w:type="dxa"/>
            <w:vAlign w:val="bottom"/>
            <w:gridSpan w:val="5"/>
            <w:shd w:val="clear" w:color="auto" w:fill="CCEEFF"/>
          </w:tcPr>
          <w:p>
            <w:pPr>
              <w:jc w:val="center"/>
              <w:ind w:left="2770"/>
              <w:spacing w:after="0" w:line="17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F-7 to F-21</w:t>
              </w:r>
            </w:hyperlink>
          </w:p>
        </w:tc>
      </w:tr>
      <w:tr>
        <w:trPr>
          <w:trHeight w:val="432"/>
        </w:trPr>
        <w:tc>
          <w:tcPr>
            <w:tcW w:w="14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3020" w:type="dxa"/>
            <w:vAlign w:val="bottom"/>
            <w:tcBorders>
              <w:top w:val="single" w:sz="8" w:color="CCEEFF"/>
              <w:bottom w:val="single" w:sz="8" w:color="auto"/>
            </w:tcBorders>
          </w:tcPr>
          <w:p>
            <w:pPr>
              <w:spacing w:after="0"/>
              <w:rPr>
                <w:sz w:val="24"/>
                <w:szCs w:val="24"/>
                <w:color w:val="auto"/>
              </w:rPr>
            </w:pPr>
          </w:p>
        </w:tc>
        <w:tc>
          <w:tcPr>
            <w:tcW w:w="30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3" w:name="page74"/>
    <w:bookmarkEnd w:id="7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Churchill Capital Corp IV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audited the accompanying balance sheet of Churchill Capital Corp IV (the “Company”) as of December 31, 2020, the related statements of operations, changes in stockholders’ equity and cash flows for the period from April 30,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April 30,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disclosed in Note 2, the accompanying financial statements as of December 31, 2020 and for the period from April 30, 2020 (inception) through December 31, 2020, have been restated.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March 15, 2021, except for the effects of the restatement disclosed in Note 2 and the subsequent events discussed in Note 12 (Legal Proceedings), as to which the date is May 14, 2021.</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9900" w:type="dxa"/>
            <w:vAlign w:val="bottom"/>
          </w:tcPr>
          <w:p>
            <w:pPr>
              <w:jc w:val="center"/>
              <w:ind w:left="1250"/>
              <w:spacing w:after="0"/>
              <w:rPr>
                <w:sz w:val="20"/>
                <w:szCs w:val="20"/>
                <w:color w:val="auto"/>
              </w:rPr>
            </w:pPr>
            <w:r>
              <w:rPr>
                <w:rFonts w:ascii="Arial" w:cs="Arial" w:eastAsia="Arial" w:hAnsi="Arial"/>
                <w:sz w:val="18"/>
                <w:szCs w:val="18"/>
                <w:b w:val="1"/>
                <w:bCs w:val="1"/>
                <w:color w:val="auto"/>
              </w:rPr>
              <w:t>CHURCHILL CAPITAL CORP IV</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990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DECEMBER 31, 2020 (As Restated)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3,592,857</w:t>
            </w:r>
          </w:p>
        </w:tc>
        <w:tc>
          <w:tcPr>
            <w:tcW w:w="80" w:type="dxa"/>
            <w:vAlign w:val="bottom"/>
            <w:shd w:val="clear" w:color="auto" w:fill="CCEEFF"/>
          </w:tcPr>
          <w:p>
            <w:pPr>
              <w:spacing w:after="0"/>
              <w:rPr>
                <w:sz w:val="18"/>
                <w:szCs w:val="18"/>
                <w:color w:val="auto"/>
              </w:rPr>
            </w:pPr>
          </w:p>
        </w:tc>
      </w:tr>
      <w:tr>
        <w:trPr>
          <w:trHeight w:val="229"/>
        </w:trPr>
        <w:tc>
          <w:tcPr>
            <w:tcW w:w="99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937,786</w:t>
            </w:r>
          </w:p>
        </w:tc>
        <w:tc>
          <w:tcPr>
            <w:tcW w:w="80" w:type="dxa"/>
            <w:vAlign w:val="bottom"/>
          </w:tcPr>
          <w:p>
            <w:pPr>
              <w:spacing w:after="0"/>
              <w:rPr>
                <w:sz w:val="19"/>
                <w:szCs w:val="19"/>
                <w:color w:val="auto"/>
              </w:rPr>
            </w:pPr>
          </w:p>
        </w:tc>
      </w:tr>
      <w:tr>
        <w:trPr>
          <w:trHeight w:val="210"/>
        </w:trPr>
        <w:tc>
          <w:tcPr>
            <w:tcW w:w="9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2,070,086,006</w:t>
            </w:r>
          </w:p>
        </w:tc>
        <w:tc>
          <w:tcPr>
            <w:tcW w:w="80" w:type="dxa"/>
            <w:vAlign w:val="bottom"/>
            <w:shd w:val="clear" w:color="auto" w:fill="CCEEFF"/>
          </w:tcPr>
          <w:p>
            <w:pPr>
              <w:spacing w:after="0"/>
              <w:rPr>
                <w:sz w:val="19"/>
                <w:szCs w:val="19"/>
                <w:color w:val="auto"/>
              </w:rPr>
            </w:pPr>
          </w:p>
        </w:tc>
      </w:tr>
      <w:tr>
        <w:trPr>
          <w:trHeight w:val="263"/>
        </w:trPr>
        <w:tc>
          <w:tcPr>
            <w:tcW w:w="9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2,074,616,649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9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1,446,951</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81,422</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142,200,500</w:t>
            </w:r>
          </w:p>
        </w:tc>
        <w:tc>
          <w:tcPr>
            <w:tcW w:w="80" w:type="dxa"/>
            <w:vAlign w:val="bottom"/>
            <w:shd w:val="clear" w:color="auto" w:fill="CCEEFF"/>
          </w:tcPr>
          <w:p>
            <w:pPr>
              <w:spacing w:after="0"/>
              <w:rPr>
                <w:sz w:val="18"/>
                <w:szCs w:val="18"/>
                <w:color w:val="auto"/>
              </w:rPr>
            </w:pPr>
          </w:p>
        </w:tc>
      </w:tr>
      <w:tr>
        <w:trPr>
          <w:trHeight w:val="229"/>
        </w:trPr>
        <w:tc>
          <w:tcPr>
            <w:tcW w:w="9900" w:type="dxa"/>
            <w:vAlign w:val="bottom"/>
          </w:tcPr>
          <w:p>
            <w:pPr>
              <w:spacing w:after="0"/>
              <w:rPr>
                <w:sz w:val="20"/>
                <w:szCs w:val="20"/>
                <w:color w:val="auto"/>
              </w:rPr>
            </w:pPr>
            <w:r>
              <w:rPr>
                <w:rFonts w:ascii="Arial" w:cs="Arial" w:eastAsia="Arial" w:hAnsi="Arial"/>
                <w:sz w:val="18"/>
                <w:szCs w:val="18"/>
                <w:color w:val="auto"/>
              </w:rPr>
              <w:t>Deferred underwriting payable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72,450,000</w:t>
            </w:r>
          </w:p>
        </w:tc>
        <w:tc>
          <w:tcPr>
            <w:tcW w:w="80" w:type="dxa"/>
            <w:vAlign w:val="bottom"/>
          </w:tcPr>
          <w:p>
            <w:pPr>
              <w:spacing w:after="0"/>
              <w:rPr>
                <w:sz w:val="19"/>
                <w:szCs w:val="19"/>
                <w:color w:val="auto"/>
              </w:rPr>
            </w:pP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216,178,873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 185,343,777 shares at redemption value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1,853,437,770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 shares issued and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9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400,000,000 shares authorized; 21,656,223 issued and outstanding (excluding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185,343,777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9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subject to possible redemption)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c>
          <w:tcPr>
            <w:tcW w:w="80" w:type="dxa"/>
            <w:vAlign w:val="bottom"/>
            <w:shd w:val="clear" w:color="auto" w:fill="CCEEFF"/>
          </w:tcPr>
          <w:p>
            <w:pPr>
              <w:spacing w:after="0"/>
              <w:rPr>
                <w:sz w:val="20"/>
                <w:szCs w:val="20"/>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Class B common stock, $0.0001 par value; 100,000,000 shares authorized; 51,750,000 shares issued and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5,175</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68,460,540</w:t>
            </w:r>
          </w:p>
        </w:tc>
        <w:tc>
          <w:tcPr>
            <w:tcW w:w="80" w:type="dxa"/>
            <w:vAlign w:val="bottom"/>
            <w:shd w:val="clear" w:color="auto" w:fill="CCEEFF"/>
          </w:tcPr>
          <w:p>
            <w:pPr>
              <w:spacing w:after="0"/>
              <w:rPr>
                <w:sz w:val="18"/>
                <w:szCs w:val="18"/>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(63,467,875)</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2,074,616,649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 (As Restated)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2,976,423</w:t>
            </w:r>
          </w:p>
        </w:tc>
      </w:tr>
      <w:tr>
        <w:trPr>
          <w:trHeight w:val="209"/>
        </w:trPr>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(2,976,423)</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531,361</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Loss on warrant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(58,778,500)</w:t>
            </w:r>
          </w:p>
        </w:tc>
      </w:tr>
      <w:tr>
        <w:trPr>
          <w:trHeight w:val="216"/>
        </w:trPr>
        <w:tc>
          <w:tcPr>
            <w:tcW w:w="8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attributable to the Initial Public Offering</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(2,167,536)</w:t>
            </w:r>
          </w:p>
        </w:tc>
      </w:tr>
      <w:tr>
        <w:trPr>
          <w:trHeight w:val="230"/>
        </w:trPr>
        <w:tc>
          <w:tcPr>
            <w:tcW w:w="894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4,645</w:t>
            </w:r>
          </w:p>
        </w:tc>
      </w:tr>
      <w:tr>
        <w:trPr>
          <w:trHeight w:val="209"/>
        </w:trPr>
        <w:tc>
          <w:tcPr>
            <w:tcW w:w="8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(60,410,030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(63,386,453)</w:t>
            </w:r>
          </w:p>
        </w:tc>
      </w:tr>
      <w:tr>
        <w:trPr>
          <w:trHeight w:val="229"/>
        </w:trPr>
        <w:tc>
          <w:tcPr>
            <w:tcW w:w="8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(81,422)</w:t>
            </w:r>
          </w:p>
        </w:tc>
      </w:tr>
      <w:tr>
        <w:trPr>
          <w:trHeight w:val="223"/>
        </w:trPr>
        <w:tc>
          <w:tcPr>
            <w:tcW w:w="8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(63,467,875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8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Class A Common stock subject to possible redemption</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188,268,610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common stock subject to possible redemption</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0.00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 Non-redeemable common stock</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62,139,948</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 (As Restated)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Class 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6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Common Stock</w:t>
            </w:r>
          </w:p>
        </w:tc>
        <w:tc>
          <w:tcPr>
            <w:tcW w:w="26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78"/>
        </w:trPr>
        <w:tc>
          <w:tcPr>
            <w:tcW w:w="18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April 30,</w:t>
            </w: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to</w:t>
            </w: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w:t>
            </w:r>
          </w:p>
        </w:tc>
        <w:tc>
          <w:tcPr>
            <w:tcW w:w="12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207,000,000</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net of</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discounts and offering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207,000,000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1,921,859,951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1,921,880,651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possible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(185,343,777)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(18,534)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(1,853,419,236)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(1,853,437,770)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(63,467,875)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178"/>
        </w:trPr>
        <w:tc>
          <w:tcPr>
            <w:tcW w:w="18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w:t>
            </w: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880" w:type="dxa"/>
            <w:vAlign w:val="bottom"/>
          </w:tcPr>
          <w:p>
            <w:pPr>
              <w:ind w:left="180"/>
              <w:spacing w:after="0"/>
              <w:rPr>
                <w:sz w:val="20"/>
                <w:szCs w:val="20"/>
                <w:color w:val="auto"/>
              </w:rPr>
            </w:pPr>
            <w:r>
              <w:rPr>
                <w:rFonts w:ascii="Arial" w:cs="Arial" w:eastAsia="Arial" w:hAnsi="Arial"/>
                <w:sz w:val="18"/>
                <w:szCs w:val="18"/>
                <w:b w:val="1"/>
                <w:bCs w:val="1"/>
                <w:color w:val="auto"/>
              </w:rPr>
              <w:t>December 31, 2020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21,656,223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51,750,000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5,175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68,460,540</w:t>
            </w: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(63,467,875)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5,000,006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 (As Restated)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loss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(531,361)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Loss on warrant liabilities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58,778,500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attributable to Initial Public Offering</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2,167,536</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(937,786)</w:t>
            </w:r>
          </w:p>
        </w:tc>
        <w:tc>
          <w:tcPr>
            <w:tcW w:w="0" w:type="dxa"/>
            <w:vAlign w:val="bottom"/>
          </w:tcPr>
          <w:p>
            <w:pPr>
              <w:spacing w:after="0"/>
              <w:rPr>
                <w:sz w:val="1"/>
                <w:szCs w:val="1"/>
                <w:color w:val="auto"/>
              </w:rPr>
            </w:pPr>
          </w:p>
        </w:tc>
      </w:tr>
      <w:tr>
        <w:trPr>
          <w:trHeight w:val="216"/>
        </w:trPr>
        <w:tc>
          <w:tcPr>
            <w:tcW w:w="77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1,446,951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(2,467,258)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(2,070,000,000)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Cash withdrawn from Trust Account to pay taxes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9"/>
        </w:trPr>
        <w:tc>
          <w:tcPr>
            <w:tcW w:w="77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(2,069,550,000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2,033,596,400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42,850,000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(861,285)</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2,075,610,115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3,592,857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period</w:t>
            </w:r>
          </w:p>
        </w:tc>
        <w:tc>
          <w:tcPr>
            <w:tcW w:w="2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3,592,857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1,914,737,110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2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vMerge w:val="continue"/>
          </w:tcPr>
          <w:p>
            <w:pPr>
              <w:spacing w:after="0"/>
              <w:rPr>
                <w:sz w:val="20"/>
                <w:szCs w:val="20"/>
                <w:color w:val="auto"/>
              </w:rPr>
            </w:pPr>
          </w:p>
        </w:tc>
        <w:tc>
          <w:tcPr>
            <w:tcW w:w="2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(61,299,340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underwriting fee payable</w:t>
            </w:r>
          </w:p>
        </w:tc>
        <w:tc>
          <w:tcPr>
            <w:tcW w:w="2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72,450,000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ind w:right="280" w:firstLine="292"/>
        <w:spacing w:after="0" w:line="26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right="160" w:firstLine="292"/>
        <w:spacing w:after="0" w:line="277" w:lineRule="auto"/>
        <w:rPr>
          <w:sz w:val="20"/>
          <w:szCs w:val="20"/>
          <w:color w:val="auto"/>
        </w:rPr>
      </w:pPr>
      <w:r>
        <w:rPr>
          <w:rFonts w:ascii="Arial" w:cs="Arial" w:eastAsia="Arial" w:hAnsi="Arial"/>
          <w:sz w:val="18"/>
          <w:szCs w:val="18"/>
          <w:color w:val="auto"/>
        </w:rPr>
        <w:t>The Company has one subsidiary, Air Merger Sub, Inc., a direct, wholly owned subsidiary of the Company incorporated in Delaware on February 19, 2021 (“Merger Sub”) (see Note 12).</w:t>
      </w:r>
    </w:p>
    <w:p>
      <w:pPr>
        <w:spacing w:after="0" w:line="170" w:lineRule="exact"/>
        <w:rPr>
          <w:sz w:val="20"/>
          <w:szCs w:val="20"/>
          <w:color w:val="auto"/>
        </w:rPr>
      </w:pPr>
    </w:p>
    <w:p>
      <w:pPr>
        <w:ind w:right="60" w:firstLine="292"/>
        <w:spacing w:after="0" w:line="255"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April 30, 2020 (inception) through December 31, 2020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w:t>
      </w:r>
      <w:r>
        <w:rPr>
          <w:rFonts w:ascii="Arial" w:cs="Arial" w:eastAsia="Arial" w:hAnsi="Arial"/>
          <w:sz w:val="18"/>
          <w:szCs w:val="18"/>
          <w:u w:val="single" w:color="auto"/>
          <w:color w:val="auto"/>
        </w:rPr>
        <w:t>Atieva</w:t>
      </w:r>
      <w:r>
        <w:rPr>
          <w:rFonts w:ascii="Arial" w:cs="Arial" w:eastAsia="Arial" w:hAnsi="Arial"/>
          <w:sz w:val="18"/>
          <w:szCs w:val="18"/>
          <w:color w:val="auto"/>
        </w:rPr>
        <w:t>”) (see Note 12).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92" w:lineRule="exact"/>
        <w:rPr>
          <w:sz w:val="20"/>
          <w:szCs w:val="20"/>
          <w:color w:val="auto"/>
        </w:rPr>
      </w:pPr>
    </w:p>
    <w:p>
      <w:pPr>
        <w:ind w:right="120" w:firstLine="292"/>
        <w:spacing w:after="0" w:line="259" w:lineRule="auto"/>
        <w:rPr>
          <w:sz w:val="20"/>
          <w:szCs w:val="20"/>
          <w:color w:val="auto"/>
        </w:rPr>
      </w:pPr>
      <w:r>
        <w:rPr>
          <w:rFonts w:ascii="Arial" w:cs="Arial" w:eastAsia="Arial" w:hAnsi="Arial"/>
          <w:sz w:val="18"/>
          <w:szCs w:val="18"/>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4.</w:t>
      </w:r>
    </w:p>
    <w:p>
      <w:pPr>
        <w:spacing w:after="0" w:line="187" w:lineRule="exact"/>
        <w:rPr>
          <w:sz w:val="20"/>
          <w:szCs w:val="20"/>
          <w:color w:val="auto"/>
        </w:rPr>
      </w:pPr>
    </w:p>
    <w:p>
      <w:pPr>
        <w:ind w:right="360" w:firstLine="292"/>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5.</w:t>
      </w:r>
    </w:p>
    <w:p>
      <w:pPr>
        <w:spacing w:after="0" w:line="184" w:lineRule="exact"/>
        <w:rPr>
          <w:sz w:val="20"/>
          <w:szCs w:val="20"/>
          <w:color w:val="auto"/>
        </w:rPr>
      </w:pPr>
    </w:p>
    <w:p>
      <w:pPr>
        <w:ind w:right="80" w:firstLine="292"/>
        <w:spacing w:after="0" w:line="277"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w:t>
      </w:r>
    </w:p>
    <w:p>
      <w:pPr>
        <w:spacing w:after="0" w:line="170" w:lineRule="exact"/>
        <w:rPr>
          <w:sz w:val="20"/>
          <w:szCs w:val="20"/>
          <w:color w:val="auto"/>
        </w:rPr>
      </w:pPr>
    </w:p>
    <w:p>
      <w:pPr>
        <w:ind w:right="40" w:firstLine="292"/>
        <w:spacing w:after="0" w:line="254" w:lineRule="auto"/>
        <w:rPr>
          <w:sz w:val="20"/>
          <w:szCs w:val="20"/>
          <w:color w:val="auto"/>
        </w:rPr>
      </w:pPr>
      <w:r>
        <w:rPr>
          <w:rFonts w:ascii="Arial" w:cs="Arial" w:eastAsia="Arial" w:hAnsi="Arial"/>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92" w:lineRule="exact"/>
        <w:rPr>
          <w:sz w:val="20"/>
          <w:szCs w:val="20"/>
          <w:color w:val="auto"/>
        </w:rPr>
      </w:pPr>
    </w:p>
    <w:p>
      <w:pPr>
        <w:ind w:right="100" w:firstLine="292"/>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firstLine="292"/>
        <w:spacing w:after="0" w:line="253"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80" w:firstLine="292"/>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6)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ind w:right="220" w:firstLine="292"/>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ind w:right="100" w:firstLine="292"/>
        <w:spacing w:after="0" w:line="255" w:lineRule="auto"/>
        <w:rPr>
          <w:sz w:val="20"/>
          <w:szCs w:val="20"/>
          <w:color w:val="auto"/>
        </w:rPr>
      </w:pPr>
      <w:r>
        <w:rPr>
          <w:rFonts w:ascii="Arial" w:cs="Arial" w:eastAsia="Arial" w:hAnsi="Arial"/>
          <w:sz w:val="18"/>
          <w:szCs w:val="18"/>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92" w:lineRule="exact"/>
        <w:rPr>
          <w:sz w:val="20"/>
          <w:szCs w:val="20"/>
          <w:color w:val="auto"/>
        </w:rPr>
      </w:pPr>
    </w:p>
    <w:p>
      <w:pPr>
        <w:ind w:right="340" w:firstLine="292"/>
        <w:spacing w:after="0" w:line="291" w:lineRule="auto"/>
        <w:rPr>
          <w:sz w:val="20"/>
          <w:szCs w:val="20"/>
          <w:color w:val="auto"/>
        </w:rPr>
      </w:pPr>
      <w:r>
        <w:rPr>
          <w:rFonts w:ascii="Arial" w:cs="Arial" w:eastAsia="Arial" w:hAnsi="Arial"/>
          <w:sz w:val="16"/>
          <w:szCs w:val="16"/>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w:t>
      </w:r>
    </w:p>
    <w:p>
      <w:pPr>
        <w:ind w:right="80" w:firstLine="8"/>
        <w:spacing w:after="0" w:line="287" w:lineRule="auto"/>
        <w:tabs>
          <w:tab w:leader="none" w:pos="2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70" w:lineRule="exact"/>
        <w:rPr>
          <w:sz w:val="20"/>
          <w:szCs w:val="20"/>
          <w:color w:val="auto"/>
        </w:rPr>
      </w:pPr>
    </w:p>
    <w:p>
      <w:pPr>
        <w:ind w:right="20" w:firstLine="292"/>
        <w:spacing w:after="0" w:line="291" w:lineRule="auto"/>
        <w:rPr>
          <w:sz w:val="20"/>
          <w:szCs w:val="20"/>
          <w:color w:val="auto"/>
        </w:rPr>
      </w:pPr>
      <w:r>
        <w:rPr>
          <w:rFonts w:ascii="Arial" w:cs="Arial" w:eastAsia="Arial" w:hAnsi="Arial"/>
          <w:sz w:val="16"/>
          <w:szCs w:val="16"/>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ind w:right="60" w:firstLine="292"/>
        <w:spacing w:after="0" w:line="270"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81" w:lineRule="exact"/>
        <w:rPr>
          <w:sz w:val="20"/>
          <w:szCs w:val="20"/>
          <w:color w:val="auto"/>
        </w:rPr>
      </w:pPr>
    </w:p>
    <w:p>
      <w:pPr>
        <w:ind w:firstLine="292"/>
        <w:spacing w:after="0" w:line="263" w:lineRule="auto"/>
        <w:rPr>
          <w:sz w:val="20"/>
          <w:szCs w:val="20"/>
          <w:color w:val="auto"/>
        </w:rPr>
      </w:pPr>
      <w:r>
        <w:rPr>
          <w:rFonts w:ascii="Arial" w:cs="Arial" w:eastAsia="Arial" w:hAnsi="Arial"/>
          <w:sz w:val="18"/>
          <w:szCs w:val="18"/>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firstLine="292"/>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firstLine="292"/>
        <w:spacing w:after="0" w:line="253" w:lineRule="auto"/>
        <w:rPr>
          <w:sz w:val="20"/>
          <w:szCs w:val="20"/>
          <w:color w:val="auto"/>
        </w:rPr>
      </w:pPr>
      <w:r>
        <w:rPr>
          <w:rFonts w:ascii="Arial" w:cs="Arial" w:eastAsia="Arial" w:hAnsi="Arial"/>
          <w:sz w:val="18"/>
          <w:szCs w:val="18"/>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December 31, 2020, the Company had $3,592,857 in its operating bank accounts, $2,070,086,006 in securities held in the Trust Account to be used for a Business Combination or to repurchase or redeem its common stock in connection therewith and working capital of $3,218,168. As of December 31, 2020, approximately $86,000 of the amount on deposit in the Trust Account represented interest income, which is available to pay the Company's tax obligations. Based on the foregoing, the Company believes it will have sufficient cash to meet its needs for a reasonable period of time, which is considered to be one year from the issuance date of the financial statements. On February 22, 2021, the Company entered into a convertible promissory note with the Sponsor pursuant to which the Sponsor agreed to loan the Company up to an aggregate principal amount of $1,500,000 (see Note 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2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(collectively, with the Public Warrants, the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offer or exchange offer made to and accepted by holders of more than 50% of the outstanding shares of a single class of stock, all holders of the Warrants would be entitled to receive cash for their Warrants (the “tender offer provision”).</w:t>
      </w:r>
    </w:p>
    <w:p>
      <w:pPr>
        <w:spacing w:after="0" w:line="178" w:lineRule="exact"/>
        <w:rPr>
          <w:sz w:val="20"/>
          <w:szCs w:val="20"/>
          <w:color w:val="auto"/>
        </w:rPr>
      </w:pPr>
    </w:p>
    <w:p>
      <w:pPr>
        <w:ind w:right="380" w:firstLine="324"/>
        <w:spacing w:after="0" w:line="275"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w:t>
      </w:r>
    </w:p>
    <w:p>
      <w:pPr>
        <w:spacing w:after="0" w:line="176"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In further consideration of the SEC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are not indexed to the Company’s common stock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the tender offer provision fails the “classified in stockholders’ equity” criteria as contemplated by ASC Section 815-40-25.</w:t>
      </w:r>
    </w:p>
    <w:p>
      <w:pPr>
        <w:spacing w:after="0" w:line="18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 See Notes 3, 8, 9, 10 and 11.</w:t>
      </w:r>
    </w:p>
    <w:p>
      <w:pPr>
        <w:spacing w:after="0" w:line="16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investments held in trust, operating expenses, or cash.</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gridSpan w:val="8"/>
          </w:tcPr>
          <w:p>
            <w:pPr>
              <w:ind w:left="340"/>
              <w:spacing w:after="0"/>
              <w:rPr>
                <w:sz w:val="20"/>
                <w:szCs w:val="20"/>
                <w:color w:val="auto"/>
              </w:rPr>
            </w:pPr>
            <w:r>
              <w:rPr>
                <w:rFonts w:ascii="Arial" w:cs="Arial" w:eastAsia="Arial" w:hAnsi="Arial"/>
                <w:sz w:val="18"/>
                <w:szCs w:val="18"/>
                <w:color w:val="auto"/>
              </w:rPr>
              <w:t>The table below summarizes the effects of the restatement on the financial statements for all periods being restated: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Previously</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w:t>
            </w:r>
          </w:p>
        </w:tc>
      </w:tr>
      <w:tr>
        <w:trPr>
          <w:trHeight w:val="234"/>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Restated</w:t>
            </w: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as of August 3, 2020 (audited)</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72,450,000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83,422,000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155,872,000</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1,998,159,110</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(83,422,000)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1,914,737,110</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4,995,112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2,166,701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7,161,813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(2,167,536)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(2,168,536)</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5,000,005</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199,815,911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(8,342,200)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191,473,711</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72,483,333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135,402,500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207,885,833</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1,998,003,495</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(135,402,500)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1,862,600,995</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2,075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5,150,724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54,146,682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59,297,406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(156,614)</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(54,148,036)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(54,304,650)</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5,000,006</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5,000,006</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199,787,373</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(13,539,371)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186,248,002</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73,978,373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142,200,500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216,178,873</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1,995,638,270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(142,200,500)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1,853,437,770</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7,515,926</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60,944,614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68,460,540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(2,521,839)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(60,946,036)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(63,467,875)</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5,000,006</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199,563,827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(14,220,050)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185,343,777</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Statement of Operations for the three Month Ended September 30, 2020 (unaudited)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(155,614)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(54,148,036)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(54,303,650)</w:t>
            </w: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Class A Common stock subject to</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199,815,911</w:t>
            </w: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(8,342,200)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191,473,711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and diluted net income per share, Class A common stock subject to possible redemption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w w:val="97"/>
              </w:rPr>
              <w:t>Basic and diluted weighted average shares outstanding, Non-redeemable common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53,784,534</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5,259,213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59,043,747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(0.92)</w:t>
            </w:r>
          </w:p>
        </w:tc>
      </w:tr>
      <w:tr>
        <w:trPr>
          <w:trHeight w:val="675"/>
        </w:trPr>
        <w:tc>
          <w:tcPr>
            <w:tcW w:w="688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Statement of Operations for the period from April 30, 2020 (inception) to September 30,</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(unaudited)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(156,614)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(54,148,036)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(54,304,650)</w:t>
            </w:r>
          </w:p>
        </w:tc>
      </w:tr>
      <w:tr>
        <w:trPr>
          <w:trHeight w:val="216"/>
        </w:trPr>
        <w:tc>
          <w:tcPr>
            <w:tcW w:w="6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Class A Common stock subject to</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2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199,815,911</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(8,342,200)</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191,473,711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and diluted net income per share, Class A common stock subject to possible redemption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w w:val="97"/>
              </w:rPr>
              <w:t>Basic and diluted weighted average shares outstanding, Non-redeemable common stock</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51,169,291</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3,693,493</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54,862,784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16"/>
        </w:trPr>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Statement of Operations for the period from April 30, 2020 (inception) to December 31,</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(audited)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(2,521,839)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(60,946,036)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(63,467,875)</w:t>
            </w:r>
          </w:p>
        </w:tc>
      </w:tr>
      <w:tr>
        <w:trPr>
          <w:trHeight w:val="216"/>
        </w:trPr>
        <w:tc>
          <w:tcPr>
            <w:tcW w:w="6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Class A Common stock subject to</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2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199,798,408</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(11,529,798)</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188,268,610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and diluted net income per share, Class A common stock subject to possible redemption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w w:val="97"/>
              </w:rPr>
              <w:t>Basic and diluted weighted average shares outstanding, Non-redeemable common stock</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54,384,479</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7,755,470</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62,139,949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Statement of Cash Flows for the period from April 30, 2020 (inception) to December 31,</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(audited)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(2,521,839)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(60,946,036)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(63,467,875)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58,778,500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58,778,500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Transaction costs attributable to Initial Public Offering</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2,167,536</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2,167,536</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1,998,159,110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(83,422,000)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1,914,737,110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(2,520,840)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(58,778,500)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(61,299,340)</w:t>
            </w:r>
          </w:p>
        </w:tc>
      </w:tr>
      <w:tr>
        <w:trPr>
          <w:trHeight w:val="216"/>
        </w:trPr>
        <w:tc>
          <w:tcPr>
            <w:tcW w:w="6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8"/>
        </w:trPr>
        <w:tc>
          <w:tcPr>
            <w:tcW w:w="688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Statement of Cash Flows for the period from April 30, 2020 (inception) to September 30,</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6880" w:type="dxa"/>
            <w:vAlign w:val="bottom"/>
          </w:tcPr>
          <w:p>
            <w:pPr>
              <w:ind w:left="180"/>
              <w:spacing w:after="0"/>
              <w:rPr>
                <w:sz w:val="20"/>
                <w:szCs w:val="20"/>
                <w:color w:val="auto"/>
              </w:rPr>
            </w:pPr>
            <w:r>
              <w:rPr>
                <w:rFonts w:ascii="Arial" w:cs="Arial" w:eastAsia="Arial" w:hAnsi="Arial"/>
                <w:sz w:val="18"/>
                <w:szCs w:val="18"/>
                <w:b w:val="1"/>
                <w:bCs w:val="1"/>
                <w:color w:val="auto"/>
              </w:rPr>
              <w:t>2020 (unaudited)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(54,148,036)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(54,304,650)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Loss on warrant liabilities</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51,980,500</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51,980,500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attributable to Initial Public Offering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2,167,536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2,167,536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w w:val="93"/>
              </w:rPr>
              <w:t>1,998,159,110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(83,422,000)</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w w:val="93"/>
              </w:rPr>
              <w:t>1,914,737,110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(155,615)</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(51,980,500)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(52,136,115)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0" w:firstLine="292"/>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120" w:firstLine="292"/>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ind w:right="160" w:firstLine="292"/>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632"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292"/>
        <w:spacing w:after="0" w:line="263" w:lineRule="auto"/>
        <w:rPr>
          <w:sz w:val="20"/>
          <w:szCs w:val="20"/>
          <w:color w:val="auto"/>
        </w:rPr>
      </w:pPr>
      <w:r>
        <w:rPr>
          <w:rFonts w:ascii="Arial" w:cs="Arial" w:eastAsia="Arial" w:hAnsi="Arial"/>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firstLine="292"/>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40" w:firstLine="292"/>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Cash equivalents consist of mutual funds. The Company did not have any cash equivalents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ind w:right="420" w:firstLine="292"/>
        <w:spacing w:after="0" w:line="277" w:lineRule="auto"/>
        <w:rPr>
          <w:sz w:val="20"/>
          <w:szCs w:val="20"/>
          <w:color w:val="auto"/>
        </w:rPr>
      </w:pPr>
      <w:r>
        <w:rPr>
          <w:rFonts w:ascii="Arial" w:cs="Arial" w:eastAsia="Arial" w:hAnsi="Arial"/>
          <w:sz w:val="18"/>
          <w:szCs w:val="18"/>
          <w:color w:val="auto"/>
        </w:rPr>
        <w:t>At December 31, 2020, substantially all of the assets held in the Trust Account were held in U.S. Treasury Bills. Through December 31, 2020, the Company withdrew $450,000 of interest earned on the Trust Account for working capital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ind w:right="80" w:firstLine="292"/>
        <w:spacing w:after="0" w:line="293" w:lineRule="auto"/>
        <w:rPr>
          <w:sz w:val="20"/>
          <w:szCs w:val="20"/>
          <w:color w:val="auto"/>
        </w:rPr>
      </w:pPr>
      <w:r>
        <w:rPr>
          <w:rFonts w:ascii="Arial" w:cs="Arial" w:eastAsia="Arial" w:hAnsi="Arial"/>
          <w:sz w:val="16"/>
          <w:szCs w:val="16"/>
          <w:color w:val="auto"/>
        </w:rPr>
        <w:t>The Company accounts for the Warrants in accordance with the guidance contained in ASC 815-40-15-7D and 7F under which the Warrants do not meet the criteria for equity treatment and must be recorded as liabilities. Accordingly, the Company classifies the Warrants as liabilities at their fair value and adjust the Warrants to fair value at each reporting period. This liability is subject to re-measurement at each balance sheet date until exercised, and any change in fair value is recognized in our statement of operations. The Public Warrants and Private Placement Warrants for periods where no observable traded price was available are valued using a Monte Carlo simulation and a modified Black Scholes model, respectively. For periods subsequent to the detachment of the Public Warrants from the Units, the Public Warrant quoted market price was used as the fair value as of each relevant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ind w:right="160" w:firstLine="292"/>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balance sheet.</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292"/>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ind w:firstLine="292"/>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ind w:right="100" w:firstLine="292"/>
        <w:spacing w:after="0" w:line="273" w:lineRule="auto"/>
        <w:rPr>
          <w:sz w:val="20"/>
          <w:szCs w:val="20"/>
          <w:color w:val="auto"/>
        </w:rPr>
      </w:pPr>
      <w:r>
        <w:rPr>
          <w:rFonts w:ascii="Arial" w:cs="Arial" w:eastAsia="Arial" w:hAnsi="Arial"/>
          <w:sz w:val="17"/>
          <w:szCs w:val="17"/>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ind w:firstLine="292"/>
        <w:spacing w:after="0" w:line="279" w:lineRule="auto"/>
        <w:rPr>
          <w:sz w:val="20"/>
          <w:szCs w:val="20"/>
          <w:color w:val="auto"/>
        </w:rPr>
      </w:pPr>
      <w:r>
        <w:rPr>
          <w:rFonts w:ascii="Arial" w:cs="Arial" w:eastAsia="Arial" w:hAnsi="Arial"/>
          <w:sz w:val="17"/>
          <w:szCs w:val="17"/>
          <w:color w:val="auto"/>
        </w:rPr>
        <w:t>Net income (loss) per common share is computed by dividing net income by the weighted-average number of common shares outstanding during the period. The Company has not considered the effect of the warrants sold in the Public Offering and Private Placement to purchase an aggregate of 84,250,000 shares of common stock in the calculation of diluted loss per share, since the exercise of the warrants into shares of common stock is contingent upon the occurrence of future events and the inclusion of such warrants would be anti-dilutive.</w:t>
      </w:r>
    </w:p>
    <w:p>
      <w:pPr>
        <w:spacing w:after="0" w:line="171" w:lineRule="exact"/>
        <w:rPr>
          <w:sz w:val="20"/>
          <w:szCs w:val="20"/>
          <w:color w:val="auto"/>
        </w:rPr>
      </w:pPr>
    </w:p>
    <w:p>
      <w:pPr>
        <w:jc w:val="both"/>
        <w:ind w:right="40" w:firstLine="292"/>
        <w:spacing w:after="0" w:line="301" w:lineRule="auto"/>
        <w:rPr>
          <w:sz w:val="20"/>
          <w:szCs w:val="20"/>
          <w:color w:val="auto"/>
        </w:rPr>
      </w:pPr>
      <w:r>
        <w:rPr>
          <w:rFonts w:ascii="Arial" w:cs="Arial" w:eastAsia="Arial" w:hAnsi="Arial"/>
          <w:sz w:val="16"/>
          <w:szCs w:val="16"/>
          <w:color w:val="auto"/>
        </w:rPr>
        <w:t>The Company’s statement of operations includes a presentation of income (loss) per share for Class A common stock subject to possible redemption in a manner similar to the two-class method of income (loss) per ordinary share. Net income (loss) per common share, basic and diluted, for Class A common stock subject to possible redemption is calculated by dividing the proportionate share of income or loss on marketable securities held by the Trust Account by the weighted average number of Class A common stock subject to possible redemption outstanding since original issuance.</w:t>
      </w:r>
    </w:p>
    <w:p>
      <w:pPr>
        <w:spacing w:after="0" w:line="157" w:lineRule="exact"/>
        <w:rPr>
          <w:sz w:val="20"/>
          <w:szCs w:val="20"/>
          <w:color w:val="auto"/>
        </w:rPr>
      </w:pPr>
    </w:p>
    <w:p>
      <w:pPr>
        <w:ind w:right="60" w:firstLine="292"/>
        <w:spacing w:after="0" w:line="263" w:lineRule="auto"/>
        <w:rPr>
          <w:sz w:val="20"/>
          <w:szCs w:val="20"/>
          <w:color w:val="auto"/>
        </w:rPr>
      </w:pPr>
      <w:r>
        <w:rPr>
          <w:rFonts w:ascii="Arial" w:cs="Arial" w:eastAsia="Arial" w:hAnsi="Arial"/>
          <w:sz w:val="18"/>
          <w:szCs w:val="18"/>
          <w:color w:val="auto"/>
        </w:rPr>
        <w:t>Net income (loss) per share, basic and diluted, for non-redeemable ordinary shares is calculated by dividing the net loss, adjusted for income or loss on marketable securities attributable to Class A common stock subject to possible redemption, by the weighted average number of non-redeemable ordinary shares outstanding for the period.</w:t>
      </w:r>
    </w:p>
    <w:p>
      <w:pPr>
        <w:spacing w:after="0" w:line="184" w:lineRule="exact"/>
        <w:rPr>
          <w:sz w:val="20"/>
          <w:szCs w:val="20"/>
          <w:color w:val="auto"/>
        </w:rPr>
      </w:pPr>
    </w:p>
    <w:p>
      <w:pPr>
        <w:jc w:val="both"/>
        <w:ind w:right="320" w:firstLine="292"/>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or loss on marketable securities based on the non-redeemable shares’ proportionate interest.</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reflects the calculation of basic and diluted net income (loss) per ordinary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3"/>
              </w:rPr>
              <w:t>April 30, 2020</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0"/>
        </w:trPr>
        <w:tc>
          <w:tcPr>
            <w:tcW w:w="8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9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Numerator: Earnings allocable to Class A common stock subject to possible redemption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475,781</w:t>
            </w:r>
          </w:p>
        </w:tc>
        <w:tc>
          <w:tcPr>
            <w:tcW w:w="0" w:type="dxa"/>
            <w:vAlign w:val="bottom"/>
          </w:tcPr>
          <w:p>
            <w:pPr>
              <w:spacing w:after="0"/>
              <w:rPr>
                <w:sz w:val="1"/>
                <w:szCs w:val="1"/>
                <w:color w:val="auto"/>
              </w:rPr>
            </w:pPr>
          </w:p>
        </w:tc>
      </w:tr>
      <w:tr>
        <w:trPr>
          <w:trHeight w:val="216"/>
        </w:trPr>
        <w:tc>
          <w:tcPr>
            <w:tcW w:w="892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Company’s portion available to be withdrawn to pay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(193,315)</w:t>
            </w:r>
          </w:p>
        </w:tc>
        <w:tc>
          <w:tcPr>
            <w:tcW w:w="0" w:type="dxa"/>
            <w:vAlign w:val="bottom"/>
          </w:tcPr>
          <w:p>
            <w:pPr>
              <w:spacing w:after="0"/>
              <w:rPr>
                <w:sz w:val="1"/>
                <w:szCs w:val="1"/>
                <w:color w:val="auto"/>
              </w:rPr>
            </w:pPr>
          </w:p>
        </w:tc>
      </w:tr>
      <w:tr>
        <w:trPr>
          <w:trHeight w:val="229"/>
        </w:trPr>
        <w:tc>
          <w:tcPr>
            <w:tcW w:w="8920" w:type="dxa"/>
            <w:vAlign w:val="bottom"/>
          </w:tcPr>
          <w:p>
            <w:pPr>
              <w:ind w:left="180"/>
              <w:spacing w:after="0"/>
              <w:rPr>
                <w:sz w:val="20"/>
                <w:szCs w:val="20"/>
                <w:color w:val="auto"/>
              </w:rPr>
            </w:pPr>
            <w:r>
              <w:rPr>
                <w:rFonts w:ascii="Arial" w:cs="Arial" w:eastAsia="Arial" w:hAnsi="Arial"/>
                <w:sz w:val="18"/>
                <w:szCs w:val="18"/>
                <w:color w:val="auto"/>
              </w:rPr>
              <w:t>Less: Company’s portion available to be withdrawn for working capital purposes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(286,625)</w:t>
            </w:r>
          </w:p>
        </w:tc>
        <w:tc>
          <w:tcPr>
            <w:tcW w:w="0" w:type="dxa"/>
            <w:vAlign w:val="bottom"/>
          </w:tcPr>
          <w:p>
            <w:pPr>
              <w:spacing w:after="0"/>
              <w:rPr>
                <w:sz w:val="1"/>
                <w:szCs w:val="1"/>
                <w:color w:val="auto"/>
              </w:rPr>
            </w:pPr>
          </w:p>
        </w:tc>
      </w:tr>
      <w:tr>
        <w:trPr>
          <w:trHeight w:val="223"/>
        </w:trPr>
        <w:tc>
          <w:tcPr>
            <w:tcW w:w="8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allocable to Class A common stock subject to possible redemption</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Denominator: Weighted average Class A common stock subject to possible redemption</w:t>
            </w: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Class A common stock subject to possible redemption</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188,268,610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share, Class A common stock subject to possible redemption</w:t>
            </w:r>
          </w:p>
        </w:tc>
        <w:tc>
          <w:tcPr>
            <w:tcW w:w="9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2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allocable to Class A common stock subject to possible redemption</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Non-redeemable net loss</w:t>
            </w:r>
          </w:p>
        </w:tc>
        <w:tc>
          <w:tcPr>
            <w:tcW w:w="9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(63,467,875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Weighted average non-redeemable Class B common stock</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92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Non-redeemable Class B common stock</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62,139,949</w:t>
            </w:r>
          </w:p>
        </w:tc>
        <w:tc>
          <w:tcPr>
            <w:tcW w:w="0" w:type="dxa"/>
            <w:vAlign w:val="bottom"/>
          </w:tcPr>
          <w:p>
            <w:pPr>
              <w:spacing w:after="0"/>
              <w:rPr>
                <w:sz w:val="1"/>
                <w:szCs w:val="1"/>
                <w:color w:val="auto"/>
              </w:rPr>
            </w:pPr>
          </w:p>
        </w:tc>
      </w:tr>
      <w:tr>
        <w:trPr>
          <w:trHeight w:val="197"/>
        </w:trPr>
        <w:tc>
          <w:tcPr>
            <w:tcW w:w="8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Non-redeemable Class B common stock</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00" w:firstLine="292"/>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Coverage limit of $250,000. The Company has not experienced losses on this account.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balance sheet,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40" w:firstLine="292"/>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ind w:firstLine="292"/>
        <w:spacing w:after="0" w:line="257" w:lineRule="auto"/>
        <w:rPr>
          <w:sz w:val="20"/>
          <w:szCs w:val="20"/>
          <w:color w:val="auto"/>
        </w:rPr>
      </w:pPr>
      <w:r>
        <w:rPr>
          <w:rFonts w:ascii="Arial" w:cs="Arial" w:eastAsia="Arial" w:hAnsi="Arial"/>
          <w:sz w:val="18"/>
          <w:szCs w:val="18"/>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ind w:right="20" w:firstLine="292"/>
        <w:spacing w:after="0" w:line="272"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ind w:right="20" w:firstLine="292"/>
        <w:spacing w:after="0" w:line="270"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81" w:lineRule="exact"/>
        <w:rPr>
          <w:sz w:val="20"/>
          <w:szCs w:val="20"/>
          <w:color w:val="auto"/>
        </w:rPr>
      </w:pPr>
    </w:p>
    <w:p>
      <w:pPr>
        <w:ind w:right="40" w:firstLine="292"/>
        <w:spacing w:after="0" w:line="293" w:lineRule="auto"/>
        <w:rPr>
          <w:sz w:val="20"/>
          <w:szCs w:val="20"/>
          <w:color w:val="auto"/>
        </w:rPr>
      </w:pPr>
      <w:r>
        <w:rPr>
          <w:rFonts w:ascii="Arial" w:cs="Arial" w:eastAsia="Arial" w:hAnsi="Arial"/>
          <w:sz w:val="16"/>
          <w:szCs w:val="16"/>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ind w:right="60" w:firstLine="292"/>
        <w:spacing w:after="0" w:line="311" w:lineRule="auto"/>
        <w:rPr>
          <w:sz w:val="20"/>
          <w:szCs w:val="20"/>
          <w:color w:val="auto"/>
        </w:rPr>
      </w:pPr>
      <w:r>
        <w:rPr>
          <w:rFonts w:ascii="Arial" w:cs="Arial" w:eastAsia="Arial" w:hAnsi="Arial"/>
          <w:sz w:val="16"/>
          <w:szCs w:val="16"/>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period from April 30, 2020 (inception) through December 31, 2020, the Company incurred and paid $250,000 in fees for these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w:t>
      </w:r>
    </w:p>
    <w:p>
      <w:pPr>
        <w:spacing w:after="0" w:line="225" w:lineRule="exact"/>
        <w:rPr>
          <w:sz w:val="20"/>
          <w:szCs w:val="20"/>
          <w:color w:val="auto"/>
        </w:rPr>
      </w:pPr>
    </w:p>
    <w:p>
      <w:pPr>
        <w:ind w:right="120" w:firstLine="292"/>
        <w:spacing w:after="0" w:line="26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ind w:right="20" w:firstLine="292"/>
        <w:spacing w:after="0" w:line="259"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right="40" w:firstLine="292"/>
        <w:spacing w:after="0" w:line="290"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right="40" w:firstLine="292"/>
        <w:spacing w:after="0" w:line="271" w:lineRule="auto"/>
        <w:rPr>
          <w:sz w:val="20"/>
          <w:szCs w:val="20"/>
          <w:color w:val="auto"/>
        </w:rPr>
      </w:pPr>
      <w:r>
        <w:rPr>
          <w:rFonts w:ascii="Arial" w:cs="Arial" w:eastAsia="Arial" w:hAnsi="Arial"/>
          <w:sz w:val="17"/>
          <w:szCs w:val="17"/>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w:t>
      </w:r>
    </w:p>
    <w:p>
      <w:pPr>
        <w:spacing w:after="0" w:line="225" w:lineRule="exact"/>
        <w:rPr>
          <w:sz w:val="20"/>
          <w:szCs w:val="20"/>
          <w:color w:val="auto"/>
        </w:rPr>
      </w:pPr>
    </w:p>
    <w:p>
      <w:pPr>
        <w:ind w:right="20" w:firstLine="292"/>
        <w:spacing w:after="0" w:line="277" w:lineRule="auto"/>
        <w:rPr>
          <w:sz w:val="20"/>
          <w:szCs w:val="20"/>
          <w:color w:val="auto"/>
        </w:rPr>
      </w:pPr>
      <w:r>
        <w:rPr>
          <w:rFonts w:ascii="Arial" w:cs="Arial" w:eastAsia="Arial" w:hAnsi="Arial"/>
          <w:sz w:val="18"/>
          <w:szCs w:val="18"/>
          <w:color w:val="auto"/>
        </w:rPr>
        <w:t>As of December 31, 2020, the Company incurred legal fees of $2,152,960. These fees will only become due and payable upon the consummation of an initial Business Combination (see Note 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right="40" w:firstLine="292"/>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84" w:lineRule="exact"/>
        <w:rPr>
          <w:sz w:val="20"/>
          <w:szCs w:val="20"/>
          <w:color w:val="auto"/>
        </w:rPr>
      </w:pPr>
    </w:p>
    <w:p>
      <w:pPr>
        <w:ind w:right="140" w:firstLine="292"/>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On July 30, 2020, the Company amended its Amended and Restated Certificate of Incorporation such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to issue 400,000,000 shares of Class A common stock with a par value of $0.0001 per share. Holders of Class A common stock are entitled to one vote for each share. At December 31, 2020, there were 21,656,223 shares of Class A common stock issued or outstanding, excluding 185,343,777 shares of Class A common stock subject to possible redemption</w:t>
      </w:r>
    </w:p>
    <w:p>
      <w:pPr>
        <w:spacing w:after="0" w:line="187" w:lineRule="exact"/>
        <w:rPr>
          <w:sz w:val="20"/>
          <w:szCs w:val="20"/>
          <w:color w:val="auto"/>
        </w:rPr>
      </w:pPr>
    </w:p>
    <w:p>
      <w:pPr>
        <w:ind w:right="140" w:firstLine="292"/>
        <w:spacing w:after="0" w:line="311"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On July 30, 2020, the Company amended its Amended and Restated Certificate of Incorporation such that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authorized to issue 100,000,000 shares of Class B common stock with a par value of $0.0001 per share. Holders of Class B common stock are entitled to one vote for each share. At December 31, 2020, there were 51,750,000 shares of Class B common stock issued and outstanding</w:t>
      </w:r>
    </w:p>
    <w:p>
      <w:pPr>
        <w:spacing w:after="0" w:line="149" w:lineRule="exact"/>
        <w:rPr>
          <w:sz w:val="20"/>
          <w:szCs w:val="20"/>
          <w:color w:val="auto"/>
        </w:rPr>
      </w:pPr>
    </w:p>
    <w:p>
      <w:pPr>
        <w:ind w:right="80" w:firstLine="292"/>
        <w:spacing w:after="0" w:line="263" w:lineRule="auto"/>
        <w:rPr>
          <w:sz w:val="20"/>
          <w:szCs w:val="20"/>
          <w:color w:val="auto"/>
        </w:rPr>
      </w:pPr>
      <w:r>
        <w:rPr>
          <w:rFonts w:ascii="Arial" w:cs="Arial" w:eastAsia="Arial" w:hAnsi="Arial"/>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84" w:lineRule="exact"/>
        <w:rPr>
          <w:sz w:val="20"/>
          <w:szCs w:val="20"/>
          <w:color w:val="auto"/>
        </w:rPr>
      </w:pPr>
    </w:p>
    <w:p>
      <w:pPr>
        <w:ind w:right="100" w:firstLine="292"/>
        <w:spacing w:after="0" w:line="288"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229" w:lineRule="exact"/>
        <w:rPr>
          <w:sz w:val="20"/>
          <w:szCs w:val="20"/>
          <w:color w:val="auto"/>
        </w:rPr>
      </w:pPr>
    </w:p>
    <w:p>
      <w:pPr>
        <w:ind w:firstLine="292"/>
        <w:spacing w:after="0" w:line="274" w:lineRule="auto"/>
        <w:rPr>
          <w:sz w:val="20"/>
          <w:szCs w:val="20"/>
          <w:color w:val="auto"/>
        </w:rPr>
      </w:pPr>
      <w:r>
        <w:rPr>
          <w:rFonts w:ascii="Arial" w:cs="Arial" w:eastAsia="Arial" w:hAnsi="Arial"/>
          <w:sz w:val="17"/>
          <w:szCs w:val="17"/>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w:t>
      </w:r>
    </w:p>
    <w:p>
      <w:pPr>
        <w:ind w:right="80" w:firstLine="8"/>
        <w:spacing w:after="0" w:line="260"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ind w:right="100" w:firstLine="292"/>
        <w:spacing w:after="0" w:line="293" w:lineRule="auto"/>
        <w:rPr>
          <w:sz w:val="20"/>
          <w:szCs w:val="20"/>
          <w:color w:val="auto"/>
        </w:rPr>
      </w:pPr>
      <w:r>
        <w:rPr>
          <w:rFonts w:ascii="Arial" w:cs="Arial" w:eastAsia="Arial" w:hAnsi="Arial"/>
          <w:sz w:val="16"/>
          <w:szCs w:val="16"/>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64" w:lineRule="exact"/>
        <w:rPr>
          <w:sz w:val="20"/>
          <w:szCs w:val="20"/>
          <w:color w:val="auto"/>
        </w:rPr>
      </w:pPr>
    </w:p>
    <w:p>
      <w:pPr>
        <w:ind w:right="80" w:firstLine="292"/>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225" w:lineRule="exact"/>
        <w:rPr>
          <w:rFonts w:ascii="Arial" w:cs="Arial" w:eastAsia="Arial" w:hAnsi="Arial"/>
          <w:sz w:val="18"/>
          <w:szCs w:val="18"/>
          <w:color w:val="auto"/>
        </w:rPr>
      </w:pPr>
    </w:p>
    <w:p>
      <w:pPr>
        <w:ind w:left="680" w:right="100" w:hanging="335"/>
        <w:spacing w:after="0" w:line="308"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46" w:lineRule="exact"/>
        <w:rPr>
          <w:sz w:val="20"/>
          <w:szCs w:val="20"/>
          <w:color w:val="auto"/>
        </w:rPr>
      </w:pPr>
    </w:p>
    <w:p>
      <w:pPr>
        <w:ind w:right="40" w:firstLine="292"/>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right="60" w:firstLine="292"/>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ind w:right="60" w:firstLine="292"/>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60" w:type="dxa"/>
            <w:vAlign w:val="bottom"/>
          </w:tcPr>
          <w:p>
            <w:pPr>
              <w:ind w:left="300"/>
              <w:spacing w:after="0"/>
              <w:rPr>
                <w:sz w:val="20"/>
                <w:szCs w:val="20"/>
                <w:color w:val="auto"/>
              </w:rPr>
            </w:pPr>
            <w:r>
              <w:rPr>
                <w:rFonts w:ascii="Arial" w:cs="Arial" w:eastAsia="Arial" w:hAnsi="Arial"/>
                <w:sz w:val="18"/>
                <w:szCs w:val="18"/>
                <w:color w:val="auto"/>
              </w:rPr>
              <w:t>The Company’s net deferred tax asset is as follows:</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96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Startup/organizational expenses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596,809</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2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00"/>
              <w:spacing w:after="0"/>
              <w:rPr>
                <w:sz w:val="20"/>
                <w:szCs w:val="20"/>
                <w:color w:val="auto"/>
              </w:rPr>
            </w:pPr>
            <w:r>
              <w:rPr>
                <w:rFonts w:ascii="Arial" w:cs="Arial" w:eastAsia="Arial" w:hAnsi="Arial"/>
                <w:sz w:val="18"/>
                <w:szCs w:val="18"/>
                <w:color w:val="auto"/>
              </w:rPr>
              <w:t>The income tax provision consists of the following:</w:t>
            </w: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vMerge w:val="continue"/>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29"/>
        </w:trPr>
        <w:tc>
          <w:tcPr>
            <w:tcW w:w="69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96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Current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81,422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2020, the Company did not have any U.S. federal and state net operating loss carryovers available to offset future taxable income.</w:t>
      </w:r>
    </w:p>
    <w:p>
      <w:pPr>
        <w:spacing w:after="0" w:line="248" w:lineRule="exact"/>
        <w:rPr>
          <w:sz w:val="20"/>
          <w:szCs w:val="20"/>
          <w:color w:val="auto"/>
        </w:rPr>
      </w:pPr>
    </w:p>
    <w:p>
      <w:pPr>
        <w:ind w:right="40" w:firstLine="292"/>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April 30, 2020 (inception) through December 31, 2020, the change in the valuation allowance was $593,909.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30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9800" w:type="dxa"/>
            <w:vAlign w:val="bottom"/>
          </w:tcPr>
          <w:p>
            <w:pPr>
              <w:spacing w:after="0"/>
              <w:rPr>
                <w:sz w:val="24"/>
                <w:szCs w:val="2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98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liability</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Transaction costs incurred in connection with IPO</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Income tax provision</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9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292"/>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for the year ended December 31, 2020 remain open and subject to examination. The Company considers New York to be a significant state tax jurisdiction.</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right="220" w:firstLine="292"/>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ind w:right="260" w:firstLine="292"/>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78" w:lineRule="exact"/>
        <w:rPr>
          <w:sz w:val="20"/>
          <w:szCs w:val="20"/>
          <w:color w:val="auto"/>
        </w:rPr>
      </w:pPr>
    </w:p>
    <w:p>
      <w:pPr>
        <w:ind w:left="1140" w:right="120" w:hanging="796"/>
        <w:spacing w:after="0" w:line="308" w:lineRule="auto"/>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140" w:right="560" w:hanging="796"/>
        <w:spacing w:after="0" w:line="277" w:lineRule="auto"/>
        <w:tabs>
          <w:tab w:leader="none" w:pos="112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right="20" w:firstLine="292"/>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2,070,086,006</w:t>
            </w:r>
          </w:p>
        </w:tc>
      </w:tr>
      <w:tr>
        <w:trPr>
          <w:trHeight w:val="216"/>
        </w:trPr>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62,928,000</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Warrant Liability – Private Placement Warrants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79,272,500</w:t>
            </w:r>
          </w:p>
        </w:tc>
      </w:tr>
    </w:tbl>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Warrants were accounted for as liabilities in accordance with ASC 815-40 and are measured at fair value at inception and on a recurring basis, with changes in fair value recorded in the statement of operations.</w:t>
      </w:r>
    </w:p>
    <w:p>
      <w:pPr>
        <w:spacing w:after="0" w:line="17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At issuance, the Warrant Liability for Public Warrants and Private Placement Warrants were valued as of July 30, 2020 using a Monte Carlo simulation and a modified Black Scholes model, respectively, which are considered to be a Level 3 fair value measurements. Subsequent to the Public Warrants detachment from the Units, the Public Warrants are valued based on quoted market price, under ticker CCIV.WS, which is a Level 1 fair value.</w:t>
      </w:r>
    </w:p>
    <w:p>
      <w:pPr>
        <w:spacing w:after="0" w:line="14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Monte Carlo simulation’s primary unobservable input utilized in determining the fair value of the Warrants is the probability of consummation of the Business Combination. The probability assigned to the consummation of the Business Combination was 80% which was estimated based on the observed success rates of business combinations for special purpose acquisition companies. The expected volatility as of the Initial Public Offering date was derived from observable public warrant pricing on comparable ‘blank-check’ companies without an identified target.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issuance and December 31, 2020, the estimated fair value of Warrant Liability – Private Placement Warrants were determined using a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valuation and based on the following significant inputs:</w:t>
      </w:r>
    </w:p>
    <w:p>
      <w:pPr>
        <w:spacing w:after="0" w:line="20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At</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5"/>
              </w:rPr>
              <w:t>issuance</w:t>
            </w:r>
          </w:p>
        </w:tc>
        <w:tc>
          <w:tcPr>
            <w:tcW w:w="2060" w:type="dxa"/>
            <w:vAlign w:val="bottom"/>
            <w:gridSpan w:val="3"/>
          </w:tcPr>
          <w:p>
            <w:pPr>
              <w:spacing w:after="0"/>
              <w:rPr>
                <w:sz w:val="20"/>
                <w:szCs w:val="20"/>
                <w:color w:val="auto"/>
              </w:rPr>
            </w:pPr>
            <w:r>
              <w:rPr>
                <w:rFonts w:ascii="Arial" w:cs="Arial" w:eastAsia="Arial" w:hAnsi="Arial"/>
                <w:sz w:val="18"/>
                <w:szCs w:val="18"/>
                <w:b w:val="1"/>
                <w:bCs w:val="1"/>
                <w:color w:val="auto"/>
                <w:w w:val="96"/>
              </w:rPr>
              <w:t>As of December 31, 2020</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 price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9.80</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8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8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w:t>
            </w:r>
          </w:p>
        </w:tc>
        <w:tc>
          <w:tcPr>
            <w:tcW w:w="8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Risk-free rate</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8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60" w:type="dxa"/>
            <w:vAlign w:val="bottom"/>
            <w:gridSpan w:val="4"/>
          </w:tcPr>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Warrant</w:t>
            </w:r>
          </w:p>
        </w:tc>
      </w:tr>
      <w:tr>
        <w:trPr>
          <w:trHeight w:val="234"/>
        </w:trPr>
        <w:tc>
          <w:tcPr>
            <w:tcW w:w="474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2"/>
              </w:rPr>
              <w:t>Private Placement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b w:val="1"/>
                <w:bCs w:val="1"/>
                <w:color w:val="auto"/>
              </w:rPr>
              <w:t>Public</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Liabilities</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April 30, 2020 (inception)</w:t>
            </w: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Initial measurement on July 30, 2020</w:t>
            </w:r>
          </w:p>
        </w:tc>
        <w:tc>
          <w:tcPr>
            <w:tcW w:w="3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42,850,000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40,572,000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83,422,000</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22,356,000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58,778,500</w:t>
            </w:r>
          </w:p>
        </w:tc>
        <w:tc>
          <w:tcPr>
            <w:tcW w:w="100" w:type="dxa"/>
            <w:vAlign w:val="bottom"/>
            <w:shd w:val="clear" w:color="auto" w:fill="CCEEFF"/>
          </w:tcPr>
          <w:p>
            <w:pPr>
              <w:spacing w:after="0"/>
              <w:rPr>
                <w:sz w:val="19"/>
                <w:szCs w:val="19"/>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79,272,500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62,928,000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142,200,500</w:t>
            </w:r>
          </w:p>
        </w:tc>
        <w:tc>
          <w:tcPr>
            <w:tcW w:w="100" w:type="dxa"/>
            <w:vAlign w:val="bottom"/>
            <w:tcBorders>
              <w:bottom w:val="single" w:sz="8" w:color="auto"/>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ectPr>
          <w:pgSz w:w="11900" w:h="16838" w:orient="portrait"/>
          <w:cols w:equalWidth="0" w:num="1">
            <w:col w:w="11240"/>
          </w:cols>
          <w:pgMar w:left="320" w:top="904" w:right="339" w:bottom="0" w:gutter="0" w:footer="0" w:header="0"/>
        </w:sectPr>
      </w:pPr>
    </w:p>
    <w:bookmarkStart w:id="91" w:name="page92"/>
    <w:bookmarkEnd w:id="91"/>
    <w:p>
      <w:pPr>
        <w:ind w:firstLine="292"/>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ind w:right="240" w:firstLine="292"/>
        <w:spacing w:after="0" w:line="277" w:lineRule="auto"/>
        <w:rPr>
          <w:sz w:val="20"/>
          <w:szCs w:val="20"/>
          <w:color w:val="auto"/>
        </w:rPr>
      </w:pPr>
      <w:r>
        <w:rPr>
          <w:rFonts w:ascii="Arial" w:cs="Arial" w:eastAsia="Arial" w:hAnsi="Arial"/>
          <w:sz w:val="18"/>
          <w:szCs w:val="18"/>
          <w:color w:val="auto"/>
        </w:rPr>
        <w:t>On February 22, 2021, the Company entered into an Agreement and Plan of Merger (the “Merger Agreement”) by and among the Company, Merger Sub and Atieva, relating to a proposed business combination transaction between the Company and Atieva.</w:t>
      </w:r>
    </w:p>
    <w:p>
      <w:pPr>
        <w:spacing w:after="0" w:line="170" w:lineRule="exact"/>
        <w:rPr>
          <w:sz w:val="20"/>
          <w:szCs w:val="20"/>
          <w:color w:val="auto"/>
        </w:rPr>
      </w:pPr>
    </w:p>
    <w:p>
      <w:pPr>
        <w:ind w:right="320" w:firstLine="292"/>
        <w:spacing w:after="0" w:line="277"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 (the “Merger” and, together with the other transactions contemplated by the Merger Agreement, the “Transactions”).</w:t>
      </w:r>
    </w:p>
    <w:p>
      <w:pPr>
        <w:spacing w:after="0" w:line="170" w:lineRule="exact"/>
        <w:rPr>
          <w:sz w:val="20"/>
          <w:szCs w:val="20"/>
          <w:color w:val="auto"/>
        </w:rPr>
      </w:pPr>
    </w:p>
    <w:p>
      <w:pPr>
        <w:ind w:right="120" w:firstLine="292"/>
        <w:spacing w:after="0" w:line="259" w:lineRule="auto"/>
        <w:rPr>
          <w:sz w:val="20"/>
          <w:szCs w:val="20"/>
          <w:color w:val="auto"/>
        </w:rPr>
      </w:pPr>
      <w:r>
        <w:rPr>
          <w:rFonts w:ascii="Arial" w:cs="Arial" w:eastAsia="Arial" w:hAnsi="Arial"/>
          <w:sz w:val="18"/>
          <w:szCs w:val="18"/>
          <w:color w:val="auto"/>
        </w:rPr>
        <w:t>The aggregate consideration to be paid to the shareholders of Atieva will be equal to (a) $11,750,000,000 plus (b) (i) all cash and cash equivalents of Atieva and its subsidiaries less (ii) all indebtedness for borrowed money of Atieva and its subsidiaries, in each case as of two business days prior to the closing date (the “Equity Value”) and will be paid entirely in shares of Class A common stock, par value $0.0001 per share, of the Company (the “Class A Common Stock”) in an amount equal to $10.00 per share (the “Merger Consideration”).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the effective time of the Merger:</w:t>
      </w:r>
    </w:p>
    <w:p>
      <w:pPr>
        <w:spacing w:after="0" w:line="225" w:lineRule="exact"/>
        <w:rPr>
          <w:sz w:val="20"/>
          <w:szCs w:val="20"/>
          <w:color w:val="auto"/>
        </w:rPr>
      </w:pPr>
    </w:p>
    <w:p>
      <w:pPr>
        <w:ind w:left="800" w:hanging="225"/>
        <w:spacing w:after="0" w:line="296"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each share of capital stock of Atieva (the “Atieva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will be cancelled and automatically deemed for all purposes to represent the right to receive, in the aggregate, the Merger Consideration. All share incentive plan or similar equity-based compensation plans maintained for employees of Atieva will be assumed by the Company and all outstanding options to purchase Atieva Shares (each, a “Atieva </w:t>
      </w:r>
      <w:r>
        <w:rPr>
          <w:rFonts w:ascii="Arial" w:cs="Arial" w:eastAsia="Arial" w:hAnsi="Arial"/>
          <w:sz w:val="16"/>
          <w:szCs w:val="16"/>
          <w:u w:val="single" w:color="auto"/>
          <w:color w:val="auto"/>
        </w:rPr>
        <w:t>Option</w:t>
      </w:r>
      <w:r>
        <w:rPr>
          <w:rFonts w:ascii="Arial" w:cs="Arial" w:eastAsia="Arial" w:hAnsi="Arial"/>
          <w:sz w:val="16"/>
          <w:szCs w:val="16"/>
          <w:color w:val="auto"/>
        </w:rPr>
        <w:t>”) and each restricted stock unit award (“</w:t>
      </w:r>
      <w:r>
        <w:rPr>
          <w:rFonts w:ascii="Arial" w:cs="Arial" w:eastAsia="Arial" w:hAnsi="Arial"/>
          <w:sz w:val="16"/>
          <w:szCs w:val="16"/>
          <w:u w:val="single" w:color="auto"/>
          <w:color w:val="auto"/>
        </w:rPr>
        <w:t>RSU</w:t>
      </w:r>
      <w:r>
        <w:rPr>
          <w:rFonts w:ascii="Arial" w:cs="Arial" w:eastAsia="Arial" w:hAnsi="Arial"/>
          <w:sz w:val="16"/>
          <w:szCs w:val="16"/>
          <w:color w:val="auto"/>
        </w:rPr>
        <w:t xml:space="preserve">”) with respect to Atieva Shares (each, a “Atieva </w:t>
      </w:r>
      <w:r>
        <w:rPr>
          <w:rFonts w:ascii="Arial" w:cs="Arial" w:eastAsia="Arial" w:hAnsi="Arial"/>
          <w:sz w:val="16"/>
          <w:szCs w:val="16"/>
          <w:u w:val="single" w:color="auto"/>
          <w:color w:val="auto"/>
        </w:rPr>
        <w:t>RSU</w:t>
      </w:r>
      <w:r>
        <w:rPr>
          <w:rFonts w:ascii="Arial" w:cs="Arial" w:eastAsia="Arial" w:hAnsi="Arial"/>
          <w:sz w:val="16"/>
          <w:szCs w:val="16"/>
          <w:color w:val="auto"/>
        </w:rPr>
        <w:t>”) will be assumed by the Company as described below. For purposes of the following paragraph, the “</w:t>
      </w:r>
      <w:r>
        <w:rPr>
          <w:rFonts w:ascii="Arial" w:cs="Arial" w:eastAsia="Arial" w:hAnsi="Arial"/>
          <w:sz w:val="16"/>
          <w:szCs w:val="16"/>
          <w:u w:val="single" w:color="auto"/>
          <w:color w:val="auto"/>
        </w:rPr>
        <w:t>Exchange Ratio</w:t>
      </w:r>
      <w:r>
        <w:rPr>
          <w:rFonts w:ascii="Arial" w:cs="Arial" w:eastAsia="Arial" w:hAnsi="Arial"/>
          <w:sz w:val="16"/>
          <w:szCs w:val="16"/>
          <w:color w:val="auto"/>
        </w:rPr>
        <w:t xml:space="preserve">” means the Equity Value per share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161" w:lineRule="exact"/>
        <w:rPr>
          <w:rFonts w:ascii="Arial" w:cs="Arial" w:eastAsia="Arial" w:hAnsi="Arial"/>
          <w:sz w:val="16"/>
          <w:szCs w:val="16"/>
          <w:color w:val="auto"/>
        </w:rPr>
      </w:pPr>
    </w:p>
    <w:p>
      <w:pPr>
        <w:jc w:val="both"/>
        <w:ind w:left="920" w:right="60" w:hanging="345"/>
        <w:spacing w:after="0" w:line="287" w:lineRule="auto"/>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Atieva Option will become an option to purchase shares of Class A Common Stock (each, an “Assumed Option”), on the same terms and conditions (including applicable vesting, exercise and expiration provisions) as applied to the Atieva Option immediately prior to the effective time of the Merger, except that (i) the number of shares of Class A Common Stock subject to such Assumed Option shall equal the product of</w:t>
      </w:r>
    </w:p>
    <w:p>
      <w:pPr>
        <w:spacing w:after="0" w:line="2" w:lineRule="exact"/>
        <w:rPr>
          <w:rFonts w:ascii="Arial" w:cs="Arial" w:eastAsia="Arial" w:hAnsi="Arial"/>
          <w:sz w:val="16"/>
          <w:szCs w:val="16"/>
          <w:color w:val="auto"/>
        </w:rPr>
      </w:pPr>
    </w:p>
    <w:p>
      <w:pPr>
        <w:ind w:left="920" w:hanging="8"/>
        <w:spacing w:after="0" w:line="253" w:lineRule="auto"/>
        <w:tabs>
          <w:tab w:leader="none" w:pos="11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number of Atieva Shares that were subject to the option immediately prior to the effective time of the Merger, multiplied by (y) the Exchange Ratio, rounded down to the nearest whole share, and (B) the per-share exercise price shall equal the quotient of (1) the exercise price per Atieva Share at which such option was exercisable immediately prior to the effective time of the Merger, divided by (2) the Exchange Ratio, rounded up to the nearest whole cent.</w:t>
      </w:r>
    </w:p>
    <w:p>
      <w:pPr>
        <w:spacing w:after="0" w:line="192" w:lineRule="exact"/>
        <w:rPr>
          <w:rFonts w:ascii="Arial" w:cs="Arial" w:eastAsia="Arial" w:hAnsi="Arial"/>
          <w:sz w:val="18"/>
          <w:szCs w:val="18"/>
          <w:color w:val="auto"/>
        </w:rPr>
      </w:pPr>
    </w:p>
    <w:p>
      <w:pPr>
        <w:ind w:left="1020" w:right="220" w:hanging="445"/>
        <w:spacing w:after="0" w:line="275"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Atieva RSU, will be assumed by the Company and become an RSU with respect to shares of Class A Common Stock (each, an “Assumed RSU”) on the same terms and conditions (including applicable vesting provisions) as applied to each Atieva RSU immediately prior to the effective time of the Merger, except that the number of shares of Class A Common Stock subject to such Assumed RSU Award will be equal the product of (x) the number of Atieva Shares that were subject to such RSU immediately prior to the effective time of the Merger, multiplied by (y) the Exchange Ratio, rounded down to the nearest whole share.</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640" w:firstLine="292"/>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connection with the execution of the Merger Agreement, the Company entered into certain common stock subscription agreements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certain investment funds (the “</w:t>
      </w:r>
      <w:r>
        <w:rPr>
          <w:rFonts w:ascii="Arial" w:cs="Arial" w:eastAsia="Arial" w:hAnsi="Arial"/>
          <w:sz w:val="16"/>
          <w:szCs w:val="16"/>
          <w:u w:val="single" w:color="auto"/>
          <w:color w:val="auto"/>
        </w:rPr>
        <w:t>PIPE Investors</w:t>
      </w:r>
      <w:r>
        <w:rPr>
          <w:rFonts w:ascii="Arial" w:cs="Arial" w:eastAsia="Arial" w:hAnsi="Arial"/>
          <w:sz w:val="16"/>
          <w:szCs w:val="16"/>
          <w:color w:val="auto"/>
        </w:rPr>
        <w:t>”) pursuant to which, the Company has agreed to issue and sell to the PIPE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Investors $2.5 billion of Class A common stock (the “</w:t>
      </w:r>
      <w:r>
        <w:rPr>
          <w:rFonts w:ascii="Arial" w:cs="Arial" w:eastAsia="Arial" w:hAnsi="Arial"/>
          <w:sz w:val="17"/>
          <w:szCs w:val="17"/>
          <w:u w:val="single" w:color="auto"/>
          <w:color w:val="auto"/>
        </w:rPr>
        <w:t>PIPE Shares</w:t>
      </w:r>
      <w:r>
        <w:rPr>
          <w:rFonts w:ascii="Arial" w:cs="Arial" w:eastAsia="Arial" w:hAnsi="Arial"/>
          <w:sz w:val="17"/>
          <w:szCs w:val="17"/>
          <w:color w:val="auto"/>
        </w:rPr>
        <w:t>”) in reliance on an exemption from registration under Section 4(a)(2)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at a purchase price of $15 per share (the “</w:t>
      </w:r>
      <w:r>
        <w:rPr>
          <w:rFonts w:ascii="Arial" w:cs="Arial" w:eastAsia="Arial" w:hAnsi="Arial"/>
          <w:sz w:val="16"/>
          <w:szCs w:val="16"/>
          <w:u w:val="single" w:color="auto"/>
          <w:color w:val="auto"/>
        </w:rPr>
        <w:t>PIPE Investment</w:t>
      </w:r>
      <w:r>
        <w:rPr>
          <w:rFonts w:ascii="Arial" w:cs="Arial" w:eastAsia="Arial" w:hAnsi="Arial"/>
          <w:sz w:val="16"/>
          <w:szCs w:val="16"/>
          <w:color w:val="auto"/>
        </w:rPr>
        <w:t>”). Pursuant to the Subscription Agreements, the PIPE Investors have agreed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transfer any PIPE Shares until the later of (i) the effectiveness of the registration statement to be filed following the closing of the Transactions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register the PIPE Shares and (ii) September 1, 2021. The closing of the PIPE Investment is conditioned on all conditions set forth in the Merger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having been satisfied or waived and other customary closing conditions, and the Transactions will be consummated immediately following the closing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PIPE Investment. The Subscription Agreements will terminate upon the earlier to occur of (i) the termination of the Merger Agreement and (ii)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mutual written agreement of the parties thereto.</w:t>
      </w:r>
    </w:p>
    <w:p>
      <w:pPr>
        <w:spacing w:after="0" w:line="211"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The Subscription Agreements provide that the Company is required to file with the SEC, within 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the Company that it will “review” such registration statement) following the closing of the PIPE Investment and (ii) the 10th business day after the date the Company is notified (orally or in writing, whichever is earlier) by the SEC that such registration statement will not be “reviewed” or will not be subject to further review.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225" w:lineRule="exact"/>
        <w:rPr>
          <w:sz w:val="20"/>
          <w:szCs w:val="20"/>
          <w:color w:val="auto"/>
        </w:rPr>
      </w:pPr>
    </w:p>
    <w:p>
      <w:pPr>
        <w:ind w:right="160" w:firstLine="292"/>
        <w:spacing w:after="0" w:line="259" w:lineRule="auto"/>
        <w:rPr>
          <w:sz w:val="20"/>
          <w:szCs w:val="20"/>
          <w:color w:val="auto"/>
        </w:rPr>
      </w:pPr>
      <w:r>
        <w:rPr>
          <w:rFonts w:ascii="Arial" w:cs="Arial" w:eastAsia="Arial" w:hAnsi="Arial"/>
          <w:sz w:val="18"/>
          <w:szCs w:val="18"/>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is payable upon the consummation of a Business Combination (ii) $500,000 is payable upon consummation of the financing (iii) out-of-pocket expenses not to exceed $125,000 without prior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w:t>
      </w:r>
    </w:p>
    <w:p>
      <w:pPr>
        <w:spacing w:after="0" w:line="225" w:lineRule="exact"/>
        <w:rPr>
          <w:sz w:val="20"/>
          <w:szCs w:val="20"/>
          <w:color w:val="auto"/>
        </w:rPr>
      </w:pPr>
    </w:p>
    <w:p>
      <w:pPr>
        <w:ind w:right="200" w:firstLine="292"/>
        <w:spacing w:after="0" w:line="254" w:lineRule="auto"/>
        <w:rPr>
          <w:sz w:val="20"/>
          <w:szCs w:val="20"/>
          <w:color w:val="auto"/>
        </w:rPr>
      </w:pPr>
      <w:r>
        <w:rPr>
          <w:rFonts w:ascii="Arial" w:cs="Arial" w:eastAsia="Arial" w:hAnsi="Arial"/>
          <w:sz w:val="18"/>
          <w:szCs w:val="18"/>
          <w:color w:val="auto"/>
        </w:rPr>
        <w:t>On February 22, 2021, the Company entered into a convertible promissory note with the Sponsor pursuant to which the Sponsor agreed to loan the Company up to an aggregate principal amount of $1,500,000 (the “Note”). The Note is non-interest bearing and payable on the earlier of (i) the date of which the Company consummates a Business Combination or (ii) the date that the winding up of the Company. If the Company does not consummate a Business Combination, the Company may use a portion of any funds held outside the Trust Account to repay the Promissory Note; however, no proceeds from the Trust Account may be used for such repayment. Up to $1,500,000 of the Note may be converted into warrants at a price of $1.00 per warrant at the option of the Sponsor. The warrants would be identical to the Private Placement Warrants. The Company borrowed an aggregate of $1,500,000 on February 22,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firstLine="583"/>
        <w:spacing w:after="0" w:line="287" w:lineRule="auto"/>
        <w:rPr>
          <w:sz w:val="20"/>
          <w:szCs w:val="20"/>
          <w:color w:val="auto"/>
        </w:rPr>
      </w:pPr>
      <w:r>
        <w:rPr>
          <w:rFonts w:ascii="Arial" w:cs="Arial" w:eastAsia="Arial" w:hAnsi="Arial"/>
          <w:sz w:val="16"/>
          <w:szCs w:val="16"/>
          <w:color w:val="auto"/>
        </w:rPr>
        <w:t>On March 3, 2021, Richard Hofman, a purported stockholder of the Company, filed a complaint, individually and on behalf of other of the Company stockholders, in the Superior Court of the State of California against the Company, Lucid, and other unnamed defendants. The complaint alleged claims for fraud, negligent misrepresentation, and false advertising and unfair business practices in connection with allegedly false and misleading statements and omissions in the Company's public filings, concerning the proposed merger between the Company and Lucid. The complaint sought injunctive relief, as well as compensatory and punitive damages. On March 8, 2021, plaintiff filed an ex parte application for a temporary restraining order and preliminary injunction, which the Company opposed and the court denied on March 10, 2021. Plaintiff filed an amended complaint on March 22, 2021, solely in a personal capacity and not on behalf of any other Company stockholders. The amended complaint alleges claims for fraud against defendants Lucid and Peter Rawlinson, and negligent misrepresentation against the Company, Lucid, and Mr. Rawlinson. The amended complaint seeks compensatory and punitive damages.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w:t>
      </w:r>
    </w:p>
    <w:p>
      <w:pPr>
        <w:spacing w:after="0" w:line="172" w:lineRule="exact"/>
        <w:rPr>
          <w:sz w:val="20"/>
          <w:szCs w:val="20"/>
          <w:color w:val="auto"/>
        </w:rPr>
      </w:pPr>
    </w:p>
    <w:p>
      <w:pPr>
        <w:ind w:right="40" w:firstLine="583"/>
        <w:spacing w:after="0" w:line="275" w:lineRule="auto"/>
        <w:rPr>
          <w:sz w:val="20"/>
          <w:szCs w:val="20"/>
          <w:color w:val="auto"/>
        </w:rPr>
      </w:pPr>
      <w:r>
        <w:rPr>
          <w:rFonts w:ascii="Arial" w:cs="Arial" w:eastAsia="Arial" w:hAnsi="Arial"/>
          <w:sz w:val="17"/>
          <w:szCs w:val="17"/>
          <w:color w:val="auto"/>
        </w:rPr>
        <w:t>On April 18, 2021, Randy Phillips, a purported stockholder of the Company, filed a complaint, individually and on behalf of other Company stockholders, in the United States District Court for the Northern District of Alabama against the Company, Atieva, Inc. (doing business as Lucid), Michael Klein, Jay Taragin, and Peter Rawlinson. The complaint alleges claims for violations of the federal securities laws under Section 10(b) and Section 20(a) of the Exchange Act in connection with allegedly false and misleading statements and omissions concerning Lucid's business plans and prospects, as well as the proposed merger between the Company and Lucid. The complaint seeks compensatory and punitive damages.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Klein, certify that:</w:t>
      </w:r>
    </w:p>
    <w:p>
      <w:pPr>
        <w:spacing w:after="0" w:line="225" w:lineRule="exact"/>
        <w:rPr>
          <w:sz w:val="20"/>
          <w:szCs w:val="20"/>
          <w:color w:val="auto"/>
        </w:rPr>
      </w:pPr>
    </w:p>
    <w:p>
      <w:pPr>
        <w:ind w:left="600" w:hanging="17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Churchill Capital Corp IV;</w:t>
      </w:r>
    </w:p>
    <w:p>
      <w:pPr>
        <w:spacing w:after="0" w:line="225" w:lineRule="exact"/>
        <w:rPr>
          <w:rFonts w:ascii="Arial" w:cs="Arial" w:eastAsia="Arial" w:hAnsi="Arial"/>
          <w:sz w:val="18"/>
          <w:szCs w:val="18"/>
          <w:color w:val="auto"/>
        </w:rPr>
      </w:pPr>
    </w:p>
    <w:p>
      <w:pPr>
        <w:ind w:firstLine="422"/>
        <w:spacing w:after="0" w:line="342"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422"/>
        <w:spacing w:after="0" w:line="277" w:lineRule="auto"/>
        <w:tabs>
          <w:tab w:leader="none" w:pos="6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420" w:firstLine="416"/>
        <w:spacing w:after="0" w:line="263" w:lineRule="auto"/>
        <w:tabs>
          <w:tab w:leader="none" w:pos="108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00" w:hanging="264"/>
        <w:spacing w:after="0"/>
        <w:tabs>
          <w:tab w:leader="none" w:pos="11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420" w:firstLine="416"/>
        <w:spacing w:after="0" w:line="308" w:lineRule="auto"/>
        <w:tabs>
          <w:tab w:leader="none" w:pos="1103"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firstLine="416"/>
        <w:spacing w:after="0" w:line="263" w:lineRule="auto"/>
        <w:tabs>
          <w:tab w:leader="none" w:pos="11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422"/>
        <w:spacing w:after="0" w:line="308" w:lineRule="auto"/>
        <w:tabs>
          <w:tab w:leader="none" w:pos="6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firstLine="416"/>
        <w:spacing w:after="0" w:line="277" w:lineRule="auto"/>
        <w:tabs>
          <w:tab w:leader="none" w:pos="111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firstLine="416"/>
        <w:spacing w:after="0" w:line="277" w:lineRule="auto"/>
        <w:tabs>
          <w:tab w:leader="none" w:pos="11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Michael Klein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Taragin, certify that:</w:t>
      </w:r>
    </w:p>
    <w:p>
      <w:pPr>
        <w:spacing w:after="0" w:line="225" w:lineRule="exact"/>
        <w:rPr>
          <w:sz w:val="20"/>
          <w:szCs w:val="20"/>
          <w:color w:val="auto"/>
        </w:rPr>
      </w:pPr>
    </w:p>
    <w:p>
      <w:pPr>
        <w:ind w:left="600" w:hanging="17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Churchill Capital Corp IV;</w:t>
      </w:r>
    </w:p>
    <w:p>
      <w:pPr>
        <w:spacing w:after="0" w:line="225" w:lineRule="exact"/>
        <w:rPr>
          <w:rFonts w:ascii="Arial" w:cs="Arial" w:eastAsia="Arial" w:hAnsi="Arial"/>
          <w:sz w:val="18"/>
          <w:szCs w:val="18"/>
          <w:color w:val="auto"/>
        </w:rPr>
      </w:pPr>
    </w:p>
    <w:p>
      <w:pPr>
        <w:ind w:right="180" w:firstLine="422"/>
        <w:spacing w:after="0" w:line="342" w:lineRule="auto"/>
        <w:tabs>
          <w:tab w:leader="none" w:pos="59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22"/>
        <w:spacing w:after="0" w:line="277" w:lineRule="auto"/>
        <w:tabs>
          <w:tab w:leader="none" w:pos="5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422"/>
        <w:spacing w:after="0" w:line="277" w:lineRule="auto"/>
        <w:tabs>
          <w:tab w:leader="none" w:pos="5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420" w:right="140" w:firstLine="416"/>
        <w:spacing w:after="0" w:line="263" w:lineRule="auto"/>
        <w:tabs>
          <w:tab w:leader="none" w:pos="107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00" w:hanging="264"/>
        <w:spacing w:after="0"/>
        <w:tabs>
          <w:tab w:leader="none" w:pos="1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420" w:right="480" w:firstLine="416"/>
        <w:spacing w:after="0" w:line="342" w:lineRule="auto"/>
        <w:tabs>
          <w:tab w:leader="none" w:pos="107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20" w:right="460" w:firstLine="416"/>
        <w:spacing w:after="0" w:line="263" w:lineRule="auto"/>
        <w:tabs>
          <w:tab w:leader="none" w:pos="108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422"/>
        <w:spacing w:after="0" w:line="308" w:lineRule="auto"/>
        <w:tabs>
          <w:tab w:leader="none" w:pos="59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right="680" w:firstLine="416"/>
        <w:spacing w:after="0" w:line="308" w:lineRule="auto"/>
        <w:tabs>
          <w:tab w:leader="none" w:pos="107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20" w:right="380" w:firstLine="416"/>
        <w:spacing w:after="0" w:line="277" w:lineRule="auto"/>
        <w:tabs>
          <w:tab w:leader="none" w:pos="108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Jay Taragin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connection with the Annual Report of Churchill Capital Corp IV (the “Company”) on Form 10-K/A for the period ending December 31, 2020 as filed with the Securities and Exchange Commission on the date hereof (the “Report”), I certify, in the capacity and on the date indicated below,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40" w:firstLine="332"/>
        <w:spacing w:after="0" w:line="51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2021</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Michael Klein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connection with the Annual Report of Churchill Capital Corp IV (the “Company”) on Form 10-K/A for the period ending December 31, 2020 as filed with the Securities and Exchange Commission on the date hereof (the “Report”), I certify, in the capacity and on the date indicated below,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Jay Taragin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Roman"/>
      <w:start w:val="6"/>
    </w:lvl>
  </w:abstractNum>
  <w:abstractNum w:abstractNumId="5">
    <w:nsid w:val="75A2A8D4"/>
    <w:multiLevelType w:val="hybridMultilevel"/>
    <w:lvl w:ilvl="0">
      <w:lvlJc w:val="left"/>
      <w:lvlText w:val="(%1)"/>
      <w:numFmt w:val="lowerRoman"/>
      <w:start w:val="13"/>
    </w:lvl>
  </w:abstractNum>
  <w:abstractNum w:abstractNumId="6">
    <w:nsid w:val="8EDBDAB"/>
    <w:multiLevelType w:val="hybridMultilevel"/>
    <w:lvl w:ilvl="0">
      <w:lvlJc w:val="left"/>
      <w:lvlText w:val="(%1)"/>
      <w:numFmt w:val="lowerRoman"/>
      <w:start w:val="18"/>
    </w:lvl>
  </w:abstractNum>
  <w:abstractNum w:abstractNumId="7">
    <w:nsid w:val="79838CB2"/>
    <w:multiLevelType w:val="hybridMultilevel"/>
    <w:lvl w:ilvl="0">
      <w:lvlJc w:val="left"/>
      <w:lvlText w:val="(%1)"/>
      <w:numFmt w:val="lowerRoman"/>
      <w:start w:val="6"/>
    </w:lvl>
  </w:abstractNum>
  <w:abstractNum w:abstractNumId="8">
    <w:nsid w:val="4353D0CD"/>
    <w:multiLevelType w:val="hybridMultilevel"/>
    <w:lvl w:ilvl="0">
      <w:lvlJc w:val="left"/>
      <w:lvlText w:val="(%1)"/>
      <w:numFmt w:val="lowerRoman"/>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lowerRoman"/>
      <w:start w:val="2"/>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lowerRoman"/>
      <w:start w:val="1"/>
    </w:lvl>
    <w:lvl w:ilvl="1">
      <w:lvlJc w:val="left"/>
      <w:lvlText w:val="(%2)"/>
      <w:numFmt w:val="lowerLetter"/>
      <w:start w:val="24"/>
    </w:lvl>
  </w:abstractNum>
  <w:abstractNum w:abstractNumId="22">
    <w:nsid w:val="22221A70"/>
    <w:multiLevelType w:val="hybridMultilevel"/>
    <w:lvl w:ilvl="0">
      <w:lvlJc w:val="left"/>
      <w:lvlText w:val="%1"/>
      <w:numFmt w:val="lowerRoman"/>
      <w:start w:val="1"/>
    </w:lvl>
    <w:lvl w:ilvl="1">
      <w:lvlJc w:val="left"/>
      <w:lvlText w:val="(%2)"/>
      <w:numFmt w:val="lowerLetter"/>
      <w:start w:val="25"/>
    </w:lvl>
  </w:abstractNum>
  <w:abstractNum w:abstractNumId="23">
    <w:nsid w:val="4516DDE9"/>
    <w:multiLevelType w:val="hybridMultilevel"/>
    <w:lvl w:ilvl="0">
      <w:lvlJc w:val="left"/>
      <w:lvlText w:val="(%1)"/>
      <w:numFmt w:val="lowerRoman"/>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emdash "/>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lvl w:ilvl="1">
      <w:lvlJc w:val="left"/>
      <w:lvlText w:val="%2."/>
      <w:numFmt w:val="decimal"/>
      <w:start w:val="1"/>
    </w:lvl>
  </w:abstractNum>
  <w:abstractNum w:abstractNumId="34">
    <w:nsid w:val="2463B9EA"/>
    <w:multiLevelType w:val="hybridMultilevel"/>
    <w:lvl w:ilvl="0">
      <w:lvlJc w:val="left"/>
      <w:lvlText w:val="(%1)"/>
      <w:numFmt w:val="lowerRoman"/>
      <w:start w:val="1"/>
    </w:lvl>
  </w:abstractNum>
  <w:abstractNum w:abstractNumId="35">
    <w:nsid w:val="5E884ADC"/>
    <w:multiLevelType w:val="hybridMultilevel"/>
    <w:lvl w:ilvl="0">
      <w:lvlJc w:val="left"/>
      <w:lvlText w:val="(%1)"/>
      <w:numFmt w:val="lowerLetter"/>
      <w:start w:val="2"/>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Roman"/>
      <w:start w:val="1"/>
    </w:lvl>
    <w:lvl w:ilvl="1">
      <w:lvlJc w:val="left"/>
      <w:lvlText w:val="(%2)"/>
      <w:numFmt w:val="lowerRoman"/>
      <w:start w:val="10"/>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71" Type="http://schemas.openxmlformats.org/officeDocument/2006/relationships/hyperlink" Target="http://www.sec.gov/Archives/edgar/data/1811210/000110465921026357/tm217491d2_ex2-1.htm" TargetMode="External"/><Relationship Id="rId72" Type="http://schemas.openxmlformats.org/officeDocument/2006/relationships/hyperlink" Target="http://www.sec.gov/Archives/edgar/data/1811210/000110465920083464/tm2020647d7_ex3-2.htm" TargetMode="External"/><Relationship Id="rId73" Type="http://schemas.openxmlformats.org/officeDocument/2006/relationships/hyperlink" Target="http://www.sec.gov/Archives/edgar/data/1811210/000110465920083464/tm2020647d7_ex3-3.htm" TargetMode="External"/><Relationship Id="rId74" Type="http://schemas.openxmlformats.org/officeDocument/2006/relationships/hyperlink" Target="http://www.sec.gov/Archives/edgar/data/1811210/000110465920083464/tm2020647d7_ex4-1.htm" TargetMode="External"/><Relationship Id="rId75" Type="http://schemas.openxmlformats.org/officeDocument/2006/relationships/hyperlink" Target="http://www.sec.gov/Archives/edgar/data/1811210/000110465920083464/tm2020647d7_ex4-2.htm" TargetMode="External"/><Relationship Id="rId76" Type="http://schemas.openxmlformats.org/officeDocument/2006/relationships/hyperlink" Target="http://www.sec.gov/Archives/edgar/data/1811210/000110465920083464/tm2020647d7_ex4-4.htm" TargetMode="External"/><Relationship Id="rId77" Type="http://schemas.openxmlformats.org/officeDocument/2006/relationships/hyperlink" Target="http://www.sec.gov/Archives/edgar/data/1811210/000110465920090379/tm2026266d1_ex4-1.htm" TargetMode="External"/><Relationship Id="rId78" Type="http://schemas.openxmlformats.org/officeDocument/2006/relationships/hyperlink" Target="http://www.sec.gov/Archives/edgar/data/1811210/000110465920083464/tm2020647d7_ex10-1.htm" TargetMode="External"/><Relationship Id="rId79" Type="http://schemas.openxmlformats.org/officeDocument/2006/relationships/hyperlink" Target="http://www.sec.gov/Archives/edgar/data/1811210/000110465920090379/tm2026266d1_ex10-1.htm" TargetMode="External"/><Relationship Id="rId80" Type="http://schemas.openxmlformats.org/officeDocument/2006/relationships/hyperlink" Target="http://www.sec.gov/Archives/edgar/data/1811210/000110465920090379/tm2026266d1_ex10-2.htm" TargetMode="External"/><Relationship Id="rId81" Type="http://schemas.openxmlformats.org/officeDocument/2006/relationships/hyperlink" Target="http://www.sec.gov/Archives/edgar/data/1811210/000110465920090379/tm2026266d1_ex10-3.htm" TargetMode="External"/><Relationship Id="rId82" Type="http://schemas.openxmlformats.org/officeDocument/2006/relationships/hyperlink" Target="http://www.sec.gov/Archives/edgar/data/1811210/000110465920083464/tm2020647d7_ex10-5.htm" TargetMode="External"/><Relationship Id="rId83" Type="http://schemas.openxmlformats.org/officeDocument/2006/relationships/hyperlink" Target="http://www.sec.gov/Archives/edgar/data/1811210/000110465920090379/tm2026266d1_ex10-4.htm" TargetMode="External"/><Relationship Id="rId84" Type="http://schemas.openxmlformats.org/officeDocument/2006/relationships/hyperlink" Target="http://www.sec.gov/Archives/edgar/data/1811210/000110465920090379/tm2026266d1_ex10-5.htm" TargetMode="External"/><Relationship Id="rId85" Type="http://schemas.openxmlformats.org/officeDocument/2006/relationships/hyperlink" Target="http://www.sec.gov/Archives/edgar/data/1811210/000110465920090379/tm2026266d1_ex10-6.htm" TargetMode="External"/><Relationship Id="rId86" Type="http://schemas.openxmlformats.org/officeDocument/2006/relationships/hyperlink" Target="http://www.sec.gov/Archives/edgar/data/1811210/000110465920090379/tm2026266d1_ex10-7.htm" TargetMode="External"/><Relationship Id="rId87" Type="http://schemas.openxmlformats.org/officeDocument/2006/relationships/hyperlink" Target="http://www.sec.gov/Archives/edgar/data/1811210/000110465920090379/tm2026266d1_ex10-8.htm" TargetMode="External"/><Relationship Id="rId88" Type="http://schemas.openxmlformats.org/officeDocument/2006/relationships/hyperlink" Target="http://www.sec.gov/Archives/edgar/data/1811210/000110465920090379/tm2026266d1_ex10-9.htm" TargetMode="External"/><Relationship Id="rId89" Type="http://schemas.openxmlformats.org/officeDocument/2006/relationships/hyperlink" Target="http://www.sec.gov/Archives/edgar/data/1811210/000110465920090379/tm2026266d1_ex10-10.htm" TargetMode="External"/><Relationship Id="rId90" Type="http://schemas.openxmlformats.org/officeDocument/2006/relationships/hyperlink" Target="http://www.sec.gov/Archives/edgar/data/1811210/000110465920090379/tm2026266d1_ex10-11.htm" TargetMode="External"/><Relationship Id="rId91" Type="http://schemas.openxmlformats.org/officeDocument/2006/relationships/hyperlink" Target="http://www.sec.gov/Archives/edgar/data/1811210/000110465920090379/tm2026266d1_ex10-12.htm" TargetMode="External"/><Relationship Id="rId92" Type="http://schemas.openxmlformats.org/officeDocument/2006/relationships/hyperlink" Target="http://www.sec.gov/Archives/edgar/data/1811210/000110465920090379/tm2026266d1_ex10-13.htm" TargetMode="External"/><Relationship Id="rId93" Type="http://schemas.openxmlformats.org/officeDocument/2006/relationships/hyperlink" Target="http://www.sec.gov/Archives/edgar/data/1811210/000110465921026357/tm217491d2_ex10-1.htm" TargetMode="External"/><Relationship Id="rId94" Type="http://schemas.openxmlformats.org/officeDocument/2006/relationships/hyperlink" Target="http://www.sec.gov/Archives/edgar/data/1811210/000110465921026357/tm217491d2_ex10-2.htm" TargetMode="External"/><Relationship Id="rId95" Type="http://schemas.openxmlformats.org/officeDocument/2006/relationships/hyperlink" Target="http://www.sec.gov/Archives/edgar/data/1811210/000110465921026357/tm217491d2_ex10-3.htm" TargetMode="External"/><Relationship Id="rId96" Type="http://schemas.openxmlformats.org/officeDocument/2006/relationships/hyperlink" Target="http://www.sec.gov/Archives/edgar/data/1811210/000110465921026357/tm217491d2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2021-05-14T16:41:50Z</dcterms:created>
  <dcterms:modified xsi:type="dcterms:W3CDTF">2021-05-14T16:41:50Z</dcterms:modified>
</cp:coreProperties>
</file>