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60" w:after="283"/>
        <w:jc w:val="center"/>
        <w:rPr/>
      </w:pPr>
      <w:r>
        <w:rPr>
          <w:rFonts w:ascii="Times New Roman;serif" w:hAnsi="Times New Roman;serif"/>
          <w:b/>
          <w:color w:val="000000"/>
          <w:sz w:val="28"/>
        </w:rPr>
        <w:t>FORM</w:t>
      </w:r>
      <w:r>
        <w:rPr>
          <w:color w:val="000000"/>
        </w:rPr>
        <w:t xml:space="preserve"> </w:t>
      </w:r>
      <w:r>
        <w:rPr>
          <w:rFonts w:ascii="Times New Roman;serif" w:hAnsi="Times New Roman;serif"/>
          <w:b/>
          <w:color w:val="000000"/>
          <w:sz w:val="28"/>
        </w:rPr>
        <w:t>10-K</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fiscal year ended December 31, 2025</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transition period from              to             </w:t>
            </w:r>
          </w:p>
        </w:tc>
      </w:tr>
    </w:tbl>
    <w:p>
      <w:pPr>
        <w:pStyle w:val="TextBody"/>
        <w:bidi w:val="0"/>
        <w:spacing w:lineRule="auto" w:line="288" w:before="0" w:after="0"/>
        <w:jc w:val="center"/>
        <w:rPr/>
      </w:pPr>
      <w:r>
        <w:rPr>
          <w:rFonts w:ascii="Times New Roman;serif" w:hAnsi="Times New Roman;serif"/>
          <w:b/>
          <w:color w:val="000000"/>
          <w:sz w:val="20"/>
        </w:rPr>
        <w:t>Commission File Number:</w:t>
      </w:r>
      <w:r>
        <w:rPr>
          <w:color w:val="000000"/>
        </w:rPr>
        <w:t xml:space="preserve"> </w:t>
      </w:r>
      <w:r>
        <w:rPr>
          <w:rFonts w:ascii="Times New Roman;serif" w:hAnsi="Times New Roman;serif"/>
          <w:b/>
          <w:color w:val="000000"/>
          <w:sz w:val="20"/>
        </w:rPr>
        <w:t>001-39408</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Lucid Group, Inc.</w:t>
      </w:r>
    </w:p>
    <w:p>
      <w:pPr>
        <w:pStyle w:val="TextBody"/>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7004" w:type="dxa"/>
        <w:jc w:val="left"/>
        <w:tblInd w:w="0" w:type="dxa"/>
        <w:tblLayout w:type="fixed"/>
        <w:tblCellMar>
          <w:top w:w="28" w:type="dxa"/>
          <w:left w:w="28" w:type="dxa"/>
          <w:bottom w:w="28" w:type="dxa"/>
          <w:right w:w="28" w:type="dxa"/>
        </w:tblCellMar>
      </w:tblPr>
      <w:tblGrid>
        <w:gridCol w:w="1568"/>
        <w:gridCol w:w="1375"/>
        <w:gridCol w:w="1391"/>
        <w:gridCol w:w="780"/>
        <w:gridCol w:w="780"/>
        <w:gridCol w:w="1110"/>
      </w:tblGrid>
      <w:tr>
        <w:trPr/>
        <w:tc>
          <w:tcPr>
            <w:tcW w:w="1568"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85-0891392</w:t>
            </w:r>
          </w:p>
        </w:tc>
      </w:tr>
      <w:tr>
        <w:trPr/>
        <w:tc>
          <w:tcPr>
            <w:tcW w:w="433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i/>
                <w:color w:val="000000"/>
                <w:sz w:val="16"/>
              </w:rPr>
            </w:pPr>
            <w:r>
              <w:rPr>
                <w:rFonts w:ascii="Times New Roman;serif" w:hAnsi="Times New Roman;serif"/>
                <w:b/>
                <w:i/>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i/>
                <w:color w:val="000000"/>
                <w:sz w:val="16"/>
              </w:rPr>
            </w:pPr>
            <w:r>
              <w:rPr>
                <w:rFonts w:ascii="Times New Roman;serif" w:hAnsi="Times New Roman;serif"/>
                <w:b/>
                <w:i/>
                <w:color w:val="000000"/>
                <w:sz w:val="16"/>
              </w:rPr>
              <w:t>(I.R.S. Employer Identification No.)</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7373 Gateway Boulevard, Newark, CA 94560</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(Address of principal executive offices) (Zip code)</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(510) 648-3553</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(Registrant’s telephone number, including area code)</w:t>
      </w:r>
    </w:p>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9284" w:type="dxa"/>
        <w:jc w:val="left"/>
        <w:tblInd w:w="0" w:type="dxa"/>
        <w:tblLayout w:type="fixed"/>
        <w:tblCellMar>
          <w:top w:w="28" w:type="dxa"/>
          <w:left w:w="28" w:type="dxa"/>
          <w:bottom w:w="28" w:type="dxa"/>
          <w:right w:w="28" w:type="dxa"/>
        </w:tblCellMar>
      </w:tblPr>
      <w:tblGrid>
        <w:gridCol w:w="1371"/>
        <w:gridCol w:w="1205"/>
        <w:gridCol w:w="1219"/>
        <w:gridCol w:w="554"/>
        <w:gridCol w:w="554"/>
        <w:gridCol w:w="556"/>
        <w:gridCol w:w="1118"/>
        <w:gridCol w:w="1118"/>
        <w:gridCol w:w="1589"/>
      </w:tblGrid>
      <w:tr>
        <w:trPr/>
        <w:tc>
          <w:tcPr>
            <w:tcW w:w="137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$0.0001 par value per share</w:t>
            </w:r>
          </w:p>
        </w:tc>
        <w:tc>
          <w:tcPr>
            <w:tcW w:w="166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LCID</w:t>
            </w:r>
          </w:p>
        </w:tc>
        <w:tc>
          <w:tcPr>
            <w:tcW w:w="3825" w:type="dxa"/>
            <w:gridSpan w:val="3"/>
            <w:tcBorders/>
            <w:tcMar>
              <w:top w:w="0" w:type="dxa"/>
              <w:left w:w="0" w:type="dxa"/>
              <w:bottom w:w="0" w:type="dxa"/>
              <w:right w:w="0" w:type="dxa"/>
            </w:tcMar>
            <w:vAlign w:val="center"/>
          </w:tcPr>
          <w:p>
            <w:pPr>
              <w:pStyle w:val="TableContents"/>
              <w:bidi w:val="0"/>
              <w:spacing w:lineRule="auto" w:line="312" w:before="53"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100" w:after="283"/>
        <w:ind w:left="0" w:right="0" w:firstLine="720"/>
        <w:jc w:val="both"/>
        <w:rPr>
          <w:rFonts w:ascii="Times New Roman;serif" w:hAnsi="Times New Roman;serif"/>
          <w:b/>
          <w:color w:val="000000"/>
          <w:sz w:val="20"/>
        </w:rPr>
      </w:pPr>
      <w:r>
        <w:rPr>
          <w:rFonts w:ascii="Times New Roman;serif" w:hAnsi="Times New Roman;serif"/>
          <w:b/>
          <w:color w:val="000000"/>
          <w:sz w:val="20"/>
        </w:rPr>
        <w:t>Securities registered pursuant to Section 12(g) of the Act: None</w:t>
      </w:r>
    </w:p>
    <w:p>
      <w:pPr>
        <w:pStyle w:val="TextBody"/>
        <w:bidi w:val="0"/>
        <w:spacing w:lineRule="auto" w:line="288" w:before="100" w:after="283"/>
        <w:jc w:val="left"/>
        <w:rPr/>
      </w:pPr>
      <w:r>
        <w:rPr>
          <w:rFonts w:ascii="Times New Roman;serif" w:hAnsi="Times New Roman;serif"/>
          <w:b w:val="false"/>
          <w:color w:val="000000"/>
          <w:sz w:val="16"/>
        </w:rPr>
        <w:t xml:space="preserve">Indicate by check mark if the registrant is a well-known seasoned issuer, as defined in Rule 405 of the Securities Act.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No</w:t>
      </w:r>
    </w:p>
    <w:p>
      <w:pPr>
        <w:pStyle w:val="TextBody"/>
        <w:bidi w:val="0"/>
        <w:spacing w:lineRule="auto" w:line="288" w:before="100" w:after="283"/>
        <w:jc w:val="both"/>
        <w:rPr/>
      </w:pPr>
      <w:r>
        <w:rPr>
          <w:rFonts w:ascii="Times New Roman;serif" w:hAnsi="Times New Roman;serif"/>
          <w:b w:val="false"/>
          <w:color w:val="000000"/>
          <w:sz w:val="16"/>
        </w:rPr>
        <w:t xml:space="preserve">Indicate by check mark if the registrant is not required to file reports pursuant to Section 13 or Section 15(d) of the Act.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No</w:t>
      </w:r>
    </w:p>
    <w:p>
      <w:pPr>
        <w:pStyle w:val="TextBody"/>
        <w:bidi w:val="0"/>
        <w:spacing w:lineRule="auto" w:line="288" w:before="100" w:after="283"/>
        <w:jc w:val="both"/>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Yes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No</w:t>
      </w:r>
    </w:p>
    <w:p>
      <w:pPr>
        <w:pStyle w:val="TextBody"/>
        <w:bidi w:val="0"/>
        <w:spacing w:lineRule="auto" w:line="288" w:before="100" w:after="283"/>
        <w:jc w:val="both"/>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Yes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No</w:t>
      </w:r>
    </w:p>
    <w:p>
      <w:pPr>
        <w:pStyle w:val="TextBody"/>
        <w:bidi w:val="0"/>
        <w:spacing w:lineRule="auto" w:line="288" w:before="10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96"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115"/>
        <w:gridCol w:w="115"/>
        <w:gridCol w:w="116"/>
        <w:gridCol w:w="109"/>
        <w:gridCol w:w="109"/>
        <w:gridCol w:w="109"/>
        <w:gridCol w:w="694"/>
        <w:gridCol w:w="694"/>
        <w:gridCol w:w="69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46"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r>
              <w:rPr>
                <w:rFonts w:ascii="Wingdings;sans-serif" w:hAnsi="Wingdings;sans-serif"/>
                <w:b w:val="false"/>
                <w:color w:val="000000"/>
                <w:sz w:val="16"/>
              </w:rPr>
              <w:t>o</w:t>
            </w:r>
          </w:p>
        </w:tc>
      </w:tr>
    </w:tbl>
    <w:p>
      <w:pPr>
        <w:pStyle w:val="TextBody"/>
        <w:bidi w:val="0"/>
        <w:spacing w:lineRule="auto" w:line="288" w:before="100" w:after="283"/>
        <w:jc w:val="both"/>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00" w:after="283"/>
        <w:jc w:val="left"/>
        <w:rPr/>
      </w:pPr>
      <w:r>
        <w:rPr>
          <w:rFonts w:ascii="Times New Roman;serif" w:hAnsi="Times New Roman;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6"/>
        </w:rPr>
        <w:t>x</w:t>
      </w:r>
    </w:p>
    <w:p>
      <w:pPr>
        <w:pStyle w:val="TextBody"/>
        <w:bidi w:val="0"/>
        <w:spacing w:lineRule="auto" w:line="288" w:before="100" w:after="283"/>
        <w:jc w:val="left"/>
        <w:rPr/>
      </w:pPr>
      <w:r>
        <w:rPr>
          <w:rFonts w:ascii="Times New Roman;serif" w:hAnsi="Times New Roman;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6"/>
        </w:rPr>
        <w:t>o</w:t>
      </w:r>
      <w:r>
        <w:rPr>
          <w:color w:val="000000"/>
        </w:rPr>
        <w:t xml:space="preserve"> </w:t>
      </w:r>
    </w:p>
    <w:p>
      <w:pPr>
        <w:pStyle w:val="TextBody"/>
        <w:bidi w:val="0"/>
        <w:spacing w:lineRule="auto" w:line="288" w:before="100" w:after="283"/>
        <w:jc w:val="left"/>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6"/>
        </w:rPr>
        <w:t>o</w:t>
      </w:r>
      <w:r>
        <w:rPr>
          <w:color w:val="000000"/>
        </w:rPr>
        <w:t xml:space="preserve"> </w:t>
      </w:r>
    </w:p>
    <w:p>
      <w:pPr>
        <w:pStyle w:val="TextBody"/>
        <w:bidi w:val="0"/>
        <w:spacing w:lineRule="auto" w:line="288" w:before="100" w:after="283"/>
        <w:jc w:val="both"/>
        <w:rPr/>
      </w:pPr>
      <w:r>
        <w:rPr>
          <w:rFonts w:ascii="Times New Roman;serif" w:hAnsi="Times New Roman;serif"/>
          <w:b w:val="false"/>
          <w:color w:val="000000"/>
          <w:sz w:val="16"/>
        </w:rPr>
        <w:t xml:space="preserve">Indicate by check mark whether the registrant is a shell company (as defined in Rule 12b-2 of the Exchange Act).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w:t>
      </w:r>
    </w:p>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The aggregate market value of the voting and non-voting common equity held by non-affiliates of the registrant, as of June 30, 2025 (the last business day of registrant’s second quarter of fiscal year 2025), was $2.7 billion based upon the last sale price reported for such date on the Nasdaq Stock Market LLC. Shares of common stock held by each executive officer, director, and holder of 5% or more of the outstanding common stock have been excluded in that such persons may be deemed to be affiliates. This determination of affiliate status is not necessarily a conclusive determination for other purposes.</w:t>
      </w:r>
    </w:p>
    <w:p>
      <w:pPr>
        <w:pStyle w:val="TextBody"/>
        <w:bidi w:val="0"/>
        <w:spacing w:lineRule="auto" w:line="288" w:before="100" w:after="283"/>
        <w:jc w:val="both"/>
        <w:rPr>
          <w:rFonts w:ascii="Times New Roman;serif" w:hAnsi="Times New Roman;serif"/>
          <w:b w:val="false"/>
          <w:color w:val="000000"/>
          <w:sz w:val="16"/>
        </w:rPr>
      </w:pPr>
      <w:r>
        <w:rPr>
          <w:rFonts w:ascii="Times New Roman;serif" w:hAnsi="Times New Roman;serif"/>
          <w:b w:val="false"/>
          <w:color w:val="000000"/>
          <w:sz w:val="16"/>
        </w:rPr>
        <w:t>Number of shares of the registrant’s common stock outstanding at February 18, 2026: 327,684,243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center"/>
        <w:rPr/>
      </w:pPr>
      <w:r>
        <w:rPr/>
      </w:r>
    </w:p>
    <w:p>
      <w:pPr>
        <w:pStyle w:val="TextBody"/>
        <w:bidi w:val="0"/>
        <w:spacing w:before="0" w:after="0"/>
        <w:jc w:val="both"/>
        <w:rPr/>
      </w:pPr>
      <w:r>
        <w:rPr/>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Certain portions of the registrant’s definitive proxy statement for its annual meeting of stockholders (the “Proxy Statement”), to be filed with the Securities and Exchange Commission within 120 days after December 31, 2025, are incorporated by reference into Part III of this Annual Report on Form 10-K (this “Annual Report”). Except with respect to information specifically incorporated by reference in this Annual Report, the Proxy Statement shall not be deemed to be filed as part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INDEX TO ANNUAL REPORT ON FORM 10-K</w:t>
      </w:r>
    </w:p>
    <w:tbl>
      <w:tblPr>
        <w:tblW w:w="10205" w:type="dxa"/>
        <w:jc w:val="left"/>
        <w:tblInd w:w="0" w:type="dxa"/>
        <w:tblLayout w:type="fixed"/>
        <w:tblCellMar>
          <w:top w:w="28" w:type="dxa"/>
          <w:left w:w="28" w:type="dxa"/>
          <w:bottom w:w="28" w:type="dxa"/>
          <w:right w:w="28" w:type="dxa"/>
        </w:tblCellMar>
      </w:tblPr>
      <w:tblGrid>
        <w:gridCol w:w="628"/>
        <w:gridCol w:w="508"/>
        <w:gridCol w:w="410"/>
        <w:gridCol w:w="2667"/>
        <w:gridCol w:w="2501"/>
        <w:gridCol w:w="2481"/>
        <w:gridCol w:w="294"/>
        <w:gridCol w:w="294"/>
        <w:gridCol w:w="422"/>
      </w:tblGrid>
      <w:tr>
        <w:trPr/>
        <w:tc>
          <w:tcPr>
            <w:tcW w:w="62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 10-K ITEM</w:t>
            </w:r>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br/>
              <w:t>NUMBER</w:t>
            </w:r>
          </w:p>
        </w:tc>
      </w:tr>
      <w:tr>
        <w:trPr/>
        <w:tc>
          <w:tcPr>
            <w:tcW w:w="1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19">
              <w:r>
                <w:rPr>
                  <w:rStyle w:val="InternetLink"/>
                  <w:rFonts w:ascii="Times New Roman;serif" w:hAnsi="Times New Roman;serif"/>
                  <w:b w:val="false"/>
                  <w:color w:val="0000FF"/>
                  <w:sz w:val="20"/>
                  <w:u w:val="single"/>
                </w:rPr>
                <w:t>PART I</w:t>
              </w:r>
            </w:hyperlink>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19">
              <w:r>
                <w:rPr>
                  <w:rStyle w:val="InternetLink"/>
                  <w:rFonts w:ascii="Times New Roman;serif" w:hAnsi="Times New Roman;serif"/>
                  <w:b w:val="false"/>
                  <w:strike w:val="false"/>
                  <w:dstrike w:val="false"/>
                  <w:color w:val="000000"/>
                  <w:sz w:val="20"/>
                  <w:u w:val="none"/>
                  <w:effect w:val="none"/>
                </w:rPr>
                <w:t>ITEM 1.</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22">
              <w:r>
                <w:rPr>
                  <w:rStyle w:val="InternetLink"/>
                  <w:rFonts w:ascii="Times New Roman;serif" w:hAnsi="Times New Roman;serif"/>
                  <w:b w:val="false"/>
                  <w:color w:val="0000FF"/>
                  <w:sz w:val="20"/>
                  <w:u w:val="single"/>
                </w:rPr>
                <w:t>BUSINESS</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16b9327c64b4d8e990f09f25599a1_22">
              <w:r>
                <w:rPr>
                  <w:rStyle w:val="InternetLink"/>
                  <w:rFonts w:ascii="Times New Roman;serif" w:hAnsi="Times New Roman;serif"/>
                  <w:b w:val="false"/>
                  <w:strike w:val="false"/>
                  <w:dstrike w:val="false"/>
                  <w:color w:val="000000"/>
                  <w:sz w:val="20"/>
                  <w:u w:val="none"/>
                  <w:effect w:val="none"/>
                </w:rPr>
                <w:t>6</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13">
              <w:r>
                <w:rPr>
                  <w:rStyle w:val="InternetLink"/>
                  <w:rFonts w:ascii="Times New Roman;serif" w:hAnsi="Times New Roman;serif"/>
                  <w:b w:val="false"/>
                  <w:strike w:val="false"/>
                  <w:dstrike w:val="false"/>
                  <w:color w:val="000000"/>
                  <w:sz w:val="20"/>
                  <w:u w:val="none"/>
                  <w:effect w:val="none"/>
                </w:rPr>
                <w:t>ITEM 1A.</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67">
              <w:r>
                <w:rPr>
                  <w:rStyle w:val="InternetLink"/>
                  <w:rFonts w:ascii="Times New Roman;serif" w:hAnsi="Times New Roman;serif"/>
                  <w:b w:val="false"/>
                  <w:color w:val="0000FF"/>
                  <w:sz w:val="20"/>
                  <w:u w:val="single"/>
                </w:rPr>
                <w:t>RISK FACTORS</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16b9327c64b4d8e990f09f25599a1_67">
              <w:r>
                <w:rPr>
                  <w:rStyle w:val="InternetLink"/>
                  <w:rFonts w:ascii="Times New Roman;serif" w:hAnsi="Times New Roman;serif"/>
                  <w:b w:val="false"/>
                  <w:strike w:val="false"/>
                  <w:dstrike w:val="false"/>
                  <w:color w:val="000000"/>
                  <w:sz w:val="20"/>
                  <w:u w:val="none"/>
                  <w:effect w:val="none"/>
                </w:rPr>
                <w:t>22</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70">
              <w:r>
                <w:rPr>
                  <w:rStyle w:val="InternetLink"/>
                  <w:rFonts w:ascii="Times New Roman;serif" w:hAnsi="Times New Roman;serif"/>
                  <w:b w:val="false"/>
                  <w:color w:val="0000FF"/>
                  <w:sz w:val="20"/>
                  <w:u w:val="single"/>
                </w:rPr>
                <w:t>UNRESOLVED STAFF COMMENTS</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16b9327c64b4d8e990f09f25599a1_70">
              <w:r>
                <w:rPr>
                  <w:rStyle w:val="InternetLink"/>
                  <w:rFonts w:ascii="Times New Roman;serif" w:hAnsi="Times New Roman;serif"/>
                  <w:b w:val="false"/>
                  <w:strike w:val="false"/>
                  <w:dstrike w:val="false"/>
                  <w:color w:val="000000"/>
                  <w:sz w:val="20"/>
                  <w:u w:val="none"/>
                  <w:effect w:val="none"/>
                </w:rPr>
                <w:t>71</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73">
              <w:r>
                <w:rPr>
                  <w:rStyle w:val="InternetLink"/>
                  <w:rFonts w:ascii="Times New Roman;serif" w:hAnsi="Times New Roman;serif"/>
                  <w:b w:val="false"/>
                  <w:strike w:val="false"/>
                  <w:dstrike w:val="false"/>
                  <w:color w:val="000000"/>
                  <w:sz w:val="20"/>
                  <w:u w:val="none"/>
                  <w:effect w:val="none"/>
                </w:rPr>
                <w:t xml:space="preserve">ITEM 1C. </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73">
              <w:r>
                <w:rPr>
                  <w:rStyle w:val="InternetLink"/>
                  <w:rFonts w:ascii="Times New Roman;serif" w:hAnsi="Times New Roman;serif"/>
                  <w:b w:val="false"/>
                  <w:color w:val="0000FF"/>
                  <w:sz w:val="20"/>
                  <w:u w:val="single"/>
                </w:rPr>
                <w:t>CYBERSECURITY</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16b9327c64b4d8e990f09f25599a1_70">
              <w:r>
                <w:rPr>
                  <w:rStyle w:val="InternetLink"/>
                  <w:rFonts w:ascii="Times New Roman;serif" w:hAnsi="Times New Roman;serif"/>
                  <w:b w:val="false"/>
                  <w:strike w:val="false"/>
                  <w:dstrike w:val="false"/>
                  <w:color w:val="000000"/>
                  <w:sz w:val="20"/>
                  <w:u w:val="none"/>
                  <w:effect w:val="none"/>
                </w:rPr>
                <w:t>71</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169">
              <w:r>
                <w:rPr>
                  <w:rStyle w:val="InternetLink"/>
                  <w:rFonts w:ascii="Times New Roman;serif" w:hAnsi="Times New Roman;serif"/>
                  <w:b w:val="false"/>
                  <w:strike w:val="false"/>
                  <w:dstrike w:val="false"/>
                  <w:color w:val="000000"/>
                  <w:sz w:val="20"/>
                  <w:u w:val="none"/>
                  <w:effect w:val="none"/>
                </w:rPr>
                <w:t>ITEM 2.</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76">
              <w:r>
                <w:rPr>
                  <w:rStyle w:val="InternetLink"/>
                  <w:rFonts w:ascii="Times New Roman;serif" w:hAnsi="Times New Roman;serif"/>
                  <w:b w:val="false"/>
                  <w:color w:val="0000FF"/>
                  <w:sz w:val="20"/>
                  <w:u w:val="single"/>
                </w:rPr>
                <w:t>PROPERTIES</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16b9327c64b4d8e990f09f25599a1_76">
              <w:r>
                <w:rPr>
                  <w:rStyle w:val="InternetLink"/>
                  <w:rFonts w:ascii="Times New Roman;serif" w:hAnsi="Times New Roman;serif"/>
                  <w:b w:val="false"/>
                  <w:strike w:val="false"/>
                  <w:dstrike w:val="false"/>
                  <w:color w:val="000000"/>
                  <w:sz w:val="20"/>
                  <w:u w:val="none"/>
                  <w:effect w:val="none"/>
                </w:rPr>
                <w:t>73</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175">
              <w:r>
                <w:rPr>
                  <w:rStyle w:val="InternetLink"/>
                  <w:rFonts w:ascii="Times New Roman;serif" w:hAnsi="Times New Roman;serif"/>
                  <w:b w:val="false"/>
                  <w:strike w:val="false"/>
                  <w:dstrike w:val="false"/>
                  <w:color w:val="000000"/>
                  <w:sz w:val="20"/>
                  <w:u w:val="none"/>
                  <w:effect w:val="none"/>
                </w:rPr>
                <w:t>ITEM 3.</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79">
              <w:r>
                <w:rPr>
                  <w:rStyle w:val="InternetLink"/>
                  <w:rFonts w:ascii="Times New Roman;serif" w:hAnsi="Times New Roman;serif"/>
                  <w:b w:val="false"/>
                  <w:color w:val="0000FF"/>
                  <w:sz w:val="20"/>
                  <w:u w:val="single"/>
                </w:rPr>
                <w:t>LEGAL PROCEEDINGS</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16b9327c64b4d8e990f09f25599a1_79">
              <w:r>
                <w:rPr>
                  <w:rStyle w:val="InternetLink"/>
                  <w:rFonts w:ascii="Times New Roman;serif" w:hAnsi="Times New Roman;serif"/>
                  <w:b w:val="false"/>
                  <w:strike w:val="false"/>
                  <w:dstrike w:val="false"/>
                  <w:color w:val="000000"/>
                  <w:sz w:val="20"/>
                  <w:u w:val="none"/>
                  <w:effect w:val="none"/>
                </w:rPr>
                <w:t>73</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178">
              <w:r>
                <w:rPr>
                  <w:rStyle w:val="InternetLink"/>
                  <w:rFonts w:ascii="Times New Roman;serif" w:hAnsi="Times New Roman;serif"/>
                  <w:b w:val="false"/>
                  <w:strike w:val="false"/>
                  <w:dstrike w:val="false"/>
                  <w:color w:val="000000"/>
                  <w:sz w:val="20"/>
                  <w:u w:val="none"/>
                  <w:effect w:val="none"/>
                </w:rPr>
                <w:t>ITEM 4.</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82">
              <w:r>
                <w:rPr>
                  <w:rStyle w:val="InternetLink"/>
                  <w:rFonts w:ascii="Times New Roman;serif" w:hAnsi="Times New Roman;serif"/>
                  <w:b w:val="false"/>
                  <w:color w:val="0000FF"/>
                  <w:sz w:val="20"/>
                  <w:u w:val="single"/>
                </w:rPr>
                <w:t>MINE SAFETY DISCLOSURES</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16b9327c64b4d8e990f09f25599a1_82">
              <w:r>
                <w:rPr>
                  <w:rStyle w:val="InternetLink"/>
                  <w:rFonts w:ascii="Times New Roman;serif" w:hAnsi="Times New Roman;serif"/>
                  <w:b w:val="false"/>
                  <w:strike w:val="false"/>
                  <w:dstrike w:val="false"/>
                  <w:color w:val="000000"/>
                  <w:sz w:val="20"/>
                  <w:u w:val="none"/>
                  <w:effect w:val="none"/>
                </w:rPr>
                <w:t>74</w:t>
              </w:r>
            </w:hyperlink>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85">
              <w:r>
                <w:rPr>
                  <w:rStyle w:val="InternetLink"/>
                  <w:rFonts w:ascii="Times New Roman;serif" w:hAnsi="Times New Roman;serif"/>
                  <w:b w:val="false"/>
                  <w:color w:val="0000FF"/>
                  <w:sz w:val="20"/>
                  <w:u w:val="single"/>
                </w:rPr>
                <w:t>PART II</w:t>
              </w:r>
            </w:hyperlink>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187">
              <w:r>
                <w:rPr>
                  <w:rStyle w:val="InternetLink"/>
                  <w:rFonts w:ascii="Times New Roman;serif" w:hAnsi="Times New Roman;serif"/>
                  <w:b w:val="false"/>
                  <w:strike w:val="false"/>
                  <w:dstrike w:val="false"/>
                  <w:color w:val="000000"/>
                  <w:sz w:val="20"/>
                  <w:u w:val="none"/>
                  <w:effect w:val="none"/>
                </w:rPr>
                <w:t>ITEM 5.</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88">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16b9327c64b4d8e990f09f25599a1_88">
              <w:r>
                <w:rPr>
                  <w:rStyle w:val="InternetLink"/>
                  <w:rFonts w:ascii="Times New Roman;serif" w:hAnsi="Times New Roman;serif"/>
                  <w:b w:val="false"/>
                  <w:strike w:val="false"/>
                  <w:dstrike w:val="false"/>
                  <w:color w:val="000000"/>
                  <w:sz w:val="20"/>
                  <w:u w:val="none"/>
                  <w:effect w:val="none"/>
                </w:rPr>
                <w:t>75</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190">
              <w:r>
                <w:rPr>
                  <w:rStyle w:val="InternetLink"/>
                  <w:rFonts w:ascii="Times New Roman;serif" w:hAnsi="Times New Roman;serif"/>
                  <w:b w:val="false"/>
                  <w:strike w:val="false"/>
                  <w:dstrike w:val="false"/>
                  <w:color w:val="000000"/>
                  <w:sz w:val="20"/>
                  <w:u w:val="none"/>
                  <w:effect w:val="none"/>
                </w:rPr>
                <w:t>ITEM 6.</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91">
              <w:r>
                <w:rPr>
                  <w:rStyle w:val="InternetLink"/>
                  <w:rFonts w:ascii="Times New Roman;serif" w:hAnsi="Times New Roman;serif"/>
                  <w:b w:val="false"/>
                  <w:color w:val="0000FF"/>
                  <w:sz w:val="20"/>
                  <w:u w:val="single"/>
                </w:rPr>
                <w:t>[RESERVED]</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16b9327c64b4d8e990f09f25599a1_91">
              <w:r>
                <w:rPr>
                  <w:rStyle w:val="InternetLink"/>
                  <w:rFonts w:ascii="Times New Roman;serif" w:hAnsi="Times New Roman;serif"/>
                  <w:b w:val="false"/>
                  <w:strike w:val="false"/>
                  <w:dstrike w:val="false"/>
                  <w:color w:val="000000"/>
                  <w:sz w:val="20"/>
                  <w:u w:val="none"/>
                  <w:effect w:val="none"/>
                </w:rPr>
                <w:t>76</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193">
              <w:r>
                <w:rPr>
                  <w:rStyle w:val="InternetLink"/>
                  <w:rFonts w:ascii="Times New Roman;serif" w:hAnsi="Times New Roman;serif"/>
                  <w:b w:val="false"/>
                  <w:strike w:val="false"/>
                  <w:dstrike w:val="false"/>
                  <w:color w:val="000000"/>
                  <w:sz w:val="20"/>
                  <w:u w:val="none"/>
                  <w:effect w:val="none"/>
                </w:rPr>
                <w:t>ITEM 7.</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16b9327c64b4d8e990f09f25599a1_94">
              <w:r>
                <w:rPr>
                  <w:rStyle w:val="InternetLink"/>
                  <w:rFonts w:ascii="Times New Roman;serif" w:hAnsi="Times New Roman;serif"/>
                  <w:b w:val="false"/>
                  <w:strike w:val="false"/>
                  <w:dstrike w:val="false"/>
                  <w:color w:val="000000"/>
                  <w:sz w:val="20"/>
                  <w:u w:val="none"/>
                  <w:effect w:val="none"/>
                </w:rPr>
                <w:t>76</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298">
              <w:r>
                <w:rPr>
                  <w:rStyle w:val="InternetLink"/>
                  <w:rFonts w:ascii="Times New Roman;serif" w:hAnsi="Times New Roman;serif"/>
                  <w:b w:val="false"/>
                  <w:strike w:val="false"/>
                  <w:dstrike w:val="false"/>
                  <w:color w:val="000000"/>
                  <w:sz w:val="20"/>
                  <w:u w:val="none"/>
                  <w:effect w:val="none"/>
                </w:rPr>
                <w:t>ITEM 7A.</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166">
              <w:r>
                <w:rPr>
                  <w:rStyle w:val="InternetLink"/>
                  <w:rFonts w:ascii="Times New Roman;serif" w:hAnsi="Times New Roman;serif"/>
                  <w:b w:val="false"/>
                  <w:color w:val="0000FF"/>
                  <w:sz w:val="20"/>
                  <w:u w:val="single"/>
                </w:rPr>
                <w:t>QUANTITATIVE AND QUALITATIVE DISCLOSURES ABOUT MARKET RISK</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16b9327c64b4d8e990f09f25599a1_166">
              <w:r>
                <w:rPr>
                  <w:rStyle w:val="InternetLink"/>
                  <w:rFonts w:ascii="Times New Roman;serif" w:hAnsi="Times New Roman;serif"/>
                  <w:b w:val="false"/>
                  <w:strike w:val="false"/>
                  <w:dstrike w:val="false"/>
                  <w:color w:val="000000"/>
                  <w:sz w:val="20"/>
                  <w:u w:val="none"/>
                  <w:effect w:val="none"/>
                </w:rPr>
                <w:t>92</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304">
              <w:r>
                <w:rPr>
                  <w:rStyle w:val="InternetLink"/>
                  <w:rFonts w:ascii="Times New Roman;serif" w:hAnsi="Times New Roman;serif"/>
                  <w:b w:val="false"/>
                  <w:strike w:val="false"/>
                  <w:dstrike w:val="false"/>
                  <w:color w:val="000000"/>
                  <w:sz w:val="20"/>
                  <w:u w:val="none"/>
                  <w:effect w:val="none"/>
                </w:rPr>
                <w:t>ITEM 8.</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169">
              <w:r>
                <w:rPr>
                  <w:rStyle w:val="InternetLink"/>
                  <w:rFonts w:ascii="Times New Roman;serif" w:hAnsi="Times New Roman;serif"/>
                  <w:b w:val="false"/>
                  <w:color w:val="0000FF"/>
                  <w:sz w:val="20"/>
                  <w:u w:val="single"/>
                </w:rPr>
                <w:t>FINANCIAL STATEMENTS AND SUPPLEMENTARY DATA</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16b9327c64b4d8e990f09f25599a1_169">
              <w:r>
                <w:rPr>
                  <w:rStyle w:val="InternetLink"/>
                  <w:rFonts w:ascii="Times New Roman;serif" w:hAnsi="Times New Roman;serif"/>
                  <w:b w:val="false"/>
                  <w:strike w:val="false"/>
                  <w:dstrike w:val="false"/>
                  <w:color w:val="000000"/>
                  <w:sz w:val="20"/>
                  <w:u w:val="none"/>
                  <w:effect w:val="none"/>
                </w:rPr>
                <w:t>94</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379">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16b9327c64b4d8e990f09f25599a1_379">
              <w:r>
                <w:rPr>
                  <w:rStyle w:val="InternetLink"/>
                  <w:rFonts w:ascii="Times New Roman;serif" w:hAnsi="Times New Roman;serif"/>
                  <w:b w:val="false"/>
                  <w:strike w:val="false"/>
                  <w:dstrike w:val="false"/>
                  <w:color w:val="000000"/>
                  <w:sz w:val="20"/>
                  <w:u w:val="none"/>
                  <w:effect w:val="none"/>
                </w:rPr>
                <w:t>144</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121">
              <w:r>
                <w:rPr>
                  <w:rStyle w:val="InternetLink"/>
                  <w:rFonts w:ascii="Times New Roman;serif" w:hAnsi="Times New Roman;serif"/>
                  <w:b w:val="false"/>
                  <w:strike w:val="false"/>
                  <w:dstrike w:val="false"/>
                  <w:color w:val="000000"/>
                  <w:sz w:val="20"/>
                  <w:u w:val="none"/>
                  <w:effect w:val="none"/>
                </w:rPr>
                <w:t>ITEM 9A.</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382">
              <w:r>
                <w:rPr>
                  <w:rStyle w:val="InternetLink"/>
                  <w:rFonts w:ascii="Times New Roman;serif" w:hAnsi="Times New Roman;serif"/>
                  <w:b w:val="false"/>
                  <w:color w:val="0000FF"/>
                  <w:sz w:val="20"/>
                  <w:u w:val="single"/>
                </w:rPr>
                <w:t>CONTROLS AND PROCEDURES</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16b9327c64b4d8e990f09f25599a1_382">
              <w:r>
                <w:rPr>
                  <w:rStyle w:val="InternetLink"/>
                  <w:rFonts w:ascii="Times New Roman;serif" w:hAnsi="Times New Roman;serif"/>
                  <w:b w:val="false"/>
                  <w:strike w:val="false"/>
                  <w:dstrike w:val="false"/>
                  <w:color w:val="000000"/>
                  <w:sz w:val="20"/>
                  <w:u w:val="none"/>
                  <w:effect w:val="none"/>
                </w:rPr>
                <w:t>145</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385">
              <w:r>
                <w:rPr>
                  <w:rStyle w:val="InternetLink"/>
                  <w:rFonts w:ascii="Times New Roman;serif" w:hAnsi="Times New Roman;serif"/>
                  <w:b w:val="false"/>
                  <w:color w:val="0000FF"/>
                  <w:sz w:val="20"/>
                  <w:u w:val="single"/>
                </w:rPr>
                <w:t>OTHER INFORMATION</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16b9327c64b4d8e990f09f25599a1_385">
              <w:r>
                <w:rPr>
                  <w:rStyle w:val="InternetLink"/>
                  <w:rFonts w:ascii="Times New Roman;serif" w:hAnsi="Times New Roman;serif"/>
                  <w:b w:val="false"/>
                  <w:strike w:val="false"/>
                  <w:dstrike w:val="false"/>
                  <w:color w:val="000000"/>
                  <w:sz w:val="20"/>
                  <w:u w:val="none"/>
                  <w:effect w:val="none"/>
                </w:rPr>
                <w:t>145</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388">
              <w:r>
                <w:rPr>
                  <w:rStyle w:val="InternetLink"/>
                  <w:rFonts w:ascii="Times New Roman;serif" w:hAnsi="Times New Roman;serif"/>
                  <w:b w:val="false"/>
                  <w:color w:val="0000FF"/>
                  <w:sz w:val="20"/>
                  <w:u w:val="single"/>
                </w:rPr>
                <w:t>DISCLOSURE REGARDING FOREIGN JURISDICTIONS THAT PREVENT INSPECTION</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16b9327c64b4d8e990f09f25599a1_388">
              <w:r>
                <w:rPr>
                  <w:rStyle w:val="InternetLink"/>
                  <w:rFonts w:ascii="Times New Roman;serif" w:hAnsi="Times New Roman;serif"/>
                  <w:b w:val="false"/>
                  <w:strike w:val="false"/>
                  <w:dstrike w:val="false"/>
                  <w:color w:val="000000"/>
                  <w:sz w:val="20"/>
                  <w:u w:val="none"/>
                  <w:effect w:val="none"/>
                </w:rPr>
                <w:t>145</w:t>
              </w:r>
            </w:hyperlink>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391">
              <w:r>
                <w:rPr>
                  <w:rStyle w:val="InternetLink"/>
                  <w:rFonts w:ascii="Times New Roman;serif" w:hAnsi="Times New Roman;serif"/>
                  <w:b w:val="false"/>
                  <w:color w:val="0000FF"/>
                  <w:sz w:val="20"/>
                  <w:u w:val="single"/>
                </w:rPr>
                <w:t>PART III</w:t>
              </w:r>
            </w:hyperlink>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133">
              <w:r>
                <w:rPr>
                  <w:rStyle w:val="InternetLink"/>
                  <w:rFonts w:ascii="Times New Roman;serif" w:hAnsi="Times New Roman;serif"/>
                  <w:b w:val="false"/>
                  <w:strike w:val="false"/>
                  <w:dstrike w:val="false"/>
                  <w:color w:val="000000"/>
                  <w:sz w:val="20"/>
                  <w:u w:val="none"/>
                  <w:effect w:val="none"/>
                </w:rPr>
                <w:t>ITEM 10.</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394">
              <w:r>
                <w:rPr>
                  <w:rStyle w:val="InternetLink"/>
                  <w:rFonts w:ascii="Times New Roman;serif" w:hAnsi="Times New Roman;serif"/>
                  <w:b w:val="false"/>
                  <w:color w:val="0000FF"/>
                  <w:sz w:val="20"/>
                  <w:u w:val="single"/>
                </w:rPr>
                <w:t>DIRECTORS, EXECUTIVE OFFICERS AND CORPORATE GOVERNANCE</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16b9327c64b4d8e990f09f25599a1_394">
              <w:r>
                <w:rPr>
                  <w:rStyle w:val="InternetLink"/>
                  <w:rFonts w:ascii="Times New Roman;serif" w:hAnsi="Times New Roman;serif"/>
                  <w:b w:val="false"/>
                  <w:strike w:val="false"/>
                  <w:dstrike w:val="false"/>
                  <w:color w:val="000000"/>
                  <w:sz w:val="20"/>
                  <w:u w:val="none"/>
                  <w:effect w:val="none"/>
                </w:rPr>
                <w:t>146</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136">
              <w:r>
                <w:rPr>
                  <w:rStyle w:val="InternetLink"/>
                  <w:rFonts w:ascii="Times New Roman;serif" w:hAnsi="Times New Roman;serif"/>
                  <w:b w:val="false"/>
                  <w:strike w:val="false"/>
                  <w:dstrike w:val="false"/>
                  <w:color w:val="000000"/>
                  <w:sz w:val="20"/>
                  <w:u w:val="none"/>
                  <w:effect w:val="none"/>
                </w:rPr>
                <w:t>ITEM 11.</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397">
              <w:r>
                <w:rPr>
                  <w:rStyle w:val="InternetLink"/>
                  <w:rFonts w:ascii="Times New Roman;serif" w:hAnsi="Times New Roman;serif"/>
                  <w:b w:val="false"/>
                  <w:color w:val="0000FF"/>
                  <w:sz w:val="20"/>
                  <w:u w:val="single"/>
                </w:rPr>
                <w:t>EXECUTIVE COMPENSATION</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16b9327c64b4d8e990f09f25599a1_397">
              <w:r>
                <w:rPr>
                  <w:rStyle w:val="InternetLink"/>
                  <w:rFonts w:ascii="Times New Roman;serif" w:hAnsi="Times New Roman;serif"/>
                  <w:b w:val="false"/>
                  <w:strike w:val="false"/>
                  <w:dstrike w:val="false"/>
                  <w:color w:val="000000"/>
                  <w:sz w:val="20"/>
                  <w:u w:val="none"/>
                  <w:effect w:val="none"/>
                </w:rPr>
                <w:t>146</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139">
              <w:r>
                <w:rPr>
                  <w:rStyle w:val="InternetLink"/>
                  <w:rFonts w:ascii="Times New Roman;serif" w:hAnsi="Times New Roman;serif"/>
                  <w:b w:val="false"/>
                  <w:strike w:val="false"/>
                  <w:dstrike w:val="false"/>
                  <w:color w:val="000000"/>
                  <w:sz w:val="20"/>
                  <w:u w:val="none"/>
                  <w:effect w:val="none"/>
                </w:rPr>
                <w:t>ITEM 12.</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400">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16b9327c64b4d8e990f09f25599a1_400">
              <w:r>
                <w:rPr>
                  <w:rStyle w:val="InternetLink"/>
                  <w:rFonts w:ascii="Times New Roman;serif" w:hAnsi="Times New Roman;serif"/>
                  <w:b w:val="false"/>
                  <w:strike w:val="false"/>
                  <w:dstrike w:val="false"/>
                  <w:color w:val="000000"/>
                  <w:sz w:val="20"/>
                  <w:u w:val="none"/>
                  <w:effect w:val="none"/>
                </w:rPr>
                <w:t>146</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142">
              <w:r>
                <w:rPr>
                  <w:rStyle w:val="InternetLink"/>
                  <w:rFonts w:ascii="Times New Roman;serif" w:hAnsi="Times New Roman;serif"/>
                  <w:b w:val="false"/>
                  <w:strike w:val="false"/>
                  <w:dstrike w:val="false"/>
                  <w:color w:val="000000"/>
                  <w:sz w:val="20"/>
                  <w:u w:val="none"/>
                  <w:effect w:val="none"/>
                </w:rPr>
                <w:t>ITEM 13.</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403">
              <w:r>
                <w:rPr>
                  <w:rStyle w:val="InternetLink"/>
                  <w:rFonts w:ascii="Times New Roman;serif" w:hAnsi="Times New Roman;serif"/>
                  <w:b w:val="false"/>
                  <w:color w:val="0000FF"/>
                  <w:sz w:val="20"/>
                  <w:u w:val="single"/>
                </w:rPr>
                <w:t>CERTAIN RELATIONSHIPS AND RELATED TRANSACTIONS, AND DIRECTOR INDEPENDENCE</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16b9327c64b4d8e990f09f25599a1_403">
              <w:r>
                <w:rPr>
                  <w:rStyle w:val="InternetLink"/>
                  <w:rFonts w:ascii="Times New Roman;serif" w:hAnsi="Times New Roman;serif"/>
                  <w:b w:val="false"/>
                  <w:strike w:val="false"/>
                  <w:dstrike w:val="false"/>
                  <w:color w:val="000000"/>
                  <w:sz w:val="20"/>
                  <w:u w:val="none"/>
                  <w:effect w:val="none"/>
                </w:rPr>
                <w:t>146</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145">
              <w:r>
                <w:rPr>
                  <w:rStyle w:val="InternetLink"/>
                  <w:rFonts w:ascii="Times New Roman;serif" w:hAnsi="Times New Roman;serif"/>
                  <w:b w:val="false"/>
                  <w:strike w:val="false"/>
                  <w:dstrike w:val="false"/>
                  <w:color w:val="000000"/>
                  <w:sz w:val="20"/>
                  <w:u w:val="none"/>
                  <w:effect w:val="none"/>
                </w:rPr>
                <w:t>ITEM 14.</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406">
              <w:r>
                <w:rPr>
                  <w:rStyle w:val="InternetLink"/>
                  <w:rFonts w:ascii="Times New Roman;serif" w:hAnsi="Times New Roman;serif"/>
                  <w:b w:val="false"/>
                  <w:color w:val="0000FF"/>
                  <w:sz w:val="20"/>
                  <w:u w:val="single"/>
                </w:rPr>
                <w:t>PRINCIPAL ACCOUNTANT FEES AND SERVICES</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16b9327c64b4d8e990f09f25599a1_406">
              <w:r>
                <w:rPr>
                  <w:rStyle w:val="InternetLink"/>
                  <w:rFonts w:ascii="Times New Roman;serif" w:hAnsi="Times New Roman;serif"/>
                  <w:b w:val="false"/>
                  <w:strike w:val="false"/>
                  <w:dstrike w:val="false"/>
                  <w:color w:val="000000"/>
                  <w:sz w:val="20"/>
                  <w:u w:val="none"/>
                  <w:effect w:val="none"/>
                </w:rPr>
                <w:t>146</w:t>
              </w:r>
            </w:hyperlink>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409">
              <w:r>
                <w:rPr>
                  <w:rStyle w:val="InternetLink"/>
                  <w:rFonts w:ascii="Times New Roman;serif" w:hAnsi="Times New Roman;serif"/>
                  <w:b w:val="false"/>
                  <w:color w:val="0000FF"/>
                  <w:sz w:val="20"/>
                  <w:u w:val="single"/>
                </w:rPr>
                <w:t>PART IV</w:t>
              </w:r>
            </w:hyperlink>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412">
              <w:r>
                <w:rPr>
                  <w:rStyle w:val="InternetLink"/>
                  <w:rFonts w:ascii="Times New Roman;serif" w:hAnsi="Times New Roman;serif"/>
                  <w:b w:val="false"/>
                  <w:color w:val="0000FF"/>
                  <w:sz w:val="20"/>
                  <w:u w:val="single"/>
                </w:rPr>
                <w:t>EXHIBITS AND FINANCIAL STATEMENT SCHEDULES</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16b9327c64b4d8e990f09f25599a1_412">
              <w:r>
                <w:rPr>
                  <w:rStyle w:val="InternetLink"/>
                  <w:rFonts w:ascii="Times New Roman;serif" w:hAnsi="Times New Roman;serif"/>
                  <w:b w:val="false"/>
                  <w:strike w:val="false"/>
                  <w:dstrike w:val="false"/>
                  <w:color w:val="000000"/>
                  <w:sz w:val="20"/>
                  <w:u w:val="none"/>
                  <w:effect w:val="none"/>
                </w:rPr>
                <w:t>147</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166">
              <w:r>
                <w:rPr>
                  <w:rStyle w:val="InternetLink"/>
                  <w:rFonts w:ascii="Times New Roman;serif" w:hAnsi="Times New Roman;serif"/>
                  <w:b w:val="false"/>
                  <w:strike w:val="false"/>
                  <w:dstrike w:val="false"/>
                  <w:color w:val="000000"/>
                  <w:sz w:val="20"/>
                  <w:u w:val="none"/>
                  <w:effect w:val="none"/>
                </w:rPr>
                <w:t>ITEM 16.</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415">
              <w:r>
                <w:rPr>
                  <w:rStyle w:val="InternetLink"/>
                  <w:rFonts w:ascii="Times New Roman;serif" w:hAnsi="Times New Roman;serif"/>
                  <w:b w:val="false"/>
                  <w:color w:val="0000FF"/>
                  <w:sz w:val="20"/>
                  <w:u w:val="single"/>
                </w:rPr>
                <w:t>FORM 10-K SUMMARY</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16b9327c64b4d8e990f09f25599a1_415">
              <w:r>
                <w:rPr>
                  <w:rStyle w:val="InternetLink"/>
                  <w:rFonts w:ascii="Times New Roman;serif" w:hAnsi="Times New Roman;serif"/>
                  <w:b w:val="false"/>
                  <w:strike w:val="false"/>
                  <w:dstrike w:val="false"/>
                  <w:color w:val="000000"/>
                  <w:sz w:val="20"/>
                  <w:u w:val="none"/>
                  <w:effect w:val="none"/>
                </w:rPr>
                <w:t>150</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418">
              <w:r>
                <w:rPr>
                  <w:rStyle w:val="InternetLink"/>
                  <w:rFonts w:ascii="Times New Roman;serif" w:hAnsi="Times New Roman;serif"/>
                  <w:b w:val="false"/>
                  <w:color w:val="0000FF"/>
                  <w:sz w:val="20"/>
                  <w:u w:val="single"/>
                </w:rPr>
                <w:t>SIGNATURES</w:t>
              </w:r>
            </w:hyperlink>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016b9327c64b4d8e990f09f25599a1_418">
              <w:r>
                <w:rPr>
                  <w:rStyle w:val="InternetLink"/>
                  <w:rFonts w:ascii="Times New Roman;serif" w:hAnsi="Times New Roman;serif"/>
                  <w:b w:val="false"/>
                  <w:strike w:val="false"/>
                  <w:dstrike w:val="false"/>
                  <w:color w:val="000000"/>
                  <w:sz w:val="20"/>
                  <w:u w:val="none"/>
                  <w:effect w:val="none"/>
                </w:rPr>
                <w:t>151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CAUTIONARY NOTE REGARDING FORWARD-LOOKING STATEMENTS</w:t>
      </w:r>
    </w:p>
    <w:p>
      <w:pPr>
        <w:pStyle w:val="TextBody"/>
        <w:bidi w:val="0"/>
        <w:spacing w:lineRule="auto" w:line="288" w:before="240" w:after="283"/>
        <w:jc w:val="left"/>
        <w:rPr/>
      </w:pPr>
      <w:r>
        <w:rPr>
          <w:rFonts w:ascii="Times New Roman;serif" w:hAnsi="Times New Roman;serif"/>
          <w:b w:val="false"/>
          <w:color w:val="000000"/>
          <w:sz w:val="20"/>
        </w:rPr>
        <w:t xml:space="preserve">This </w:t>
      </w:r>
      <w:r>
        <w:rPr>
          <w:rFonts w:ascii="Times New Roman;serif" w:hAnsi="Times New Roman;serif"/>
          <w:b w:val="false"/>
          <w:color w:val="000000"/>
          <w:sz w:val="20"/>
          <w:shd w:fill="FFFFFF" w:val="clear"/>
        </w:rPr>
        <w:t xml:space="preserve">Annual Report </w:t>
      </w:r>
      <w:r>
        <w:rPr>
          <w:rFonts w:ascii="Times New Roman;serif" w:hAnsi="Times New Roman;serif"/>
          <w:b w:val="false"/>
          <w:color w:val="000000"/>
          <w:sz w:val="20"/>
        </w:rPr>
        <w:t xml:space="preserve">contains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 “Exchange Act”). Forward-looking statements may be identified by the use of words such as “estimate,” “plan,” “project,” “forecast,” “intend,” “will,” “shall,” “expect,” “anticipate,” “believe,” “seek,” “target,” “continue,” “could,” “may,” “might,” “possible,” “potential,” “predict,” “scheduled” or other similar expressions that predict or indicate future events or trends or that are not statements of historical matters. They appear in a number of places throughout this </w:t>
      </w:r>
      <w:r>
        <w:rPr>
          <w:rFonts w:ascii="Times New Roman;serif" w:hAnsi="Times New Roman;serif"/>
          <w:b w:val="false"/>
          <w:color w:val="000000"/>
          <w:sz w:val="20"/>
          <w:shd w:fill="FFFFFF" w:val="clear"/>
        </w:rPr>
        <w:t xml:space="preserve">Annual Report </w:t>
      </w:r>
      <w:r>
        <w:rPr>
          <w:rFonts w:ascii="Times New Roman;serif" w:hAnsi="Times New Roman;serif"/>
          <w:b w:val="false"/>
          <w:color w:val="000000"/>
          <w:sz w:val="20"/>
        </w:rPr>
        <w:t>and include, but are not limited to, statements regarding our intentions, beliefs or current expectations concerning, among other things, results of operations, financial condition, liquidity, capital expenditures, prospects, growth, production volumes, strategies, management,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battery and powertrain systems, software, and strategic partnerships, technology features and capabilities, manufacturing capabilities and facilities, logistics and supply chain, studio openings, sales channels and strategies, future vehicle programs, expansion and the potential success of our distribution strategy, our financial and operating outlook, future market launches and international expansion, including our manufacturing facility in Saudi Arabia and related timing and value to us, our needs for additional financing, our search for a new CEO, and the promise of Lucid’s technology. Such forward-looking statements are based on available current market material and our current expectations, beliefs and forecasts concerning future developments. Factors that may impact such forward-looking statements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changes in domestic and foreign business, economic, market, financial, political, regulatory and legal conditions, including changes of policies, imposition or proposed imposition of tariffs, export controls, threat of a trade war, the risk of a global economic recession or other downturn, bank closures and liquidity concerns at financial institutions, and global or regional conflicts or other geopolitical events, including recent geopolitical tensions in Venezuela;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changes in overall demand for our products and services and cancellation of orders for our vehicles;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prices and availability of commodities and components, including rare-earth minerals, semiconductors and their related products, and other materials, our supply chain, logistics, inventory management and quality control, and our ability to complete the tooling of our manufacturing facilities over time and scale production of our vehicles;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the uncertainty of our projected financial and operational information;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the timing of expected business milestones and commercial product launches;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the construction and expansion of our manufacturing facilities and the increase of our production capacity;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manage expenses and control costs;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future market adoption of our offerings;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effects of competition and the pace and depth of EV adoption generally on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regulatory requirements, policies, and governmental incentives;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fuel and energy prices;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rapidly innovate;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enter into or maintain partnerships with original equipment manufacturers, vendors and technology providers, including our ability to realize the anticipated benefits of our partnerships with Aston Martin, Uber, Nuro, and NVIDIA;</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effectively manage our growth and recruit and retain key employees, including our executive team;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ongoing need to attract, retain, and motivate key employees, including engineering and management employees, as we have undertaken multiple significant management changes in the past, including our CEO;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risks related to potential vehicle recalls;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ability to establish and expand our brand, and capture additional market share, and the risks associated with negative press or reputational harm;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our outstanding Redeemable Convertible Preferred Stock and Convertible Senior Notes;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availability, reduction or elimination of, and our ability to obtain and effectively utilize, Zero Emission Vehicle (“ZEV”) credits, tax incentives, and other governmental and regulatory programs and incentives;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conduct equity, equity-linked, or debt financing in the future;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pay interest and principal on our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future changes to vehicle specifications which may impact performance, features, pricing, and other expectations;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outcome of any potential litigation, government and regulatory proceedings, investigations and inquiries;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other factors disclosed in this </w:t>
      </w:r>
      <w:r>
        <w:rPr>
          <w:rFonts w:ascii="Times New Roman;serif" w:hAnsi="Times New Roman;serif"/>
          <w:b w:val="false"/>
          <w:color w:val="000000"/>
          <w:sz w:val="20"/>
          <w:shd w:fill="FFFFFF" w:val="clear"/>
        </w:rPr>
        <w:t xml:space="preserve">Annual Report </w:t>
      </w:r>
      <w:r>
        <w:rPr>
          <w:rFonts w:ascii="Times New Roman;serif" w:hAnsi="Times New Roman;serif"/>
          <w:b w:val="false"/>
          <w:color w:val="000000"/>
          <w:sz w:val="20"/>
        </w:rPr>
        <w:t>or our other filings with the Securities and Exchange Commission (the “SEC”).</w:t>
      </w:r>
    </w:p>
    <w:p>
      <w:pPr>
        <w:pStyle w:val="TextBody"/>
        <w:bidi w:val="0"/>
        <w:spacing w:lineRule="auto" w:line="288" w:before="240" w:after="283"/>
        <w:jc w:val="left"/>
        <w:rPr/>
      </w:pPr>
      <w:r>
        <w:rPr>
          <w:rFonts w:ascii="Times New Roman;serif" w:hAnsi="Times New Roman;serif"/>
          <w:b w:val="false"/>
          <w:color w:val="000000"/>
          <w:sz w:val="20"/>
        </w:rPr>
        <w:t xml:space="preserve">The forward-looking statements contained in this </w:t>
      </w:r>
      <w:r>
        <w:rPr>
          <w:rFonts w:ascii="Times New Roman;serif" w:hAnsi="Times New Roman;serif"/>
          <w:b w:val="false"/>
          <w:color w:val="000000"/>
          <w:sz w:val="20"/>
          <w:shd w:fill="FFFFFF" w:val="clear"/>
        </w:rPr>
        <w:t xml:space="preserve">Annual Report </w:t>
      </w:r>
      <w:r>
        <w:rPr>
          <w:rFonts w:ascii="Times New Roman;serif" w:hAnsi="Times New Roman;serif"/>
          <w:b w:val="false"/>
          <w:color w:val="000000"/>
          <w:sz w:val="20"/>
        </w:rPr>
        <w:t xml:space="preserve">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Item 1A of Part I of this Annual Report. Should one or more of these risks or uncertainties materialize, or should any of the assumptions prove incorrect, actual results may vary in material respects from those projected in these forward-looking statements. There may be additional risks that we currently do not know or that we currently believe are immaterial that could also cause actual results to differ from those contained in the forward-looking statements. In addition, forward-looking statements reflect our expectations, plans or forecasts of future events and views as of the date of this Annual Report.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Frequently Used Terms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Unless otherwise stated in Part II Item 8. Financial Statements and Supplementary Data, or the context otherwise requires, references in this Annual Report to: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2026 Notes” are to the 1.25% Convertible Senior Notes due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2030 Notes” are to the 5.00% Convertible Senior Notes due 2030;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2031 Notes” are to the 7.00% Convertible Senior Notes due 2031;</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AMP-1” are to our Advanced Manufacturing Plant-1 in Casa Grande, Arizona;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AMP-2” are to our planned Advanced Manufacturing Plant-2 in Saudi Arabia, which consists of a semi knocked-down (“SKD”) portion that has been completed and a completely-built-up (“CBU”) portion that will be constructed;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Ayar” are to Ayar Third Investment Company, an affiliate of the PIF and the controlling stockholder of the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Board” or “Board of Directors” are to the board of directors of Lucid Group Inc., a Delaware corporation;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Certificate of Designations” refers to Series A Certificate of Designations and Series B Certificate of Designations, together;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Churchill” are to Churchill Capital Corp IV, a Delaware corporation and our predecessor company prior to the consummation of the Transactions, which changed its name to Lucid Group, Inc. following the consummation of the Transactions, and its consolidated subsidiaries;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Churchill IPO” are to the initial public offering by Churchill which closed on August 3, 2020;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Closing” are to the consummation of the Transactions;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Closing Date” are to July 23, 2021, the date on which the Transactions were consummated;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common stock” are to the Class A common stock of Lucid Group, Inc., par value $0.0001 per share;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Convertible Senior Notes” refers to the 2026 Notes, the 2030 Notes, and the 2031 Notes;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EV” are to electric vehicle;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Investor Rights Agreement” are to the Investor Rights Agreement, dated as of February 22, 2021 and as amended from time-to-time, by and among the Company, the Sponsor, Ayar and certain other parties thereto;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Legacy Lucid” are to Atieva, Inc., d/b/a Lucid Motors, an exempted company incorporated with limited liability under the laws of the Cayman Islands, and its consolidated subsidiaries before the Closing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0"/>
        </w:rPr>
        <w:t>LPM-1” are to our Lucid Powertrain Manufacturing Plant-1 in Casa Grande, Arizona;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Merger” are to the merger of a merger subsidiary of Churchill and Atieva, Inc., with Atieva, Inc. surviving such merger as a wholly owned subsidiary of Churchill;</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Merger Agreement” are to that certain Agreement and Plan of Merger, dated as of February 22, 2021, by and among Churchill, Legacy Lucid and Air Merger Sub, Inc., a Delaware corporation and a direct, wholly-owned subsidiary of Churchill, as the same has been or may be amended, modified, supplemented or waived from time-to-time;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PIF” are to the Public Investment Fund, the sovereign wealth fund of Saudi Arabia;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Private Placement Warrants” are to Churchill’s warrants issued to the Sponsor in a private placement simultaneously with the closing of the Churchill IPO;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Redeemable Convertible Preferred Stock” are to the Series A Convertible Preferred Stock and Series B Convertible Preferred Stock, together;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Reverse Stock Split” are to the one-for-ten (1:10) reverse stock split of our common stock that became effective on August 29, 2025;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 xml:space="preserve">Series A Certificate of Designations” refers to the Certificate of Designations of Series A Redeemable Convertible Preferred Stock;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Series A Redeemable Convertible Preferred Stock” are to the Series A Convertible Preferred Stock of Lucid Group, Inc., par value $0.0001 per share;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Series A Subscription Agreement” refers to the subscription agreement entered into on March 24, 2024, by the Company and Ayar to purchase from the Company 100,000 shares of its Series A Convertible Preferred Stock;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 xml:space="preserve">Series B Certificate of Designations” refers to the Certificate of Designations of Series B Redeemable Convertible Preferred Stock;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Series B Redeemable Convertible Preferred Stock” are to the Series B Convertible Preferred Stock of Lucid Group, Inc., par value $0.0001 per share;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Series B Subscription Agreement” refers to the subscription agreement entered into on August 4, 2024, by the Company and Ayar to purchase from the Company 75,000 shares of its Series B Convertible Preferred Stock;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Sponsor” are to Churchill Sponsor IV LLC, a Delaware limited liability company and an affiliate of M. Klein and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Transactions” are to the Merger, together with the other transactions consummated under the Merger Agreement and the related agreements; and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Warrant Agreement” are to the Warrant Agreement, dated July 29, 2020, entered into in connection with the Churchill IPO by and between Continental Stock Transfer &amp; Trust Company and Churchill.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requires, all references in this section to “Lucid,” the “Company,” “we,” “us,” “our,” and other similar terms refer to Legacy Lucid and its subsidiaries prior to the Closing, and Lucid Group, Inc., a Delaware corporation, and its subsidiaries after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 xml:space="preserve">PART 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OVERVIEW</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Mission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Lucid’s mission is to advance the state-of-the-art of electric vehicle (“EV”) technology for the benefit of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About Us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Lucid is a technology company that is shaping the future of mobility through its innovations, advanced technology, and software-defined vehicle platforms. The company’s award-winning Lucid Air and Lucid Gravity set new standards with their unmatched combination of performance, range, space, and efficiency. Additionally, through our collaboration with leading market and technology partners, Lucid is leveraging its advanced software and hardware architecture to power the next generation of advanced driver assistance system (“ADAS”) and true eyes-off, hands-off, and mind-off (“Level 4”) autonomous mobility systems for consumer and ride-hailing applications.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Lucid designed, developed, manufactures and sells two groundbreaking EVs: The Lucid Air sedan, for which customer deliveries began in late 2021, and the Lucid Gravity SUV, which arrived on the road in late 2024. Each product has advanced the state-of-the-art with technical achievements, innovations, and superlatives in performance, energy efficiency, electrical architecture, software, design, and manufacturing. Our Company’s unique and holistic approach to vehicle design and integration is aided by highly efficient miniaturized drivetrain components, which enables the Lucid Space Concept. This uniquely allows Lucid to merge a smaller exterior footprint with leading interior space, providing better comfort and more capacity for luggage or gear than other vehicles of similar size. We plan to expand our vehicle lineup with the upcoming Midsize platform vehicles, which are scheduled to start production in late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Lucid (i) designs, engineers and manufactures EVs, EV powertrains, and battery systems in-house, using our equipment and factories, (ii) designs and develops proprietary software in-house for Lucid vehicles that is continuously enhanced through over-the-air (“OTA”) software updates, (iii) offers an elevated customer experience at geographically distributed retail and service locations and through direct-to-consumer online sales, (iv) builds strategic partnerships in an effort to accelerate growth and expand into new markets such as robotaxis, and (v) boasts a strong product roadmap of future vehicle programs and technologies. Our focus on in-house hardware and software innovation, vertical integration, and a “clean sheet” approach to engineering and design led to the development of the award-winning Lucid Air and Lucid Gravity, and upcoming Midsize platform.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Lucid Air and the Lucid Gravity are assembled at our EV manufacturing facility in Casa Grande, Arizona, named Advanced Manufacturing Plant-1 (“AMP-1”). In 2024, we completed key expansion activities to bring installed capacity at AMP-1 to 90,000 vehicles per year. By building AMP-1 from a clean slate, we expect to achieve greater operational efficiencies and more consistent production quality than would be possible through outsourced manufacturing or adaptation of an existing facility. An emphasis on vertical integration of manufacturing capabilities provides us the opportunity to control our technology roadmap, ensure a high degree of quality control, and improve product margins relative to an outsourced manufacturing arrangement. In 2022, we broke ground on the Advanced Manufacturing Plant-2 in Saudi Arabia (“AMP-2”), and in 2023, we began semi knocked-down (“SKD”) assembly, with installed annual capacity of 5,000 vehicles. The initial operation is re-assembly of the Lucid Air and the Lucid Gravity vehicle ‘kits’ that are pre-manufactured at AMP-1. In 2024, we started an expansion at AMP-2 to enable completely-built-up (“CBU”) unit production with an additional installed annual capacity of 150,000 vehicles. The start of production of our Midsize platform is scheduled for late 2026, which we expect will expand our market reach into higher-volume vehicle segments.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sell vehicles directly to consumers through our retail sales network and online channels, including Lucid Financial Services. As of December 31, 2025, we have opened 45 Studios and service centers in North America, 12 in Europe, and 5 in the Middle East, complemented by various temporary and satellite service centers. In the United States (“U.S.”) and Saudi Arabia markets, we believe that owning and operating our sales network provides the best opportunity to closely manage the customer experience, gather direct feedback, and ensure that every interaction is tailored to customer needs.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we expand globally, our strategy includes establishing third-party distribution partnerships through proven business models such as importer, dealer, agent, and authorized repairer relationships. Introducing these channels is expected to enable rapid growth in these markets while optimizing the capital required to build a comprehensive sales and service network. All third-party partnerships are expected to be governed by robust agreements, standards, and guidelines to ensure compliance and maintain the Lucid customer experience throughout the entire journey.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also own and operate a vehicle service network comprised of service centers in major metropolitan areas and a fleet of mobile service vehicles. In addition to our in-house capabilities, we continue to grow an approved list of specially trained collision repair shops, which in some cases serve as repair hubs for mobile service. For urgent roadside needs, we have contracted with a third-party roadside assistance partner. As a technology company, we complement these offerings with remote diagnostics, proactive alerts, and OTA updates. This combination of in-house capabilities, supplementary service partners, and remote support is designed to deliver a premium and seamless service experience.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Market Opportunity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defining the next generation of sustainable mobility by uniting our California aesthetic with our high-tech and Silicon Valley roots. We are leading the next wave of innovation, not only with EVs but also with vehicles overall. Our technology and the Lucid Space Concept enable us to provide better functional attributes than competitors who rely on platforms that must accommodate hybridized and internal combustion propulsion systems. With the Lucid Air and the Lucid Gravity, we target consumers who desire vehicles with a high-end aesthetic, high performance, and the accompanying premium high-level experience. With our planned entry into some of the world’s highest volume segments with our Midsize platform vehicles, we aim to bring our high level of design and performance to a broader market, at a more accessible price point to unlock new scale opportunities for our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Lucid Air and the Lucid Gravity compete in the global luxury vehicle markets. Our competitive advantage is defined by our leading EV hardware and software technology, developed entirely in-house. The Lucid Air Pure is the most efficient vehicle in the world (as measured by U.S. Environmental Protection Agency (“EPA”) estimated range per kilowatt-hour), the Lucid Air Grand Touring is the longest-range and the fastest-charging (as measured by EPA-estimated range per minute) EV in its class, and the Lucid Gravity Grand Touring is the fastest-charging (as measured by EPA-estimated range per minute and time to add 200 miles of range) and longest-range (as certified by the U.S. EPA) EV in its class on the market today. The Lucid Air Sapphire is the highest-performance version of the Lucid Air, a world-leading combination of 1,234 horsepower from three motors, the ability to accelerate from zero to 60 miles per hour in 1.89 seconds, and a quarter-mile time of 8.95 seconds. Our Midsize platform is expected to expand our reach, providing accessible luxury to a market that is substantially larger than our current addressable market across North America, Europe and the Middle East.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defining a recognizable brand that is synonymous with elegant design, excellent driving performance, and outstanding range. We believe the ideal automotive experience is one comprised of several essential elements, including: (i) high-end comfort and significant attention to detail in design, content, materials, and fit and finish, (ii) superior customer interaction, with high-touch customer engagement throughout both the sales cycle and ownership journey, and (iii) convenient service that exceeds that of a non-premium automotive experience.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EV product offerings benefit our customers and communities through zero local emissions and significantly lower emissions over their lifetime when compared to internal combustion engine (“ICE”) vehicles. The market is still nascent, with an estimated 16% and 8% of new passenger vehicle sales for 2025 being battery electric vehicles (“BEV”) worldwide and in North America, respectively (figures are estimates from S&amp;P Global).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sale of Lucid-branded vehicles, we believe that our technological leadership and manufacturing capabilities present a further opportunity to generate revenue while making a positive impact on our communities and environment through strategic technology partnerships, as well as the sale or licensing of EV platforms, powertrains, battery technology, and embedded controls software to third parties. Such platforms, powertrain and battery arrangements could facilitate and accelerate the shift to electrification for traditional automotive original equipment manufacturers (“OEMs”), pure-play EV companies, and prospective partners in the transportation sector, thereby enabling the global production of EVs in greater volumes and at diverse price points to approach a broad market.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More recently, we have entered the robotaxi market to further leverage our technologies and capabilities and position ourselves in a fast- growing market. In 2025, Lucid formed a partnership with Uber Technologies, Inc. (“Uber”) and Nuro, Inc. (“Nuro”) to launch a next-generation autonomous robotaxi leveraging Lucid Gravity’s advanced technology platform, redundant electrical and controls architectures, and long range, which together make it an ideal fit for use in a scalable robotaxi offering. The program, which is expected to first launch in the San Francisco Bay Area, is planning to deploy an initial 20,000 or more Lucid vehicles over the next six years following the start of production in dozens of markets around the world.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Competitive Strengths</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Revolutionary Powertrain Technology.</w:t>
      </w:r>
      <w:r>
        <w:rPr>
          <w:color w:val="000000"/>
        </w:rPr>
        <w:t xml:space="preserve"> </w:t>
      </w:r>
      <w:r>
        <w:rPr>
          <w:rFonts w:ascii="Times New Roman;serif" w:hAnsi="Times New Roman;serif"/>
          <w:b w:val="false"/>
          <w:color w:val="000000"/>
          <w:sz w:val="20"/>
        </w:rPr>
        <w:t>Our proprietary EV technology delivers outstanding range, charging, and driver-oriented performance, all while achieving higher efficiency ratings than other EVs as measured by miles of range per kilowatt hour of energy consumed. The Lucid Air has received EPA-estimated range ratings of over 400 miles for each of its trim levels and the Lucid Air Grand Touring holds the title for the longest-range passenger vehicle sold, with an EPA-estimated range of 512 miles. The Lucid Gravity Grand Touring delivers an EPA-estimated range of 450 miles, while the only other competitive vehicle on the market today offering comparable driving range requires a battery pack over 60 percent larger in capacity.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000000"/>
          <w:sz w:val="20"/>
        </w:rPr>
        <w:t xml:space="preserve">We designed the Lucid Air and the Lucid Gravity with a proprietary high-voltage electrical architecture, the Wunderbox on-board inverter and charger, and an efficient battery management system, all developed in-house by our teams, enabling customers to spend less time charging. For example, during DC fast charging, the Lucid Air Grand Touring can add up to 200 miles in about 12 minutes, while the Lucid Air Touring and Lucid Air Pure can add up to 200 miles in about 16 minutes. The Lucid Gravity Grand Touring can charge at up to 400 kW and add 200 miles in about 11 minutes, while the Lucid Gravity Touring can charge at up to 300 kW and add 200 miles in about 15 minutes. All estimates are based on EPA-rated range, the use of a DC fast charger that is capable of providing sufficient charge power, and the most efficient trim of each vehicle. Actual rates will vary based upon vehicle equipment, charging equipment and charging conditions. Charging times based on the </w:t>
      </w:r>
      <w:r>
        <w:rPr>
          <w:rFonts w:ascii="Times New Roman;serif" w:hAnsi="Times New Roman;serif"/>
          <w:b w:val="false"/>
          <w:color w:val="0A0A0A"/>
          <w:sz w:val="20"/>
        </w:rPr>
        <w:t>Worldwide Harmonized Light Vehicles Test Procedure</w:t>
      </w:r>
      <w:r>
        <w:rPr>
          <w:color w:val="000000"/>
        </w:rPr>
        <w:t xml:space="preserve"> </w:t>
      </w:r>
      <w:r>
        <w:rPr>
          <w:rFonts w:ascii="Times New Roman;serif" w:hAnsi="Times New Roman;serif"/>
          <w:b w:val="false"/>
          <w:color w:val="000000"/>
          <w:sz w:val="20"/>
        </w:rPr>
        <w:t>ratings may indicate lower charging times. In November 2023, we launched RangeXchange, the first application of the bi-directional charging capability built into the Lucid Air. Using Lucid’s innovative vehicle-to-vehicle (“V2V”) RangeXchange adapter and the latest mobile charging cable, the Lucid Air can function as the power source to charge another EV. With the launch of Lucid Gravity, we extended this V2V capability to our SUV platform, enabling both Lucid Air and Lucid Gravity to serve as power sources for other EVs. In the future, we plan to further unlock the potential of the bi-directional charging capability built into the Lucid Air and Gravity to serve as a back-up power source for residential applications, such as during emergency power grid outages, when paired with Lucid Connected Home Charging Station. Additional equipment will be needed at the home to enable back-up power capabilities.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June 2023, we entered into an agreement (the “Implementation Agreement”) with Aston Martin Lagonda Global Holdings plc (together with its subsidiaries, “Aston Martin”), under which we and Aston Martin have established a long-term strategic technology and supply arrangement. On November 6, 2023, pursuant to the terms of the Implementation Agreement, integration and supply arrangements became effective, under which we will provide Aston Martin access to our powertrain, battery system, and software technologies, work with Aston Martin to integrate our powertrain and battery components with Aston Martin’s BEV chassis, and supply powertrain and battery components to Aston Martin (collectively, the “Strategic Technology Arrangement”).</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 xml:space="preserve">Software Defined Vehicles. </w:t>
      </w:r>
      <w:r>
        <w:rPr>
          <w:rFonts w:ascii="Times New Roman;serif" w:hAnsi="Times New Roman;serif"/>
          <w:b w:val="false"/>
          <w:color w:val="000000"/>
          <w:sz w:val="20"/>
        </w:rPr>
        <w:t>Our advanced software-defined vehicle architecture is applied throughout our vehicles to allow us to continually tune and improve vehicle performance and add features through OTA software updates.</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 xml:space="preserve">Highly Differentiated Performance. </w:t>
      </w:r>
      <w:r>
        <w:rPr>
          <w:rFonts w:ascii="Times New Roman;serif" w:hAnsi="Times New Roman;serif"/>
          <w:b w:val="false"/>
          <w:color w:val="000000"/>
          <w:sz w:val="20"/>
        </w:rPr>
        <w:t>Our advancements in battery pack and drivetrain technology, created through a clean-sheet approach to engineering, have resulted in compelling performance and efficiency in our vehicles. The Lucid Air Sapphire offers 1,234 horsepower, a 0-60 miles per hour acceleration time of 1.89 seconds, a standing quarter-mile time of 8.95 seconds, and 427 miles of EPA-estimated range.</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 xml:space="preserve">Directly Owned Manufacturing. </w:t>
      </w:r>
      <w:r>
        <w:rPr>
          <w:rFonts w:ascii="Times New Roman;serif" w:hAnsi="Times New Roman;serif"/>
          <w:b w:val="false"/>
          <w:color w:val="000000"/>
          <w:sz w:val="20"/>
        </w:rPr>
        <w:t xml:space="preserve">Our vehicles are produced at AMP-1, the first purpose-built, greenfield EV manufacturing facility in North America. With the Lucid Air already in production, expansion activities have been completed to enable the concurrent production of the Lucid Air and the Lucid Gravity. Key elements of our vehicle engineering enable efficient and advanced manufacturing processes with a high degree of quality control. For example, we designed the aircraft-inspired riveted and bonded monocoque body structure to enhance structural efficiency and replace spot welds in the manufacturing process. Additionally, we manufacture and assemble our complete electric powertrain at AMP-1, including assembly of battery packs, integrated drive units, and the Wunderbox. In September 2023, we also opened AMP-2, which was Saudi Arabia’s first-ever car manufacturing facility and our first manufacturing facility outside the United States, where we commenced SKD assembly operations. Our AMP-2 site is undergoing significant transformation to add an additional 150,000 units of fully integrated installed capacity to produce vehicles from our Midsize platform. </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 xml:space="preserve">In-House Sales and Service in the U.S., Canada and Saudi Arabia. </w:t>
      </w:r>
      <w:r>
        <w:rPr>
          <w:rFonts w:ascii="Times New Roman;serif" w:hAnsi="Times New Roman;serif"/>
          <w:b w:val="false"/>
          <w:color w:val="000000"/>
          <w:sz w:val="20"/>
        </w:rPr>
        <w:t>Consistent with the focus on vertical integration in our manufacturing processes, we employ a direct sales and service model in the U.S., Canada and Saudi Arabia to maintain full control over the customer experience and ensure that interactions are aligned with Lucid standards. We are also scaling our own service operations to support planned future growth, in addition to further developing our established network of partnerships with body shops and other ancillary service partners that meet our expectations for customer service. In addition to the well-established direct sales and service model in markets where we have traction and scale, we are also actively evaluating alternative importer and agency models to enhance flexibility and optimize our distribution strategy in response to evolving market dynamics.</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 xml:space="preserve">Product Design. </w:t>
      </w:r>
      <w:r>
        <w:rPr>
          <w:rFonts w:ascii="Times New Roman;serif" w:hAnsi="Times New Roman;serif"/>
          <w:b w:val="false"/>
          <w:color w:val="000000"/>
          <w:sz w:val="20"/>
        </w:rPr>
        <w:t>The Lucid Air and the Lucid Gravity fuse art and science to capture the full potential of electrification. As our company’s first vehicle, the Lucid Air established the bar for excellence across all our products and experiences. The Lucid Space Concept represents a technical breakthrough, achieved by rethinking the way an automobile is designed from the ground up. Our reimagining of the car has resulted in class-leading interior space for the driver, passengers, and storage within a compact and efficient exterior. The Lucid Gravity builds upon this design philosophy to deliver space for occupants and cargo that outclasses the competition in a vehicle with a significantly smaller exterior footprint.</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 xml:space="preserve">Deep Experience. </w:t>
      </w:r>
      <w:r>
        <w:rPr>
          <w:rFonts w:ascii="Times New Roman;serif" w:hAnsi="Times New Roman;serif"/>
          <w:b w:val="false"/>
          <w:color w:val="000000"/>
          <w:sz w:val="20"/>
        </w:rPr>
        <w:t>We have assembled a seasoned management and advisory team with deep experience in the automotive, and EV and technology industries. The management team is rounded out by executives with significant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 xml:space="preserve">Strategic Partnerships. </w:t>
      </w:r>
      <w:r>
        <w:rPr>
          <w:rFonts w:ascii="Times New Roman;serif" w:hAnsi="Times New Roman;serif"/>
          <w:b w:val="false"/>
          <w:color w:val="000000"/>
          <w:sz w:val="20"/>
        </w:rPr>
        <w:t>We have established strong relationships with suppliers and partners to deliver the Lucid Air, Lucid Gravity, and our Midsize platform vehicles. We have battery cell supply agreements in place with leading suppliers in the EV space and have also begun entering into agreements to help ensure our supply of critical battery precursor materials.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Growth Strategy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aim to create opportunity, including in autonomous driving, as an automotive company and a technology provider for other automotive OEMs.</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 xml:space="preserve">Vehicle Roadmap. </w:t>
      </w:r>
      <w:r>
        <w:rPr>
          <w:rFonts w:ascii="Times New Roman;serif" w:hAnsi="Times New Roman;serif"/>
          <w:b w:val="false"/>
          <w:color w:val="000000"/>
          <w:sz w:val="20"/>
        </w:rPr>
        <w:t>We have established a roadmap for future vehicle lines that includes a variety of vehicle types expected to perform well in higher volume segments. After establishing our brand with the Lucid Air and the Lucid Gravity, we plan to offer three new vehicles from our new Midsize platform, enabling sales in some of the highest-volume vehicle segments, which we expect will enable us to leverage economies of scale and significantly improve the efficiency of our operations. We continue to make progress in establishing a strong brand with our customer base in premium vehicle markets across the globe.</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International Expansion.</w:t>
      </w:r>
      <w:r>
        <w:rPr>
          <w:color w:val="000000"/>
        </w:rPr>
        <w:t xml:space="preserve"> </w:t>
      </w:r>
      <w:r>
        <w:rPr>
          <w:rFonts w:ascii="Times New Roman;serif" w:hAnsi="Times New Roman;serif"/>
          <w:b w:val="false"/>
          <w:color w:val="000000"/>
          <w:sz w:val="20"/>
        </w:rPr>
        <w:t xml:space="preserve">We plan to increase our market presence in multiple geographies along with the relevant retail and service footprint across each geographic region. Expanding across global markets is key to achieving the economies of scale needed to become profitable. The expansion is expected to enhance our brand presence and awareness and support our growth objectives. Additional business and distribution models are being implemented to both accelerate speed to market while optimizing resource requirements.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With our global expansion, and the addition of fully integrated assembly operations with 150,000 units of planned installed capacity at our AMP-2 facility in Saudi Arabia, we are expanding our manufacturing footprint globally. We anticipate that a localized supply chain, production, distribution and retail network will yield cost savings and lower carbon emissions with shorter transportation distances and better response to the needs of our customers. </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 xml:space="preserve">Technology Platform &amp; Licensing. </w:t>
      </w:r>
      <w:r>
        <w:rPr>
          <w:rFonts w:ascii="Times New Roman;serif" w:hAnsi="Times New Roman;serif"/>
          <w:b w:val="false"/>
          <w:color w:val="000000"/>
          <w:sz w:val="20"/>
        </w:rPr>
        <w:t xml:space="preserve">Lucid vehicles are engineered to serve as a platform for delivery of new customer services and next generation experiences, including autonomous mobility. In connection with our partnership with Uber and Nuro announced in July 2025, and the closing of a $300 million strategic investment from SMB Holding Corporation (“SMB”), a subsidiary of Uber, we have agreed to deploy a minimum of 20,000 robotaxis. In 2025, we achieved several significant milestones, and we are preparing for an expected first commercial deployment in the San Francisco Bay Area. We anticipate that the demand for high levels of autonomous driving will continue to grow as consumers experience more autonomous technology. We continue to be motivated to achieve a future where transportation is fully sustainable. Our expanding technology partnership ecosystem, combined with potential future sales of our technology platform to traditional automotive OEMs will further accelerate these efforts.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Vehicles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Lucid Air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Lucid Air is the most advanced sedan in the world, featuring California-inspired design and award-winning powertrain technology. As Lucid’s first vehicle, the Lucid Air has established Lucid as the preeminent force in EV technology. Since the first deliveries to customers in October 2021, the Lucid Air has been the benchmark for luxury vehicles and EVs, continuing to grow in popularity. The Lucid Air has earned awards and accolades from around the world, including Motor Trend Car of the year for 2022, World Luxury car in 2023, Car and Driver 10Best in every year since it has been eligible, EV of the Year/Car of the Year from world-renowned tech reviewer Marques Brownlee for 2024, and German Performance Car of the Year in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Lucid Air is offered in an array of trims and configurations at different price points with distinct superlatives. The 2026 Air Pure offers a remarkable 420 miles of EPA-estimated range (when equipped with 19” wheels), with just an 84-kWh battery pack, and thus achieves a landmark 5.0 miles per kilowatt hour of energy; with an official EPA-rated 146 MPGe, the Air Pure is the most efficient vehicle on the market today. With 512 miles of EPA-estimated range (when equipped with 19” wheels), the Lucid Air Grand Touring continues to lead the market in range by a significant margin, enabled by advancements in Lucid’s electric powertrain technology. The Lucid Air Sapphire is the highest-performance version of the Lucid Air, boasting 1,234 horsepower from three motors, 427 miles of an EPA-estimated range, the ability to accelerate from zero to 60 miles per hour in 1.89 seconds, and a quarter-mile time of 8.95 seconds. </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Lucid Gravity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Lucid Gravity, for which we began production in December 2024, reimagines what an SUV can be, and is conceived from the ground up to offer a previously impossible combination of features. Enabled by Lucid’s revolutionary technology, the Lucid Gravity provides the interior space and practicality of a full-size SUV within the exterior footprint of a mid-size SUV. As a result, it provides a sophisticated space for up to seven adults, game-changing versatility, and an unparalleled driving experience. Leveraging Lucid’s in-house powertrain technology, we have engineered the Lucid Gravity Grand Touring to deliver up to 450 miles of EPA-estimated range (when equipped with 20”F/21”R wheels and configured as a 2-row, 5-seat vehicle), while the only other competitive vehicle on the market today offering comparable driving range requires a battery pack over 60 percent larger in capacity. The Lucid Gravity has distinguished itself with an exceptional collection of accolades, including EV of the Year from world-renowned tech reviewer Marques Brownlee for 2025, Car and Driver’s prestigious 10Best Trucks and SUVs list for 2026 as the sole EV honored, Esquire Car of the Year for 2026, and Good Housekeeping Best Luxury EV for Families for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designed the Lucid Gravity to share components with the Lucid Air where optimal, and we continue to evaluate opportunities to apply components developed for the Lucid Gravity to the Lucid Air, further expanding the number of common parts while also enhancing the customer experience in the Lucid Air. We anticipate these measures will enable efficiency in design, engineering, and capital expenditure deployment for the Lucid Gravity.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Lucid Air and the Lucid Gravity are software-defined vehicles, designed to improve over time, with OTA software updates and key hardware already in place in the vehicle. This holistic systems approach to the integration of hardware and software is what allows us to provide these continuous OTA updates.</w:t>
      </w:r>
    </w:p>
    <w:p>
      <w:pPr>
        <w:pStyle w:val="TextBody"/>
        <w:bidi w:val="0"/>
        <w:spacing w:lineRule="auto" w:line="288" w:before="240" w:after="283"/>
        <w:jc w:val="left"/>
        <w:rPr/>
      </w:pPr>
      <w:r>
        <w:rPr>
          <w:rFonts w:ascii="Times New Roman;serif" w:hAnsi="Times New Roman;serif"/>
          <w:b w:val="false"/>
          <w:color w:val="000000"/>
          <w:sz w:val="20"/>
        </w:rPr>
        <w:t>As discussed in “</w:t>
      </w:r>
      <w:r>
        <w:rPr>
          <w:color w:val="000000"/>
        </w:rPr>
        <w:t>— </w:t>
      </w:r>
      <w:r>
        <w:rPr>
          <w:rFonts w:ascii="Times New Roman;serif" w:hAnsi="Times New Roman;serif"/>
          <w:b w:val="false"/>
          <w:i/>
          <w:color w:val="000000"/>
          <w:sz w:val="20"/>
        </w:rPr>
        <w:t>Technology</w:t>
      </w:r>
      <w:r>
        <w:rPr>
          <w:color w:val="000000"/>
        </w:rPr>
        <w:t xml:space="preserve">” </w:t>
      </w:r>
      <w:r>
        <w:rPr>
          <w:rFonts w:ascii="Times New Roman;serif" w:hAnsi="Times New Roman;serif"/>
          <w:b w:val="false"/>
          <w:color w:val="000000"/>
          <w:sz w:val="20"/>
        </w:rPr>
        <w:t>below, the Lucid Air and the Lucid Gravity are underpinned by the Lucid Electric Advanced Platform (“LEAP”), which is designed with adjustability to support multiple vehicle variants to enable greater capital efficiency and speed to market.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Future Vehicle Programs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started by manufacturing higher-end vehicles to establish our brand. We expect to progress to higher-volume vehicle segments over time, which require a higher throughput from manufacturing and distribution. Beyond the Lucid Air and the Lucid Gravity, we plan to expand our vehicle lineup with vehicles built on a new Midsize platform, with which we intend to enter lower-price and higher-volume vehicle segments. The Midsize platform is currently in advanced stages of development and is scheduled to start production in late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Technology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a technology company that has set new standards for sustainable transportation. We have done so in part by developing proprietary EV technology in-house. Core to our DNA is the achievement of technical excellence.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in-house engineering team is focused on delivering innovation in all facets of vehicle development, including hardware and software development, vehicle design, and passenger comfort. The development of the Lucid Air and the Lucid Gravity have been predicated on the premise that miniaturizing the powertrain would allow us to redesign what a passenger vehicle can be from the ground up.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refined our battery systems over many years in real-world applications, including more than 445 million miles of vehicle testing and the supply of battery packs to all teams in the world’s premier EV open wheel racing series. We have used the data accumulated from these activities to refine our technology and thoughtfully develop the Lucid Air, and subsequently the Lucid Gravity.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believe our in-house research and development organization establishes us as a leader across multiple technologies and areas of expertise. Our technological achievements include significant advancements to the core technologies that enable our EVs to offer a combination of features not available elsewhere on the market.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Areas where our in-house engineering has driven advancement include:</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 xml:space="preserve">Battery Pack. </w:t>
      </w:r>
      <w:r>
        <w:rPr>
          <w:rFonts w:ascii="Times New Roman;serif" w:hAnsi="Times New Roman;serif"/>
          <w:b w:val="false"/>
          <w:color w:val="000000"/>
          <w:sz w:val="20"/>
        </w:rPr>
        <w:t>The Lucid Air’s battery pack translates our motorsport experience and more than 445 million miles of real-world testing into a compact and energy dense unit that was developed in-house with a clean-sheet approach to engineering. The battery pack is designed to be scalable and modular, providing opportunities for cost and range variations. This modular approach also supports our vision to revolutionize EV technology through mass industrialization. Our single piece injection molded battery module is race derived yet designed for mass production, with electrical “bus bar” connectors that are integrally captured in the molding in a single operation – a significant technological advancement.</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designed our battery pack for performance, with low resistance cell designs coupled with advanced cell end-cooling to allow for improved battery cooling efficiency. This efficiency ultimately drives a downsizing of the cooling system and thereby further increases range. Using the same system-level optimization strategy, the battery cells incorporated into our battery packs are meticulously co-designed with our industry-leading suppliers to target the optimal trade spaces between energy density, recharge/discharge rates and other characteristics, to create a pack that delivers energy and power at the vehicle level that surpass the pareto frontier of the rest of the industry.</w:t>
      </w:r>
    </w:p>
    <w:p>
      <w:pPr>
        <w:pStyle w:val="TextBody"/>
        <w:bidi w:val="0"/>
        <w:spacing w:lineRule="auto" w:line="288" w:before="240" w:after="283"/>
        <w:jc w:val="left"/>
        <w:rPr/>
      </w:pPr>
      <w:r>
        <w:rPr>
          <w:rFonts w:ascii="Times New Roman;serif" w:hAnsi="Times New Roman;serif"/>
          <w:b w:val="false"/>
          <w:color w:val="000000"/>
          <w:sz w:val="20"/>
        </w:rPr>
        <w:t>We transferred the technology developed for the battery pack in the Lucid Air to the Lucid Gravity, which provides the basis for a more advanced design we are industrializing and optimizing for our Midsize platform vehicles, and to technologically adjacent markets. See “</w:t>
      </w:r>
      <w:r>
        <w:rPr>
          <w:color w:val="000000"/>
        </w:rPr>
        <w:t>— </w:t>
      </w:r>
      <w:r>
        <w:rPr>
          <w:rFonts w:ascii="Times New Roman;serif" w:hAnsi="Times New Roman;serif"/>
          <w:b w:val="false"/>
          <w:i/>
          <w:color w:val="000000"/>
          <w:sz w:val="20"/>
        </w:rPr>
        <w:t>Growth Strategy.</w:t>
      </w:r>
      <w:r>
        <w:rPr>
          <w:color w:val="000000"/>
        </w:rPr>
        <w:t xml:space="preserve">” </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 xml:space="preserve">Integrated Electric Motor, Inverter and Transmission Drive Unit. </w:t>
      </w:r>
      <w:r>
        <w:rPr>
          <w:rFonts w:ascii="Times New Roman;serif" w:hAnsi="Times New Roman;serif"/>
          <w:b w:val="false"/>
          <w:color w:val="000000"/>
          <w:sz w:val="20"/>
        </w:rPr>
        <w:t>For our motor and gearbox system, we have developed permanent magnet motors in-house. Combining these motors with an inverter and an integrated gearbox and differential creates an advanced electric drive unit that weighs just 163 lbs. (74kg) and is small enough to fit inside a carry-on travel roller bag. This drive unit is both powerful and efficient, offering torque to deliver the exceptional performance that our vehicles are known for while remaining incredibly small and lightweight, giving the passengers luxurious amounts of space and utility in a relatively compact vehicle footprint.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drive unit used in the Lucid Air and the Lucid Gravity can generate up to 670 horsepower with a power density up to 9.0 horsepower per kg, depending on vehicle trim and variant. This compactness allows for one, two or even three units to be used to power a Lucid Air or Lucid Gravity. We applied the same drive unit architecture and design philosophy to create a bespoke product for the world’s premier EV open wheel racing series with a power density of over 14.5 horsepower per kg.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enablers of these electric motor characteristics include a set of inventions that are part of our intellectual property portfolio. Most notably, a new motor winding technology offering increased power output and reduced electrical losses. The motor also features an innovative patented cooling system that more effectively removes heat from the stator winding, reducing losses and boosting efficiency.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compactness of our electric drive units lays the foundation for the Lucid Space Concept vehicle design approach. The patented, fully integrated transmission and differential also contribute to this approach. Together, these components comprise a unified, integrated rotational system that is both lightweight and extremely efficient. Additionally, we leverage high voltage, silicon-carbide metal–oxide–semiconductor field-effect transistor (“MOSFET”) devices in our inverters to increase efficiency, especially in real-world driving conditions.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new drive unit architecture, Atlas, is planned to go into production for our Midsize platform vehicles and is expected to further advance the state-of-the-art and with fewer components, lower cost and further improved efficiency.</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 xml:space="preserve">Bi-directional Charging. </w:t>
      </w:r>
      <w:r>
        <w:rPr>
          <w:rFonts w:ascii="Times New Roman;serif" w:hAnsi="Times New Roman;serif"/>
          <w:b w:val="false"/>
          <w:color w:val="000000"/>
          <w:sz w:val="20"/>
        </w:rPr>
        <w:t>Lucid’s high voltage architecture, capable of supporting 900V+, and our Wunderbox are key enablers inside the Lucid Air and the Lucid Gravity electrical platforms. We designed the Wunderbox to enable ultra-fast DC and bi-directional AC charging with proprietary technology. It is a multi-function unit, developed in-house to help ensure compatibility with various charging stations and power levels, from Level 1 AC up to Level 3 DC fast charging. It also enables “boost-charging” when needed, such as when connected to 400V DC charging infrastructure.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we designed the Wunderbox to enable a wide array of future-ready, bi-directional power delivery features, such as vehicle-to-grid (“V2G”) applications for situations such as managing home power outages. We also launched RangeXchange, an innovative new feature enabling the Lucid Air and the Lucid Gravity to directly charge another EV. This capability is enabled by our bi-directional charging technology built into every vehicle via an OTA software update, as well as the available RangeXchange adapter. This holistic systems approach to the integration of hardware and software is what allows us to provide these value-add updates and truly sets us apart in the automotive industry.</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 xml:space="preserve">Software System. </w:t>
      </w:r>
      <w:r>
        <w:rPr>
          <w:rFonts w:ascii="Times New Roman;serif" w:hAnsi="Times New Roman;serif"/>
          <w:b w:val="false"/>
          <w:color w:val="000000"/>
          <w:sz w:val="20"/>
        </w:rPr>
        <w:t xml:space="preserve">The Lucid Air and the Lucid Gravity are true software-defined vehicles. With software-enabled future-ready hardware, Lucid vehicles can evolve over time to best meet customer needs long after they take delivery. With highly advanced processing capabilities, the system leverages data analytics and OTA updates to improve and refresh the vehicle over time. We deploy frequent OTA software updates that provide new features, improvements, and bug fixes. </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 xml:space="preserve">Controls Software. </w:t>
      </w:r>
      <w:r>
        <w:rPr>
          <w:rFonts w:ascii="Times New Roman;serif" w:hAnsi="Times New Roman;serif"/>
          <w:b w:val="false"/>
          <w:color w:val="000000"/>
          <w:sz w:val="20"/>
        </w:rPr>
        <w:t xml:space="preserve">The core technology in the Lucid Air and the Lucid Gravity is fully conceived in-house. This includes a state-of-the-art computing platform, using our Ethernet Ring architecture, as well as intelligent fuse boxes and future proofed advance lighting systems, which is able to be upgraded with software to enable additional and improved features related to performance, range, and user experience. In 2023, with the release of the Lucid Air Sapphire, an In-House Traction Control and Torque Vectoring system was designed, implemented, and calibrated on various surfaces, delivering the performance attributes which gained broad acclaim. In 2024, with the Lucid Air rear-wheel drive, we developed Regen Traction Control to improve the performance of the vehicles in regen mode. In 2024, we also introduced a no-regen mode as an additional option for Lucid Air customers. </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 xml:space="preserve">Boost Charging Through Drive Unit. </w:t>
      </w:r>
      <w:r>
        <w:rPr>
          <w:rFonts w:ascii="Times New Roman;serif" w:hAnsi="Times New Roman;serif"/>
          <w:b w:val="false"/>
          <w:color w:val="000000"/>
          <w:sz w:val="20"/>
        </w:rPr>
        <w:t xml:space="preserve">In April 2025, we executed a major change to the rear drive unit which allowed it to be used as a boost converter. We made other major modifications to the body and high voltage architecture to relocate and change the charge port from the Combined Charging System (“CCS”) to the North American Charging Standard (“NACS”). These changes enabled Lucid Gravity Grand Touring, which utilizes a 900V+ high voltage architecture, to charge at 220+ kW natively on the 400V Tesla V3 Supercharger Network, while also allowing for 400 kW charging on 1000V chargers. </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 xml:space="preserve">Lucid DreamDrive. </w:t>
      </w:r>
      <w:r>
        <w:rPr>
          <w:rFonts w:ascii="Times New Roman;serif" w:hAnsi="Times New Roman;serif"/>
          <w:b w:val="false"/>
          <w:color w:val="000000"/>
          <w:sz w:val="20"/>
        </w:rPr>
        <w:t>The Lucid Air is equipped with an extensive sensor suite, high on-board computing power, back-up systems for ADAS and, over time, increased levels of automation. With up to 32 ADAS sensors onboard, the Lucid Air features one of the most comprehensive sensor suites among currently available production vehicles. The Lucid Air includes certain features with Level 2 ADAS functionality and is capable of software upgrades via OTA updates. Further, by collecting and analyzing fleet data, we continue to enhance our ADAS features and improve the Lucid experience.</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ADAS and Autonomous Vehicles (“AV”) Capabilities.</w:t>
      </w:r>
      <w:r>
        <w:rPr>
          <w:color w:val="000000"/>
        </w:rPr>
        <w:t xml:space="preserve"> </w:t>
      </w:r>
      <w:r>
        <w:rPr>
          <w:rFonts w:ascii="Times New Roman;serif" w:hAnsi="Times New Roman;serif"/>
          <w:b w:val="false"/>
          <w:color w:val="000000"/>
          <w:sz w:val="20"/>
        </w:rPr>
        <w:t>Lucid Gravity builds on the success of the Lucid Air with the next-generation DreamDrive 2 system. This system features significantly increased compute capability and higher-resolution sensors. Drive Assist and Lane Change Assist are now provided on all Lucid Gravity vehicles as standard features, providing Level 2 hands-on lane centering in all operational domains, as well as driver-initiated lane changes.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2025, we introduced an OTA update to the Lucid Air, the Hands-Free Driving Assist and Hands-Free Lane Change Assist features. These features are also currently in development for Lucid Gravity, and are expected to be rolled out via OTA updates to vehicles equipped with the DreamDrive 2 Pro system in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2025, we announced a new roadmap for ADAS and autonomous driving, turbocharged by NVIDIA Corporation (“NVIDIA”) DRIVE AV platform. It begins with eyes-on, point-to-point driving (“Level 2++”) for the Lucid Gravity and the Company’s upcoming Midsize vehicles and ultimately aims to be the first Level 4 consumer owned autonomous vehicle. To achieve Level 4, we intend to leverage NVIDIA’s multi-sensor suite architecture, including cameras, radar, and lidar. This next-generation AI computing platform, with its centralized architecture and redundant processors, is expected to unify all automated driving functions, enabling a seamless evolution through the autonomy spectrum. </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Advanced Safety Performance.</w:t>
      </w:r>
      <w:r>
        <w:rPr>
          <w:color w:val="000000"/>
        </w:rPr>
        <w:t xml:space="preserve"> </w:t>
      </w:r>
      <w:r>
        <w:rPr>
          <w:rFonts w:ascii="Times New Roman;serif" w:hAnsi="Times New Roman;serif"/>
          <w:b w:val="false"/>
          <w:color w:val="000000"/>
          <w:sz w:val="20"/>
        </w:rPr>
        <w:t>In November 2025, the Euro New Car Assessment Program (“NCAP”) awarded the Lucid Gravity a 5-star safety rating, an achievement received by the Lucid Air in 2022. This was achieved through a combination of advanced Active Safety features introduced with DreamDrive 2 and enhanced passive safety elements built into the structural design of every Lucid Gravity vehicle.</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 xml:space="preserve">Lucid’s Micro Lens Array (“MLA”) Lighting. </w:t>
      </w:r>
      <w:r>
        <w:rPr>
          <w:rFonts w:ascii="Times New Roman;serif" w:hAnsi="Times New Roman;serif"/>
          <w:b w:val="false"/>
          <w:color w:val="000000"/>
          <w:sz w:val="20"/>
        </w:rPr>
        <w:t>A revolution in optical technology, our MLA was created in-house and allows more accurate control over the intensity distribution of the headlamp than conventional technologies. In a very compact form factor, the technology delivers exceptional contrast, high peak intensity, and high color uniformity. This technology enables a long-illuminated distance in low-beam mode with good visibility on both sides of the road and low glare for oncoming traffic. The MLA also allows angular distribution adaptation without mechanical movement of the light module only by changing the electrical current to the LED. For example, it can change the beam pattern from a more range focused brighter narrow beam on a highway to a broader mid-distance focused beam in cities or improve illumination of the roadside in curves or intersections.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Manufacturing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built North America’s first greenfield, purpose-built EV manufacturing facilities, in Casa Grande, Arizona. Lucid’s manufacturing activities are carried out at our vehicle manufacturing plant, AMP-1. An emphasis on vertical integration of manufacturing capabilities provides us the opportunity to control our technology roadmap, ensure a high degree of quality control, and improve product margins relative to an outsourced manufacturing arrangement. This vertical integration has allowed us to use decades of industry experience to achieve greater capital efficiencies, greater operational efficiencies, and consistent production quality.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began the production of the Lucid Air at AMP-1 in September 2021. The manufacturing expansion of phase 2 at AMP-1 kicked off in mid-2021, adding approximately 3 million square feet of manufacturing space to our facility. In September 2023, we began producing vehicles at the AMP-1 phase 2 expanded facility, using innovative production processes and state-of-the-art equipment.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2024, we completed the phase 2 expansion project for all key manufacturing activities at AMP-1, including paint shop, stamping, a new body shop for the Lucid Gravity, and a majority of our powertrain shop. Our AMP-1 phase 2 facility currently manufactures the Lucid Air and the Lucid Gravity. These expansion activities resulted in 90,000 units per year of installed capacity. In the fourth quarter of 2024, we started to shift operations at the Lucid Powertrain Manufacturing-1 (“LPM-1”) plant from dedicated powertrain manufacturing to remanufacturing. In 2025, we substantially transitioned LPM-1 to remanufacturing while we housed dedicated powertrain operations at AMP-1 phase 2.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2023, we opened AMP-2, which was Saudi Arabia’s first-ever car manufacturing facility and our first manufacturing facility outside the United States, where we commenced SKD assembly operations. The facility’s initial operation is re-assembly of SKD Lucid Air and Lucid Gravity vehicle “kits” that are pre-manufactured at AMP-1. It has installed annual capacity of 5,000 vehicles with the intent to scale up operations to meet demand in the Middle East.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2024, we started the expansion of our AMP-2 facility to enable CBU unit production with target installed annual capacity of 150,000. Once completed, AMP-2 is expected to have all the key manufacturing activities including stamping, body in white, painting, general assembly, and eventually powertrain production.</w:t>
      </w:r>
    </w:p>
    <w:p>
      <w:pPr>
        <w:pStyle w:val="TextBody"/>
        <w:bidi w:val="0"/>
        <w:spacing w:lineRule="auto" w:line="288" w:before="240" w:after="283"/>
        <w:jc w:val="left"/>
        <w:rPr/>
      </w:pPr>
      <w:r>
        <w:rPr>
          <w:rFonts w:ascii="Times New Roman;serif" w:hAnsi="Times New Roman;serif"/>
          <w:b/>
          <w:i/>
          <w:color w:val="000000"/>
          <w:sz w:val="20"/>
        </w:rPr>
        <w:t>Supply Chain</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vehicle contains thousands of parts and materials from suppliers around the globe. Lucid’s sourcing plans utilize a comprehensive qualification process to assess technical capability, quality, cost, applicable tariffs, footprint, etc. Challenges in supply chain remain, so collaborative relationships are essential. Lucid works closely with suppliers in the upfront development process and in supporting production needs and requirements while aiming to reduce exposure to tariffs. We have multiple multi-year sourcing agreements for lithium-ion batteries, a key component of our battery system with suppliers, and have announced long-term critical minerals sourcing partnerships.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Go-To-Market Strategy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typical customer journey begins through our advanced digital platform. We use several channels to educate customers regarding our brand identity, explain the advantages of our technology, highlight the people behind our design and technology, and provide an easy gateway for ordering and ownership. Our goal is to cultivate brand loyalty and affinity with our customers. Our direct-to-consumer model allows customers the option of building vehicles to order or selecting from available cars via our digital platform. On the website, customers can experience our online vehicle configurator, which provides an opportunity to explore trims, colors, and features to determine the perfect Lucid for their needs. From there, we provide the customer with the option to either schedule a test drive, place an order online, contact our sales department, or visit one of our retail stores or gallery locations, which we refer to as “Studios.” This sales model, combined with a digitally enhanced luxury experience through our website and a refined in-store experience, creates opportunities to tailor to each customer’s purchase and ownership preferences and provide us with a level of control and refinement essential to building loyalty and ambassadorship among our intenders and customers. Through our omni-channel approach, Lucid intenders have the option to visit a Studio in person, make their inquiries entirely online, talk to an inside sales representative, or enjoy a combination of the three experiences with seamless handoffs.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developing our Studios, we have built a network of retail spaces to enable customers to experience the brand and our products in locations that underscore our design aesthetic and allow the customers to experience our full product breadth through different sensory tools. Like the Lucid Air and the Lucid Gravity, the interiors of Lucid Studios showcase color and material themes that represent specific locations within California as well as our focus on innovation with immersive technology experiences. We intend our Studios to provide a pressure-free environment for our customers to comfortably experience the brand and our products. Lucid Studios draw inspiration from the beauty and innovation of our home state of California.</w:t>
      </w:r>
    </w:p>
    <w:p>
      <w:pPr>
        <w:pStyle w:val="TextBody"/>
        <w:bidi w:val="0"/>
        <w:spacing w:lineRule="auto" w:line="288" w:before="240" w:after="283"/>
        <w:jc w:val="left"/>
        <w:rPr/>
      </w:pPr>
      <w:r>
        <w:rPr>
          <w:rFonts w:ascii="Times New Roman;serif" w:hAnsi="Times New Roman;serif"/>
          <w:b w:val="false"/>
          <w:color w:val="000000"/>
          <w:sz w:val="20"/>
        </w:rPr>
        <w:t>Retail locations serve both as our sales channels and marketing tools in high-foot-traffic locations within urban areas. As of December 31, 2025, we had 62</w:t>
      </w:r>
      <w:r>
        <w:rPr>
          <w:color w:val="000000"/>
          <w:shd w:fill="FFFFFF" w:val="clear"/>
        </w:rPr>
        <w:t xml:space="preserve"> </w:t>
      </w:r>
      <w:r>
        <w:rPr>
          <w:rFonts w:ascii="Times New Roman;serif" w:hAnsi="Times New Roman;serif"/>
          <w:b w:val="false"/>
          <w:color w:val="000000"/>
          <w:sz w:val="20"/>
          <w:shd w:fill="FFFFFF" w:val="clear"/>
        </w:rPr>
        <w:t xml:space="preserve">Studios and service center locations opened, including locations in </w:t>
      </w:r>
      <w:r>
        <w:rPr>
          <w:rFonts w:ascii="Times New Roman;serif" w:hAnsi="Times New Roman;serif"/>
          <w:b w:val="false"/>
          <w:color w:val="000000"/>
          <w:sz w:val="20"/>
        </w:rPr>
        <w:t xml:space="preserve">North America, </w:t>
      </w:r>
      <w:r>
        <w:rPr>
          <w:rFonts w:ascii="Times New Roman;serif" w:hAnsi="Times New Roman;serif"/>
          <w:b w:val="false"/>
          <w:color w:val="000000"/>
          <w:sz w:val="20"/>
          <w:shd w:fill="FFFFFF" w:val="clear"/>
        </w:rPr>
        <w:t>Europe</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 xml:space="preserve">and the Middle East markets. We expect to increase coverage throughout </w:t>
      </w:r>
      <w:r>
        <w:rPr>
          <w:rFonts w:ascii="Times New Roman;serif" w:hAnsi="Times New Roman;serif"/>
          <w:b w:val="false"/>
          <w:color w:val="000000"/>
          <w:sz w:val="20"/>
        </w:rPr>
        <w:t>these regions in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Expanding our presence in existing and new geographies will increase our customer convenience, share of total addressable market, and overall brand awareness and consideration.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to our direct-to-consumer approach, we plan to commence expansion globally through third-party distribution channels. This strategy introduces importer, dealer, agent, and authorized repairer concepts to complement our existing retail footprint. These partnerships are expected to allow us to accelerate market penetration and scale our operations efficiently across diverse regions. By combining direct and indirect distribution models, we aim to maximize reach, enhance customer accessibility, and strengthen brand presence globally.</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With a focus on convenience, our service operations include vehicle and customer support </w:t>
      </w:r>
      <w:r>
        <w:rPr>
          <w:rFonts w:ascii="Times New Roman;serif" w:hAnsi="Times New Roman;serif"/>
          <w:b w:val="false"/>
          <w:color w:val="000000"/>
          <w:sz w:val="20"/>
        </w:rPr>
        <w:t>through our network of brick-and-mortar service centers, and</w:t>
      </w:r>
      <w:r>
        <w:rPr>
          <w:color w:val="000000"/>
          <w:shd w:fill="FFFFFF" w:val="clear"/>
        </w:rPr>
        <w:t xml:space="preserve"> </w:t>
      </w:r>
      <w:r>
        <w:rPr>
          <w:rFonts w:ascii="Times New Roman;serif" w:hAnsi="Times New Roman;serif"/>
          <w:b w:val="false"/>
          <w:color w:val="000000"/>
          <w:sz w:val="20"/>
          <w:shd w:fill="FFFFFF" w:val="clear"/>
        </w:rPr>
        <w:t>at customers’ physical locations through our mobile service offerings. Customers are also served through certified partners for roadside assistance and collision repairs.</w:t>
      </w:r>
      <w:r>
        <w:rPr>
          <w:color w:val="000000"/>
        </w:rPr>
        <w:t xml:space="preserve"> </w:t>
      </w:r>
      <w:r>
        <w:rPr>
          <w:rFonts w:ascii="Times New Roman;serif" w:hAnsi="Times New Roman;serif"/>
          <w:b w:val="false"/>
          <w:color w:val="000000"/>
          <w:sz w:val="20"/>
        </w:rPr>
        <w:t>We designed our vehicles to enable OTA updates and remote diagnostics.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leverage third-party charging networks in our market regions, rather than investing heavily in proprietary fast-charging infrastructure or high-power networks. Our Lucid App provides customers seamless Plug and Charge (“PnC”) access at partnering networks in North America and Europe, ensuring convenient charging options.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31, 2025, our customers gained access to Tesla’s supercharging network in addition to the vast CCS infrastructure, which is expected to significantly enhance convenience and reduce concerns related to range anxiety. The Lucid Gravity vehicles gained access to the Tesla Supercharger network with native NACS charge port in the first quarter of 2025, while the Lucid Air vehicles gained access to the Tesla Supercharger network, via an adapter, in the third quarter of 2025. </w:t>
      </w:r>
    </w:p>
    <w:p>
      <w:pPr>
        <w:pStyle w:val="TextBody"/>
        <w:bidi w:val="0"/>
        <w:spacing w:lineRule="auto" w:line="288" w:before="240" w:after="283"/>
        <w:jc w:val="left"/>
        <w:rPr/>
      </w:pPr>
      <w:r>
        <w:rPr>
          <w:rFonts w:ascii="Times New Roman;serif" w:hAnsi="Times New Roman;serif"/>
          <w:b w:val="false"/>
          <w:color w:val="000000"/>
          <w:sz w:val="20"/>
          <w:shd w:fill="FFFFFF" w:val="clear"/>
        </w:rPr>
        <w:t>For at home charging, the Lucid Connected Home Charging Station can be installed to provide convenient, simple, and seamless charging at home, or the Lucid mobile charging cable can plug into a variety of household outlets. The Lucid Air</w:t>
      </w:r>
      <w:r>
        <w:rPr>
          <w:color w:val="000000"/>
        </w:rPr>
        <w:t xml:space="preserve"> </w:t>
      </w:r>
      <w:r>
        <w:rPr>
          <w:rFonts w:ascii="Times New Roman;serif" w:hAnsi="Times New Roman;serif"/>
          <w:b w:val="false"/>
          <w:color w:val="000000"/>
          <w:sz w:val="20"/>
        </w:rPr>
        <w:t xml:space="preserve">and the Lucid Gravity </w:t>
      </w:r>
      <w:r>
        <w:rPr>
          <w:rFonts w:ascii="Times New Roman;serif" w:hAnsi="Times New Roman;serif"/>
          <w:b w:val="false"/>
          <w:color w:val="000000"/>
          <w:sz w:val="20"/>
          <w:shd w:fill="FFFFFF" w:val="clear"/>
        </w:rPr>
        <w:t>support V2V charging and we expect to support further bi-directional capabilities with our vehicles and Lucid Connected Home Charging Station.</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an agreement with the Government of Saudi Arabia, as represented by the Ministry of Finance, under which the Government of Saudi Arabia and its entities and corporate subsidiaries and other beneficiaries undertook to purchase up to 100,000 vehicles, with a minimum purchase quantity of 50,000 vehicles and an option to purchase up to an additional 50,000 vehicles over a ten-year period. We believe that our customer traction is strong and will continue to grow as we expand our footprint in Saudi Arabia.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Government Regulations and Credits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Environmental Regulations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operate in an industry that is subject to extensive environmental regulations. The laws and regulations to which we are or may become subject govern, among other things, water use; air emissions; use of recycled materials; energy sources; the storage, handling, treatment, transportation, and disposal of hazardous materials; the protection of the environment, natural resources, and endangered species; and the remediation of environmental contamination. Compliance with such laws and regulations at an international, regional, national, state, provincial and local level is and will be an important aspect of our ability to continue our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Environmental standards applicable to us are established by United States laws and regulations and those of other jurisdictions in which we operate, standards adopted by regulatory agencies and the permits and licenses we are required to obtain. Each of these sources is subject to periodic modifications. Violations of these laws, regulations or permits and licenses may result in substantial civil and criminal fines, penalties and orders to cease the violating operations or to conduct or pay for corrective works. In some instances, violations may also result in the suspension or revocation of permits and licenses.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Regulatory Credits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Various jurisdictions have regulatory schemes to control emissions or fuel economy from automobiles through the creation of standards and tradeable credits.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manufacture, sale, or registration of ZEVs in certain regions will generate regulatory credits Lucid can bank or sell to other manufacturers that do not comply with regulatory standards. At the U.S. federal level, credits may include Corporate Average Fuel Economy (“CAFE”) credits under U.S. Department of Transportation standards, greenhouse gas (“GHG”) and other emission limitations credits from EPA programs. Similar national-level programs exist in other markets, including the European Union, Switzerland, Canada, and Saudi Arabia. It may also include credits in up to 17 U.S. jurisdictions referred to collectively as the “ZEV States” that require compliance with ZEV program mandates (California, Colorado, Connecticut, Delaware, Maine, Maryland, Massachusetts, Minnesota, Nevada, New Jersey, New Mexico, New York, Oregon, Rhode Island, Vermont, Washington, and the District of Columbia), although the current U.S. Administration has taken action to revoke the authority of ZEV States to enforce these regulations and the issue is now pending in litigation. Low-Emission Vehicle (“LEV”) credits may also be generated and sold in California and most of the ZEV States plus Pennsylvania. We believe the recent proposal to lower the U.S. federal fuel economy standards could have the market effect of reducing pressure on other automakers to innovate, leading them to scale back EV and efficiency investments and thereby creating a long-term competitive advantage and market opportunity for Lucid.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Credits, Incentives, and Mandates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benefit from additional opportunities under other government laws and regulations. We are eligible for various tax credits, abatements and other benefits, including: the federal 45X Advanced Energy Production Credit; the Qualified Facilities tax credit in Arizona; the EPIC 4 Investment Program in California, a California sales and use tax exclusion under the California Alternative Energy and Advanced Transportation Financing Authority; and other hiring and job training grants and income tax credits in Arizona, California, and Michigan. Our vehicles may also be eligible for purchase incentives in certain jurisdictions, such as Norway, and certain U.S.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Some jurisdictions, such as the European Union (“EU”), have announced a requirement for the sale of ZEV as of a certain year, and Lucid as an EV manufacturer is already able to comply with these requirements across our entire product portfolio as we expand. Our competitors by contrast will need to reconcile assets, workforces, and intellectual property designed for ICE vehicles to these mandates.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EPA Emissions and Certificate of Conformity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U.S. Clean Air Act requires that we obtain a Certificate of Conformity issued by the EPA and a California Executive Order issued by the California Air Resources Board (“CARB”) certifying that our vehicles comply with applicable emissions requirements. A Certificate of Conformity is required for vehicles sold in the United States, and an Executive Order from CARB is required for vehicles sold in states that have adopted California standards. CARB sets the California standards for emissions control for certain regulated pollutants for new vehicles and engines sold in California. States that have adopted the California emission standards as approved by EPA also recognize the CARB Executive Order for sales of vehicles. In addition to California, there are 16 states plus the District of Columbia that have adopted California’s stricter emissions LEV standards, including Colorado, Connecticut, Delaware, Maine, Maryland, Massachusetts, Minnesota, Nevada, New Jersey, New Mexico, New York, Oregon, Pennsylvania, Rhode Island, Vermont, and Washington.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our vehicles have zero emissions, we are required to seek an EPA Certificate of Conformity and, for vehicles sold in California or any of the other 17 U.S. jurisdictions that have adopted the stricter California emission standards, a CARB Executive Order.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Vehicle Safety and Testing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vehicles are subject to, and are required to comply with, numerous regulatory requirements established by the National Highway Traffic Safety Administration (“NHTSA”), including applicable U.S. Federal Motor Vehicle Safety Standards (“FMVSS”). The Lucid Air and the Lucid Gravity fully comply with all applicable FMVSS without any exemptions, and we expect our future vehicles to either fully comply or comply with limited exemptions related to new technologies. Additionally, there are regulatory changes being considered for several FMVSS, and while we anticipate compliance, there is no assurance that we will comply with such changes under the final versions as enacted. We must self-certify that our vehicles meet all applicable FMVSS, as well as the NHTSA bumper standard, or otherwise are exempt, before our vehicles can be sold in the United States. Numerous FMVSS will apply to our vehicles, such as crash-worthiness requirements, crash avoidance requirements and EV-specific requirements. We are also required to comply with other federal laws and regulations administered by NHTSA, including, among other things, ensuring our vehicles do not contain defects related to motor vehicle safety, recall requirements, the CAFE standards, Theft Prevention Act standards, consumer information labeling requirements, reporting required notices, bulletins and other communications, Early Warning Reporting, foreign recall reporting, parts content disclosures and owner’s manual requirements.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Automobile Information and Disclosure Act requires manufacturers of motor vehicles to disclose certain information regarding the manufacturer’s suggested retail price, optional equipment and pricing. In addition, this law requires inclusion of city and highway fuel economy ratings, as determined by the EPA, as well as crash test ratings as determined by NHTSA if such tests are conducted.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intend to continue expanding our offerings outside of the United States, and in connection with such expansion, our vehicles will be subject to foreign safety, environmental and other regulations. Many of those regulations are different from those applicable in the United States and may require redesign or retesting. For example, the EU has established approval and oversight rules requiring that a national authority certify compliance with heightened safety rules, emissions limits and production requirements before vehicles can be sold in each EU member state.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various territorial legal requirements we are obligated to meet, the Lucid Air has earned five-stars, the highest possible overall safety rating, from the two main voluntary vehicle safety performance assessment programs, the NHTSA NCAP and Euro NCAP. These programs have introduced several additional safety related tests aimed at improving the safety of passenger vehicles, both for occupants and pedestrians involved in collisions with vehicles. Some of these tests are derived from legal requirements, such as side impact, but have higher performance requirements. Others are unique to the programs. These safety tests included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Mobile Progressive Deformable Barrier;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Full Width Rigid Barrier;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Mobile Side Impact Barrier;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Side Pole;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Far Side Impact;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Whiplash;</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Vulnerable Road Users (Pedestrians and Cyclists);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Safety Assist;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Rescue and Extrication.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ADAS Regulations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equipped our vehicles with certain advanced driver assistance features. Generally, laws pertaining to driver assistance features and self-driving vehicles are evolving globally, and in some cases may create restrictions on advanced driver assistance or self-driving features that Lucid may develop.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While there are currently no U.S. federal regulations specifically pertaining to autonomous vehicles or autonomy equipment, NHTSA has published recommended guidelines on autonomous vehicles and retains the authority to investigate and act on the safety of any vehicle, equipment or features operating on public roads. Certain U.S. states also have legal restrictions on the operation, registration or licensure of autonomous vehicles, and many other states are considering similar restrictions. This regulatory patchwork increases the legal complexity with respect to autonomous vehicles in the United States.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markets that follow the regulations of the United Nations Economic Commission for Europe (“UNECE”), some requirements restrict the design of advanced driver assistance or autonomous features, which can compromise or prevent their use entirely. Other applicable laws, both current and proposed, may hinder the path and timeline to introducing such features in the markets where they apply. Jurisdictions, including China, have implemented autonomous vehicle regulation while others continue to consider new regulation. Any implemented regulations may differ materially from those in the United States and Europe, which may further increase the legal complexity of advanced driver assistance and autonomous features and limit or prevent certain features.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Automobile Manufacturer and Dealer Regulation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United States, state laws regulate the manufacture, distribution, sale and service of automobiles, and generally require motor vehicle manufacturers and dealers to be licensed in order to sell vehicles directly to residents. Certain states do not permit automobile manufacturers to be licensed as dealers or to act in the capacity of a dealer or otherwise restrict a manufacturer’s ability to deliver or service vehicles. To sell vehicles to residents of states where we are not licensed as a dealer, we expect to conduct the transfer of title out of the state. In certain such states, we expect to open Studios that serve an educational purpose and where the title transfer may not occur.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Some automobile dealer trade associations have challenged the legality of our operations and direct selling operations by OEMs in court and have used administrative and legislative processes to attempt to prohibit or limit such OEMs’ ability to operate existing stores or expand to new locations. Certain dealer associations have also actively lobbied state licensing agencies and legislators to interpret existing laws or enact new laws in ways not favorable to our planned direct sales and service model. We expect dealer trade associations to continue to lobby state licensing agencies and legislators to interpret existing laws or enact new laws in ways not favorable to our business model; however, we intend to oppose such efforts to limit our ability to operate and intend to proactively support legislation, and litigation when necessary, that enables our business model.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Battery Safety and Testing Regulations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design our battery packs to conform to mandatory regulations that govern transport of “dangerous goods,” defined to include lithium-ion batteries, which may present a risk in transportation. The governing regulations, which are issued by the Pipeline and Hazardous Materials Safety Administration, are based on the U.N. Recommendations on the Safe Transport of Dangerous Goods Model Regulations and related U.N. Manual Tests and Criteria. The regulations vary by mode of shipping transportation, such as by ocean vessel, rail, truck or air. We plan to complete all applicable transportation tests for our battery packs, demonstrating our compliance with applicable regulations. We use lithium-ion cells in the high voltage battery packs in our vehicles. The use, storage and disposal of battery packs is regulated under federal and state laws.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also design our battery packs to comply with the UNECE R100 regulation necessary for type approval in the EU as well as the CE requirements necessary to import or sell EVs in the EU.</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battery packs are tested for compliance with applicable requirements of the UNECE Manual of Tests and Criteria demonstrating our ability to ship battery packs by any method. These tests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Altitude simulation — simulating air transport;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Thermal cycling — assessing cell and battery seal integrity, as well as cell and battery thermal stability;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Vibration — simulating vibration during transport;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Shock — simulating possible impacts during transport;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External short circuit — simulating an external short circuit.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equip our battery systems with a set of passive and active safety features to help ensure the battery always operates within the design envelope and fails safe in case of abnormal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test our battery packs for compliance with applicable requirements of the UNECE R100 regulation demonstrating battery safety. These tests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Vibration — simulating vibration during driving;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Thermal cycle — assessing pack thermal stability in elevated temperatures;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Fire resistance — assessing the ability of the pack to sustain exposure to large flames without explosion;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External short circuit — assessing the ability of the pack to fail safe when exposed to external short circuit;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Overcharge protection — assessing the ability of the pack to fail safe when it is attempted to overcharge;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Overdischarge protection — assessing the ability of the pack to fail safe when it is attempted to overdischarge;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Overtemperature protection — assessing the ability of the pack to fail safe when it overheats;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Overcurrent protection — assessing the ability of the pack to fail safe when it is exposed to overcurrent conditions;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Thermal event warning — assessing the ability of the pack to detect a thermal event and generate a warning to the driver;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Thermal propagation — assessing the ability of the pack to tolerate a single cell thermal event safely.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Data Privacy and Cybersecurity Regulation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subject to, or otherwise affected by, a variety of increasingly stringent federal, state, local and international laws and regulations relating to data privacy and cybersecurity, including, among other laws and regulations, contractual obligations, and industry standards that impose certain obligations and restrictions with respect to the processing of personal information of our employees, customers, and other third-party individuals. The U.S. Department of Commerce’s Bureau of Industry and Security Connected Vehicles Rule, the EU’s General Data Protection Regulation (“GDPR”), Cyber Resiliency Act, Data Act and AI Act, as well as other global regulations such as the United Kingdom General Data Protection Regulation (i.e., a version of the GDPR as implemented into the law of the United Kingdom), Saudi Arabia’s Personal Data Protection Law (“PDPL”), the rules and regulations promulgated under the authority of the Federal Trade Commission of the United States, the Gramm Leach Bliley Act, the California Consumer Privacy Act of 2018 (as amended by the California Privacy Rights Act of 2020), certain other comprehensive state data privacy and cybersecurity laws and regulations, and various state data breach notification laws. As our go-to-market business strategies change, including future expansion through potential importer, dealer, agent, and authorized repairer agreements, our data privacy risk profile changes as well, and we will need to manage against the applicable data protection rules and regulations taking into account these business models.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also impacted by regulations obligating us to share vehicle repair-related information with third parties, including repair shops and repair tool hardware developers, under what are commonly called “right-to-repair” laws in both the U.S. and EU. In addition, the UNECE has introduced regulations governing connected vehicle cybersecurity in the EU which are mandatory for all new vehicle types from July 2022 and all new vehicles produced from July 2024, and we are required to comply with the vehicle certification process and maintenance of a Cybersecurity Management System. See “Risk Factors — Risks Related to Cybersecurity and Data Privacy” for more information regarding applicable cybersecurity and data privacy laws and regulations and risks related to cybersecurity and data privacy and “Item 1C — Cybersecurity” for more information regarding our cybersecurity risk management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face competition from both traditional automotive OEMs and newer companies focused on electric and other alternative fuel vehicles. We expect this competition to increase, particularly as the transportation sector continues to shift towards low-emission, zero-emission, or carbon neutral solutions. We believe the recent proposal to lower the U.S. federal fuel economy standards could have the market effect of reducing pressure on other automakers to innovate, leading them to scale back EV and efficiency investments and thereby creating a long-term competitive advantage and market opportunity for Lucid.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Lucid Air, the Lucid Gravity, and the upcoming Midsize platform vehicles are expected to compete with both traditional luxury internal combustion vehicles from established automotive OEMs and electric and other alternative fuel vehicles from both new manufacturers and established automotive OEMs, many of which have entered or have announced plans to enter the alternative fuel and EV market. Many major automobile manufacturers, including luxury automobile manufacturers, have EVs available today, and other current and prospective automobile manufacturers are also developing EVs. In addition, numerous manufacturers offer hybrid vehicles, including plug-in versions, with which our vehicles also compete.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the primary competitive factors on which we will compete include, but are not limited to: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product quality, reliability and safety;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range, efficiency and charging speeds;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product performance;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technological innovation, including with respect to ADAS features;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access to charging options;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design, styling, and luxury;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service options and customer experience;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management team experience at bringing EV and other disruptive technologies to market;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manufacturing efficiency;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brand recognition and prestige;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product price.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believe that we compete favorably on the basis of these factors. However, many of our current and potential competitors have substantially greater financial, technical, manufacturing, marketing and other resources than us. Our competitors may be able to deploy greater resources to the design, development, manufacturing, distribution, promotion, sales, marketing, and support of their products. Additionally, many of our competitors also have greater name recognition, longer operating histories, larger sales forces, broader customer and industry relationships, and other tangible and intangible resources that exceed ours. Furthermore, many of our competitors operate with a traditional sales and dealer distribution model for vehicles that may be viewed more favorably by potential customers. These competitors also compete with us in recruiting and retaining qualified research and development, sales, marketing and management personnel, as well as in acquiring technologies complementary to, or necessary for, our products. Additional mergers and acquisitions or joint venture agreements in the EV and luxury automotive markets may result in even more resources being concentrated in our competitors.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is important to our business. Our commercial success depends in part on our ability to obtain, maintain, enforce, defend, and protect the intellectual property and other proprietary technology that we develop; to operate without infringing, misappropriating or otherwise violating the intellectual property and proprietary rights of others; and to prevent others from infringing, misappropriating or violating our intellectual property and proprietary rights. We rely on a combination of patents, trademarks, copyrights, trade secrets, know-how, continuing technological innovation, confidential information, and other measures to develop and maintain our proprietary position including through employee, contractor, consultant and third-party nondisclosure and invention assignment agreements, and other contractual arrangements.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Regardless of the coverage we seek under our existing patent applications, there is always a risk that alterations from our products or processes may provide sufficient basis for a competitor to avoid infringement claims. In addition, the coverage claimed in a patent application can be significantly reduced before a patent is issued and courts can reinterpret patent scope after issuance. Many jurisdictions, including the United States, permit third parties to challenge issued patents in administrative proceedings, which may result in further narrowing or even cancellation of patent claims. We cannot provide any assurance that any patents will be issued from our pending or any future applications or that any current or future issued patents will adequately protect our intellectual property. For this and other risks related to our intellectual property, proprietary technology, inventions and improvements, please see the section entitled “Risk Factors — Risks Related to Our Business and Operations — Risks Related to Intellectual Property.”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we owned approximately 231 issued U.S. patents, 149 pending U.S. patent applications, 122 issued foreign patents, 243 pending foreign patent applications and 47 pending Patent Cooperation Treaty patent applications.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we also owned approximately 18 registered U.S. trademarks and 13 pending U.S. trademark applications, as well as 517 registered foreign trademarks and 34 pending foreign trademark applications in approximately 33 countries worldwide in addition to the EU.</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we also owned approximately 79 issued U.S. design patents and 23 pending U.S. design patent applications, as well as 269 issued foreign design patents/industrial designs and 13 pending foreign design patent/industrial design applications.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expect to develop additional intellectual property and proprietary technology as our engineering and validation activities proceed. Technologies that we have and intend to invest in and develop include engineering software, powertrain systems and controls, infotainment, cybersecurity, telematics and electrical architecture hardware and software. As we develop our technology, we will continue to build our intellectual property portfolio, including by pursuing patent and other intellectual property protection when we believe it is possible, cost-effective, beneficial, and consistent with our overall intellectual property protection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intellectual property that we own, we also procure key technologies under our supply chain agreements, and we license key technologies under our license agreements.</w:t>
      </w:r>
    </w:p>
    <w:p>
      <w:pPr>
        <w:pStyle w:val="TextBody"/>
        <w:bidi w:val="0"/>
        <w:spacing w:lineRule="auto" w:line="288" w:before="240" w:after="283"/>
        <w:jc w:val="left"/>
        <w:rPr/>
      </w:pPr>
      <w:r>
        <w:rPr>
          <w:rFonts w:ascii="Times New Roman;serif" w:hAnsi="Times New Roman;serif"/>
          <w:b w:val="false"/>
          <w:color w:val="000000"/>
          <w:sz w:val="20"/>
        </w:rPr>
        <w:t>See “—</w:t>
      </w:r>
      <w:r>
        <w:rPr>
          <w:color w:val="000000"/>
        </w:rPr>
        <w:t> </w:t>
      </w:r>
      <w:r>
        <w:rPr>
          <w:rFonts w:ascii="Times New Roman;serif" w:hAnsi="Times New Roman;serif"/>
          <w:b w:val="false"/>
          <w:i/>
          <w:color w:val="000000"/>
          <w:sz w:val="20"/>
        </w:rPr>
        <w:t>Our Vehicles</w:t>
      </w:r>
      <w:r>
        <w:rPr>
          <w:color w:val="000000"/>
        </w:rPr>
        <w:t xml:space="preserve">” </w:t>
      </w:r>
      <w:r>
        <w:rPr>
          <w:rFonts w:ascii="Times New Roman;serif" w:hAnsi="Times New Roman;serif"/>
          <w:b w:val="false"/>
          <w:color w:val="000000"/>
          <w:sz w:val="20"/>
        </w:rPr>
        <w:t>and “— </w:t>
      </w:r>
      <w:r>
        <w:rPr>
          <w:rFonts w:ascii="Times New Roman;serif" w:hAnsi="Times New Roman;serif"/>
          <w:b w:val="false"/>
          <w:i/>
          <w:color w:val="000000"/>
          <w:sz w:val="20"/>
        </w:rPr>
        <w:t>Technology</w:t>
      </w:r>
      <w:r>
        <w:rPr>
          <w:color w:val="000000"/>
        </w:rPr>
        <w:t xml:space="preserve">” </w:t>
      </w:r>
      <w:r>
        <w:rPr>
          <w:rFonts w:ascii="Times New Roman;serif" w:hAnsi="Times New Roman;serif"/>
          <w:b w:val="false"/>
          <w:color w:val="000000"/>
          <w:sz w:val="20"/>
        </w:rPr>
        <w:t xml:space="preserve">above for more information.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terms of individual issued patents extend for varying periods depending on the date of filing of the patent application or the date of patent issuance and the legal term of patents in the countries in which they are obtained. Generally, utility patents issued for applications filed in the United States are granted a term of 20 years from the earliest effective filing date of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The life of a patent, and the protection it affords, is therefore limited and once the patent lives of our issued patents have expired, we may face competition, including from other competing technologies. The duration of foreign patents varies in accordance with provisions of applicable local law, but typically is also 20 years from the earliest effective filing date. The actual protection afforded by a patent may vary from country to country and can depend upon many factors, including the type of patent, the scope of its coverage, the availability of patent term adjustments or extensions, the availability of legal remedies in a particular country, and the validity and enforceability of the patent. As a result, our owned patent portfolio may not provide us with sufficient rights to exclude others from commercializing products similar or identical to ours.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Furthermore, we rely upon trade secrets, know-how, confidential information, unpatented technologies, continuing technological innovation, and other proprietary information to develop, protect, and maintain our competitive position and aspects of our business that are not amenable to, or that we do not presently consider appropriate for, patent protection and prevent competitors from reverse engineering or copying our technologies. However, the foregoing rights, technologies and information are difficult to protect. We seek to protect them by, in part, using confidentiality agreements with our employees, contractors, consultants, and any potential commercial partners and collaborators and invention assignment agreements with our employees. We also have implemented or intend to implement confidentiality agreements or invention assignment agreements with our selected contractors, consultants, and potential commercial partners.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There can be no assurance that these agreements will be self-executing or otherwise provide meaningful protection for our trade secrets or other intellectual property or proprietary information or technology. In addition, our trade secrets may otherwise become known or be independently discovered by our competitors. To the extent that our commercial partners, collaborators, employees, contractors, and consultants use intellectual property owned by others in their work for us, disputes may arise as to the rights in related or resulting know-how and inventions.</w:t>
      </w:r>
    </w:p>
    <w:p>
      <w:pPr>
        <w:pStyle w:val="TextBody"/>
        <w:bidi w:val="0"/>
        <w:spacing w:lineRule="auto" w:line="288" w:before="240" w:after="283"/>
        <w:jc w:val="left"/>
        <w:rPr/>
      </w:pPr>
      <w:r>
        <w:rPr>
          <w:rFonts w:ascii="Times New Roman;serif" w:hAnsi="Times New Roman;serif"/>
          <w:b w:val="false"/>
          <w:color w:val="000000"/>
          <w:sz w:val="20"/>
        </w:rPr>
        <w:t>Our commercial success will also depend in part on not infringing, misappropriating or otherwise violating the intellectual or proprietary rights of third parties. The issuance of third-party patents could require us to alter our development or commercial strategies, change our products or processes, obtain licenses to additional third-party patents or other intellectual property or cease certain activities. Our breach of any license agreements or failure to obtain a license to proprietary rights that we may require to develop or commercialize our future products or technologies may have an adverse impact on us. Given that patent applications in the United States and certain other jurisdictions are maintained in secrecy for 18 months or potentially longer, and since publication of discoveries in the scientific or patent literature often lags behind actual discoveries, we cannot be certain of the patent protection being sought by third parties and the priority of inventions covered by such patent applications. Moreover, we may have to participate in interference, revocation, derivation, re-examination, post-grant review, inter partes review or opposition proceedings brought by third parties or declared by the U.S. Patent and Trademark Office or an equivalent foreign body. See “</w:t>
      </w:r>
      <w:r>
        <w:rPr>
          <w:rFonts w:ascii="Times New Roman;serif" w:hAnsi="Times New Roman;serif"/>
          <w:b w:val="false"/>
          <w:i/>
          <w:color w:val="000000"/>
          <w:sz w:val="20"/>
        </w:rPr>
        <w:t>Risk Factors — Risks Related to Our Business and Operations — Risks Related to Intellectual Property</w:t>
      </w:r>
      <w:r>
        <w:rPr>
          <w:color w:val="000000"/>
        </w:rPr>
        <w:t xml:space="preserve">” </w:t>
      </w:r>
      <w:r>
        <w:rPr>
          <w:rFonts w:ascii="Times New Roman;serif" w:hAnsi="Times New Roman;serif"/>
          <w:b w:val="false"/>
          <w:color w:val="000000"/>
          <w:sz w:val="20"/>
        </w:rPr>
        <w:t>for more information regarding these and other risks related to our intellectual property portfolio and their potential effect on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At Lucid, we strongly believe in the power of our talented employees and partners to create, build, and support the world’s most advanced EVs available in the market. We seek to attract and retain employees whose respective professional and personal backgrounds can help craft an unparalleled suite of state-of-the-art, technologically advanced, California-inspired vehicles for consumers worldwide.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Towards these goals, as of December 31, 2025, we had approximately 9,000 employees globally. Our employees are primarily based at our headquarters in Newark, California, at our regional headquarters in Riyadh, Saudi Arabia, at our satellite locations in Southfield, Michigan and Phoenix, Arizona, at our EV manufacturing facilities in Casa Grande, Arizona, and King Abdullah Economic City (“KAEC”), Saudi Arabia, and at our retail stores and service centers throughout the U.S. and Canada, Europe, Saudi Arabia, and United Arab Emirates. As we continue the expansion of the AMP-2 CBU facility in 2026, we anticipate a corresponding increase in our workforce in Saudi Arabia.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mission-first passion to advance the state-of-the-art of EV technology for the benefit of all would not be possible without a broad array of experiences and professional and personal backgrounds across our team.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Culture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When design is led by inspiration, invention by insight, and engineering by experience, we believe that anything is possible. Our relentless focus on innovation and improvements in service of our customers moves us toward a future where you no longer must choose between doing great things and doing the right thing.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a collective of future visionaries; those who can think and do differently, that thrive on challenge and collaboration. Inspired by infinite possibilities, we strive to make a profound difference in the world. We are a team that values innovation, harnesses our passions, and embraces the entrepreneurial mind of limitless potential. We recognize, welcome, and appreciate the unique experiences and a broad range of perspectives that each of our employees bring with them, that in turn fuel our shared successes.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strive to foster a culture of transparency, accountability, and innovation, where all ideas and concerns can be raised to any member of leadership. It is a core belief that each employee has a unique lens which helps propel Lucid’s mission forward. To that end, we urge all employees to communicate their thoughts and to use any channel they deem warranted to share their perspective towards our mission. This approach helps fuel innovation, prevent stumbling blocks, and engages all employees towards being a member of one, unified team.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bring our core values to life by engaging members of the workforce in helping us define the expected behaviors for each of our values. These values are woven into our performance management systems and help us identify talent. Our values include: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Integrity in Action;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Breakthrough Innovation;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One Team;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Passion for Excellence;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Act With Urgency;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Ownership Mindset;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Customer Focus.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Safety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instill an expectation and culture of safety in our workplace. As a manufacturing company, we are committed to ensuring workplace health, safety and environmental protection for our employees, suppliers, business partners, customers, and all our stakeholders. We protect the health and safety of our employees through a proactive and systematic approach to safety and health management. Our AMP-1 and AMP-2 achieved ISO 45001 and ISO 14001 certifications, which validate our system of continuous improvement to reduce occupational risk and improve worker safety. Each site completes a comprehensive assessment of safety requirements and validates both capability and adherence to meet safety standards.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Workforce and Commitment to Inclusion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At Lucid, inclusion is an essential part of who we are. We value the broad range of perspectives and experiences of our employees who reflect the communities we serve. Our differences spark innovation and drive us forward, which is why we are committed to fostering an inclusive culture that empowers us to bring our best selves to work and achieve our mission to build a better future together.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people centric and data-driven workforce strategy focuses on three pillars: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1Growing our workforce by attracting, hiring, and promoting talent from all backgrounds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2Fostering an inclusive culture by promoting policies, practices, and programs that support and engage all employees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3Being key contributors to the community by engaging with and investing in local communities where we operate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Of note, Lucid sponsors nine employee resource groups to support and empower our employees. Membership in employee resource groups is open to all Lucid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Compensation and Benefits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offer competitive compensation to attract and retain the best people in the world, and we help care for our people so they can focus on our mission. Our employees' total compensation package includes market-competitive cash compensation and equity awards. We offer full-time employees equity at the time of hire and through annual equity grants because we want them to be owners of the Company and committed to our long-term success. In 2025, we continued to strengthen our support for employees and their families by maintaining premiums for health insurance plans at 2024 levels. We are pleased to support employees and families through a comprehensive suite of insurance and retirement offerings, most of which can be individually selected by each employee to best fit their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ENVIRONMENTAL IMPACT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 technology and EV company focused on efficiently using our planet’s precious resources, we are proud that environmental stewardship has been at the core of our business since day one. We are committed to improving environmental and social impacts while mitigating risks across our value chain and helping ensure a robust governance structure to support our efforts. We believe in the importance of accountability and transparency, and we published our first impact report in 2024 that contains the details of our efforts in these areas.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Highlights of our impact include: </w:t>
      </w:r>
    </w:p>
    <w:p>
      <w:pPr>
        <w:pStyle w:val="TextBody"/>
        <w:bidi w:val="0"/>
        <w:spacing w:lineRule="auto" w:line="288" w:before="240" w:after="283"/>
        <w:jc w:val="left"/>
        <w:rPr/>
      </w:pPr>
      <w:r>
        <w:rPr>
          <w:rFonts w:ascii="Times New Roman;serif" w:hAnsi="Times New Roman;serif"/>
          <w:b/>
          <w:i/>
          <w:color w:val="000000"/>
          <w:sz w:val="20"/>
        </w:rPr>
        <w:t>Product:</w:t>
      </w:r>
      <w:r>
        <w:rPr>
          <w:color w:val="000000"/>
        </w:rPr>
        <w:t xml:space="preserve"> </w:t>
      </w:r>
      <w:r>
        <w:rPr>
          <w:rFonts w:ascii="Times New Roman;serif" w:hAnsi="Times New Roman;serif"/>
          <w:b w:val="false"/>
          <w:color w:val="000000"/>
          <w:sz w:val="20"/>
        </w:rPr>
        <w:t xml:space="preserve">Efficiency is a key measure of the in-house technology embedded in our products, contributing to our goal of a best-in-class experience for our customers while benefiting the environment. This focus on efficiency enables our vehicles to travel further per kilowatt-hour. Each extra mile that we extract per kilowatt-hour of energy means less energy required, and therefore less environmental impact. This same efficient technology and approach enable the possibility of vehicles with smaller, lower-cost battery packs that retain competitive range, while requiring fewer battery cells per vehicle and lowering our use of resources per vehicle. </w:t>
      </w:r>
    </w:p>
    <w:p>
      <w:pPr>
        <w:pStyle w:val="TextBody"/>
        <w:bidi w:val="0"/>
        <w:spacing w:lineRule="auto" w:line="288" w:before="240" w:after="283"/>
        <w:jc w:val="left"/>
        <w:rPr/>
      </w:pPr>
      <w:r>
        <w:rPr>
          <w:rFonts w:ascii="Times New Roman;serif" w:hAnsi="Times New Roman;serif"/>
          <w:b/>
          <w:i/>
          <w:color w:val="000000"/>
          <w:sz w:val="20"/>
        </w:rPr>
        <w:t>Responsible Business Strategy:</w:t>
      </w:r>
      <w:r>
        <w:rPr>
          <w:color w:val="000000"/>
        </w:rPr>
        <w:t xml:space="preserve"> </w:t>
      </w:r>
      <w:r>
        <w:rPr>
          <w:rFonts w:ascii="Times New Roman;serif" w:hAnsi="Times New Roman;serif"/>
          <w:b w:val="false"/>
          <w:color w:val="000000"/>
          <w:sz w:val="20"/>
        </w:rPr>
        <w:t>Our dedicated team continues to drive our efforts to implement thoughtful responsible business strategies and programs. We base our priorities on a high-level sustainability materiality assessment to identify key topics for our strategy that we refreshed in 2025. This latest effort includes leadership and thought leader interviews, research on peers, leveraging notable third-party guidelines on priority topics for the industry, and an employee survey. To effectively drive our strategy across our business, we have a dedicated steering committee of senior executives who meet regularly to provide executive sponsorship, cross-functional collaboration, and prioritization for impact initiatives.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GOVERNANCE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recognize that sound governance practices are critical to ethical business practices and our overall success as an organization and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 xml:space="preserve">Corporate Governance: </w:t>
      </w:r>
      <w:r>
        <w:rPr>
          <w:rFonts w:ascii="Times New Roman;serif" w:hAnsi="Times New Roman;serif"/>
          <w:b w:val="false"/>
          <w:color w:val="000000"/>
          <w:sz w:val="20"/>
        </w:rPr>
        <w:t>Our corporate governance best practices include: a majority independent Board under SEC and Nasdaq rules; a well-qualified Board with broad range of skills, backgrounds, and experiences; an independent chairman of the Board; and no classified board structure (all directors must be elected every year).</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Business Ethics:</w:t>
      </w:r>
      <w:r>
        <w:rPr>
          <w:color w:val="000000"/>
        </w:rPr>
        <w:t xml:space="preserve"> </w:t>
      </w:r>
      <w:r>
        <w:rPr>
          <w:rFonts w:ascii="Times New Roman;serif" w:hAnsi="Times New Roman;serif"/>
          <w:b w:val="false"/>
          <w:color w:val="000000"/>
          <w:sz w:val="20"/>
        </w:rPr>
        <w:t>We have a publicly available Code of Business Conduct and Ethics and a framework to receive and investigate reports of policy violations. The Code of Business Conduct and Ethics is available on our Investor Relations website at https://ir.lucidmotors.com under the subheading “Governance.”</w:t>
      </w:r>
    </w:p>
    <w:p>
      <w:pPr>
        <w:pStyle w:val="TextBody"/>
        <w:bidi w:val="0"/>
        <w:spacing w:lineRule="auto" w:line="288" w:before="120" w:after="283"/>
        <w:ind w:left="0" w:right="0" w:hanging="360"/>
        <w:jc w:val="left"/>
        <w:rPr/>
      </w:pPr>
      <w:r>
        <w:rPr>
          <w:color w:val="000000"/>
        </w:rPr>
        <w:t>•</w:t>
      </w:r>
      <w:r>
        <w:rPr>
          <w:rFonts w:ascii="Times New Roman;serif" w:hAnsi="Times New Roman;serif"/>
          <w:b/>
          <w:i/>
          <w:color w:val="231F20"/>
          <w:sz w:val="20"/>
        </w:rPr>
        <w:t xml:space="preserve">Compliance: </w:t>
      </w:r>
      <w:r>
        <w:rPr>
          <w:rFonts w:ascii="Times New Roman;serif" w:hAnsi="Times New Roman;serif"/>
          <w:b w:val="false"/>
          <w:color w:val="231F20"/>
          <w:sz w:val="20"/>
        </w:rPr>
        <w:t>We continue to enhance our compliance program centered around a clear statement of principles and an expectation for both legal compliance and high ethical standards. We intend to achieve these goals through ongoing training of our contractors and employees, due diligence of our suppliers, clear policies and guidelines, internal controls over financial transactions, technological solutions to automate screenings for legal compliance and a reporting hotline which enables employees and service providers to share allegations of any legal or ethical matters on an anonymous basis.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240" w:after="283"/>
        <w:jc w:val="left"/>
        <w:rPr/>
      </w:pPr>
      <w:r>
        <w:rPr>
          <w:rFonts w:ascii="Times New Roman;serif" w:hAnsi="Times New Roman;serif"/>
          <w:b w:val="false"/>
          <w:color w:val="231F20"/>
          <w:sz w:val="20"/>
        </w:rPr>
        <w:t xml:space="preserve">We are required to file annual, quarterly and current reports, proxy statements and other information with the SEC. We also maintain an Investor Relations website at </w:t>
      </w:r>
      <w:r>
        <w:rPr>
          <w:rFonts w:ascii="Times New Roman;serif" w:hAnsi="Times New Roman;serif"/>
          <w:b w:val="false"/>
          <w:color w:val="000000"/>
          <w:sz w:val="20"/>
        </w:rPr>
        <w:t>https://ir.lucidmotors.com</w:t>
      </w:r>
      <w:r>
        <w:rPr>
          <w:rFonts w:ascii="Times New Roman;serif" w:hAnsi="Times New Roman;serif"/>
          <w:b w:val="false"/>
          <w:color w:val="231F20"/>
          <w:sz w:val="20"/>
        </w:rPr>
        <w:t>. Through our website, we make available, free of charge, the following documents of Lucid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amendments to those documents. Our SEC filings are available on the SEC’s website at www.sec.gov.</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website, the SEC’s website and the information contained therein or linked thereto are not a part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 description of the risks and uncertainties associated with our business is set forth below. Investors should carefully consider the risks and uncertainties described below, as well as the other information in this Annual Report, including our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our stockholders could lose all or part of their investment.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limited operating history makes evaluating our business and future prospects difficult and may increase the risk of stockholders’ investment.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incurred net losses each year since our inception and expect to incur increasing expenses and substantial losses for the foreseeable future.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unable to adequately control the substantial costs associated with our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to attract or retain customers through the purchase process may have a material adverse impact on our business, prospects, results of operations and financial condition.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global economic recession, downturn or other adverse economic conditions may have a material adverse impact on our business, prospects, results of operations and financial condition.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currently depend primarily on revenue generated from a limited number of models and anticipate continuing to be significantly dependent on a limited number of models in the foreseeable future.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business and prospects depend significantly on our brand.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distribution model primarily relies on a direct-to-consumer strategy.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face challenges providing charging solutions for our vehicles, both domestically and internationally.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fail to manage our growth effectively, we may not be able to develop, manufacture, distribute, market and sell our vehicles successfully.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face risks associated with international operations, including possible unfavorable regulatory, political, tax and labor conditions, which could harm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automotive industry has significant barriers to entry that we must overcome in order to manufacture and sell EVs at scale.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automotive market is highly competitive, and we may not be successful in competing in this industry.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experienced and may in the future experience significant delays in the design, launch and manufacture of our vehicles, including the Lucid Air, the Lucid Gravity and our upcoming Midsize platform, which could harm our business and prospects.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continue production and grow depends upon our ability to maintain relationships with our existing suppliers and source suppliers for our critical components, and to complete building out our supply chain, while effectively managing the risks due to such relationships.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dependent on our suppliers, the majority of which are single-source suppliers, and the inability of these suppliers to deliver necessary components of our products, or our inability to efficiently manage these components, could have a material adverse effect on our results of operations and financial condition.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costs, changes of supply or shortage of materials, in particular for lithium-ion battery cells, could harm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fail to successfully construct or tool our manufacturing facilities or if our manufacturing facilities become inoperable, we will be unable to produce our vehicles and our business will be harmed.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limited experience in high volume manufacture of our vehicles.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our vehicles fail to perform as expected, our ability to develop, market and sell or lease our products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may not be able to accurately estimate the supply and demand for our vehicles, which could prevent us from maximizing our revenue. If we fail to accurately predict our manufacturing requirements, we could incur additional costs or experience delays.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unauthorized compromise of or access to our products or information technology systems or networks could result in loss of confidence in us and our products, harm our business and materially adversely affect our financial performance, results of operations or prospects.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subject to evolving laws, regulations, standards, policies, and contractual obligations related to data privacy, cybersecurity, and artificial intelligence, and failure to comply with such obligations could harm our reputation, subject us to significant fines and liability, or otherwise adversely affect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loss of key employees or an inability to attract, retain and motivate qualified personnel may impair our ability to expand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U.S. trade policy, including the imposition of, or uncertainties surrounding, tariffs or revocation of normal trade relations and the resulting consequences, could adversely affect our business, prospects, results of operations and financial condition.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subject to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face regulatory limitations on our ability to sell vehicles directly, which could materially and adversely affect our ability to sell our vehicles.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fail to adequately obtain, maintain, enforce, defend and protect our intellectual property and may not be able to prevent third parties from unauthorized use of our intellectual property and proprietary technology, which could harm our competitive position and cause us to incur significant expenses to enforce our rights.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will require additional capital to support business growth, and this capital might not be available on commercially reasonable terms, or at all.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not be able to realize the anticipated benefits of our agreements with Aston Martin, Uber, and Nuro.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issuance of additional shares of our common stock or other equity or equity-linked securities, including upon conversion, optional redemption or repurchase of convertible securities, or sales of a significant portion of our common stock, could depress the market price of our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a “controlled company” within the meaning of the applicable Nasdaq rules and, as a result, qualify for exemptions from certain corporate governance requirements. Our stockholders do not have the same protections afforded to stockholders of companies that are not controlled companies.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PIF and Ayar beneficially own a significant equity interest in us and have significant influence over us.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Redeemable Convertible Preferred Stock has rights, preferences and privileges that are not held by, and are senior to the rights of, our common stockholders.</w:t>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Our Business and Operations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Our limited operating history makes evaluating our business and future prospects difficult and may increase the risk of stockholders’ investment.</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have a limited operating history and operate in a rapidly evolving and highly regulated market. Furthermore, we have only released two commercially available vehicles, and we have limited experience manufacturing or selling a commercial product at scale. As a result of the capital-intensive nature of our business, we expect to continue to incur substantial operating losses for the foreseeable future.</w:t>
      </w:r>
    </w:p>
    <w:p>
      <w:pPr>
        <w:pStyle w:val="TextBody"/>
        <w:bidi w:val="0"/>
        <w:spacing w:lineRule="auto" w:line="288" w:before="240" w:after="283"/>
        <w:jc w:val="both"/>
        <w:rPr>
          <w:rFonts w:ascii="Times New Roman;serif" w:hAnsi="Times New Roman;serif"/>
          <w:b w:val="false"/>
          <w:color w:val="231F20"/>
          <w:sz w:val="20"/>
        </w:rPr>
      </w:pPr>
      <w:r>
        <w:rPr>
          <w:rFonts w:ascii="Times New Roman;serif" w:hAnsi="Times New Roman;serif"/>
          <w:b w:val="false"/>
          <w:color w:val="231F20"/>
          <w:sz w:val="20"/>
        </w:rPr>
        <w:t>We have encountered and expect to continue to encounter risks and uncertainties frequently experienced by companies in rapidly changing markets, including risks relating to our ability to, among other things: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hire, integrate and retain professional and technical talent, including key members of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continue to make significant investments in research, development, manufacturing, marketing and sales;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successfully design, build, manufacture and market new variants and models of EVs, such as our upcoming Midsize platform;</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build a well-recognized and respected brand;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 implement, refine and scale our commercial manufacturing capabilities and distribution infrastructure;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 and maintain satisfactory arrangements with third-party suppliers;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 and expand a customer base;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 xml:space="preserve">anticipate and adapt to changing market conditions, including consumer demand for certain vehicle types, models or trim levels, technological developments and changes in competitive landscape; </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navigate an evolving and complex landscape of regulations, policies, and government incentives;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successfully obtain, maintain, protect, defend and enforce our intellectual property and defend against claims of intellectual property infringement, misappropriation or other violation.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have incurred net losses each year since our inception and expect to incur increasing expenses and substantial losses for the foreseeable future.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incurred net losses each year since our inception, including net loss of $2.7 billion for the year ended December 31, 2025. As of December 31, 2025, our accumulated deficit was $15.6 billion. We expect to continue to incur substantial losses and increasing expenses in the foreseeable future as we: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continue to design, develop and manufacture our vehicles;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equip and expand our research, service, battery, powertrain, and manufacturing facilities to produce our vehicles in Arizona and in international locations such as Saudi Arabia;</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build up inventories of parts and components for our vehicles;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manufacture and store an available inventory of our vehicles;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develop and market EV-related products and technologies, including robotaxis;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develop and deploy geographically dispersed vehicle charging partnerships;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expand our design, research, development, maintenance and repair capabilities and facilities;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increase our sales, service and marketing activities and develop our distribution infrastructure;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231F20"/>
          <w:sz w:val="20"/>
        </w:rPr>
        <w:t>expand into new markets;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expand our general and administrative functions to support operations as a public company.</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If our product development or commercialization of future vehicles or models is delayed, our costs and expenses may be significantly higher than we currently expect. We will incur the costs and expenses from these efforts before we receive any incremental revenues with respect thereto; therefore, we anticipate our losses in future periods will be significant.</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be unable to adequately control the substantial costs associated with our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require significant capital to develop and grow our business. We have incurred and expect to continue to incur significant expenses, including leases, sales and distribution expenses as we build our brand and market our vehicles; expenses relating to developing and manufacturing our vehicles, constructing, tooling and expanding our manufacturing facilities; research and development expenses (including expenses related to the development of the Lucid Air, the Lucid Gravity, our Midsize platform and other future products); raw material procurement costs; and general and administrative expenses as we scale our operations and incur the costs of being a public company. Increased competition and adverse economic conditions have in the past and may continue in the future to require us to spend additional resources to attract customers, which in turn may result in higher marketing and incentive expenses. Furthermore, lower production and sales volumes have in the past and may in the future result in an inability to fully utilize our purchase commitments with suppliers which could result in increased costs and excess inventory as well as potential inventory write-offs. We periodically review and record write-downs for excess or obsolete inventories based upon assumptions about current and future demand forecasts, considering shelf-life and technological obsolescence of certain inventories. Our current and future demand forecasts are based on our historical sales, market share performance, macroeconomic factors and trends in quantities or prices of orders for our products. We evaluate whether raw materials are approaching the end of their shelf-lives or becoming technologically obsolete, and the likelihood that we will be able to use the raw materials in production. If our inventory on-hand is in excess of future demand forecast and market conditions, the excess amounts are provisioned or written-down.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we have incurred and expect to continue to incur significant costs servicing and maintaining customers’ vehicles, including establishing our service operations and facilities and undertaking product recalls. We have limited historical experience forecasting and budgeting for any of these expenses, and these expenses could be significantly higher than we currently anticipate. In addition, any disruption to our manufacturing operations,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longer term, our ability to become profitable will depend on our ability to effectively manage our capital expenditures, control costs on a timely basis, and sell in quantities and at prices sufficient to achieve our expected margins. If we are unable to appropriately price and cost-efficiently design, manufacture, market, sell, distribute and service our vehicles, our margins, profitability and prospects will be materially and adversely affected.</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Failure to attract customers, failure to complete the purchase process with customers, and customer cancellation of orders may have a material adverse impact on our business, prospects,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Delays in customer deliveries, delays in the availability of options, potential changes in customer preferences, competitive developments, increased interest rates, negative publicity, loss of government incentives, decreased demand for EVs, insufficient charging infrastructure, and other factors could result in failure to attract customers, failure to complete the purchase process with customers, and customer cancellation. Increases in interest rates could make financing unaffordable for segments of our customer base and any event or incident which generates negative media coverage about us or the safety or quality of our vehicles could result in failure to attract customers, failure to complete the purchase process, and customer cancellations. In addition, if we encounter delays in customer deliveries of our vehicles that further lengthen wait times or in the event of negative media coverage, a significant number of orders may be cancelled. As such, no assurance can be given that the purchase process will be completed, orders will not be cancelled, and orders will ultimately result in the final purchase, delivery and sale or lease of vehicles. </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A global economic recession, downturn or other adverse economic conditions may have a material adverse impact on our business, prospects,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global economic recession, downturn or other adverse economic conditions, whether due to changes or uncertainties in trade policies, the imposition or proposed imposition of tariffs, export controls, threat of a trade war, persistent inflation, political instability, global or regional conflicts or other geopolitical events, public health crises, interest rate increases or other central bank policy actions, bank closures and liquidity concerns at other financial institutions, or other factors, may have an adverse impact on our business, prospects, financial condition and results of operations. If any of our suppliers, sub-suppliers or partners experience financial distress, insolvency or disruptions in operations, they may be unable to fulfill their obligations or meet our production and quality requirements. Adverse economic conditions and uncertainty about the current and future domestic or global economic conditions may also cause our customers to defer purchases or cancel their orders in response to higher interest rates, limited consumer credit availability, lower cash reserves, fluctuations in foreign currency exchange rates, and weakened consumer confidence. A reduction in demand for our products may result in a decline in product sales, with a corresponding material adverse impact on our business, prospects, financial condition and results of operations. Given our premium brand positioning and pricing, an economic recession or downturn is likely to have a disproportionate adverse effect on us compared to our competitors in the EV and traditional automotive sectors, to the extent that consumer demand for luxury goods declines in favor of more cost-conscious alternatives. In addition, adverse economic conditions and uncertainties surrounding trade policies, tariffs and export controls could also cause supply chain and logistical challenges and operational risks. In particular, the U.S. federal government enacted the law commonly referred to as the One Big, Beautiful Bill Act (the “OBBBA”), which eliminates, limits or phases out certain tax credits that had previously provided significant benefits to lessees and purchasers of EVs and adds new eligibility requirements on manufacturers to continue claiming tax credits on EV components. It also eliminates certain penalties for noncompliance with certain fuel efficiency standards and introduces certain key tax law modifications. Taken together, adverse economic conditions and uncertainties surrounding trade policies, government grants or incentives, tariffs and export controls, coupled with supply chain challenges and the potential difficulty of passing costs to customers or sharing the burden with suppliers, could reduce demand for our products and have a material adverse effect on our business, prospects, results of operations and financial condition.</w:t>
      </w:r>
    </w:p>
    <w:p>
      <w:pPr>
        <w:pStyle w:val="TextBody"/>
        <w:bidi w:val="0"/>
        <w:spacing w:lineRule="auto" w:line="288" w:before="240" w:after="283"/>
        <w:jc w:val="left"/>
        <w:rPr/>
      </w:pPr>
      <w:r>
        <w:rPr>
          <w:rFonts w:ascii="Times New Roman;serif" w:hAnsi="Times New Roman;serif"/>
          <w:b w:val="false"/>
          <w:color w:val="000000"/>
          <w:sz w:val="20"/>
        </w:rPr>
        <w:t xml:space="preserve">In addition, the deterioration of conditions in global credit markets may limit our ability to obtain external financing to fund our operations and capital expenditures for business growth on terms favorable to us, if at all.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 See “—Risks Related to Financing and Strategic Transactions — </w:t>
      </w:r>
      <w:r>
        <w:rPr>
          <w:rFonts w:ascii="Times New Roman;serif" w:hAnsi="Times New Roman;serif"/>
          <w:b w:val="false"/>
          <w:i/>
          <w:color w:val="000000"/>
          <w:sz w:val="20"/>
        </w:rPr>
        <w:t>We will require additional capital to support business growth, and this capital might not be available on commercially reasonable terms, or at all</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currently depend primarily on revenue generated from a limited number of models and anticipate continuing to be significantly dependent on a limited number of models in the foreseeable future.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currently generate revenue from the Lucid Air and Lucid Gravity, and in the foreseeable future will be significantly dependent on a limited number of models, as we are not scheduled to introduce another vehicle model for sale until late 2026. We expect to rely on sales from the Lucid Air and the Lucid Gravity, among other sources of financing, for the capital that will be required to develop and commercialize future models on our product roadmap. To the extent that production of our current or future models is delayed or reduced, or if our current or future models are not well-received by the market for any reason, our revenue and cash flow would be adversely affected, we may need to seek additional financing earlier than we expect, and such financing may not be available to us on commercially reasonable terms, or at all.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fulfill the orders from the Government of Saudi Arabia or if the Government of Saudi Arabia purchases significantly fewer vehicles than we anticipate for any reason, our business, prospects, results of operations and financial condition could be materially and adversely affected.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2023, we entered into the EV purchase agreement with the Government of Saudi Arabia, a related party of the PIF, as represented by the Ministry of Finance (the “EV Purchase Agreement”), which supersedes the letter of undertaking that we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vehicles that we fail to deliver within six months from the date of the applicable purchase order. The Purchaser also has the sole and absolute discretion to decide whether to exercise the option to purchase the additional 50,000 vehicles. See Item 1 “Business” and Note 16 “Related Party Transactions” to the consolidated financial statements included elsewhere in this Annual Report for more information.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we experience delays in manufacturing and delivering vehicles ordered by the Purchaser, fail to or experience delays in complying with Saudi Arabian regulations or the requirements of the EV Purchase Agreement, fail to provide adequate service or support for the vehicles, or fail to appropriately price our vehicles, our revenue, cash flow and results of operations and financial condition could be adversely affected. Furthermore, if the Purchaser reduces the minimum vehicle purchase quantity, delays the purchase of vehicles, does not exercise its option to purchase additional vehicles, or purchases significantly fewer vehicles than we currently anticipate for any reason, including for reasons beyond our control, our business, prospects, results of operations and financial condition could be materially and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and prospects depend significantly on our brand.</w:t>
      </w:r>
    </w:p>
    <w:p>
      <w:pPr>
        <w:pStyle w:val="TextBody"/>
        <w:bidi w:val="0"/>
        <w:spacing w:lineRule="auto" w:line="288" w:before="240" w:after="283"/>
        <w:jc w:val="left"/>
        <w:rPr/>
      </w:pPr>
      <w:r>
        <w:rPr>
          <w:rFonts w:ascii="Times New Roman;serif" w:hAnsi="Times New Roman;serif"/>
          <w:b w:val="false"/>
          <w:color w:val="000000"/>
          <w:sz w:val="20"/>
        </w:rPr>
        <w:t>Our business and prospects heavily depend on our ab</w:t>
      </w:r>
      <w:r>
        <w:rPr>
          <w:rFonts w:ascii="Times New Roman;serif" w:hAnsi="Times New Roman;serif"/>
          <w:b w:val="false"/>
          <w:color w:val="242424"/>
          <w:sz w:val="20"/>
        </w:rPr>
        <w:t>ility to develop, maintain, protect and strengthen the “Lucid” brand association with luxury and technological excellence. Promoting and positioning our brand will likely depend significantly on our ability to provide a consistently high-quality customer experience, an area in which we have gained experience over years but may continue to face challenges. To promote our brand, we will be required to invest in, and over time change our customer development and branding practices, which could result in substantially increased expenses, including the need to use public relations, media, event planning, and advertising firms.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 xml:space="preserve">With social media, any negative publicity, whether or not factual, can quickly be disseminated and harm consumer perception and confidence in our brand. This risk is heightened by our engagement with influencers, as negative experiences by these high-profile users can be rapidly amplified, damaging our brand credibility and impacting brand loyalty. Viral negative posts or negative reviews that highlight quality issues or compare us unfavorably to competitors could adversely affect consumer perception about our vehicles and reduce demand, potentially causing a material adverse effect on our business, results of operations, prospects and financial condition. Thus, failure to correct misinformation or mitigate negative information concerning us, the products we offer, our customer experience, or any aspect of our brand, our business, sales and results of operations could adversely impact us. </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Our sales will depend in part on our ability to establish and maintain confidence in our long-term business prospects among consumers, the investment community and others within our industry.</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the investment community and other parties with respect to our liquidity and long-term business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Maintaining such confidence may be difficult as a result of many factors, including our limited operating history, others’ unfamiliarity with our products, uncertainty regarding the future of EVs,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EV companies have recently entered the automotive industry, which is an industry that has historically been associated with significant barriers to entry and a high rate of failure. Certain of these new entrants or other traditional automotive manufacturers now producing EVs have become insolvent, and if additional manufacturers producing EVs become insolvent or are perceived to likely become insolvent, discontinue production of EVs, produce vehicles that do not perform as expected or otherwise fail to meet expectations, such failures may have the effect of increasing scrutiny of others in the industry, including us, and further challenging customer, supplier and the investment community’s confidence in our long-term prospects.</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Our distribution model primarily relies on a direct-to-consumer strategy.</w:t>
      </w:r>
    </w:p>
    <w:p>
      <w:pPr>
        <w:pStyle w:val="TextBody"/>
        <w:bidi w:val="0"/>
        <w:spacing w:lineRule="auto" w:line="288" w:before="240" w:after="283"/>
        <w:jc w:val="left"/>
        <w:rPr/>
      </w:pPr>
      <w:r>
        <w:rPr>
          <w:rFonts w:ascii="Times New Roman;serif" w:hAnsi="Times New Roman;serif"/>
          <w:b w:val="false"/>
          <w:color w:val="242424"/>
          <w:sz w:val="20"/>
        </w:rPr>
        <w:t xml:space="preserve">Third-party dealer networks are the traditional method of vehicle sales distribution and service in North America. Currently, we sell directly to consumers; therefore, we do not have a traditional dealer product distribution and service network. We have limited experience distributing directly to consumers, and we expect that continuing to build a national and global in-house sales and marketing function, including an expanded physical sales, marketing and service footprint via our Lucid studios and service centers, will be expensive and time consuming. We have experienced delays in the construction and opening of our Lucid studios and service centers and any significant delays to establish Lucid studios and service centers in key markets in the future could have an adverse effect on our business, results of operations, prospects and financial condition. In addition, if our lack of a traditional dealer distribution and service network results in lost opportunities to generate sales, it could limit our ability to grow. Moreover, our business model of selling directly to consumers and directly servicing all vehicles may be limited by regulatory constraints. If our use of an in-house sales, marketing and service team is not effective, our results of operations and financial conditions could be adversely affected. </w:t>
      </w:r>
      <w:r>
        <w:rPr>
          <w:rFonts w:ascii="Times New Roman;serif" w:hAnsi="Times New Roman;serif"/>
          <w:b w:val="false"/>
          <w:color w:val="000000"/>
          <w:sz w:val="20"/>
        </w:rPr>
        <w:t xml:space="preserve">As we expand globally, </w:t>
      </w:r>
      <w:r>
        <w:rPr>
          <w:rFonts w:ascii="Times New Roman;serif" w:hAnsi="Times New Roman;serif"/>
          <w:b w:val="false"/>
          <w:color w:val="242424"/>
          <w:sz w:val="20"/>
        </w:rPr>
        <w:t>we are actively evaluating alternative importer and agency models to enhance flexibility and optimize our distribution strategy in response to evolving market dynamics</w:t>
      </w:r>
      <w:r>
        <w:rPr>
          <w:rFonts w:ascii="Times New Roman;serif" w:hAnsi="Times New Roman;serif"/>
          <w:b w:val="false"/>
          <w:color w:val="000000"/>
          <w:sz w:val="20"/>
        </w:rPr>
        <w:t xml:space="preserve">. Such efforts may prove costly, time-consuming or ineffective. </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Our ability to generate meaningful product revenue will depend on consumer adoption of EVs.</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We are developing and producing EVs and related products and services and, accordingly, our ability to generate meaningful product revenue will highly depend on sustained consumer demand for alternative fuel vehicles in general and EVs in particular. If the market for EVs does not develop as we expect or develops more slowly than we expect, or if there is a decrease in consumer demand for EVs, these factors may harm our business, prospects, financial condition and results of operations. The market for electric and other alternative fuel vehicles is relatively new, rapidly evolving, characterized by rapidly changing technologies, price competition, market entrants, evolving government regulation (including the availability, reduction or elimination of government incentives and subsidies) and industry standards, frequent new vehicle introductions and changing consumer demands and behaviors. Any number of developments or disruptions in the industry could negatively affect consumer demand for EVs broadly and for our EVs in particular.</w:t>
      </w:r>
    </w:p>
    <w:p>
      <w:pPr>
        <w:pStyle w:val="TextBody"/>
        <w:bidi w:val="0"/>
        <w:spacing w:lineRule="auto" w:line="288" w:before="240" w:after="283"/>
        <w:jc w:val="left"/>
        <w:rPr/>
      </w:pPr>
      <w:r>
        <w:rPr>
          <w:rFonts w:ascii="Times New Roman;serif" w:hAnsi="Times New Roman;serif"/>
          <w:b w:val="false"/>
          <w:color w:val="242424"/>
          <w:sz w:val="20"/>
        </w:rPr>
        <w:t>In addition, demand for EVs may be affected by factors directly impacting automobile prices or the cost of purchasing and operating automobiles such as the availability, reduction or elimination of sales and financing incentives including tax credits, prices of raw materials and parts and components, cost of fuel, availability of consumer credit, interest rates, and governmental regulatio</w:t>
      </w:r>
      <w:r>
        <w:rPr>
          <w:rFonts w:ascii="Times New Roman;serif" w:hAnsi="Times New Roman;serif"/>
          <w:b w:val="false"/>
          <w:color w:val="000000"/>
          <w:sz w:val="20"/>
        </w:rPr>
        <w:t>ns, including tariffs, i</w:t>
      </w:r>
      <w:r>
        <w:rPr>
          <w:rFonts w:ascii="Times New Roman;serif" w:hAnsi="Times New Roman;serif"/>
          <w:b w:val="false"/>
          <w:color w:val="242424"/>
          <w:sz w:val="20"/>
        </w:rPr>
        <w:t>mport and export regulation and other taxes. Volatility in demand may lead to lower vehicle unit sales, which may result in downward price pressure and adversely affect our business, prospects, financial condition and results of operations. Further, sa</w:t>
      </w:r>
      <w:r>
        <w:rPr>
          <w:rFonts w:ascii="Times New Roman;serif" w:hAnsi="Times New Roman;serif"/>
          <w:b w:val="false"/>
          <w:color w:val="231F20"/>
          <w:sz w:val="20"/>
        </w:rPr>
        <w:t>les of vehicles in the automotive industry tend to be cyclical in many markets, which may expose us to increased volatility, especially as we expand and adjust our operations and retail strategies. Specifically, it is uncertain how such macroeconomic factors will impact us in an industry that has globally been experiencing a recent decline in sales.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Other factors that may influence the adoption of EVs include: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perceptions about EV quality, safety, design, performance and cost;</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perceptions about the limited range over which EVs may be driven on a single battery charge;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considerations about the total cost of ownership of EVs, including the initial purchase price and accumulated depreciation, as well as operating and maintenance costs, both including and excluding the effect of government and other subsidies and incentives designed to promote the purchase of EVs;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concerns about electric grid capacity and reliability;</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perceptions about the sustainability and environmental impact of EVs, including with respect to both the sourcing and disposal of materials for EV batteries and the generation of electricity provided in the electric grid;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availability of other alternative fuel vehicles, including plug-in hybrid EVs;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improvements in the fuel economy of the internal combustion engine;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quality and availability of service for EVs, especially in international markets;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volatility in the cost of oil and gasoline;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government regulations and the availability, reduction or elimination of economic incentives promoting fuel efficiency and alternate forms of energy including reductions, limitations or eliminations pursuant to the OBBBA;</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access to charging stations compatible with our vehicles and cost to charge an EV, especially in international markets, and related infrastructure costs and standardization;</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availability, reduction or elimination of tax and other governmental incentives to purchase and operate EVs or future regulations requiring increased use of nonpolluting vehicles;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macroeconomic factors.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influence of any of the factors described above or any other factors may cause a general reduction in consumer demand for EVs or our EVs in particular, either of which would materially and adversely affect our business, results of operations, financial condition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face challenges providing charging solutions for our vehicles, both domestically and internationally.</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Demand for our vehicles will depend in part on the availability of charging infrastructure both domestically and internationally. While the prevalence of charging stations has been increasing, public charging station locations are significantly less widespread than gas stations. Furthermore, public charging stations often experience downtime, leading to customer dissatisfaction. Although we have partnered with third-party EV charging providers to offer charging stations to our customers, the public charging infrastructure available to our customers may be insufficient to meet their needs or expectations, especially in certain international markets. Some potential customers may choose not to purchase our vehicles because of the lack of more widespread and reliable public charging infrastructure. In addition, although we have gained access to Tesla’s Supercharger network, any delay in implementing changes in Lucid vehicles required by Tesla with respect to charge ports may result in Tesla denying our access to their network, and there is no guarantee that our customers will not experience performance, access or other issues with this or other charging networks. The current administration issued an executive order that paused the disbursement of funds appropriated through the Inflation Reduction Act of 2022 (the “IRA”) or the Infrastructure Investment and Jobs Act, including funds designated for EV charging stations through the National Electric Vehicle Infrastructure Formula Program and the Charging and Fueling Infrastructure Discretionary Grant Program. Although this pause was lifted in August 2025, there has been continued administrative scrutiny into funding that supports the EV industry. Consequently, the deployment of public charging stations may not occur at planned levels, which could limit the development of public charging infrastructure and decrease the attractiveness of EVs. Lastly, Congress may pass or amend legislation related to EVs that could adversely impact the availability of funding under existing programs.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If we fail to manage our growth effectively, we may not be able to develop, manufacture, distribute, market and sell our vehicles successfully.</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Any failure to manage our growth effectively could materially and adversely affect our business, prospects, results of operations and financial condition. We are expanding our operations significantly and our current and future expansion plans include: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expanding our management team;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hiring and training new personnel;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ramping up the production of our current vehicles and releasing new models in the future;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establishing or expanding design, manufacturing, distribution, sales and service facilities;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implementing and enhancing administrative and business infrastructure, governance, systems and processes, including in connection with our maturation as a public company;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expanding into new markets and establishing sales, service, administrative, distribution, or manufacturing operations and partnerships in many of those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require qualified personnel, including design and manufacturing personnel and service technicians for our vehicles. Our vehicles are based on a different technology platform than traditional internal combustion engines, individuals with sufficient training in EVs may not be available to hire, and as a result, we will need to expend significant time and expense training the employees we do hire. Competition for individuals with experience in supply chain management and logistics as well as designing, engineering, manufacturing, producing, selling, and servicing EVs is intense, and we may not be able to identify, attract, train, motivate or retain sufficient highly qualified personnel in the future. Furthermore, we have in the past reduced the size of our workforce, and have recently announced a workforce reduction plan in February 2026. Any such plan in the future may adversely affect our internal programs and initiatives, our ability to recruit and retain skilled and motivated personnel, may be distracting to employees and management and may negatively impact our business operations, reputation, or ability to serve customers. We cannot provide any assurances that we will not have to undertake additional workforce reductions in the future. The failure to identify, attract, train, motivate and retain these employees could seriously harm our business and prospects. In addition, our employee equity program is a key factor in our ability to attract and retain talent and continue to support the growth of the company. If we are unable to grant equity awards, or if we are forced to reduce the value of equity awards to be received by the employees for any reason, we may not be able to attract, hire and retain the personnel necessary for our business, which would have a material adverse effect on our business, prospects financial condition and results of operations. In addition, our success is substantially dependent upon the continued service and performance of our senior management team and key technical and vehicle management personnel. If any key employees were to separate their employment with us, such separation would likely increase the difficulty of managing our current operations and future growth and heighten the foregoing risks.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also have limited experience to date in high volume manufacturing of our vehicles. We cannot assure our investors that we will be able to develop and implement efficient, automated, low-cost manufacturing capabilities and processes, and reliable sources of component supply that will enable us to meet the desired quality, price, engineering, design and production standards, as well as the production volumes, required to successfully market our vehicles. We have also experienced, and may continue to experience, internal and external logistics challenges with respect to our manufacturing and warehousing facilities, including disruption to manufacturing operations due to the consolidation of our logistics operations with our manufacturing operations at AMP-1 and AMP-2. Any failure to develop and implement such manufacturing processes and capabilities within our projected costs and timelines could impact our future growth and impair our ability to produce, market, service and sell or lease our vehicles successfully. In addition, our rapid growth, competitive real estate markets, and increasing rental rates, may hinder our ability to obtain suitable space to accommodate our growing operations or to renew existing leases on terms favorable to us, if at all. Any failure to obtain or renew leases for real property on terms favorable to us when we need them may limit our growth, impact our operations and have an adverse impact on our financial condition. If we fail to manage our growth effectively, such failure could result in negative publicity and damage to our brand and have a material adverse effect on our business, prospects, financial condition and results of operations.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face risks associated with international operations, including possible unfavorable regulatory, political, tax and labor conditions, which could harm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As we expand our international presence and operations, we will be increasingly subject to the legal, political, regulatory and social requirements and economic conditions in these jurisdictions. Additionally, as part of our growth strategy, we have been expanding and may continue to expand our sales, maintenance and repair services outside of the United States. We are also continuing the construction of AMP-2 in Saudi Arabia and may continue to further expand our manufacturing activities outside the United States. However, we have limited experience to date manufacturing or selling our vehicles outside of the United States, and such expansion has and will continue to require us to make significant expenditures, including the hiring of local employees and establishing facilities and related systems and processes, in advance of generating any significant revenue. We are subject to a number of risks associated with international business activities that may increase our costs, impact our ability to sell, service and manufacture our vehicles, and require significant management attention. These risks include: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conforming our vehicles to various international regulatory and homologation requirements where our vehicles are sold;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establishing localized supply chains and managing international supply chain and logistics costs, including the shipping and delivery of kits for the SKD facility;</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establishing sufficient charging points for our customers in those jurisdictions, via partnerships or, if necessary, via development of our own charging networks or accessing those of third parties;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difficulties staffing and managing foreign operations, especially in jurisdictions where no EV ecosystem exists and qualified personnel must be hired or relocated;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difficulties attracting customers in new jurisdictions;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difficulties establishing international manufacturing operations, including difficulties establishing relationships with or establishing localized supplier bases and developing cost-effective and reliable supply chains for such manufacturing operations and financing such manufacturing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difficulties controlling costs and potential loss of funding, including as a result of delays in the construction or ramp-up of operations at AMP-2;</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231F20"/>
          <w:sz w:val="20"/>
        </w:rPr>
        <w:t>difficulties or delays caused by local jurisdictions in implementing infrastructure improvements for manufacturing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inflation as well as fluctuations in foreign currency exchange rates and interest rates, including risks related to any forward currency contracts, interest rate swaps or other hedging activities we may undertake;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currency fluctuations or localized inflationary pressure;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United States and foreign government trade restrictions, tariffs, price or exchange controls, and export controls;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threat of a trade war could impede the transition to EVs, disrupt global supply chains, and delay the implementation of economic competitiveness policies;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foreign laws, regulations and restrictions, including in the areas of supply chain, labor, sales, service, sustainability and health and safety, and related compliance costs;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increasingly restrictive and complex foreign data privacy and cybersecurity laws, regulations and obligations;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changes in diplomatic and trade relationships, including political risk and customer perceptions based on such changes and risks;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actions that may impede global green transition priorities or policies designed to reduce environmental sustainability efforts;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political instability, natural disasters, pandemics, wars, military actions, global or regional conflicts or other geopolitical events (including the war in Ukraine, the recent geopolitical tensions in Venezuela, and the risk of escalation or expansion of conflicts in the Middle East, which affect global energy prices and disrupt supply chain both regionally and globally), or events of terrorism;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strength of international economies.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If we fail to successfully address these risks, they could materially harm our business, prospects, results of operations and financial condition.</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The automotive industry has significant barriers to entry that we must overcome in order to manufacture and sell EVs at scale.</w:t>
      </w:r>
    </w:p>
    <w:p>
      <w:pPr>
        <w:pStyle w:val="TextBody"/>
        <w:bidi w:val="0"/>
        <w:spacing w:lineRule="auto" w:line="288" w:before="240" w:after="283"/>
        <w:jc w:val="left"/>
        <w:rPr/>
      </w:pPr>
      <w:r>
        <w:rPr>
          <w:rFonts w:ascii="Times New Roman;serif" w:hAnsi="Times New Roman;serif"/>
          <w:b w:val="false"/>
          <w:color w:val="242424"/>
          <w:sz w:val="20"/>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EVs,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EVs, regulations associated with the transport of batteries, the need to establish or provide access to sufficient charging locations and unproven high-volume customer demand for EVs. While we have developed and started producing our first electric sedan and SUV and have completed</w:t>
      </w:r>
      <w:r>
        <w:rPr>
          <w:color w:val="000000"/>
        </w:rPr>
        <w:t xml:space="preserve"> </w:t>
      </w:r>
      <w:r>
        <w:rPr>
          <w:rFonts w:ascii="Times New Roman;serif" w:hAnsi="Times New Roman;serif"/>
          <w:b w:val="false"/>
          <w:color w:val="000000"/>
          <w:sz w:val="20"/>
        </w:rPr>
        <w:t>the first two phases of construction of AMP-1 and the SKD portion of AMP-2, we have not finished tooling all production lines for AMP-1, and further construction of AMP-1 and the second phase of AMP-2 is underway. If</w:t>
      </w:r>
      <w:r>
        <w:rPr>
          <w:color w:val="242424"/>
        </w:rPr>
        <w:t xml:space="preserve"> </w:t>
      </w:r>
      <w:r>
        <w:rPr>
          <w:rFonts w:ascii="Times New Roman;serif" w:hAnsi="Times New Roman;serif"/>
          <w:b w:val="false"/>
          <w:color w:val="242424"/>
          <w:sz w:val="20"/>
        </w:rPr>
        <w:t>we are not able to overcome these barriers, our business, prospects, results of operations and financial condition will be negatively impacted, and it will harm our ability to grow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The automotive market is highly competitive, and we may not be successful in competing in this industry.</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The global automotive market, particularly for electric and alternative fuel vehicles, is highly competitive, and we expect it will become even more so in the future. In recent years, the EV industry has grown, with the emergence of several companies that focus completely or partially on the EV market. In addition, traditional automotive manufacturers are also producing and selling electric and alternative fuel vehicles. We expect additional companies to enter this market within the next several years. EV manufacturers with which we compete include Tesla, Rivian, an increasing number of U.S.-based and international entrants and traditional automotive manufacturers, many of which have begun, or announced plans to begin, selling their own EVs in the near-term. We also compete with established automobile manufacturers in the luxury vehicle segment, including certain manufacturers who have entered or plan to enter the alternative fuel and EV market with either fully electric or plug-in hybrid versions of their vehicles. We compete for sales of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including the ability to significantly reduce prices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changing market conditions and new technologies and may be able to design, develop, market and sell their products more effectively than we do. For example, some of our competitors have announced vehicle price reductions, which may result in downward price pressure and reduced demand for our vehicles. We may not be able to adjust our pricing strategies effectively, and there can be no assurance that such adjustments will allow us to successfully compete against our competitors, which may have a material adverse effect on our brand, business, prospects, inventory levels, results of operations and financial conditions. In addition, increased competition has in the past and may continue to require us to increase marketing and incentive expenses, which may have a material adverse effect on our operating results and financial condition. We expect competition in our industry to significantly intensify in the future in light of the increased demand for alternative fuel vehicles, global competitors, macroeconomic uncertainty,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Developments in EV or alternative fuel technology or improvements in the internal combustion engine may adversely affect the demand for our vehicles.</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We may be unable to keep up with changes in EV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EVs. Any failure by us to develop new or enhanced technologies or processes, or to react to changes in existing technologies, could materially delay our development and introduction of new and enhanced EVs, which could result in the loss of competitiveness of our vehicles, decreased revenue and a loss of market share to competitors. In addition, we expect to compete in part on the basis of our vehicles’ range, efficiency, charging speeds, performance and software, and improvements in the technology offered by competitors could reduce demand for our current or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EV technology. Additionally, as other companies continue to enter the EV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The unavailability, reduction or elimination of certain government and economic programs could have a material adverse effect on our business, prospects, financial condition and results of operations.</w:t>
      </w:r>
    </w:p>
    <w:p>
      <w:pPr>
        <w:pStyle w:val="TextBody"/>
        <w:bidi w:val="0"/>
        <w:spacing w:lineRule="auto" w:line="288" w:before="240" w:after="283"/>
        <w:jc w:val="left"/>
        <w:rPr/>
      </w:pPr>
      <w:r>
        <w:rPr>
          <w:rFonts w:ascii="Times New Roman;serif" w:hAnsi="Times New Roman;serif"/>
          <w:b w:val="false"/>
          <w:color w:val="242424"/>
          <w:sz w:val="20"/>
        </w:rPr>
        <w:t xml:space="preserve">We benefit from government and economic programs in the United States and abroad that encourage the development, manufacture or purchase of EVs, such as ZEV credits, production tax credits, GHG credits and similar regulatory credits, the loss of which has and may continue to harm our ability to generate revenue from the sale of such credits to other manufacturers; the availability of tax credits and other incentives to consumers, without which the net cost to consumers of our vehicles could increase,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Michigan and Arizona. In addition, changes to non-financial incentives may also impact demand for our products, such as the federal government’s announcement that electric and other clean air vehicles will no longer be able to use carpool lanes without meeting the high occupancy requirements. We may also benefit from government loan or grant programs. While such EV-related governmental programs and economic incentives have been available in the United States, Canada and the EU, there is no guarantee that they will be available in the future. Any reduction, elimination, limitation or selective application of tax and other governmental programs and economic incentives because of policy changes, fiscal tightening or other reasons may result in the diminished competitiveness of the EV industry generally or our EVs in particular, which would adversely affect our business, prospects, financial condition and results of operations. On July 4, 2025, the OBBBA was enacted, which among other things, eliminates the $7,500 tax credit for purchasing a new EV and the $4,500 tax credit for purchasing a used EV effective September 30, 2025 and the tax credits available for charging stations effective June 30, 2026. In addition, the OBBBA eliminated the penalties that automakers would pay if they failed to meet the CAFE standards, effectively eliminating the financial incentive to comply with those standards. Additionally, the current U.S. presidential administration has issued executive orders that aim to revoke or weaken fuel efficiency and emissions regulations established by the prior administration, and proposed rulemakings that would repeal federal GHG emission standards for certain vehicles and engines and eliminate our CAFE credits. While certain aspects of the OBBBA and the proposed actions by the administration remain subject to the outcome of pending litigation, the ultimate resolutions of such matters remain uncertain. The administration has issued a policy statement aimed at eliminating the “EV mandate,” which targets state-level emissions waivers and governmental subsidies. The administration also revoked the waiver by the </w:t>
      </w:r>
      <w:r>
        <w:rPr>
          <w:rFonts w:ascii="Times New Roman;serif" w:hAnsi="Times New Roman;serif"/>
          <w:b w:val="false"/>
          <w:color w:val="231F20"/>
          <w:sz w:val="20"/>
        </w:rPr>
        <w:t xml:space="preserve">U.S. </w:t>
      </w:r>
      <w:r>
        <w:rPr>
          <w:rFonts w:ascii="Times New Roman;serif" w:hAnsi="Times New Roman;serif"/>
          <w:b w:val="false"/>
          <w:color w:val="242424"/>
          <w:sz w:val="20"/>
        </w:rPr>
        <w:t xml:space="preserve">EPA that had allowed California and certain other states to implement more stringent emissions standards for heavy-duty vehicles and to require all new passenger cars, trucks, and SUVs sold in California to be zero-emission by 2035. In particular, the NHTSA has proposed a rule that would, among other things, reset and reduce CAFE standards and eliminate CAFE EV credit trading. In response, California and certain other states have initiated litigation challenging the legal validity of these actions. The outcome of the litigation remains uncertain. </w:t>
      </w:r>
      <w:r>
        <w:rPr>
          <w:rFonts w:ascii="Times New Roman;serif" w:hAnsi="Times New Roman;serif"/>
          <w:b w:val="false"/>
          <w:i/>
          <w:color w:val="242424"/>
          <w:sz w:val="20"/>
        </w:rPr>
        <w:t xml:space="preserve">See “— Failure to attract customers, failure to complete the purchase process with customers, and customer cancellation of orders may have a material adverse impact on our business, prospects, results of operations and financial condition.” </w:t>
      </w:r>
      <w:r>
        <w:rPr>
          <w:rFonts w:ascii="Times New Roman;serif" w:hAnsi="Times New Roman;serif"/>
          <w:b w:val="false"/>
          <w:color w:val="242424"/>
          <w:sz w:val="20"/>
        </w:rPr>
        <w:t>These, and any similar legislative or executive actions in the future, may adversely affect demand for our vehicles as well as our business, prospects, financial condition and results of operations.</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We may be unable to offer attractive leasing and financing options for our current and future vehicles, which would adversely affect consumer demand. In addition, offering leasing and financing options to customers could expose us to credit and residual value risk.</w:t>
      </w:r>
    </w:p>
    <w:p>
      <w:pPr>
        <w:pStyle w:val="TextBody"/>
        <w:bidi w:val="0"/>
        <w:spacing w:lineRule="auto" w:line="288" w:before="240" w:after="283"/>
        <w:jc w:val="left"/>
        <w:rPr/>
      </w:pPr>
      <w:r>
        <w:rPr>
          <w:rFonts w:ascii="Times New Roman;serif" w:hAnsi="Times New Roman;serif"/>
          <w:b w:val="false"/>
          <w:color w:val="242424"/>
          <w:sz w:val="20"/>
        </w:rPr>
        <w:t>We offer leasing and financing of our vehicles to potential customers through third-party financing partners and intend to do the same in new markets, but we cannot provide any assurance that such third-party financing partners will continue, or would be able or willing, to provide such services on terms acceptable to us or our customers, if at all. Furthermore, because we have only sold a limited number of vehicles and only a limited secondary market for our vehicles exists, the future resale value of our vehicles is difficult to predict, and, if the actual resale value of our vehicles is lower than anticipated, it would make providing leasing terms that appeal to potential customers through such third-party financing partners more difficult. We believe that the ability to offer attractive leasing and financing options—whether due to the availability, reduction or continued elimination of tax incentives and certain governmental or economic programs, the availability of agreements with our third-party financing partners on terms acceptable to us or our customers, or other reasons—is particularly relevant to customers in the luxury vehicle segments in which we compete, and if we are unable to offer our customers an attractive option to finance the purchase of or lease the Lucid Air, the Lucid Gravity or planned future vehicles, including the upcoming Midsize platform vehicles, such failure could substantially reduce the population of potential customers and decrease demand for our vehicles. See “—</w:t>
      </w:r>
      <w:r>
        <w:rPr>
          <w:color w:val="242424"/>
        </w:rPr>
        <w:t xml:space="preserve"> </w:t>
      </w:r>
      <w:r>
        <w:rPr>
          <w:rFonts w:ascii="Times New Roman;serif" w:hAnsi="Times New Roman;serif"/>
          <w:b w:val="false"/>
          <w:i/>
          <w:color w:val="242424"/>
          <w:sz w:val="20"/>
        </w:rPr>
        <w:t>The unavailability, reduction or elimination of certain government and economic programs could have a material adverse effect on our business, prospects, financial condition and results of operations</w:t>
      </w:r>
      <w:r>
        <w:rPr>
          <w:rFonts w:ascii="Times New Roman;serif" w:hAnsi="Times New Roman;serif"/>
          <w:b w:val="false"/>
          <w:color w:val="242424"/>
          <w:sz w:val="20"/>
        </w:rPr>
        <w:t>.”</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Furthermore, offering leasing and financing alternatives to customers could expose us to regulatory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whether due to inflation, global or regional conflicts or other geopolitical events, or public crises. If we are unable to provide leasing and financing arrangements that appeal to potential customers in a timely manner, or if the provision of such arrangements exposes us to excessive consumer credit risk or regulatory risk, our business, competitive position, results of operations and financial condition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In addition, we provide a residual value guarantee to our commercial banking partner in connection with our vehicle leasing program, under which we are contractually obligated to share a portion of the shortfall between the resale value realized by the commercial banking partner and a predetermined resale value. However, actual resale values are subject to fluctuations from various factors such as the condition of the leased vehicle, market price of new vehicles, and general economic conditions. If the resale values of leased vehicles pursuant to the vehicle leasing program are materially lower than our estimates, we may be required to cover some or all of such difference and our results of operations could be negatively impacted.</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We may not be able to obtain or agree on acceptable terms and conditions for all or a significant portion of the government grants, loans and other incentives for which we may apply. As a result, our business and prospects may be adversely affected.</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We may apply for federal, state and foreign grants, loans and tax incentives under government programs designed to stimulate the economy and support the production of alternative fuel and EVs and related technologies. We anticipate that in the future there may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guarantee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We design our vehicles with proprietary ADAS hardware and software. The Lucid Air and Lucid Gravity are equipped with Level 2 (partial automation) ADAS functionality. Additionally, our vehicles are capable of integrating third-party ADAS hardware and software. For example, in July 2025, we entered into an integration agreement with Nuro to install autonomous driving software in Lucid Gravity vehicles, in conjunction with our agreement with Uber, to enable Uber and its designated fleet operators to operate the vehicles with Level 4 autonomy. Over time, we plan to upgrade our vehicles with additional ADAS and AV capabilities. ADAS and AV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non-Lucid vehicles, including alleged failures or misuse of such features, have generated significant negative media attention and government investigations. We and others in our industry are subject to a Standing General Order issued by NHTSA that requires us to report any crashes in which certain ADAS features were active, and these crash reports will become publicly available. To the extent accidents associated with our ADAS or third-party technologies occur, we could be subject to significant liability, negative publicity, government scrutiny and further regulation. Any of the foregoing could materially and adversely affect our results of operations, financial condition and growth prospects.</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In addition, we face substantial competition in the development and deployment of ADAS and AV technologies. Many of our competitors, including established automakers and technology companies, have devoted significant time and resources to developing self-driving technologies. If we are unable to develop or improve competitive Level 2 or more advanced ADAS technologies in-house or acquire access to such technologies via partnerships or investments in other companies or assets, we may be unable to equip our vehicles with competitive ADAS or AV features, which could damage our brand, reduce consumer demand for our vehicles and could have a material adverse effect on our business, results of operations, prospects and financial condition.</w:t>
      </w:r>
    </w:p>
    <w:p>
      <w:pPr>
        <w:pStyle w:val="TextBody"/>
        <w:bidi w:val="0"/>
        <w:spacing w:lineRule="auto" w:line="288" w:before="240" w:after="283"/>
        <w:jc w:val="left"/>
        <w:rPr/>
      </w:pPr>
      <w:r>
        <w:rPr>
          <w:rFonts w:ascii="Times New Roman;serif" w:hAnsi="Times New Roman;serif"/>
          <w:b w:val="false"/>
          <w:color w:val="242424"/>
          <w:sz w:val="20"/>
        </w:rPr>
        <w:t xml:space="preserve">ADAS and AV technologies are also subject to regulatory uncertainty, which exposes us to additional risks. See “— Risks Related to Litigation and Regulation </w:t>
      </w:r>
      <w:r>
        <w:rPr>
          <w:color w:val="242424"/>
        </w:rPr>
        <w:t xml:space="preserve">— </w:t>
      </w:r>
      <w:r>
        <w:rPr>
          <w:rFonts w:ascii="Times New Roman;serif" w:hAnsi="Times New Roman;serif"/>
          <w:b w:val="false"/>
          <w:i/>
          <w:color w:val="242424"/>
          <w:sz w:val="20"/>
        </w:rPr>
        <w:t>ADAS and autonomous vehicle technologies are subject to uncertain and evolving regulations.</w:t>
      </w:r>
      <w:r>
        <w:rPr>
          <w:color w:val="242424"/>
        </w:rPr>
        <w:t>”</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Uninsured or underinsured losses could result in payment of substantial damages, which would decrease our cash reserves and could harm our cash flow and financial condition.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the ordinary course of business, we may be subject to losses resulting from claims such as product liability, significant accidents, acts of God or other claims brought against us, for which we may have no or insufficient insurance coverage. While we currently carry insurance that is generally customary for a company of our size and operations, we may not maintain as much insurance coverage as other original equipment manufacturers, and in some cases, we may not maintain any at all. Additionally, the policies that we have in place may include significant deductibles, limitations or exclusions, and we cannot be certain that our insurance coverage will be sufficient to cover all or any future claims. A loss that is uninsured or exceeds existing policy limits may require us to pay unexpected and substantial amounts, which could adversely affect our financial condition and results of operations. Further, insurance coverage may not continue to be available to us or, if available, may be at a significantly higher cost based on insurance market conditions, changes in our risk profile or loss portfolio. This may require a change in our insurance purchasing philosophy and strategy which can result in the assumption of greater risks to offset insurance market fluctuations.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Extended periods of low gasoline or other petroleum-based fuel prices could adversely affect demand for our vehicles, which would adversely affect our business, prospects, results of operations and financial condition.</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 xml:space="preserve">A portion of the current and expected demand for EVs results from concerns about volatility in the cost of gasoline and other petroleum-based fuel, the dependency of the United States on oil from unstable or hostile countries, government regulations and the availability, reduction or elimination of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EVs, including our vehicles, could be reduced, and our business and revenue may be harmed. In addition to the OBBBA, the current U.S. presidential administration has prioritized efforts that encourage domestic production of fossil-fuel energy, including oil. If increased production of oil lowers gas prices, demand for EV vehicles may decline. </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Gasoline and other petroleum-based fuel prices have historically been extremely volatile and it is difficult to ascertain whether such volatility will continue to persist, which could be exacerbated by geopolitical events.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EVs, including our vehicles, may decrease, which would have an adverse effect on our business, prospects, financial condition and results of operations.</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Changing and at times, conflicting expectations from global regulations, our investors, customers and employees with respect to sustainability matters may impose additional costs on us or expose us to new or additional risks.</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Attention from governmental organizations and our investors, customers and employees, on sustainability issues and disclosure, may cause us to incur additional costs or expose us to additional risks. There can be no certainty that we will be able to meet varying or conflicting stakeholder expectations regarding these matters to our various stakeholders’ satisfaction. Negative public perception, adverse publicity or negative comments in social media about us could damage our reputation. Any harm to our reputation could impact our employees’ engagement and retention and the willingness of our customers and partners to do business with us.</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Additional costs and resources may be required to monitor, report, and comply with global regulations on sustainability topics, and the rapidly changing regulatory landscape makes it difficult to plan for future developments. Actual or perceived shortcomings or dissatisfaction with our sustainability practices and reporting may subject us to litigation and could negatively impact our business. In addition, a variety of organizations have developed ratings to measure the performance of companies on these topics, and the results of these assessments are widely publicized. Unfavorable or downgraded ratings of our company or our industries, as well as non-inclusion or removal of our stock on sustainability-oriented investment funds or indexes, may lead to negative investor sentiment and the diversion of investment to other companies or industries, which could have a negative impact on our stock price.</w:t>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Manufacturing and Supply Chain</w:t>
      </w:r>
    </w:p>
    <w:p>
      <w:pPr>
        <w:pStyle w:val="TextBody"/>
        <w:bidi w:val="0"/>
        <w:spacing w:lineRule="auto" w:line="288" w:before="240" w:after="283"/>
        <w:jc w:val="left"/>
        <w:rPr/>
      </w:pPr>
      <w:r>
        <w:rPr>
          <w:rFonts w:ascii="Times New Roman;serif" w:hAnsi="Times New Roman;serif"/>
          <w:b/>
          <w:i/>
          <w:color w:val="231F20"/>
          <w:sz w:val="20"/>
        </w:rPr>
        <w:t xml:space="preserve">We have experienced and may in the future experience significant delays in the design, launch and manufacture of our vehicles, including the Lucid Air, the </w:t>
      </w:r>
      <w:r>
        <w:rPr>
          <w:rFonts w:ascii="Times New Roman;serif" w:hAnsi="Times New Roman;serif"/>
          <w:b/>
          <w:i/>
          <w:color w:val="000000"/>
          <w:sz w:val="20"/>
        </w:rPr>
        <w:t>Lucid</w:t>
      </w:r>
      <w:r>
        <w:rPr>
          <w:color w:val="000000"/>
        </w:rPr>
        <w:t xml:space="preserve"> </w:t>
      </w:r>
      <w:r>
        <w:rPr>
          <w:rFonts w:ascii="Times New Roman;serif" w:hAnsi="Times New Roman;serif"/>
          <w:b/>
          <w:i/>
          <w:color w:val="231F20"/>
          <w:sz w:val="20"/>
        </w:rPr>
        <w:t>Gravity and our upcoming Midsize platform, which could harm our business and prospects.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plan to scale our manufacturing capacity and increase sales is dependent upon the timely availability of funds, upon our finalizing of the related design, engineering, component procurement, testing, build-out and manufacturing plans in a timely manner and also upon our ability to execute these plans within the planned timeline. Automobile manufacturers often experience delays in the design, manufacture and commercial release of new vehicle models, as well as in ramping up production, and we have experienced in the past, and may experience in the future, such delays with regard to our vehicles. For example, we have experienced delays in the engineering of certain of our vehicle systems, including as a result of design changes to components. Any future delays in the design, launch and manufacture of our vehicles and variants could materially damage our brand, business, prospects, financial condition and results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Midsize platform is still under development, and may be delayed or not proceed as planned. Additionally, prior to mass production of our EVs, they must be fully approved for sale in accordance with a range of jurisdiction-specific requirements, including but not limited to regulatory approvals in the various geographies where we intend to launch. Likewise, we have encountered and may continue to encounter delays with the design, construction, and regulatory or other approvals necessary to bring online our future expansions in Arizona and Saudi Arabia, or any other future manufacturing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Furthermore, we rely on third-party suppliers for the development, manufacture, and supply of many key components and materials used in our vehicles, as well as for provisioning and servicing equipment at our manufacturing facilities. We have been affected by ongoing, industry-wide challenges in logistics and supply chains, such as increased supplier lead times and the limited availability of reliable third-party suppliers. These challenges have affected our ability, as well as the ability of our suppliers, to obtain parts, components and manufacturing equipment on a timely basis, and in some instances, have resulted in increased costs and delays in facilities construction and expansion as well as vehicle production ramp-up. We expect the risk of unexpected disruptions to continue for the foreseeable future. Any delays by our suppliers in delivering or developing necessary components may result in further setbacks to our production and delivery timelines.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Any significant delay or complication in the design of our vehicles, or in the launch, manufacture, and production ramp of our products, features and services, including those related to expanding our production capacity and supply chain, obtaining or maintaining necessary regulatory approvals, or managing such ramps cost-effectively, could materially damage our brand, business, prospects, financial condition and results of operations.</w:t>
      </w:r>
    </w:p>
    <w:p>
      <w:pPr>
        <w:pStyle w:val="TextBody"/>
        <w:bidi w:val="0"/>
        <w:spacing w:lineRule="auto" w:line="288" w:before="240" w:after="283"/>
        <w:jc w:val="left"/>
        <w:rPr/>
      </w:pPr>
      <w:r>
        <w:rPr>
          <w:rFonts w:ascii="Times New Roman;serif" w:hAnsi="Times New Roman;serif"/>
          <w:b w:val="false"/>
          <w:color w:val="231F20"/>
          <w:sz w:val="20"/>
        </w:rPr>
        <w:t xml:space="preserve">The continued development, manufacturing and production ramp of our vehicles, including the Lucid Air, the </w:t>
      </w:r>
      <w:r>
        <w:rPr>
          <w:rFonts w:ascii="Times New Roman;serif" w:hAnsi="Times New Roman;serif"/>
          <w:b w:val="false"/>
          <w:color w:val="000000"/>
          <w:sz w:val="20"/>
        </w:rPr>
        <w:t xml:space="preserve">Lucid </w:t>
      </w:r>
      <w:r>
        <w:rPr>
          <w:rFonts w:ascii="Times New Roman;serif" w:hAnsi="Times New Roman;serif"/>
          <w:b w:val="false"/>
          <w:color w:val="231F20"/>
          <w:sz w:val="20"/>
        </w:rPr>
        <w:t>Gravity and our upcoming Midsize platform, are and will be subject to risks, including with respect to:</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ensure ongoing readiness of firmware features and functions to be integrated into the Lucid Air as planned and on the desired timeline;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finalize release candidate specifications for our future vehicles as planned and on the desired timeline;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any delays by us in delivering final component designs to our suppliers or any changes to such component designs;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or our suppliers’ ability to successfully tool manufacturing facilities as planned and on the desired timeline;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ensure a working and reliable supply chain and desired supplier part quality and quantity as planned and on the desired timeline;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accurately manufacture vehicles within specified design tolerances;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establish, implement,</w:t>
      </w:r>
      <w:r>
        <w:rPr>
          <w:color w:val="000000"/>
        </w:rPr>
        <w:t xml:space="preserve"> </w:t>
      </w:r>
      <w:r>
        <w:rPr>
          <w:rFonts w:ascii="Times New Roman;serif" w:hAnsi="Times New Roman;serif"/>
          <w:b w:val="false"/>
          <w:color w:val="000000"/>
          <w:sz w:val="20"/>
        </w:rPr>
        <w:t>refine and scale, as well as make significant investments in manufacturing, supply chain management and logistics functions, including the related information technology systems and software applications;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adequately reduce and control the costs of key parts and materials;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our ability to significantly reduce freight costs, including in-bound freight costs;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manage any transitions or changes in our production process, planned or unplanned;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occurrence of product defects that cannot be remedied without adversely affecting the production;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secure neces</w:t>
      </w:r>
      <w:r>
        <w:rPr>
          <w:rFonts w:ascii="Times New Roman;serif" w:hAnsi="Times New Roman;serif"/>
          <w:b w:val="false"/>
          <w:color w:val="231F20"/>
          <w:sz w:val="20"/>
        </w:rPr>
        <w:t>sary funding;</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negotiate and execute definitive agreements with various suppliers for hardware, software, or services necessary to engineer or manufacture our vehicles;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obtain required regulatory approvals and certifications;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comply with environmental, safety, and similar regulations and in a timely manner;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secure necessary components, services, or licenses on acceptable terms and in a timely manner;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attract, recruit, hire, retain and train skilled employees including supply chain management, supplier quality, manufacturing and logistics personnel;</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design and implement effective and efficient quality control and inventory management processes;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delays, disruptions or other changes in our supply chain, including raw material supplies and availability, reliability and cost-effectiveness in domestic and international sourcing;</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 xml:space="preserve">securing in a timely manner necessary raw materials and components that meet our quality standards, including raw materials and components subject to China’s export control requirements regarding certain rare-earth minerals and semiconductor-related products, such as microchips; </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maintain arrangements on commercially reasonable terms with our suppliers, delivery and other partners, after sales service providers, and other operationally significant third parties;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other delays, backlog in manufacturing and research and development of new mo</w:t>
      </w:r>
      <w:r>
        <w:rPr>
          <w:rFonts w:ascii="Times New Roman;serif" w:hAnsi="Times New Roman;serif"/>
          <w:b w:val="false"/>
          <w:color w:val="000000"/>
          <w:sz w:val="20"/>
        </w:rPr>
        <w:t>dels, and cost overruns;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other risks identified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000000"/>
          <w:sz w:val="20"/>
        </w:rPr>
        <w:t>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EVs could be significantly delayed, which would materially adversely affect our business, prospects, financial condition and results of operations. See “</w:t>
      </w:r>
      <w:r>
        <w:rPr>
          <w:color w:val="000000"/>
        </w:rPr>
        <w:t>—</w:t>
      </w:r>
      <w:r>
        <w:rPr>
          <w:rFonts w:ascii="Times New Roman;serif" w:hAnsi="Times New Roman;serif"/>
          <w:b w:val="false"/>
          <w:color w:val="000000"/>
          <w:sz w:val="20"/>
        </w:rPr>
        <w:t xml:space="preserve">Risks Related to Financing and Strategic Transactions </w:t>
      </w:r>
      <w:r>
        <w:rPr>
          <w:color w:val="000000"/>
        </w:rPr>
        <w:t xml:space="preserve">— </w:t>
      </w:r>
      <w:r>
        <w:rPr>
          <w:rFonts w:ascii="Times New Roman;serif" w:hAnsi="Times New Roman;serif"/>
          <w:b w:val="false"/>
          <w:i/>
          <w:color w:val="000000"/>
          <w:sz w:val="20"/>
        </w:rPr>
        <w:t>We will require additional capital to support business growth, and this capital might not be available on commercially reasonable terms, or at all.”</w:t>
      </w:r>
    </w:p>
    <w:p>
      <w:pPr>
        <w:pStyle w:val="TextBody"/>
        <w:bidi w:val="0"/>
        <w:spacing w:lineRule="auto" w:line="288" w:before="240" w:after="283"/>
        <w:jc w:val="left"/>
        <w:rPr/>
      </w:pPr>
      <w:r>
        <w:rPr>
          <w:rFonts w:ascii="Times New Roman;serif" w:hAnsi="Times New Roman;serif"/>
          <w:b/>
          <w:i/>
          <w:color w:val="000000"/>
          <w:sz w:val="20"/>
        </w:rPr>
        <w:t xml:space="preserve">Our ability to continue production and grow depends upon our ability to </w:t>
      </w:r>
      <w:r>
        <w:rPr>
          <w:rFonts w:ascii="Times New Roman;serif" w:hAnsi="Times New Roman;serif"/>
          <w:b/>
          <w:i/>
          <w:color w:val="231F20"/>
          <w:sz w:val="20"/>
        </w:rPr>
        <w:t>maintain relationships with our existing suppliers and source suppliers for our critical components, and to complete building out our supply chain, while effectively managing the risks due to such relationships.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success, including our ability to continue production of the Lucid Air and Lucid Gravity, and commence production of our Midsize platform, will depend on our ability to enter into supplier agreements and maintain our relationships with hundreds of suppliers that are critical to the production of our vehicles. To date, we have not secured long-term supply agreements for all of our components, and for some components, our supply agreements do not guarantee sufficient quantities of components for our vehicle production ramp. We seek opportunities to secure long-term committed supply agreements for certain of these components. The supplier agreements we have or may enter into with key suppliers in the future may not be renewed or may contain provisions under which suppliers may refuse to supply. To the extent that we do not have long-term supply agreements with guaranteed pricing for our parts or components, we will be exposed to fluctuations in prices of components, materials and equipment. In addition, our agreements for the purchase of battery cells and other components often contain pricing provisions that are subject to adjustment based on changes in market prices of key commodities or currency values. Substantial increases in the costs for such components, materials and equipment, whether due to supply chain or logistics issues, adverse economic conditions, changes in trade policies or agreements, the uncertainties surrounding domestic and foreign tariffs, export controls, inflation, or increased energy or natural gas costs, would increase our operating costs and could reduce our margins if we cannot offset these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may also be at a disadvantage in negotiating supply agreements for the production of our vehicles as well as for the design and construction of our manufacturing facilities due to our limited operating history. In addition, given that in many cases we are an aggregator of automotive parts produced by third-party manufacturers, there is the possibility that supply agreements for the parts and components for our vehicles could be at costs that make it difficult for us to operate profitably.</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We rely on hundreds of third-party suppliers for the provision and development of many key components and materials used in our vehicles. While we seek to obtain components from multiple sources whenever possible, many components used in our vehicles will be custom-designed and purchased by us from a single source. Our limited, and in many cases single-source, supply chain exposes us to delivery failure or component shortages for our production, including continued production of the Lucid Air and Lucid Gravity. Our third-party suppliers may not be able to meet our required product specifications and performance characteristics, which would impact our ability to achieve our product specifications and performance characteristics as well. Additionally, our third-party suppliers may be unable to obtain required certifications or provide necessary warranties for their products that are necessary for use in our vehicles. </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We have been affected by ongoing, industry-wide challenges in logistics and supply chains, such as increased supplier lead times, limited availability of reliable third-party suppliers, and ongoing constraints in the supply of semiconductors and their related products. We expect that these industry-wide trends may continue to affect the ability of us and our suppliers to obtain parts, components and manufacturing equipment, including for the expansion of AMP-1 and the construction of AMP-2, on a timely basis for the foreseeable future, and may result in increased costs. Changes in our supply chain or production needs in order to meet our desired quality targets, development timelines and production volumes as well as due to design changes and model updates have resulted in cost increases from our suppliers.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Any significant increases in our production, such as production ramp of our vehicles, may require us to procure additional components in a short amount of time and our suppliers may not ultimately be able to sustainably and timely meet our cost, quality and volume needs, requiring us to replace them with other sources. In many cases, our suppliers provide us with custom-designed parts that would require significant lead time to obtain from alternative suppliers, or may not be available from alternative suppliers at all.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 Alternatively, if our production decreases significantly below our projections for any reason, we may not meet all of our purchase commitments with suppliers with whom we have non-cancelable long-term purchase commitments. In cases where we are unable to fully utilize our purchase commitments, we have in the past and may continue to face fees, penalties, increased prices, excess inventory or inventory write-offs, and there could be a material adverse effect on our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we have experienced, and in the future could continue to experience, delays if our suppliers do not meet agreed-upon timelines and volumes, experience capacity constraints, or deliver components that do not meet our quality standards or other requirements. Any disruption in the supply of components, including battery cells, magnets and semiconductors, whether or not from a single source supplier, could temporarily disrupt production of our vehicles until an alternative supplier is able to supply the required material. Any such delay, even if caused by a delay or shortage in only one part, could significantly affect our ability to meet our planned vehicle production targets. Even in situations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a timely basis, on favorable pricing and other terms, or at all. The industry in which we operate has recently experienced severe supply chain disruptions, and we expect these conditions to continue for the foreseeable future. Any such supply disruption could materially and adversely affect our results of operations, financial condition and prospects.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as we scale our vehicle production, we will need to accurately forecast, purchase, warehouse and transport components to our manufacturing facilities and servicing locations internationally and at much higher volumes. We are only beginning to scale production in our manufacturing facilities and in the process we have experienced challenges associated with such activities. If our production decreases significantly below our projections for any reason, we may incur loss due to inventory write-downs or assets impairment. We are also only in the process of scaling our vehicle servicing operations. Accordingly, we have not thoroughly tested our ability to scale production and vehicle servicing and mitigate risks associated with these activities. In addition, our current systems and processes are not mature, which may affect our ability to timely initiate critical and time sensitive projects and increase project costs. If we continue to experience logistics challenges, are unable to accurately match the timing and quantities of component purchases to our actual needs, successfully recruit and retain personnel with relevant experience, timely comply with applicable regulations, or successfully implement automation, inventory management and other systems or processes to accommodate the increased complexity in our supply chain and manufacturing operations, we may incur unexpected production disruption, storage, transportation and write-off costs, which could have a material adverse effect on our results of operations and financial condition.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unexpected changes in business conditions, materials pricing, labor issues, wars, global or regional conflicts or other geopolitical events, governmental changes, political uncertainty, trade policies and agreements, the uncertainties surrounding domestic and foreign tariffs, export controls, natural disasters, health epidemics, and other factors beyond our and our suppliers’ control could also affect these suppliers’ ability to deliver components to us on a timely basis. For example, some of the shipping routes in the Red Sea have been affected by the conflicts in the Middle East, resulting in delays in delivery of components and an increase in shipping costs globally. Additionally, governmental and policy changes may continue to result in new or increased tariffs on imported components. Our ability to mitigate these cost increases may be limited by the lack of alternative suppliers from unaffected countries or domestic suppliers with production capabilities to meet our requirements. Such disruptions or increase in costs could have a material adverse impact on our business, including our ability to timely manufacture and distribute our products in a cost-effective manner and adversely affect our results of operations and financial condition.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we have identified certain of our suppliers, including certain suppliers we deem critical, as having poor financial health or being at risk of acquisition, liquidation or bankruptcy. Although we routinely review our suppliers’ financial health and attempt to identify alternate suppliers where possible, the loss of any supplier, particularly a single- or limited-source supplier, or the disruption in the supply of components from our suppliers, has led and may in the future continue to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we may be required to provide substantial financial support to ensure supply continuity, which could have an additional adverse effect on our liquidity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Changes in costs, changes of supply or shortage of materials, in particular for lithium-ion battery cells, could harm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As we scale commercial production of our vehicles or any future energy storage systems, we have experienced and may continue to experience increases in the cost of or a sustained interruption in the supply or shortage of materials. Any such increase, supply interruption or shortage could materially and adversely impact our business, results of operations, prospects and financial condition. For example, as we continue the expansion of AMP-1 and the construction of AMP-2, we have experienced increases in material and infrastructure equipment prices and cost of construction labor. In addition, we use various materials in our business, including aluminum, steel, magnets, lithium, nickel, copper, cobalt, neodymium, terbium, praseodymium and manganese, as well as lithium-ion battery cells and semiconductors from suppliers. The prices for these materials fluctuate, and their available supply may be unstable, depending on market conditions, trade policies, tariffs and export controls, inflationary pressure and global demand for these materials, including as a result of increased production of EVs, energy storage products by our competitors and the global supply chain crisis, and could adversely affect our business and results of operations. For instance, we are exposed to multiple risks relating to lithium-ion battery cells. These risks include: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 change in the cost, or changes in the available supply, of materials, such as cobalt, used in lithium-ion battery cells;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disruption in the supply of lithium-ion battery cells due to quality issues or recalls by manufacturers;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manage our supply and inventory of lithium-ion battery cells;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fluctuations in the value of any foreign currencies, in which lithium-ion battery cells and related raw material purchases are or may be denominated against the U.S. dollar.</w:t>
      </w:r>
    </w:p>
    <w:p>
      <w:pPr>
        <w:pStyle w:val="TextBody"/>
        <w:bidi w:val="0"/>
        <w:spacing w:lineRule="auto" w:line="288" w:before="240" w:after="283"/>
        <w:jc w:val="left"/>
        <w:rPr/>
      </w:pPr>
      <w:r>
        <w:rPr>
          <w:rFonts w:ascii="Times New Roman;serif" w:hAnsi="Times New Roman;serif"/>
          <w:b w:val="false"/>
          <w:color w:val="231F20"/>
          <w:sz w:val="20"/>
        </w:rPr>
        <w:t xml:space="preserve">Our ability to manufacture our vehicles or any future energy storage systems will depend on the continued supply of battery cells for the battery packs used in our products. A growth in popularity of EVs without a significant expansion in battery cell production capacity could result in shortages which would result in increased materials costs to us, and would impact our expected manufacturing and delivery timelines, and adversely affect our business, prospects, financial condition, results of operations, and cash flows. We have limited flexibility in changing battery cell suppliers, and any disruption in the supply of battery cells from such suppliers could disrupt production of our vehicles until a different supplier is fully qualified. In addition, </w:t>
      </w:r>
      <w:r>
        <w:rPr>
          <w:rFonts w:ascii="Times New Roman;serif" w:hAnsi="Times New Roman;serif"/>
          <w:b w:val="false"/>
          <w:color w:val="000000"/>
          <w:sz w:val="20"/>
        </w:rPr>
        <w:t xml:space="preserve">pursuant to the agreement we entered into in connection with the supply of lithium-ion battery cells, we have made certain </w:t>
      </w:r>
      <w:r>
        <w:rPr>
          <w:rFonts w:ascii="Times New Roman;serif" w:hAnsi="Times New Roman;serif"/>
          <w:b w:val="false"/>
          <w:color w:val="231F20"/>
          <w:sz w:val="20"/>
        </w:rPr>
        <w:t>non-can</w:t>
      </w:r>
      <w:r>
        <w:rPr>
          <w:rFonts w:ascii="Times New Roman;serif" w:hAnsi="Times New Roman;serif"/>
          <w:b w:val="false"/>
          <w:color w:val="000000"/>
          <w:sz w:val="20"/>
        </w:rPr>
        <w:t xml:space="preserve">celable long-term purchase commitments. If our production decreases significantly below our projections for any reason, we may not meet all of our purchase commitments. In cases where we are unable to fully utilize our purchase commitments, we have in the past and may continue to face fees, penalties, increased prices, excess inventory or inventory write-offs, and there could be a </w:t>
      </w:r>
      <w:r>
        <w:rPr>
          <w:rFonts w:ascii="Times New Roman;serif" w:hAnsi="Times New Roman;serif"/>
          <w:b w:val="false"/>
          <w:color w:val="231F20"/>
          <w:sz w:val="20"/>
        </w:rPr>
        <w:t>material adverse effect on our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Furthermore, our ability to manufacture our vehicles depends on continued and reliable access to semiconductors and microchips that incorporate them. The ongoing global semiconductor supply shortage, including as a result of China’s export controls over Nexperia’s microchip products, has impacted the automotive industry and affected many suppliers and manufacturers, including us. We have experienced, and may continue to experience, an impact on our operations as a result of such shortages, which could delay or reduce planned production levels of our current and future vehicles and have an adverse effect on our business, prospects and results of operations. Moreover, export controls, particularly those affecting components within our supply chain, such as China’s restrictions on certain rare-earth minerals, has posed, and could continue to pose, risks to our production and distribution capabilities. In addition, foreign currency fluctuations, tariffs, shortages in petroleum or natural gas and other economic or political conditions have contributed to and may continue to result in significant increases in freight charges and raw material costs. These risks could be further magnified by geographical developments, global or regional conflicts or other geopolitical events, including the war in Ukraine, the recent geopolitical tensions in Venezuela and the risk of escalation or expansion of conflicts in the Middle East, which affects shipping routes both regionally and globally. Substantial increases in the prices for our raw materials or components would increase our operating costs and could reduce our margins. Any attempts to raise product prices in response to increased material costs could lead to reduced demand for our vehicles and materially and adversely affect our brand, image, business, results of operations, prospects and financial condition. </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must develop complex software and technology systems, including in coordination with vendors and suppliers, in order to produce our EVs, and there can be no assurance such systems will be successfully developed.</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vehicles use a substantial amount of third-party and proprietary software and complex technological hardware to operate, some of which is still subject to further development and testing. The development and implementation of such advanced technologies is inherently complex and requires coordination with our vendors and suppliers in order to integrate such technology into our EVs and ensure it interoperates with other complex technology as designed and as expected.</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may fail to detect defects and errors that are subsequently revealed, and our control over the performance of third-party services and systems may be limited. Any defects or errors in, or which are attributed to, our technology, could result in, among other things: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delayed production and delivery of our vehicles;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delayed market acceptance of our vehicles;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loss of customers or inability to attract new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diversion of engineering or other resources for remedying the defect or error;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damage to our brand or reputation;</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increased service and warranty costs;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legal action by customers or third parties, including product liability claims;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penalties imposed by regulatory authorities.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if we are unable to develop the software and technology systems necessary to operate our vehicles, it will harm our competitive position. We rely on third-party suppliers to develop a number of technologies for use in our products.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If we fail to successfully construct or tool our manufacturing facilities or if our manufacturing facilities become inoperable, we will be unable to produce our vehicles and our business will be harmed.</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have completed the initial and second phases of construction at AMP-1 and the SKD portion of AMP-2, and further construction of AMP-1 and the second phase of AMP-2 is in progress. We also acquired select assets and assumed leases for certain facilities previously belonging to Nikola Corporation, including Nikola’s former Coolidge manufacturing facility. However, tooling these facilities for production of our vehicles and our future expansion plans are complicated and present significant challenges and may require us to take vehicle production offline. In addition, certain of our suppliers may be unable to complete tooling with respect to finalized components of our vehicles in the planned timeframe after we deliver final component specifications, which could adversely affect our ability to continue commercial production of the Lucid Air and Lucid Gravity on the expected timing and at the quality levels we require. As with any large-scale capital project, these efforts could be subject to delays, cost overruns or other complications. In addition, we may encounter problems or disputes with our vendors for a variety of reasons, including for reasons beyond our control, and such disputes, with or without merit, could also cause significant delays and cost overruns. These risks could be increased because we are building our facilities from the ground up to support our EV production processes, which differ substantially from traditional automobile production processes for which expertise is more readily available. In connection with the commercial production at AMP-1 and SKD production at AMP-2, we have hired and trained and continue to hire, retain, and train a significant number of employees and integrate a yet-to-be-fully-developed supply chain. Any failure to continue commercial or SKD production on schedule would lead to additional costs and would delay our ability to generate meaningful revenues. In addition, it could prevent us from gaining the confidence of potential customers, spur cancellations of orders and open the door to increased competition. All of the foregoing could hinder our ability to successfully launch and grow our business and achieve a competitive position in the market.</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our future vehicles, or adversely affect our ability to timely sell and deliver our EVs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current expectations. Although we do not currently expect that we will be required to take vehicle production offline or reduce our planned manufacturing volumes, any such repairs or remediation could entail significant costs, and we may be unable to recover some or all of such costs from the applicable contractor(s).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construction of our facilities and our operations are also subject to review and inspection by officials in the jurisdictions where our facilities are located, including without limitation, fire officials and building construction officials. We have received in the past, and could in the future receive, results from inspections by local officials at our facilities, both existing and currently under construction, citing failing marks. When such results have arisen, we actively engaged with the local authorities to address all of the specific issues identified by those officials as well as to devise means and methods that help ensure a safe and compliant work environment. Any future results will be addressed in a similar manner. Failure to address issues raised by local authorities may result in government-ordered temporary cessation of our construction or production operations, which could require us to take vehicle production offline or reduce our planned manufacturing volumes, all of which could have a material adverse effect on our business, results of operations, cash flows, financial condition or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complex machinery for our operations, and production involves a significant degree of risk and uncertainty in terms of operational performance, safety, security and costs.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ADAS hardware. There is no guarantee that we will be able to successfully and timely introduce and scale any such new processes or features.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also rely heavily on complex machinery for our operations, and our production involves a significant degree of uncertainty and risk in terms of operational performance and costs. Our manufacturing plant employs large-scale, complex machinery combining many components, which may suffer unexpected malfunctions from time-to-time and will depend on repairs and spare parts that may not be available when needed. Furthermore, AMP-1 and AMP-2, and the equipment we use to manufacture our vehicles, will be costly to repair or replace and could require substantial lead-time to repair or replace and qualify for use.</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or events, including but not limited to earthquakes, tornadoes, flooding, fire, power outages, sandstorms, environmental hazards and remediation, costs associated with decommissioning of equipment, labor disputes and strikes, lack of availability of qualified construction or operational labor, difficulty or delays in obtaining governmental permits and licenses, damages or defects in electronic systems, industrial accidents, health epidemics, political changes or instability, wars, military actions, global or regional conflicts, or other geopolitical events,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this insurance may not be sufficient to cover all of our potential losses and may not continue to be available to us on acceptable terms, if at all, based on insurance market conditions or our evolving risk profile.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of which could have a material adverse effect on our business, results of operations, cash flows, financial condition or prospects.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If we update or discontinue the use of our manufacturing equipment more quickly than expected, we may have to shorten the useful lives of this equipment, and the resulting acceleration in our depreciation could negatively affect our financial results.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ramp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have limited experience in high volume manufacture of our vehicles.</w:t>
      </w:r>
    </w:p>
    <w:p>
      <w:pPr>
        <w:pStyle w:val="TextBody"/>
        <w:bidi w:val="0"/>
        <w:spacing w:lineRule="auto" w:line="288" w:before="240" w:after="283"/>
        <w:jc w:val="left"/>
        <w:rPr/>
      </w:pPr>
      <w:r>
        <w:rPr>
          <w:rFonts w:ascii="Times New Roman;serif" w:hAnsi="Times New Roman;serif"/>
          <w:b w:val="false"/>
          <w:color w:val="231F20"/>
          <w:sz w:val="20"/>
        </w:rPr>
        <w:t xml:space="preserve">We cannot provide any assurance as to whether we will be able to develop and implement efficient, automated, low-cost logistics and production capabilities and processes and reliable sources of component supply that will enable us to meet the quality, price, engineering, design and production standards, as well as the production volumes, required to successfully mass market and ramp up production of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political changes or instability, wars, military actions, global or regional conflicts or other geopolitical events or force majeure events, or in time to meet our commercialization schedules, or to store and deliver parts in sufficient quantities to the manufacturing lines in a manner that enables us to maintain our production ramp curve and rates, satisfy the requirements of customers and potential customers or fully utilize our purchase commitments with suppliers. For example, as result of the conflicts in the Middle East, we have experienced an impact on our shipping routes in the Red Sea, which has resulted in shipping delays and increased shipping costs globally. Any failure to develop, implement and maintain such logistics, production, quality control, and inventory management processes and capabilities within our projected costs and timelines could have a material adverse effect on our business, results of operations, prospects and financial condition. Moreover, we have experienced logistics challenges as we continue to refine our manufacturing, logistics and inventory management processes, and efforts to implement or improve such processes may cause halts or delays in production and result in additional costs. Bottlenecks and other unexpected challenges have and may continue to arise as we continue commercial production of the Lucid Air and </w:t>
      </w:r>
      <w:r>
        <w:rPr>
          <w:rFonts w:ascii="Times New Roman;serif" w:hAnsi="Times New Roman;serif"/>
          <w:b w:val="false"/>
          <w:color w:val="000000"/>
          <w:sz w:val="20"/>
        </w:rPr>
        <w:t xml:space="preserve">Lucid </w:t>
      </w:r>
      <w:r>
        <w:rPr>
          <w:rFonts w:ascii="Times New Roman;serif" w:hAnsi="Times New Roman;serif"/>
          <w:b w:val="false"/>
          <w:color w:val="231F20"/>
          <w:sz w:val="20"/>
        </w:rPr>
        <w:t>Gravity, and it will be important that we address them promptly while continuing to control our logistics and manufacturing costs. If we are not successful in doing so, or if we experience issues with our logistics and manufacturing process improvements, we could face further delays in establishing and sustaining our production ramps or be unable to meet our related cost and profitability targets.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If our vehicles fail to perform as expected, our ability to develop, market and sell or lease our products could be harmed.</w:t>
      </w:r>
    </w:p>
    <w:p>
      <w:pPr>
        <w:pStyle w:val="TextBody"/>
        <w:bidi w:val="0"/>
        <w:spacing w:lineRule="auto" w:line="288" w:before="240" w:after="283"/>
        <w:jc w:val="left"/>
        <w:rPr/>
      </w:pPr>
      <w:r>
        <w:rPr>
          <w:rFonts w:ascii="Times New Roman;serif" w:hAnsi="Times New Roman;serif"/>
          <w:b w:val="false"/>
          <w:color w:val="231F20"/>
          <w:sz w:val="20"/>
        </w:rPr>
        <w:t>Our vehicles or the components installed therein have in the past and may in the future contain defects in design or manufacture, including components designed or manufactured by suppliers, that may cause them not to perform as expected or that may require repairs, recalls, or design changes, any of which would require significant financial and other resources to successfully navigate and resolve. Our vehicles use a substantial amount of software code to operate, and software products are inherently complex and may contain defects and</w:t>
      </w:r>
      <w:r>
        <w:rPr>
          <w:color w:val="000000"/>
        </w:rPr>
        <w:t xml:space="preserve"> </w:t>
      </w:r>
      <w:r>
        <w:rPr>
          <w:rFonts w:ascii="Times New Roman;serif" w:hAnsi="Times New Roman;serif"/>
          <w:b w:val="false"/>
          <w:color w:val="000000"/>
          <w:sz w:val="20"/>
        </w:rPr>
        <w:t>errors. If our vehicles contain defects in design or manufacture that cause them not to perform as expected or that require repair, or if certain features of our vehicles take longer than expected to become available, are legally restricted or become subject to additional regulations, our ability to develop, market and sell our products and services could be adversely affected. In addition, our OTA software updates may fail to achieve their intended repair and performance goals, expose our customers’ vehicles to vulnerabilities, or have unintended consequences, and may require our customers to bring their vehicles to our service centers.</w:t>
      </w:r>
    </w:p>
    <w:p>
      <w:pPr>
        <w:pStyle w:val="TextBody"/>
        <w:bidi w:val="0"/>
        <w:spacing w:lineRule="auto" w:line="288" w:before="240" w:after="283"/>
        <w:jc w:val="left"/>
        <w:rPr/>
      </w:pPr>
      <w:r>
        <w:rPr>
          <w:rFonts w:ascii="Times New Roman;serif" w:hAnsi="Times New Roman;serif"/>
          <w:b w:val="false"/>
          <w:color w:val="231F20"/>
          <w:sz w:val="20"/>
        </w:rPr>
        <w:t xml:space="preserve">Any defects, delays or legal restrictions on vehicle features, failed OTA software updates, or other failure of our vehicles to perform as expected, could harm our brand and reputation and result in delivery delays, product recalls, product liability claims, breach of warranty claims or significant warranty and other expenses, and could have a material adverse impact on our business, results of operations, prospects and financial condition. </w:t>
      </w:r>
      <w:r>
        <w:rPr>
          <w:rFonts w:ascii="Times New Roman;serif" w:hAnsi="Times New Roman;serif"/>
          <w:b w:val="false"/>
          <w:color w:val="000000"/>
          <w:sz w:val="20"/>
        </w:rPr>
        <w:t xml:space="preserve">Any such defects or noncompliance with legal requirements could also result in safety recalls. See “— Risks Related to Litigation and Regulation — </w:t>
      </w:r>
      <w:r>
        <w:rPr>
          <w:rFonts w:ascii="Times New Roman;serif" w:hAnsi="Times New Roman;serif"/>
          <w:b w:val="false"/>
          <w:i/>
          <w:color w:val="000000"/>
          <w:sz w:val="20"/>
        </w:rPr>
        <w:t xml:space="preserve">We have in the past and may choose in the future, or we may be compelled, to undertake product recalls or take other actions, which could adversely affect our business, prospects, results of operations, reputation and financial condition.” </w:t>
      </w:r>
      <w:r>
        <w:rPr>
          <w:rFonts w:ascii="Times New Roman;serif" w:hAnsi="Times New Roman;serif"/>
          <w:b w:val="false"/>
          <w:color w:val="231F20"/>
          <w:sz w:val="20"/>
        </w:rPr>
        <w:t>As we build customer relationships and earn trust, these effects could be significantly detrimental to us. Additionally, problems and defects experienced by other consumer EVs could by association have a negative impact on perception and customer demand for our vehicles.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even if our vehicles function as designed, we expect that the battery efficiency, and hence the range, of our EVs, like other EVs that use current battery technology, will decline over time. Other factors, such as usage, time and stress patterns, may also impact the battery’s ability to hold a charge, or could require us to limit vehicles’ battery charging capacity, including via OTA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have limited experience servicing or repairing our vehicles and their integrated software. Servicing EVs is different than servicing vehicles with internal combustion engines and requires specialized skills, including high voltage training and servicing techniques. Furthermore, some vehicle repairs may be done via OTA software updates, which poses additional risks to the vehicles’ software if any issues arise during an update. In addition, we may partner with certain third parties to perform some of the service on our vehicles, and there can be no assurance that we will be able to enter into acceptable arrangements with any such third-party providers or develop and implement the necessary information technology infrastructure to support them. Further, although such servicing partners may have experience in servicing other EVs, they will initially have limited experience in servicing our vehicles. We also have a limited network of locations to perform service and may also rely upon mobile service vans with Lucid technicians to provide service to customers.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 the motor vehicle industry laws in some states require that service facilities be available to service vehicles physically sold from locations in the state, and we may be unable to scale our service operations as we sell more vehicles in such locations. In addition, the motor vehicle franchise laws in some states may preclude us from providing direct warranty service to consumers in that state. While we anticipate developing a service program that would satisfy regulatory requirements in these circumstances, the specifics of our service program are still being refined, and at some point may need to be restructured to comply with state law, which may impact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customers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or service.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provide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provide a new vehicle limited warranty on all new vehicles and a genuine spare parts and accessories limited warranty on Lucid genuine spare parts and accessories we sell. We maintain warranty reserves to cover part replacement and other vehicle repair needs, including any potential software upgrades or warranty claims. In addition, we expect to provide a manufacturer’s warranty on any future products we sell and may provide additional warranties on installation workmanship or performance guarantees. Warranty reserves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this could materially and adversely affect our business, prospects, financial condition and results of operations. We may become subject to significant and unexpected expenses as well as claims from our customers, including loss of revenue or damages. There can be no assurances that then-existing reserves will be sufficient to cover all claims. In addition, future laws or regulations may impose additional warranty obligations on us that go beyond our manufacturer’s warranty, which may expose us to materially higher warranty, parts replacement and repair expenses than we expect, and our reserves may be insufficient to cover such expenses.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limited historical basis for making judgments about the demand for our vehicles or our ability to develop, manufacture, and deliver vehicles, or our profitability in the future. If we overestimate our requirements, our suppliers may have excess inventory, which has in the past and may continue to indirectly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or fail to establish the delivery processes and infrastructure to make deliveries, the delivery of vehicles to our customers could be delayed, which would harm our business, financial condition and results of operations. Tariffs announced by the United States and resulting retaliatory tariffs and other trade barriers, including China’s changes to its export controls for rare-earth minerals and semiconductor-related products have had and may continue to have, an adverse impact on our ability to predict our manufacturing requirements, costs and production, and our ability to receive raw materials and components.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Our facilities or operations could be adversely affected by events outside of our control, such as natural disasters, wars, military actions, global or regional conflicts or other geopolitical events, health epidemics or pandemics, or security incidents.</w:t>
      </w:r>
    </w:p>
    <w:p>
      <w:pPr>
        <w:pStyle w:val="TextBody"/>
        <w:bidi w:val="0"/>
        <w:spacing w:lineRule="auto" w:line="288" w:before="240" w:after="283"/>
        <w:jc w:val="left"/>
        <w:rPr/>
      </w:pPr>
      <w:r>
        <w:rPr>
          <w:rFonts w:ascii="Times New Roman;serif" w:hAnsi="Times New Roman;serif"/>
          <w:b w:val="false"/>
          <w:color w:val="231F20"/>
          <w:sz w:val="20"/>
        </w:rPr>
        <w:t xml:space="preserve">We and our suppliers may be impacted by weather events, natural disasters, wars, military actions, global or regional conflicts or other geopolitical events, health epidemics or pandemics, security incidents or other events outside of our control. For example, our corporate headquarters are located in seismically active regions in Northern California, and our manufacturing facilities in Arizona and Saudi Arabia are located in sandstorm-, flood-, or tornado-prone areas. If major disasters such as earthquakes, wildfires, floods, tornadoes or other events occur, or our information technology systems or communication networks break down or operate improperly, our headquarters and manufacturing facilities may be seriously damaged, or we may have to stop or delay production and shipment of our products.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 Risks Related to Litigation and Regulation — </w:t>
      </w:r>
      <w:r>
        <w:rPr>
          <w:rFonts w:ascii="Times New Roman;serif" w:hAnsi="Times New Roman;serif"/>
          <w:b w:val="false"/>
          <w:i/>
          <w:color w:val="231F20"/>
          <w:sz w:val="20"/>
        </w:rPr>
        <w:t>A failure to properly comply with foreign trade zone laws and regulations could increase the cost of our duties and tariffs.</w:t>
      </w:r>
      <w:r>
        <w:rPr>
          <w:color w:val="231F20"/>
        </w:rPr>
        <w:t xml:space="preserve">” </w:t>
      </w:r>
      <w:r>
        <w:rPr>
          <w:rFonts w:ascii="Times New Roman;serif" w:hAnsi="Times New Roman;serif"/>
          <w:b w:val="false"/>
          <w:color w:val="000000"/>
          <w:sz w:val="20"/>
        </w:rPr>
        <w:t xml:space="preserve">In addition, global or regional conflicts or other geopolitical events may increase the likelihood of supply chain interruptions and may impair our ability to compete in current or future markets, or otherwise subject us to potential liability. See “—Risks Related to Manufacturing and Supply Chain — </w:t>
      </w:r>
      <w:r>
        <w:rPr>
          <w:rFonts w:ascii="Times New Roman;serif" w:hAnsi="Times New Roman;serif"/>
          <w:b w:val="false"/>
          <w:i/>
          <w:color w:val="000000"/>
          <w:sz w:val="20"/>
        </w:rPr>
        <w:t xml:space="preserve">if we fail to successfully tool our manufacturing facilities or if our manufacturing facilities become inoperable, we will be unable to produce our vehicles and our business will be harmed.” </w:t>
      </w:r>
      <w:r>
        <w:rPr>
          <w:rFonts w:ascii="Times New Roman;serif" w:hAnsi="Times New Roman;serif"/>
          <w:b w:val="false"/>
          <w:color w:val="000000"/>
          <w:sz w:val="20"/>
        </w:rPr>
        <w:t xml:space="preserve">and “— Risks Related to Litigation and Regulation — </w:t>
      </w:r>
      <w:r>
        <w:rPr>
          <w:rFonts w:ascii="Times New Roman;serif" w:hAnsi="Times New Roman;serif"/>
          <w:b w:val="false"/>
          <w:i/>
          <w:color w:val="000000"/>
          <w:sz w:val="20"/>
        </w:rPr>
        <w:t>Changes in U.S. trade policy, including the imposition of or uncertainties surrounding tariffs or revocation of normal trade relations and the resulting consequences, could adversely affect our business, prospects, results of operations and financial condition</w:t>
      </w:r>
      <w:r>
        <w:rPr>
          <w:rFonts w:ascii="Times New Roman;serif" w:hAnsi="Times New Roman;serif"/>
          <w:b w:val="false"/>
          <w:color w:val="000000"/>
          <w:sz w:val="20"/>
        </w:rPr>
        <w:t xml:space="preserve">.” </w:t>
      </w:r>
      <w:r>
        <w:rPr>
          <w:rFonts w:ascii="Times New Roman;serif" w:hAnsi="Times New Roman;serif"/>
          <w:b w:val="false"/>
          <w:color w:val="231F20"/>
          <w:sz w:val="20"/>
        </w:rPr>
        <w:t>We may incur significant expenses or delays relating to such events outside of our control, which could have a material adverse impact on our business, results of operations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Our vehicles make use of lithium-ion battery cells, which, if not appropriately managed and controlled, have been observed to catch fire or vent smoke and flame.</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battery packs within our vehicles use, and any future energy storage systems may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a field or testing failure of our vehicles or other battery packs that we produce could occur. In addition, although we equip our vehicles with systems designed to detect and warn vehicle occupants of such thermal events, there can be no assurance that such systems will function as designed or will provide vehicle occupants with sufficient, or any, warning in all crashes. Any such events or failures of our vehicles, battery packs or warning systems could subject us to lawsuits, product recalls, or redesign efforts, all of which would be time consuming and expensive. Also, negative public perceptions regarding the suitability of lithium-ion battery cells for automotive applications, disposal and recycling of lithium-ion battery cells, or any future incident involving lithium-ion battery cells, such as a vehicle or other fire, even if such incident does not involve our vehicles, could seriously harm our business and reputation.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as we expand our service network, increase our recycling practices and scale the manufacturing of our vehicles and any future energy storage products, we will need to store lithium-ion battery cells at our facilities and we have experienced, and may in the future experience, thermal events.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EV or energy storage product may cause indirect adverse publicity for us and our products. Such adverse publicity could negatively affect our brand and harm our business, prospects, results of operations and financial condition.</w:t>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Cybersecurity and Data Privacy</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Any unauthorized control, manipulation, interruption or compromise of or access to our products or information technology systems or networks could result in loss of confidence in us and our products, harm our business and materially adversely affect our financial performance, results of operations or prospects.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products contain complex information technology systems. For example, our vehicles are designed with built-in data connectivity to accept and securely install periodic remote updates to improve their functionality.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we collect, store, transmit and otherwise process data from vehicles, customers, employees and other third parties as part of our business operations, some of which includes personal, or confidential or proprietary information. We also work with third-party service providers and vendors that collect, store and process such data and information on our behalf. We have taken certain measures designed to prevent unauthorized access to our information technology systems, networks and information (including personal data) and plan to continue to deploy additional measures as we grow. Our third-party service providers and vendors also take steps designed to protect the security and integrity of information technology systems and networks and customer information (including personal data). However, there can be no assurance that such systems, networks and measures will not be compromised, including as a result of intentional misconduct by employees, contractors, vendors, or other third parties as well as a result of software bugs, human error, or technical malfunctions.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cyber threat actors may in the future attempt to gain unauthorized access to, modify, alter or use our vehicles, products, systems and networks to (i) gain control of, (ii) change the functionality, user interface or performance characteristics of or (iii) gain access to data stored in or generated by, our vehicles, products, systems and networks. Advances in technology, such as artificial intelligence, new vulnerability discoveries, an increased level of sophistication and diversity of our products and services, an increased level of expertise of cyber threat actors and new discoveries in the field of cryptography could lead to a compromise or breach of the measures that we or our third-party service providers use. Some of our products and information technology systems contain or use open-source software, which can create additional risks, including potential security vulnerabilities. Increasing use of such products and services in our vehicles, including with our partnerships with Nuro and Uber for AV capabilities, heightens the risk and potential impacts of a cybersecurity breach of our or our third-party partners’ systems. We and our third-party service providers’ systems have in the past and may in the future be affected by security incidents. Our systems and networks are also vulnerable to damage or interruption from, among other things, software bugs, server malfunctions, software or hardware failure, computer viruses, malware, ransomware, killware, wiperware, computer denial or degradation of service attacks, telecommunications failures, social engineering schemes (such as vishing, phishing or smishing), domain name spoofing, insider theft, physical theft, fire, terrorist attacks, natural disasters, power loss, war, misuse, mistake, fraud, misconduct or other events that may harm our vehicles, products, systems and networks. Our data center and our third-party service providers’ or vendors’ data centers could be subject to break-ins, sabotage and intentional acts of vandalism causing potential disruptions. We implement comprehensive measures to prevent, mitigate and resolve identified exposures and vulnerabilities, and maintain layered security practices designed to prevent or reduce the likelihood of a cybersecurity incident. We may also be subject to certain laws and regulations, such as “right to repair” laws that could require us to provide third-party access to certain vehicle and vehicle-connected systems. Some of our systems will not be fully redundant, and our disaster recovery planning cannot account for all eventualities. Any problems at our or our third-party service providers’ or vendors’ data centers or cloud infrastructure could result in lengthy interruptions in our service and our business operations. There can be no assurance that any security or other operational measures that we or our third-party service providers or vendors have implemented will be effective against any of the foregoing threats or issues.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risks have been heightened in connection with ongoing global or regional conflicts and other geopolitical events and we cannot be certain how this new risk landscape will impact our operations. When geopolitical conflicts develop, government systems as well as critical infrastructures such as financial services and utilities may be targeted by state-sponsored cyberattacks even if they are not directly involved in the conflict. There can be no assurance that our business will not become a potential target as adversaries may attack networks and systems indiscriminately. Such cyberattacks may potentially cause unauthorized access to our personal, confidential or proprietary information (including our proprietary software code), products, systems and networks, resulting in a data breach, or disruption, modification or destruction to our systems and networks. As a result, we may suffer monetary losses, business interruption, and long-lasting operational issues, damage to our reputation and brand or loss of our intellectual property (including trade secrets).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If we are unable to protect our personal, confidential or proprietary information (including our proprietary software code), products, systems and networks from unauthorized access, use, disclosure, disruption, modification, destruction or other breach, such threats or security breaches could have negative consequences for our business and future prospects, including compromise of vehicle integrity and physical safety, causing monetary losses, giving rise to liabilities under our contracts or to the owners of the applicable information,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(including trade secrets). In addition, regardless of their veracity, reports of unauthorized access to our vehicles, products, systems and networks, as well as other factors that may result in the perception that our vehicles, products, systems and networks are vulnerable to being “hacked,” could negatively affect our brand.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we are continuously expanding and improving our information technology systems. In particular, our volume production of our current and planned future vehicles will necessitate continued development, maintenance and improvement of our information technology and communication systems and networks in the United States and abroad, such as systems and networks for product data management, vehicle management tools, vehicle security systems, vehicle security management processes, procurement of bill of material items, supply chain management, inventory management, production planning and execution, lean manufacturing, sales, service and logistics, dealer management and financial, tax and regulatory compliance. Our ability to operate our business will depend on the availability and effectiveness of these systems and networks and could be impacted by system outages or similar events. The implementation, maintenance, segregation, and improvement of these systems and networks require significant management time, support and cost. Moreover, there are inherent risks associated with developing, improving and expanding our core systems and networks as well as implementing new systems and networks, including the disruption of our data management, procurement, manufacturing execution, finance, supply chain, inventory management, and sales and service processes. We cannot be certain that these systems and networks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and networks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our vehicles depend on the ability of software and hardware to store, retrieve, process and manage immense amounts of data. Our software and hardware, including any OTA or other updates, may contain, errors, bugs, design defects or other vulnerabilities, and our systems may be subject to technical limitations that may compromise our ability to meet our objectives. Some errors, bugs, design defects or other vulnerabilities may reside in third-party intellectual property or open-source software and be inherently difficult to detect and may only be discovered after code has been released for external or internal use. We attempt to remedy any issues we observe in our vehicles as effectively and rapidly as possible, including issuing patches for zero-day vulnerabilities and deploying OTA updates to resolve errors, bugs, design defects or other vulnerabilities in our vehicle software, but such efforts may not be timely, may hamper production or may not be to the satisfaction of our customers. Additionally, if we deploy software updates to address any issues but our OTA update procedures fail, our customers will need to work with our service personnel to install these updates, and their vehicle will remain vulnerable until installation of the updates. Any compromise of our personal, confidential or proprietary information (including our proprietary software code), products, systems or networks or inability to prevent or effectively remedy errors, bugs, design defects or other vulnerabilities may cause us to suffer lengthy interruptions to our ability to operate our business and our customers’ ability to operate their vehicles, compromise of vehicle integrity and physical safety, damage to our reputation, loss of customers, loss of revenue, governmental fines, investigations or litigation or liability for damages, any of which could materially adversely affect our business, prospects,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may not have adequate insurance coverage, if any, to cover losses associated with any of the foregoing. The costs of investing and remediating a large data breach, or the successful assertion of one or more large claims against us that exceeds our available insurance coverage, or results in changes to our insurance policies (including premium increases, imposition of large deductible, exclusions or co-insurance requirements), could have an adverse effect on our business. In addition, we cannot be certain that our existing insurance coverage will continue to be available on acceptable terms or at all or that our insurers will not deny coverage as to any future claim.</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subject to evolving laws, regulations, standards, policies, and contractual obligations related to data privacy, cybersecurity, and artificial intelligence, and any actual or perceived failure to comply with such obligations could harm our reputation and brand, subject us to significant fines and liability, or otherwise adversely affect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the course of our operations, we collect, use, store, disclose, transfer and otherwise process personal information from our customers, employees and third parties with whom we conduct business, including names, accounts, driver license information, user IDs and passwords, and payment or transaction-related information. Additionally, we use our vehicles’ electronic systems to log information about each vehicle’s use, such as charge time, battery usage, geolocation, mileage and driving behavior, in order to aid it in vehicle diagnostics, repair and maintenance, as well as to help us customize and improve the driving and riding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231F20"/>
          <w:sz w:val="20"/>
        </w:rPr>
        <w:t>Accordingly, we are subject to or affected by a number of federal, state, local and international laws and regulations, as well as contractual obligations and industry standards, that impose certain obligations and restrictions with respect to data privacy and cybersecurity and govern our collection, storage, retention, protection, use, transmission, sharing, disclosure and other processing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 As we expand our global footprint, our risk profile changes, and we will need to manage against the varied applicable data protection rules and regulations in the context of the new jurisdictions, business models and market strategies. The global data protection landscape is rapidly evolving, and implementation standards and enforcement practices are likely to remain uncertain for the foreseeable future. We may not be able to monitor and react to all developments in a timely manner. For example, at the international level, the EU adopted the General Data Protection Regulation (“GDPR”)</w:t>
      </w:r>
      <w:r>
        <w:rPr>
          <w:rFonts w:ascii="Times New Roman;serif" w:hAnsi="Times New Roman;serif"/>
          <w:b w:val="false"/>
          <w:i/>
          <w:color w:val="231F20"/>
          <w:sz w:val="24"/>
        </w:rPr>
        <w:t xml:space="preserve">, </w:t>
      </w:r>
      <w:r>
        <w:rPr>
          <w:rFonts w:ascii="Times New Roman;serif" w:hAnsi="Times New Roman;serif"/>
          <w:b w:val="false"/>
          <w:color w:val="231F20"/>
          <w:sz w:val="20"/>
        </w:rPr>
        <w:t>which became effective in May 2018, as well as the European Data Act, the EU Artificial Intelligence Act (the “AI Act”), and the Cyber Resilience Act in 2024. Canada adopted and continued to amend the Personal Information Protection and Electronic Documents Act (“PIPEDA”) in addition to applicable provincial laws. The United Arab Emirates adopted the Data Protection Law (“DPL”), which became effective in January 2022. Saudi Arabia enacted the Personal Data Protection Law (“PDPL”) which came into effect in September 2023. Similarly, China’s Data Security Law (“DSL”) and Personal Information Protection Law (“PIPL”) have been effective since 2021. Additionally, we are also subject to the data privacy laws of the UK, including the UK General Data Protection Regulation (“UK GDPR”). Each of these regulations impose additional obligations on companies regarding the handling of personal data and provide certain individual privacy rights to persons whose data is collected. Compliance with existing, proposed and recently enacted laws and regulations (including implementation of the privacy and process enhancements called for under applicable laws and regulations) can be costly, and any failure to comply with these regulatory standards could subject us to legal and reputational risks.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For example, failure to comply with the GDPR can result in significant fines and other liability, including fines of up to EUR 20 million or four percent (4%) of global revenue, whichever is greater. European data protection authorities have already imposed fines for GDPR violations up to, in some cases, hundreds of millions of Euros. The cost of compliance, and the potential for fines and penalties for non-compliance, with the GDPR may have a significant adverse effect on our business and operations. While the UK GDPR currently imposes substantially the same obligations as the GDPR, the UK GDPR will not automatically incorporate changes to the GDPR going forward (which would need to be specifically incorporated by the UK government) and may deviate in a way that creates a risk of divergent parallel regimes and related uncertainty, along with the potential for increased compliance costs and risks for affected businesses. Legal developments in the European Economic Area (“EEA”), including rulings from the Court of Justice of the European Union and from various EU member state data protection authorities, have also created complexity and uncertainty regarding transfers of personal data from the EEA to the United States and other countries outside the EEA. Similar complexities and uncertainties also apply to transfers from the UK to third countries. While we have taken steps to mitigate the impact on us, the efficacy and longevity of these mechanisms remain uncertain. Additionally, we are monitoring our compliance obligations with a final rule adopted by the U.S. Department of Justice, which prohibits and restricts certain covered data transactions that result in the transfer or access to bulk U.S. sensitive personal data by countries of concern or covered persons, effective April 8, 2025, as well as a final rule adopted by the Bureau of Industry and Security that prohibits specific transactions involving the import or sale of connected vehicles and certain hardware and software with a sufficient nexus to China, applicable to vehicles from model year 2030. These regulations may impact our potential future business operations in China.</w:t>
      </w:r>
    </w:p>
    <w:p>
      <w:pPr>
        <w:pStyle w:val="TextBody"/>
        <w:bidi w:val="0"/>
        <w:spacing w:lineRule="auto" w:line="288" w:before="240" w:after="283"/>
        <w:jc w:val="left"/>
        <w:rPr/>
      </w:pPr>
      <w:r>
        <w:rPr>
          <w:rFonts w:ascii="Times New Roman;serif" w:hAnsi="Times New Roman;serif"/>
          <w:b w:val="false"/>
          <w:color w:val="231F20"/>
          <w:sz w:val="20"/>
        </w:rPr>
        <w:t xml:space="preserve">At the U.S.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with respect to data privacy and cybersecurity) (“FTC”) and the Gramm Leach Bliley Act (which regulates the confidentiality and security of customer information obtained by financial institutions, including non-banking financial institutions such as mortgage brokers, motor vehicle dealers, and payday lenders). Our financial services program, for example, will be subject to, among other applicable laws and regulations, the Safeguards Rule, as recently amended by the FTC (the “FTC Safeguards Rule”), which, among other things, requires non-banking financial institutions to design and implement safeguards to protect customer information, and the financial data collected as part of the financial services program consequently requires additional security and administrative controls. Additionally, there has been increasing regulatory scrutiny from the SEC with respect to adequately disclosing risks concerning cybersecurity and data privacy, which increases the risk of investigations into the cybersecurity practices, and related disclosures, of companies within its jurisdiction, which at a minimum can result in distraction of management and diversion of resources for targeted businesses. SEC cybersecurity disclosure rules (the “SEC Cybersecurity Disclosure Rules”) for public companies require disclosure regarding cybersecurity risk management (including the corporate board’s role in overseeing cybersecurity risks, management’s role and expertise in assessing and managing cybersecurity risks, and processes for assessing, identifying and managing cybersecurity risks) in annual reports. </w:t>
      </w:r>
      <w:r>
        <w:rPr>
          <w:rFonts w:ascii="Times New Roman;serif" w:hAnsi="Times New Roman;serif"/>
          <w:b w:val="false"/>
          <w:color w:val="000000"/>
          <w:sz w:val="20"/>
        </w:rPr>
        <w:t>See Item 1C “Cybersecurity” included elsewhere in this Annual Report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231F20"/>
          <w:sz w:val="20"/>
        </w:rPr>
        <w:t>At the U.S. state level, we are subject to laws and regulations such as the California Consumer Privacy Act of 2018 (as amended by the California Privacy Rights Act of 2020, collectively, the “CCPA”). The CCPA establishes a privacy framework for covered businesses, including an expansive definition of personal information and data privacy rights for California residents, including expanded rights with respect to certain sensitive personal information. The CCPA includes a framework with potentially severe statutory damages for violations and a private right of action for certain data breaches. The CCPA requires covered businesses to provide California residents with certain privacy-related disclosures and rights related to their personal information. As we expand our operations, the CCPA may increase our compliance costs and potential liability. The California Privacy Rights Act also established a state agency, the California Privacy Protection Agency, vested with the authority to implement and enforce the CCPA. Some observers have noted that the CCPA marked the beginning of a trend toward more stringent privacy legislation in the United States, and a number of other states have enacted or are in the process of enacting, or considering similar laws. Complian</w:t>
      </w:r>
      <w:r>
        <w:rPr>
          <w:rFonts w:ascii="Times New Roman;serif" w:hAnsi="Times New Roman;serif"/>
          <w:b w:val="false"/>
          <w:color w:val="000000"/>
          <w:sz w:val="20"/>
        </w:rPr>
        <w:t>ce with these state statutes, other similar state or federal laws that may be enacted in the future, and other applicable data privacy and cybersecurity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post public privacy policies and other documentation regarding our collection, use, disclosure, and other processing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applicable privacy notices or applicable data privacy laws, regulations, standards, policies, or contractual obligations could, even if we are not found liable, be expensive and time-consuming to defend and could result in adverse publicity that could harm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Most jurisdictions have enacted laws requiring companies to notify individuals, regulatory authorities and other third parties of security breaches involving certain types of data. For example, laws in all 50 U.S. states generally require businesses to provide notice under certain circumstances to consumers whose personal information has been disclosed as a result of a breach. Such laws may be inconsistent or may change or additional laws may be adopted. In addition, our agreements with certain customers may require us to notify them in the event of a security breach. Furthermore, the SEC Cybersecurity Disclosure Rules require the disclosure of material cybersecurity incidents in a Form 8-K, generally within four business days of determining an incident is material. Additionally, upon discovery of an incident in which the unencrypted customer information of at least 500 consumers is acquired without authorization by the consumers to whom the information pertains, the FTC Safeguards Rule requires notifying the FTC as soon as possible, and no later than 30 days after discovery of such incident. Such mandatory disclosures are costly, could lead to negative publicity, penalties or fines, litigation and our customers losing confidence in the effectiveness of our security measures and could require us to expend significant capital and other resources to respond to or alleviate problems caused by the actual or perceived security breach. </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are also impacted by regulations obligating us to share vehicle repair-related information, including location information, with third parties, including repair shops and repair tool hardware developers, under what are commonly called “right-to-repair” laws. Other state, federal, and foreign jurisdictions are exploring expanding right-to-repair obligations in this area as well. Furthermore, some entities within the U.S. federal government, including certain members of Congress and the NHTSA, have focused attention on automotive cybersecurity issues and may in the future propose or implement regulations specific to automotive cybersecurity. In addition, the United Nations Economic Commission for Europe (“UNECE”) has introduced regulations governing connected vehicle cybersecurity in the EU which are mandatory for all new vehicle types from July 2022 and all new vehicles produced from July 2024. Similar regulations are also in effect, or expected to come into effect, in certain other international jurisdictions. These and other regulations could adversely affect our business in European or other markets, and if such regulations or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New products, services and business lines may face scrutiny from regulators as well. Any changes in laws, rules or regulations regulating artificial intelligence technologies could require us to expend significant resources to modify our products, services, or operations to facilitate compliance or remain competitive. As our engagement with artificial intelligence tools and technologies increases, we may be impacted by emerging artificial intelligence rules, regulations, and frameworks globally, including the AI Act and the EU Product Liability Directive (the “Directive”). This Directive extends the EU’s existing strict product liability regime to artificial intelligence technologies and artificial intelligence-enabled products, and facilitates civil claims in respect of harm caused by artificial intelligence. Other nascent data privacy and cybersecurity laws and regulations are still subject to a high degree of uncertainty as to their interpretation and application. If such laws and regulations are implemented, interpreted or applied in a manner inconsistent with our current or future practices or policies, or if we fail to comply with applicable laws or regulations, as well as contractual obligations, policies and industry standards, or to secure personal information, we could be subject to investigations, enforcement actions and other proceedings, which could result in substantial fines, damages, injunctions, orders to change our business practices, and other liability as well as damage to our reputation and credibility, which could have a negative impact on revenues and profits. Any of the foregoing could materially adversely affect our business,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Our Employees and Human Resources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The loss of key employees or an inability to attract, retain and motivate qualified personnel may impair our ability to expand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Our success is substantially dependent upon the continued service and performance of our senior management team and workforce. Our employees, including our senior management team, are generally at-will employees, and therefore may terminate employment with us at any time with no advance notice. We could lose some key employees, especially if we are unable to grant sufficient or competitive compensation, including equity awards and bonuses, or if the volatility of our stock price continues to increase.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future success also depends, in part, on our ability to continue to attract and retain highly skilled personnel. We have faced and continue to face potent competition for highly skilled workers in the United States, especially in California. As with any company with finite resources, there can be no guarantee that we will be able to attract such individuals or that the presence of such individuals will necessarily translate into our business success. Because we operate in a newly emerging industry, there may also be limited personnel available with relevant expertise or business experience, and such individuals may be subject to non-competition and other agreements that restrict their ability to work for us. This challenge may be amplified by our ongoing transition to full-scale, high-volume commercial vehicle manufacturing, where—despite significant progress in a short time—we continue to face complexities due to our relatively limited experience compared to established industry players, heightened by geopolitical volatility and market disruptions. Any failure to attract and retain key employees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any workforce reduction plan may also be distracting to employees and management and may negatively impact our ability to continue to attract and retain highly skilled personnel. We have in the past reduced the size of our workforce, and have recently announced a workforce reduction plan in February 2026. Any such plan in the future may adversely affect our business operations, reputation, or ability to serve customers. The replacement of any members of our senior management team or other key employees could involve significant time and costs and may significantly delay or prevent the achievement of our business objectives.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21, 2025, our former Chief Executive Officer and Chief Technology Officer, Peter Rawlinson, resigned from his positions and as a member of our board of directors (“Board of Directors” or “Board”). Our Board of Directors appointed our Chief Operating Officer, Marc Winterhoff, to serve as Interim CEO until a qualified replacement is found. Mr. Rawlinson is available as Strategic Technical Advisor to the Chairman of the Board through February 21, 2027.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currently conducting a search for a new CEO. Although we intend to hire a qualified candidate for CEO, no assurance can be given that we will be able to attract and retain a suitable CEO. An extended period of delay in hiring such candidate could potentially have an adverse effect on our operations or financial condition. Furthermore, in the event we are unable to transition seamlessly from our Interim CEO to a new CEO, or if a new CEO should unexpectedly prove to be unsuitable for our Company, the resulting disruption could have an adverse effect on our operations or financial condition or impede our ability to execute our strategic plan.</w:t>
      </w:r>
    </w:p>
    <w:p>
      <w:pPr>
        <w:pStyle w:val="TextBody"/>
        <w:bidi w:val="0"/>
        <w:spacing w:lineRule="auto" w:line="288" w:before="240" w:after="283"/>
        <w:jc w:val="left"/>
        <w:rPr/>
      </w:pPr>
      <w:r>
        <w:rPr>
          <w:rFonts w:ascii="Times New Roman;serif" w:hAnsi="Times New Roman;serif"/>
          <w:b/>
          <w:i/>
          <w:color w:val="000000"/>
          <w:sz w:val="20"/>
        </w:rPr>
        <w:t xml:space="preserve">We will need to hire, retain, and train a </w:t>
      </w:r>
      <w:r>
        <w:rPr>
          <w:rFonts w:ascii="Times New Roman;serif" w:hAnsi="Times New Roman;serif"/>
          <w:b/>
          <w:i/>
          <w:color w:val="231F20"/>
          <w:sz w:val="20"/>
        </w:rPr>
        <w:t>significant number of employees for our business operations, and our business could be adversely affected by labor and union activities.</w:t>
      </w:r>
    </w:p>
    <w:p>
      <w:pPr>
        <w:pStyle w:val="TextBody"/>
        <w:bidi w:val="0"/>
        <w:spacing w:lineRule="auto" w:line="288" w:before="240" w:after="283"/>
        <w:jc w:val="left"/>
        <w:rPr/>
      </w:pPr>
      <w:r>
        <w:rPr>
          <w:rFonts w:ascii="Times New Roman;serif" w:hAnsi="Times New Roman;serif"/>
          <w:b w:val="false"/>
          <w:color w:val="231F20"/>
          <w:sz w:val="20"/>
        </w:rPr>
        <w:t>We will need to hire, retain, and train a significant number of employees to engage in full capacity commercial manufacturing operations and for us to scale commercial production and sales and service operations. There are various risks and challenges associated with hiring, retaining, training and managing a large workforce, such as establishing and maintaining efficient communication channels, procedures and rules of conduct, hiring an adequate number of experienced manufacturing, supply chain management and logistics managerial personnel and creating and maintaining an eff</w:t>
      </w:r>
      <w:r>
        <w:rPr>
          <w:rFonts w:ascii="Times New Roman;serif" w:hAnsi="Times New Roman;serif"/>
          <w:b w:val="false"/>
          <w:color w:val="000000"/>
          <w:sz w:val="20"/>
        </w:rPr>
        <w:t>ective company culture. Although the area surrounding our AMP-1 facility in Casa Grande, Arizona and the area surrounding our AMP-2 facility in KAEC are home to highly trained workforces with experience in engineering and manufacturing, these workforces may not have significant experience with EV manufacturing, and related processes such as inventory management, logistics and quality. Many jobs will require significant training and we may need to spend significant resources to ensure employees obtain and adhere to such training. Further, competition for employees in the Casa Grande, Arizona area has increased and may continue to increase in the future, which may impact the ability or cost to hire in the area; this same competition for talent may eventually intensify in KAEC as well. In addition, as we progress in constructing our AMP-2 facility in Saudi Arabia, we will need to hire, retain, and train a significantly larger number of employees in the local region to fully support the facility’s manufacturing operations. Any failure to comply with local labor laws and customs could have an adverse effect on our business or operations. If we are unsuccessful in hiring</w:t>
      </w:r>
      <w:r>
        <w:rPr>
          <w:rFonts w:ascii="Times New Roman;serif" w:hAnsi="Times New Roman;serif"/>
          <w:b w:val="false"/>
          <w:color w:val="231F20"/>
          <w:sz w:val="20"/>
        </w:rPr>
        <w:t>, retaining and training a workforce in a timely and cost-effective manner,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although none of our United States or international based employees is currently represented by a labor union that we are aware of at this time, it is common throughout the automobile industry generally for many employees at automobile companies to belong to a union, which can result in higher employee costs and increased risk of work stoppages. Some unions may attempt and have announced to attempt to organize non-union automakers in the U.S., including us. Moreover, regulations in some jurisdictions outside of the U.S. mandate employee participation in industrial collective bargaining agreements, work councils, or similar activities with certain consultation rights with respect to the relevant companies’ operations, or companies are required to apply collective bargaining agreements, implement works councils or similar bodies with certain consultation rights related to the activities of the companies involved. In the event our employees seek to join or form a labor union, we could be subject to risks as we engage in an attempt to address such organizing or to finalize negotiations with any such union, including potential work slowdowns or stoppages, delays, and increased costs. Furthermore, we may be directly or indirectly dependent upon companies with unionized work forces, such as parts suppliers, construction contractors, and trucking and freight companies, and work stoppages or strikes organized by such unions could have a material adverse impact on our business, financial condition, ability to expand our facilities, or results of operations. If a work stoppage occurs, it could delay the manufacture and sale of our products and have a material adverse effect on our business, prospects, results of operations, or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Misconduct by our employees and independent contractors during and before their employment with us could expose us to potentially significant legal liabilities, reputational harm or other damages to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Many of our employees play critical roles in ensuring the safety and reliability of our vehicles and our compliance with relevant laws and regulations. Certain of our employees have access to sensitive information and proprietary technologies and know-how. While we have adopted codes of conduct for all of our employees and implemented detailed policies and procedures relating to intellectual property, proprietary information, and trade secrets, we cannot guarantee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information, proprietary information, know-how or trade secrets, we and such employees could be subject to legal claims and liabilities and our reputation and business could be adversely affected as a result.</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while we have screening procedures during the recruitment process, we cannot guarantee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Litigation and Regulation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Changes in U.S. trade policy, including the imposition of or uncertainties surrounding tariffs or revocation of normal trade relations and the resulting consequences, could adversely affect our business, prospects, results of operations and financial condition.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U.S. government has adopted an evolving approach to trade policy and, in some cases, has attempted to renegotiate or terminate certain existing bilateral or multi-lateral trade agreements. The current U.S. presidential administration has issued executive orders to review U.S. trade policies, practices and agreements to address trade deficits and other economic security matters. It has also imposed, or proposed to impose, blanket import tariffs or tariffs on imports, in many cases significantly, including steel, aluminum, and certain vehicle parts and software, which have resulted in increased costs for imports and may cause shortages and delays in the supply of certain components, materials, tooling and equipment necessary to produce our vehicles. In response to these tariffs, a number of U.S. trading partners have imposed or threatened to impose retaliatory measures, including tariffs on U.S. products and enhanced export controls, which could increase the cost and complexity of exporting our vehicles to affected markets. For example, Canada has announced countermeasure tariffs on select U.S.-manufactured vehicles. Further, the current U.S. presidential administration has imposed tariffs on goods imported from China on top of existing tariffs, and has expanded its export and transfer restrictions on foreign companies and subsidiaries involving sensitive technology, which has resulted in uncertainty regarding the future of international trade between the U.S. and China. In response, China has imposed retaliatory tariffs and implemented export restrictions on certain rare-earth minerals and semiconductor-related products, including microchips. Despite recent negotiations, U.S.-China trade relations remain volatile and uncertain, and there can be no assurance that further actions by the U.S., China or another country will not have an adverse impact on our business, operations and access to products manufactured in China or elsewhere outside the U.S.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exact scope of any such tariffs that may be ultimately implemented remains uncertain at this time. We cannot predict whether, or to what extent, international trade agreements may be altered, nor can we predict whether, or to what extent, duties, additional tariffs, export controls, or other trade restrictions will be modified or imposed by the United States or other countries. If we are unable to pass the costs of such tariffs on to our customer base or otherwise mitigate such costs, or if demand for our exported vehicles decreases due to the higher cost or preferences in foreign countries for domestically manufactured products, our results of operations could be materially adversely affected. Additionally, the threat of retaliatory tariffs and trade wars between the United States and foreign countries could further impede the transition to EVs, disrupt global supply chains, and delay the implementation of economic competitiveness policies. Further, while the administration has recently issued an executive order and announced other arrangements to reduce certain previously announced tariffs on automobiles and auto parts, there can be no assurance that there will not be further changes. Taken together, these uncertainties surrounding domestic and foreign tariffs and the resulting environment of retaliatory trade practices could increase costs and harm our ability to obtain necessary inputs or sell our vehicles at prices customers are willing to pay, which could have a material adverse effect on our business, prospects,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Uyghur Forced Labor Prevention Act (“UFLPA”)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and are not entitled to entry. While we are not presently aware of any direct impacts these restrictions have on our supply chain, the UFLPA may materially and negatively impact our ability to import the goods and products we rely on to manufacture our products and operate our business. The UFLPA may further impact our supply chain and costs of goods as it may restrict the available supply of goods and products eligible for importation into the United States, including among other things, electronics assemblies and aluminum. As the United States government continues to investigate claims of forced labor in China, the enforcement of the UFLPA continues to evolve, making the potential for impacts on Chinese suppliers (and non-Chinese suppliers using supply chains extending into China) difficult to assess.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2022, in response to actions taken by Russia against Ukraine, the United States and other countries worldwide implemented significant economic sanctions, embargoes, financial restrictions, trade controls and other governmental measures and restrictions against Russia, Belarus, and certain related entities and persons. Additionally, risk of escalation or expansion of conflicts in the Middle East have introduced new uncertainties to trade relations and policies. The United States has enacted, or may enact in the future, federal regulations that significantly constrain trade relations with Russia, Belarus or other countries. Consequently, imports of certain products or merchandise originating from these jurisdictions may be subject to higher import duty rates. To the extent such products or merchandise are found in our cross-border supply chains and subject to higher duties, the suspension of normal trade relations with Russia, Belarus and other countries could increase our input costs, which could adversely impact our business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Although we are not aware of any company-related operations or activities in these jurisdictions, economic sanctions and other laws and regulations targeting these jurisdictions could disrupt our supply chains, impair our ability to compete in current or future markets, or otherwise subject us to potential liability. While we have implemented, or may implement in the future, certain procedures to facilitate compliance with applicable laws and regulations in connection with the sanctions and trade control programs around the globe related to Russia, Belarus or other countries, we cannot be assured that these procedures are always effective or that we, or third parties, many of whom we do not control, have complied with all laws or regulations in this regard. Failure by our employees, representatives, contractors, agents, intermediaries, or other third parties to comply with applicable laws and regulations could have negative consequences that could impact us, including reputational harm, government investigations, loss of export privileges, and penalties or fines. These economic sanctions and other restrictions continue to evolve, and the long-term potential impact on our operations and business remains unclear.</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subject to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At various jurisdictional levels, we are or will be subject to complex and evolving environmental, manufacturing, health and safety laws and regulations, including laws relating to the use, handling, storage, recycling, disposal and human exposure to lithium-ion batteries and hazardous materials and with respect to constructing, expanding and maintaining our facilities. The costs of compliance, including remediating contamination, if any, for our properties and any changes to our operations mandated by new or amended laws, may be significant. We may also face unexpected delays in obtaining permits and approvals required by such laws in connection with our facilities, which could affect our ability to continue our operations. Such costs and delays may adversely impact our business prospects and operations. Furthermore, any violations of these laws may result in substantial fines and penalties, remediation costs, third party damages, or a suspension or cessation of our operations.</w:t>
      </w:r>
    </w:p>
    <w:p>
      <w:pPr>
        <w:pStyle w:val="TextBody"/>
        <w:bidi w:val="0"/>
        <w:spacing w:lineRule="auto" w:line="288" w:before="240" w:after="283"/>
        <w:jc w:val="left"/>
        <w:rPr/>
      </w:pPr>
      <w:r>
        <w:rPr>
          <w:rFonts w:ascii="Times New Roman;serif" w:hAnsi="Times New Roman;serif"/>
          <w:b w:val="false"/>
          <w:color w:val="231F20"/>
          <w:sz w:val="20"/>
        </w:rPr>
        <w:t xml:space="preserve">In addition, motor vehicles and associated service activities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the </w:t>
      </w:r>
      <w:r>
        <w:rPr>
          <w:rFonts w:ascii="Times New Roman;serif" w:hAnsi="Times New Roman;serif"/>
          <w:b w:val="false"/>
          <w:color w:val="000000"/>
          <w:sz w:val="20"/>
        </w:rPr>
        <w:t xml:space="preserve">Lucid </w:t>
      </w:r>
      <w:r>
        <w:rPr>
          <w:rFonts w:ascii="Times New Roman;serif" w:hAnsi="Times New Roman;serif"/>
          <w:b w:val="false"/>
          <w:color w:val="231F20"/>
          <w:sz w:val="20"/>
        </w:rPr>
        <w:t>Gravity and any future vehicle programs, including the upcoming Midsize platform will be subject to such regulation under international, federal, state and local laws and standards. These regulations include those promulgated by the EPA, NHTSA, other federal agencies, various state agencies and boards; and compliance certification is required for each individual vehicle we manufacture for sale. These laws and standards are subject to change from time-to-time, and we could become subject to additional regulations in the future, which could increase the effort and expense of compliance. If compliance results in delays or substantial expenses, this could adversely affect our business. Laws and industrial standards for EVs continue to evolve, and we face risks associated with changes to these regulations, which could have an impact on the adoption of EVs.</w:t>
      </w:r>
    </w:p>
    <w:p>
      <w:pPr>
        <w:pStyle w:val="TextBody"/>
        <w:bidi w:val="0"/>
        <w:spacing w:lineRule="auto" w:line="288" w:before="240" w:after="283"/>
        <w:jc w:val="left"/>
        <w:rPr/>
      </w:pPr>
      <w:r>
        <w:rPr>
          <w:rFonts w:ascii="Times New Roman;serif" w:hAnsi="Times New Roman;serif"/>
          <w:b w:val="false"/>
          <w:color w:val="231F20"/>
          <w:sz w:val="20"/>
        </w:rPr>
        <w:t>We currently are, and expect to become, subject to laws and regulations applicable to the supply chain, manufacture, import, sale and service of automobiles in an increasing number of international jurisdictions. Applicable regulations in countries outside of the U.S., such as standards relating to vehicle safety, transportation of dangerous goods, fuel economy and emissions, battery recycling, among other things, are often materially different from requirements in the United States and also e</w:t>
      </w:r>
      <w:r>
        <w:rPr>
          <w:rFonts w:ascii="Times New Roman;serif" w:hAnsi="Times New Roman;serif"/>
          <w:b w:val="false"/>
          <w:color w:val="000000"/>
          <w:sz w:val="20"/>
        </w:rPr>
        <w:t>volving. For example, the EU has enacted a battery regulation that affects Lucid vehicles and batteries delivered in Europe with increasing requirements for the durability, marking, supply chain transparency, and recycled content of the high-voltage batteries in our vehicles each year, among other requirements. Compliance with such regulations will require additional time and resources</w:t>
      </w:r>
      <w:r>
        <w:rPr>
          <w:rFonts w:ascii="Times New Roman;serif" w:hAnsi="Times New Roman;serif"/>
          <w:b w:val="false"/>
          <w:color w:val="231F20"/>
          <w:sz w:val="20"/>
        </w:rPr>
        <w:t>. This process may include official review and verification of our batteries and related documentation prior to market entry.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face regulatory limitations on our ability to sell vehicles directly, which could materially and adversely affect our ability to sell our vehicles.</w:t>
      </w:r>
    </w:p>
    <w:p>
      <w:pPr>
        <w:pStyle w:val="TextBody"/>
        <w:bidi w:val="0"/>
        <w:spacing w:lineRule="auto" w:line="288" w:before="240" w:after="283"/>
        <w:jc w:val="left"/>
        <w:rPr/>
      </w:pPr>
      <w:r>
        <w:rPr>
          <w:rFonts w:ascii="Times New Roman;serif" w:hAnsi="Times New Roman;serif"/>
          <w:b w:val="false"/>
          <w:color w:val="231F20"/>
          <w:sz w:val="20"/>
        </w:rPr>
        <w:t>Our business plan includes the direct sale of vehicles to retail consumers, both at retail locations and over the internet. The laws governing licensing of dealers and sales of motor vehicles vary from state to state. Most states require a dealer license to sell new motor vehicles within the state, and many states prohibit manufacturers or their affiliates from becoming licensed dealers and directly selling new motor vehicles to retail consumers from within that state. In addition, most states require that we have a physical dealership location in the state before we can be licensed as a dealer. Currently, we are licensed as a motor vehicle dealer in several states. In some states, we have also opened or expect to open Lucid studios to educate and inform customers about our vehicles, but those Lucid studios will not actually transact in the sale of vehicles.</w:t>
      </w:r>
      <w:r>
        <w:rPr>
          <w:color w:val="000000"/>
        </w:rPr>
        <w:t xml:space="preserve"> </w:t>
      </w:r>
      <w:r>
        <w:rPr>
          <w:rFonts w:ascii="Times New Roman;serif" w:hAnsi="Times New Roman;serif"/>
          <w:b w:val="false"/>
          <w:color w:val="231F20"/>
          <w:sz w:val="20"/>
        </w:rPr>
        <w:t>The application of these state laws to our operations continues to be difficult to predict. Laws in some states have limited our ability to obtain dealer licenses from state motor vehicle regulators and may continue to do so.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231F20"/>
          <w:sz w:val="20"/>
        </w:rPr>
        <w:t>We may face legal challenges to this distribution model. For example, in states where direct sales are not permitted, dealers and their lobbying organizations may raise complaints to the government or regulatory agencies that we are acting in the capacity of a dealer without a license. Alternatively, we have and may continue to initiate legal action against such states that prohibit direct sales, which may be protracted and expensive, and the results are difficult to predict. In some states, regulators may restrict or prohibit us from directly providing warranty repair service, or from contracting with third 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Because the laws vary from state-to-state, our distribution model must</w:t>
      </w:r>
      <w:r>
        <w:rPr>
          <w:color w:val="000000"/>
        </w:rPr>
        <w:t xml:space="preserve"> </w:t>
      </w:r>
      <w:r>
        <w:rPr>
          <w:rFonts w:ascii="Times New Roman;serif" w:hAnsi="Times New Roman;serif"/>
          <w:b w:val="false"/>
          <w:color w:val="231F20"/>
          <w:sz w:val="20"/>
        </w:rPr>
        <w:t>be carefully established, and our sales and service processes must be continually monitored for compliance with the various state requirements, which change from time-to-time. Regulatory compliance and likely challenges to the distribution model may add to the cost of our business.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have in the past and may choose in the future, or we may be compelled, to undertake product recalls or take other actions, which could adversely affect our business, prospects, results of operations, reputation and financial condition.</w:t>
      </w:r>
    </w:p>
    <w:p>
      <w:pPr>
        <w:pStyle w:val="TextBody"/>
        <w:bidi w:val="0"/>
        <w:spacing w:lineRule="auto" w:line="288" w:before="240" w:after="283"/>
        <w:jc w:val="left"/>
        <w:rPr/>
      </w:pPr>
      <w:r>
        <w:rPr>
          <w:rFonts w:ascii="Times New Roman;serif" w:hAnsi="Times New Roman;serif"/>
          <w:b w:val="false"/>
          <w:color w:val="231F20"/>
          <w:sz w:val="20"/>
        </w:rPr>
        <w:t>Product recalls may result in adverse publicity, damage our reputation and adversely affect our business, prospects, results of operations and financial condition. For example, we have conducted several vehicle recalls due to a number of potential issues in the past and we may in the future voluntarily or involuntarily initiate additional recalls if any of our EVs or components (including our batteries) prove to be defective or noncompliant with applicable federal motor vehicle safety standards. If a large number</w:t>
      </w:r>
      <w:r>
        <w:rPr>
          <w:color w:val="000000"/>
        </w:rPr>
        <w:t xml:space="preserve"> </w:t>
      </w:r>
      <w:r>
        <w:rPr>
          <w:rFonts w:ascii="Times New Roman;serif" w:hAnsi="Times New Roman;serif"/>
          <w:b w:val="false"/>
          <w:color w:val="231F20"/>
          <w:sz w:val="20"/>
        </w:rPr>
        <w:t>of vehicles are the subject of a recall or if we are unable to obtain the necessary replacement parts, we may be unable to service and repair recalled vehicles for a significant period of time. These types of disruptions could jeopardize our ability to fulfill existing contractual commitments or satisfy demand for our EVs and could also result in the loss of business to our competitors. Such recalls, whether caused by systems or components engineered or manufactured by us or our suppliers, would involve significant expense, the possibility of lawsuits, and diversion of management’s attention and other resources, which could adversely affect our brand image in our target markets and our business, prospects, results of operations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subject to legal proceedings, regulatory disputes and governmental inquiries that could cause us to incur significant expenses, divert our management’s attention, and adversely affect our business, results of operations, cash flows and financial condition.</w:t>
      </w:r>
    </w:p>
    <w:p>
      <w:pPr>
        <w:pStyle w:val="TextBody"/>
        <w:bidi w:val="0"/>
        <w:spacing w:lineRule="auto" w:line="288" w:before="240" w:after="283"/>
        <w:jc w:val="left"/>
        <w:rPr/>
      </w:pPr>
      <w:r>
        <w:rPr>
          <w:rFonts w:ascii="Times New Roman;serif" w:hAnsi="Times New Roman;serif"/>
          <w:b w:val="false"/>
          <w:color w:val="231F20"/>
          <w:sz w:val="20"/>
        </w:rPr>
        <w:t xml:space="preserve">From time-to-time, we may be subject to claims, lawsuits, government investigations and other proceedings involving product liability, consumer protection, competition and antitrust, intellectual property, data privacy, cybersecurity, securities, tax, labor and employment, health and safety, our direct distribution model, motor vehicle dealership licenses and state licensing laws, environmental claims, contractual and commercial disputes and other matters that could adversely affect our business, brand, reputation, results of operations, cash flows, financial condition, and the trading price of our common stock. These claims could be asserted against us by individuals, either acting individually or through class actions, by governmental entities in civil or criminal investigations and proceedings, or by other entities. For example, we are currently the subject of a class action filed against us and our former CEO, alleging violations of securities laws. We are also the subject of multiple shareholder derivative lawsuits alleging breaches of fiduciary duties and related claims against certain of our former and current directors. For details regarding these legal proceedings, refer to Note </w:t>
      </w:r>
      <w:r>
        <w:rPr>
          <w:rFonts w:ascii="Times New Roman;serif" w:hAnsi="Times New Roman;serif"/>
          <w:b w:val="false"/>
          <w:color w:val="000000"/>
          <w:sz w:val="20"/>
        </w:rPr>
        <w:t>12</w:t>
      </w:r>
      <w:r>
        <w:rPr>
          <w:color w:val="231F20"/>
        </w:rPr>
        <w:t xml:space="preserve"> “</w:t>
      </w:r>
      <w:r>
        <w:rPr>
          <w:rFonts w:ascii="Times New Roman;serif" w:hAnsi="Times New Roman;serif"/>
          <w:b w:val="false"/>
          <w:color w:val="231F20"/>
          <w:sz w:val="20"/>
        </w:rPr>
        <w:t>Commitments and Contingencies” to the consolidated financial statements included elsewhere in this Annual Report for more information.</w:t>
      </w:r>
    </w:p>
    <w:p>
      <w:pPr>
        <w:pStyle w:val="TextBody"/>
        <w:bidi w:val="0"/>
        <w:spacing w:lineRule="auto" w:line="288" w:before="240" w:after="283"/>
        <w:jc w:val="left"/>
        <w:rPr/>
      </w:pPr>
      <w:r>
        <w:rPr>
          <w:rFonts w:ascii="Times New Roman;serif" w:hAnsi="Times New Roman;serif"/>
          <w:b w:val="false"/>
          <w:color w:val="000000"/>
          <w:sz w:val="20"/>
        </w:rPr>
        <w:t>Litigation and regulatory proceedings may be protracted an</w:t>
      </w:r>
      <w:r>
        <w:rPr>
          <w:rFonts w:ascii="Times New Roman;serif" w:hAnsi="Times New Roman;serif"/>
          <w:b w:val="false"/>
          <w:color w:val="231F20"/>
          <w:sz w:val="20"/>
        </w:rPr>
        <w:t>d expensive, and the results are difficult to predict. Additionally, our litigation and legal defense costs could be significant, even if we achieve favorable outcomes. Adverse outcomes with respect to litigation or any other legal proceedings may result in significant settlement costs or judgments, criminal and civil penalties and fines, or injunctive relief, including suspension or revocation of licenses to conduct business or other changes to our business practices, all of which could negatively affect our sales and revenue growth and adversely affect our business, prospects, results of operations, cash flows and financial condition. See Part I, Item 3 “Legal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become subject to product liability and warranty-related claims, which could harm our financial condition and liquidity if we are not able to successfully defend or insure against such claims.</w:t>
      </w:r>
    </w:p>
    <w:p>
      <w:pPr>
        <w:pStyle w:val="TextBody"/>
        <w:bidi w:val="0"/>
        <w:spacing w:lineRule="auto" w:line="288" w:before="240" w:after="283"/>
        <w:jc w:val="left"/>
        <w:rPr/>
      </w:pPr>
      <w:r>
        <w:rPr>
          <w:rFonts w:ascii="Times New Roman;serif" w:hAnsi="Times New Roman;serif"/>
          <w:b w:val="false"/>
          <w:color w:val="000000"/>
          <w:sz w:val="20"/>
        </w:rPr>
        <w:t xml:space="preserve">We may become subject to product liability and warranty-related claims, which could harm our business, prospects, results of operations and financial condition. The automotive industry experiences significant product liability claims, and we face inherent risks of exposure to claims in the event our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 from or related to failures, claimed failures or misuse of new technologies that we expect to offer, including ADAS and AV features in our vehicles. See “— Risks Related to Litigation and Regulation — </w:t>
      </w:r>
      <w:r>
        <w:rPr>
          <w:rFonts w:ascii="Times New Roman;serif" w:hAnsi="Times New Roman;serif"/>
          <w:b w:val="false"/>
          <w:i/>
          <w:color w:val="000000"/>
          <w:sz w:val="20"/>
        </w:rPr>
        <w:t>ADAS and autonomous vehicle technologies are subject to uncertain and evolving regulations.</w:t>
      </w:r>
      <w:r>
        <w:rPr>
          <w:color w:val="000000"/>
        </w:rPr>
        <w:t xml:space="preserve">” </w:t>
      </w:r>
      <w:r>
        <w:rPr>
          <w:rFonts w:ascii="Times New Roman;serif" w:hAnsi="Times New Roman;serif"/>
          <w:b w:val="false"/>
          <w:color w:val="000000"/>
          <w:sz w:val="20"/>
        </w:rPr>
        <w:t xml:space="preserve">In addition, the battery packs that we produce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modules, there can be no assurance that a field or testing failure of our vehicles or other battery packs that we produce will not occur, in particular due to a high-speed crash. See “— Risks Related to Manufacturing and Supply Chain — </w:t>
      </w:r>
      <w:r>
        <w:rPr>
          <w:rFonts w:ascii="Times New Roman;serif" w:hAnsi="Times New Roman;serif"/>
          <w:b w:val="false"/>
          <w:i/>
          <w:color w:val="000000"/>
          <w:sz w:val="20"/>
        </w:rPr>
        <w:t>Our vehicles make use of lithium-ion battery cells, which, if not appropriately managed and controlled, have been observed to catch fire or vent smoke and flame.</w:t>
      </w:r>
      <w:r>
        <w:rPr>
          <w:color w:val="000000"/>
        </w:rPr>
        <w:t xml:space="preserve">” </w:t>
      </w:r>
      <w:r>
        <w:rPr>
          <w:rFonts w:ascii="Times New Roman;serif" w:hAnsi="Times New Roman;serif"/>
          <w:b w:val="false"/>
          <w:color w:val="000000"/>
          <w:sz w:val="20"/>
        </w:rPr>
        <w:t>In addition, although we equip our vehicles with systems designed to detect and warn vehicle occupants of such thermal events, there can be no assurance that such systems will function as designed or will provide vehicle occupants with sufficient, or any, warning in all circumstances. Any such events or failures of our vehicles, battery packs or warning systems could subject us to lawsuits, product recalls or redesign efforts, all of which would be time-consuming and expensive. Furthermore, if our products contain design defects, manufacturing defects, or other defects in materials or workmanship that cause them to not conform to applicable express or implied warranties, or we are unable to service or repair nonconforming vehicles within a reasonable period of time or number of repair attempts, we may be subject to breach of warranty, lemon law, and other consumer protection claims.</w:t>
      </w:r>
    </w:p>
    <w:p>
      <w:pPr>
        <w:pStyle w:val="TextBody"/>
        <w:bidi w:val="0"/>
        <w:spacing w:lineRule="auto" w:line="288" w:before="240" w:after="283"/>
        <w:jc w:val="left"/>
        <w:rPr/>
      </w:pPr>
      <w:r>
        <w:rPr>
          <w:rFonts w:ascii="Times New Roman;serif" w:hAnsi="Times New Roman;serif"/>
          <w:b w:val="false"/>
          <w:color w:val="231F20"/>
          <w:sz w:val="20"/>
        </w:rPr>
        <w:t>A successful product liability or warranty-related claim against us could result in a substantial monetary loss.</w:t>
      </w:r>
      <w:r>
        <w:rPr>
          <w:color w:val="000000"/>
        </w:rPr>
        <w:t xml:space="preserve"> </w:t>
      </w:r>
      <w:r>
        <w:rPr>
          <w:rFonts w:ascii="Times New Roman;serif" w:hAnsi="Times New Roman;serif"/>
          <w:b w:val="false"/>
          <w:color w:val="231F20"/>
          <w:sz w:val="20"/>
        </w:rPr>
        <w:t>Our risks in this area are particularly pronounced in light of the limited field experience of our vehicles. Moreover, a product liability or warranty-related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and warranty-related claims, and insurance coverage may not continue to be available to us or, if available, may be at a significantly higher cost. Any lawsuit seeking significant monetary damages or other product liability or warranty-related claims may have a material adverse effect on our reputation, business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be exposed to delays, limitations and risks related to the environmental permits and other operating permits required to construct and operate our manufacturing facilities.</w:t>
      </w:r>
    </w:p>
    <w:p>
      <w:pPr>
        <w:pStyle w:val="TextBody"/>
        <w:bidi w:val="0"/>
        <w:spacing w:lineRule="auto" w:line="288" w:before="240" w:after="283"/>
        <w:jc w:val="left"/>
        <w:rPr/>
      </w:pPr>
      <w:r>
        <w:rPr>
          <w:rFonts w:ascii="Times New Roman;serif" w:hAnsi="Times New Roman;serif"/>
          <w:b w:val="false"/>
          <w:color w:val="231F20"/>
          <w:sz w:val="20"/>
        </w:rPr>
        <w:t xml:space="preserve">Construction and operation of an automobile manufacturing facility requires land use and environmental permits and other construction and operating permits from federal, state and local government entities. While we believe that we have the permits necessary to carry out and perform our current plans and operations at our Casa Grande, Arizona and Saudi Arabia manufacturing facilities based on our current target production capacity, we plan to expand our manufacturing facilities and construct additional manufacturing facilities over time to achieve a future target production capacity and will be required to apply for and secure various environmental, wastewater, hazardous materials, construction and land use permits and certificates of occupancy necessary for the commercial operation of such expanded and additional facilities. Delays, denials or restrictions on any of the applications for or granting of the permits to construct or operate our manufacturing facilities could adversely affect our ability to execute on our business plans and objectives based on our current target production capacity or our future target production capacity. See “— Risks Related to Manufacturing and Supply Chain — </w:t>
      </w:r>
      <w:r>
        <w:rPr>
          <w:rFonts w:ascii="Times New Roman;serif" w:hAnsi="Times New Roman;serif"/>
          <w:b w:val="false"/>
          <w:i/>
          <w:color w:val="231F20"/>
          <w:sz w:val="20"/>
        </w:rPr>
        <w:t>We have experienced and may in the future experience significant delays in the design, manufacture, launch and financing of our vehicles, including the Lucid Air, the Lucid Gravity and our upcoming Midsize platform, which could harm our business and prospects.</w:t>
      </w:r>
      <w:r>
        <w:rPr>
          <w:color w:val="231F20"/>
        </w:rPr>
        <w:t>”</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subject to various environmental, health and safety laws and regulations that could impose substantial costs on us and cause delays in expanding our production facilities.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operations are subject to international, federal, state and local environmental laws and regulations relating to the use, handling, storage, disposal of and exposure to hazardous materials and batteries. Environmental, health and safety laws and regulations are complex and evolving. For example, regulations regarding battery storage, recycling, disposal and processing are relatively new and the current lack of consistent standards may increase our cost of compliance. Moreover, we may be affected by future amendments to such laws or other new environmental, health and safety laws and regulations which may require a change in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If contamination is discovered at properties we own or operate, properties we formerly owned or operated or properties to which we sent hazardous substances, we may be subject to liability under environmental laws and regulations, including, but not limited to, the Comprehensive Environmental Response, and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operations are also subject to international, federal, state, and local workplace safety laws and regulations, including, but not limited to, the Occupational Safety and Health Act and the rules promulgated by the Occupational Safety and Health Administration, which require compliance with various workplace safety requirements. These laws and regulations can give rise to liability for oversight costs, compliance costs, bodily injury (including workers’ compensation), fines, and penalties. 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production of our vehicles, which could have a material adverse effect on our business, prospects and results of operations.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ADAS and autonomous vehicle technologies are subject to uncertain and evolving regulations.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expect to introduce certain ADAS and AV technologies into our vehicles over time. ADAS and AV technologies are subject to regulatory uncertainty as the law evolves to catch up with the rapidly evolving nature of the technologies, all of which is beyond our control. There is a variety of international, federal and state regulations that may apply to self-driving and driver-assisted vehicles, which include many existing vehicle standards that assume a human driver will be controlling the vehicle at all times. Currently, there are no federal U.S. regulations in effect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Both the U.S. and Europe are considering new rules for ADAS and AV technologies that are expected to come into effect in future years. Self-driving laws and regulations are expected to continue to evolve in numerous jurisdictions in the United States and foreign countries, which increases the likelihood of a patchwork of complex or conflicting regulations or may delay products or restrict self-driving features and availability, which could adversely affect our business. Our vehicles may not achieve compliance with the regulatory requirements in some countries or jurisdictions for certification and rollout to consumers or satisfy changing regulatory requirements which could require us to redesign, modify or update our ADAS or AV hardware and related software systems. Any such requirements or limitations could impose significant expense or delays and could harm our competitive position, which could adversely affect our business, prospects, results of operations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subject to U.S. and foreign anti-corruption, anti-money laundering and anti-boycott laws and regulations. We can face criminal liability and other serious consequences for violations, which can harm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are subject to the U.S. Foreign Corrupt Practices Act of 1977, as amended, the U.S. domestic bribery statute, the U.S. Travel Act, the USA PATRIOT Act and possibly other anti-bribery and anti-money laundering laws in countries in which we expect to conduct activities, as well as the antiboycott regulations of the U.S. Export Administration regulations.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Anti-money laundering laws and regulations of the U.S. and other countries may require additional due diligence of counterparties and for us to provide ownership and financial information to counterparties. The antiboycott regulations of the U.S. Export Administration require us to refuse to comply with the Arab League boycott of Israel and report any requests to do so.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subject to governmental export and import controls and laws that could subject us to liability if we are not in compliance with such laws.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vehicles and the equipment we use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our existing and future international operations for the reassembly or manufacture of our vehicles may subject us to additional constraints under applicable export and import controls and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A failure to properly comply with foreign trade zone laws and regulations could increase the cost of our duties and tariffs.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Intellectual Property</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fail to adequately obtain, maintain, enforce, defend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ability to compete effectively is dependent in part upon our ability to obtain, maintain, enforce, defend and protect our intellectual property and proprietary technology. We may not be able to prevent third parties from unauthorized use of our intellectual property and proprietary technology, which could harm our business and competitive position. We establish and protect our intellectual property and proprietary technology through a combination of licensing agreements, third-party nondisclosure and confidentiality agreements and other contractual rights, as well as through patent, trademark, copyright and trade secret laws in the United States and other jurisdictions. Monitoring unauthorized use of our intellectual property is costly and challenging, and the steps we have taken or will take to prevent infringement, misappropriation and other violations may not be successful.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defend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measures we take to obtain, maintain, protect, defend and enforce our intellectual property, including preventing unauthorized use by third parties, may not be effective for various reasons, including the following:</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any trademark or patent applications we file may not result in the issuance of trademarks or patents;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we may not be the first inventor of the subject matter to which we have filed a particular patent application, and we may not be the first party to file such a patent application;</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claims under any of our issued patents may not be broad enough to (i) protect our inventions and proprietary technology nor (ii) prevent third parties from creating, developing, or implementing technologies that are similar to ours or offer similar performance;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issued patents may be challenged or invalidated by our competitors or other third parties;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patents have a finite term, and competitors and other third parties may offer identical or similar products after the expiration of our patents that cover such products;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employees, contractors or business partners may breach their confidentiality, non-disclosure and non-use obligations;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competitors and other third parties may independently develop technologies that are the same or similar to ours;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 xml:space="preserve">the intellectual property rights of others could also bar us from licensing and exploiting any patents that issue from our pending applications;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231F20"/>
          <w:sz w:val="20"/>
        </w:rPr>
        <w:t>the costs associated with enforcing patents or other intellectual property rights, or confidentiality and invention assignment agreements may make enforcement impracticable;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competitors and other third parties may circumvent or otherwise design around our patents or other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 For example, in June 2024, we reached an agreement with Gravity, Inc. to settle a claim before the USPTO that opposed and requested cancellation of our trademark application and registration for the use of “Gravity.”</w:t>
      </w:r>
    </w:p>
    <w:p>
      <w:pPr>
        <w:pStyle w:val="TextBody"/>
        <w:bidi w:val="0"/>
        <w:spacing w:lineRule="auto" w:line="288" w:before="240" w:after="283"/>
        <w:jc w:val="left"/>
        <w:rPr/>
      </w:pPr>
      <w:r>
        <w:rPr>
          <w:rFonts w:ascii="Times New Roman;serif" w:hAnsi="Times New Roman;serif"/>
          <w:b w:val="false"/>
          <w:color w:val="231F20"/>
          <w:sz w:val="20"/>
        </w:rPr>
        <w:t>It is our policy to enter into confidentiality and invention assignment agreements with our employees and contractors that have developed material intellectual property for us, but these agreements may not be</w:t>
      </w:r>
      <w:r>
        <w:rPr>
          <w:color w:val="000000"/>
        </w:rPr>
        <w:t xml:space="preserve"> </w:t>
      </w:r>
      <w:r>
        <w:rPr>
          <w:rFonts w:ascii="Times New Roman;serif" w:hAnsi="Times New Roman;serif"/>
          <w:b w:val="false"/>
          <w:color w:val="231F20"/>
          <w:sz w:val="20"/>
        </w:rPr>
        <w:t>self-executing and may not otherwise adequately protect our intellectual property, particularly with respect to conflicts of ownership relating to work product generated by the employees and contractors. Furthermore, we cannot be certain that we have entered into these agreements with every such employee and contractor, that these agreements will not be breached or that third parties will not gain access to our trade secrets, know-how or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have licensed and plan to further license patents and other intellectual property from third parties, including, but not limited to, suppliers and service providers, and we may face claims that our use of this in-licensed intellectual property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 The resolution of such disputes could narrow what we believe to be the scope of our rights to the relevant intellectual property or increase what we believe to be our financial or other obligations under the relevant agreement. If we are unable to renew our key license or other intellectual property-related agreements on acceptable terms, or our current and future licensors conclude that we have materially breached our obligations under our license agreements and terminate such license agreements, we may lose the legal right to use some of the intellectual property we employ to manufacture certain products or only be able to maintain such right at a substantially higher cost. In some circumstances, we may not have the right to control the maintenance, prosecution, preparation, filing, enforcement, defense or litigation of patents and patent applications that we license from third parties and are reliant on our licensors to do so. We cannot be certain that activities such as patent maintenance and prosecution by our licensors have been or will be conducted consistent with our best interests or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To prevent unauthorized use of our intellectual property, it may be necessary to prosecute actions for infringement, misappropriation or other violation of our intellectual property against third parties. Any such action may be time-consuming and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be sued by third parties for alleged infringement, misappropriation or other violation of their intellectual property, which could be time-consuming and costly and result in significant legal liability.</w:t>
      </w:r>
    </w:p>
    <w:p>
      <w:pPr>
        <w:pStyle w:val="TextBody"/>
        <w:bidi w:val="0"/>
        <w:spacing w:lineRule="auto" w:line="288" w:before="240" w:after="283"/>
        <w:jc w:val="left"/>
        <w:rPr/>
      </w:pPr>
      <w:r>
        <w:rPr>
          <w:rFonts w:ascii="Times New Roman;serif" w:hAnsi="Times New Roman;serif"/>
          <w:b w:val="false"/>
          <w:color w:val="231F20"/>
          <w:sz w:val="20"/>
        </w:rPr>
        <w:t>There are considerable issued patents, pending patent applications, and other intellectual property development, ownership, and activity in our industry.</w:t>
      </w:r>
      <w:r>
        <w:rPr>
          <w:color w:val="000000"/>
        </w:rPr>
        <w:t xml:space="preserve"> </w:t>
      </w:r>
      <w:r>
        <w:rPr>
          <w:rFonts w:ascii="Times New Roman;serif" w:hAnsi="Times New Roman;serif"/>
          <w:b w:val="false"/>
          <w:color w:val="231F20"/>
          <w:sz w:val="20"/>
        </w:rPr>
        <w:t>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time-to-time,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Patent and other types of intellectual property litigation can involve complex factual and legal questions, and their outcome is uncertain. Even if we believe such claims are without merit, a court of competent jurisdiction could hold that such third-party intellectual property is valid, enforceable and infringed, which could adversely affect our ability to commercialize our products or technologies. Accordingly, we may consider entering into license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pay substantial damages, including treble damages for willful infringement, or ongoing royalty payments;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cease developing, selling, leasing, using or incorporating certain components into vehicles or offering goods or services that incorporate or use the asserted intellectual property;</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seek a license from the owner of the asserted intellectual property, which license may not be available on reasonable terms, or at all;</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comply with other unfavorable terms; or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 and maintain alternative branding for our products and services.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may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employees from our business operations. Such disputes, with or without merit, could also cause potential customers to refrain from purchasing our products or otherwise cause us reputational harm and negative publicity.</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many of our employees were previously employed by other automotive companies or by suppliers to automotive companies, or related industries.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be enjoined from using certain technology, product, services, or knowledge or, we may lose valuable intellectual property or employees. A loss of key employees, our trade secrets, or our other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Some of our products contain open-source software, which may pose particular risks to our proprietary software, products and services in a manner that could harm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use open-source software, available from third parties, in our products and anticipate using open-source software in the future. Some open-source software licenses require those who distribute open-source software as part of their own software product to publicly disclose all or part of the source code to such software product or to make available any derivative works of the open-source code on unfavorable terms or at no cost, and we may be subject to such terms. The terms of many open-source licenses to which we are subject have not been interpreted by U.S. or foreign courts, and there is a risk that open-source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use as well as our third-party software suppliers’ use of open-source software and compliance with open-source licenses and try to ensure that none is used in a manner that would require us to disclose our proprietary source code or that would otherwise breach the terms of an open-source license, such use could inadvertently occur or be claimed to have occurred. Additionally, we could face claims from third parties claiming ownership of, or demanding release of, the open-source software or derivative works that we developed using such software, which could include our proprietary source code, or otherwise seeking to enforce, or alleging non-compliance with the terms of the applicable open-source license. These claims could result in litigation and could require us to make our proprietary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Additionally, the use of certain open-source software can lead to greater risks than use of third-party commercial software, as open-source licensors generally do not provide warranties or controls on the origin of software or other contractual protections regarding infringement claims or the quality of the code, including with respect to security vulnerabilities. Moreover, some open-source projects have known security and other vulnerabilities and architectural instabilities, or are otherwise subject to security attacks due to their wide availability, and are provided on an “as-is” basis. There is typically no support available for open-source software, and we cannot ensure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prospects, results of operations and financial condition.</w:t>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Financing and Strategic Transactions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will require additional capital to support business growth, and this capital might not be available on commercially reasonable terms, or at all.</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We have funded our operations since inception primarily through equity and debt financings. We anticipate that we will continue to raise additional funds through equity, equity-linked or debt financings. Our business is capital-intensive, and we expect the costs and expenses associated with our planned operations will continue to increase in the near term. We do not expect to achieve positive cash flow from operations for several years, if at all. In addition, we have settled, and we expect to settle, tax withholding obligations in connection with vesting of the restricted stock units granted to certain employees through “net settlement,” i.e., by remitting the Company’s cash to satisfy the tax withholding obligation and simultaneously withholding a number of the vested shares on each vesting date with a value equal to that remitted cash. The amount of the tax withholding due on each vesting date will be based on the fair value of our common stock on such vesting date. Depending on the fair value of our common stock and the number of restricted stock units vesting on any applicable vesting date, such net settlement could require us to expend substantial funds to satisfy tax withholding. </w:t>
      </w:r>
    </w:p>
    <w:p>
      <w:pPr>
        <w:pStyle w:val="TextBody"/>
        <w:bidi w:val="0"/>
        <w:spacing w:lineRule="auto" w:line="288" w:before="240" w:after="283"/>
        <w:jc w:val="left"/>
        <w:rPr/>
      </w:pPr>
      <w:r>
        <w:rPr>
          <w:rFonts w:ascii="Times New Roman;serif" w:hAnsi="Times New Roman;serif"/>
          <w:b w:val="false"/>
          <w:color w:val="231F20"/>
          <w:sz w:val="20"/>
        </w:rPr>
        <w:t xml:space="preserve">Our plan to continue the commercial production of our vehicles and grow our business is dependent upon the timely availability of funds and further investment in design, engineering, component procurement, testing, and the build-out of manufacturing capabilities. </w:t>
      </w:r>
      <w:r>
        <w:rPr>
          <w:rFonts w:ascii="Times New Roman;serif" w:hAnsi="Times New Roman;serif"/>
          <w:b w:val="false"/>
          <w:color w:val="000000"/>
          <w:sz w:val="20"/>
        </w:rPr>
        <w:t xml:space="preserve">For example, as of December 31, 2025, pursuant to the terms of the agreements we entered into in connection with the supply of lithium-ion battery cells, we have remaining minimum purchase commitments of an aggregate of approximately $2.56 billion of lithium-ion battery cells using the current base prices, which could vary period-to-period primarily as a result of changes in raw material indexes. </w:t>
      </w:r>
      <w:r>
        <w:rPr>
          <w:rFonts w:ascii="Times New Roman;serif" w:hAnsi="Times New Roman;serif"/>
          <w:b w:val="false"/>
          <w:color w:val="231F20"/>
          <w:sz w:val="20"/>
        </w:rPr>
        <w:t>In addition, the fact that we have a limited operating history means that we have limited historical data on the demand for our vehicles. As a result, our future capital requirements are uncertain, and actual capital requirements may be greater than what we currently anticipate.</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If we raise additional funds through further issuances of equity or equity-linked securities, our stockholders could experience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231F20"/>
          <w:sz w:val="20"/>
        </w:rPr>
        <w:t xml:space="preserve">We may not be able to obtain additional financing on terms favorable to us, if at all. Our ability to obtain such financing could be adversely affected by a number of factors, including general conditions in the global economy and in the global financial markets, including volatility and disruptions in the capital and credit markets, including as a result of inflation, bank closures and liquidity concerns at financial institutions, the risk of a global economic recession or other downturn, interest rate changes, global or regional conflicts or other geopolitical events, or investor acceptance of our business model. These factors may </w:t>
      </w:r>
      <w:r>
        <w:rPr>
          <w:rFonts w:ascii="Times New Roman;serif" w:hAnsi="Times New Roman;serif"/>
          <w:b w:val="false"/>
          <w:color w:val="000000"/>
          <w:sz w:val="20"/>
        </w:rPr>
        <w:t>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realize the anticipated benefits of our agreements with Aston Martin, Uber, and Nuro.</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June 2023, we entered into the Implementation Agreement with Aston Martin under which we and Aston Martin have established a long-term strategic technology arrangement. On November 6, 2023, pursuant to the terms of the Implementation Agreement, integration and supply arrangements became effective, under which we will provide Aston Martin access to our powertrain, battery system, and software technologies, work with Aston Martin to integrate our powertrain and battery components with Aston Martin’s battery EV chassis, and supply powertrain and battery components to Aston Martin. However, we may not be able to realize the anticipated benefits of this agreement if we experience delays, fail to successfully integrate our powertrain and battery components with Aston Martin’s vehicles, or fail to enter into a long form supply agreement on terms acceptable to us, or if we experience delays or fail to deliver the components ordered by Aston Martin. See Item 1 “Business” and Note 16 “Related Party Transactions” to the consolidated financial statements included elsewhere in this Annual Report for more information.</w:t>
      </w:r>
    </w:p>
    <w:p>
      <w:pPr>
        <w:pStyle w:val="TextBody"/>
        <w:bidi w:val="0"/>
        <w:spacing w:lineRule="auto" w:line="288" w:before="240" w:after="283"/>
        <w:jc w:val="left"/>
        <w:rPr/>
      </w:pPr>
      <w:r>
        <w:rPr>
          <w:rFonts w:ascii="Times New Roman;serif" w:hAnsi="Times New Roman;serif"/>
          <w:b w:val="false"/>
          <w:color w:val="000000"/>
          <w:sz w:val="20"/>
        </w:rPr>
        <w:t xml:space="preserve">In July 2025, we entered into the Vehicle Production Agreement (“VPA”) with Uber under which Uber and its designated fleet operators have agreed to purchase a minimum commitment of 20,000 Lucid Gravity Plus vehicles over a six-year period following the start of production. We will collaborate with Nuro </w:t>
      </w:r>
      <w:r>
        <w:rPr>
          <w:rFonts w:ascii="Times New Roman;serif" w:hAnsi="Times New Roman;serif"/>
          <w:b w:val="false"/>
          <w:color w:val="242424"/>
          <w:sz w:val="20"/>
        </w:rPr>
        <w:t xml:space="preserve">to install autonomous driving software in Lucid Gravity vehicles, to enable Uber and its </w:t>
      </w:r>
      <w:r>
        <w:rPr>
          <w:rFonts w:ascii="Times New Roman;serif" w:hAnsi="Times New Roman;serif"/>
          <w:b w:val="false"/>
          <w:color w:val="000000"/>
          <w:sz w:val="20"/>
        </w:rPr>
        <w:t xml:space="preserve">designated fleet operators </w:t>
      </w:r>
      <w:r>
        <w:rPr>
          <w:rFonts w:ascii="Times New Roman;serif" w:hAnsi="Times New Roman;serif"/>
          <w:b w:val="false"/>
          <w:color w:val="242424"/>
          <w:sz w:val="20"/>
        </w:rPr>
        <w:t>to operate the vehicles as robotaxis with Level 4 autonomy</w:t>
      </w:r>
      <w:r>
        <w:rPr>
          <w:rFonts w:ascii="Times New Roman;serif" w:hAnsi="Times New Roman;serif"/>
          <w:b w:val="false"/>
          <w:color w:val="000000"/>
          <w:sz w:val="20"/>
        </w:rPr>
        <w:t>. See Note 9 “Stockholders’ Equity” to the consolidated financial statements included elsewhere in this Annual Report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able to realize the anticipated benefits of the VPA if we fail to meet certain volume and other requirements and specifications with respect to the Lucid Gravity Plus vehicles, including continued production of the base Lucid Gravity vehicles, meeting certain quality thresholds, and timely fulfillment of orders for the Lucid Gravity Plus vehicles. In addition, we will depend on Nuro to meet its requirements in order to fulfill some of these conditions.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Any such delay or failure for any reason, including financial distress, insolvency or disruptions in operations experienced by our partners or for any other reasons beyond our control, may have an adverse effect on our brand and reputation, and our business, prospects,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accounting method for reflecting the Convertible Senior Notes on our consolidated balance sheet, accruing interest expense for the Convertible Senior Notes and reflecting the underlying shares of our common stock in our reported diluted earnings per share may adversely affect our reported earnings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2020, the Financial Accounting Standards Board published an Accounting Standards Update, which we refer to as ASU 2020-06, which simplifies certain of the accounting standards that apply to convertible debt such as the Convertible Senior Notes.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We adopted ASU 2020-06 for the year ended December 31, 2021, including interim periods within that fiscal year.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ASU 2020-06, we accounted for the issuance of the Convertible Senior Notes as a liability on our balance sheets, with the initial carrying amount equal to the principal amount of the Convertible Senior Notes, net of issuance costs. The issuance costs will be treated as a debt discount for accounting purposes, which will be amortized into interest expense over the term of the Convertible Senior Notes. As a result of this amortization, the interest expense that we expect to recognize for the Convertible Senior Notes for accounting purposes will be greater than the cash interest payments we will pay on the Convertible Senior Notes, which will result in a higher reported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shares underlying the Convertible Senior Notes will be reflected in our diluted earnings per share using the “if converted” method, in accordance with ASU 2020-06. Under that method, diluted earnings per share would generally be calculated assuming that all the Convertible Senior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if any of the conditions to the convertibility of the Convertible Senior Notes is satisfied, then we may be required under applicable accounting standards to reclassify the liability carrying value of the Convertible Senior Notes as a current, rather than a long-term liability. This reclassification could be required even if no noteholders convert their Convertible Senior Notes and could materially reduce our reported working capital.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Servicing our current and future debt and potential payment obligations, including under the terms of our Convertible Senior Notes and Redeemable Convertible Preferred Stock, may restrict our flexibility in operating our business and require a significant amount of cash, and we may not have sufficient cash flow from our business to pay our indebtedness or satisfy our payment obligations.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issued $2.0 billion principal amount of our 1.25% convertible senior notes due 2026 (the “2026 Notes”) in December 2021, issued $1.1 billion principal amount of our 5.00% convertible senior notes due 2030 (the “2030 Notes”) in April 2025, issued $975.0 million principal amount of our 7.00% convertible senior notes due 2031 (the “2031 Notes”) in November 2025, and have entered into several credit facilities since 2022. Concurrent with the 2030 Notes offering, we repurchased $1,052.5 million principal amount of the 2026 Notes, reducing its remaining principal amount to $960.0 million. Concurrent with the 2031 Notes offering, we repurchased $755.7 million principal amount of the 2026 Notes, further reducing its remaining principal amount to $204.3 million. See Note 6 “Debt” to the consolidated financial statements included elsewhere in this Annual Report for further information on our outstanding debt obligations. Our ability to make scheduled payments of the principal of, to pay interest on, or to refinance our indebtedness from time-to-time depends on our future performance, which is subject to economic, financial, competitive and other factors beyond our control.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Noteholders may, subject to a limited exception, require us to repurchase their Convertible Senior Notes following a fundamental change at a cash repurchase price generally equal to the principal amount of the Convertible Senior Notes to be repurchased, plus accrued and unpaid interest, if any. Holders of the 2031 Notes may also require us to repurchase their 2031 Notes on November 1, 2029 at a cash optional repurchase price equal to the principal amount of the 2031 Notes to be repurchased. In addition, upon conversion, we will satisfy part or all of our conversion obligation in cash unless we elect to settle conversions solely in shares of our common stock. We may not have sufficient available cash or be able to obtain financing at the time we are required to repurchase the Convertible Senior Notes or pay any cash amounts due upon conversion. In addition, applicable law, regulatory authorities and the agreements governing our other indebtedness, such as the covenants in the ABL Credit Facility and Certificate of Designations, may restrict our ability to repurchase the Convertible Senior Notes or pay any cash amounts due upon conversion. Our failure to repurchase the Convertible Senior Notes or pay any cash amounts due upon conversion when required will constitute a default under the indentures of such Convertible Senior Notes. A default under the indentures of such Convertible Senior Notes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Convertible Senior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under the loan agreement entered into with Saudi Industrial Development Fund (“SIDF”), a related party of the Public Investment Fund (“PIF”), which is an affiliate of Ayar Third Investment Company, the controlling stockholder of the Company (“Ayar”), in February 2022 (as subsequently amended, the “SIDF Loan Agreement”), the SAR 1.9 billion credit facility with Gulf International Bank (“GIB”) maturing in February 2028 (the “2025 GIB Credit Facility”), five-year senior secured asset-based revolving credit facility (the “ABL Credit Facility”), and $750.0 million five-year unsecured delayed draw term loan credit facility (as amended to increase the aggregate principal to $1.98 billion in November 2025, the “DDTL Credit Facility”), we are subject to customary affirmative and negative covenants regarding our business and operations, including limitations on our ability to, among other things, pay dividends, incur debt, create liens and encumbrances, redeem or repurchase stock, dispose of assets (including dispositions of material intellectual property), consummate acquisitions or other investments, prepay certain debt, engage in transactions with affiliates, engage in certain sale and leaseback transactions, consummate mergers and other fundamental changes, enter in to restrictive agreements or modify their organizational documents.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000000"/>
          <w:sz w:val="20"/>
        </w:rPr>
        <w:t>In March 2024, we issued 100,000 shares of our Series A Convertible Preferred Stock, par value $0.0001 per share (the “Series A Redeemable Convertible Preferred Stock”) and in August 2024, we issued 75,000 shares of our Series B Convertible Preferred Stock, par value $0.0001 per share (the “Series B Redeemable Convertible Preferred Stock”, together with the Series A Redeemable Convertible Preferred Stock, the “Redeemable Convertible Preferred Stock”). The holders of our Redeemable Convertible Preferred Stock have the right to receive payment in cash upon a mandatory conversion or redemption at our option, or upon the occurrence of a fundamental change (as defined in the Certificate of Designations), if certain liquidity conditions are not satisfied. In general, we are entitled to exercise a mandatory conversion right regarding the Redeemable Convertible Preferred Stock to convert into shares of common stock after the third anniversary of the date of original issuance if the daily VWAP (as defined in the Certificate of Designations) has been at least 200% of the Conversion Price (as defined in Note 8 “Redeemable Convertible Preferred Stock” to our consolidated financial statements included elsewhere in this Annual Report) for at least twenty (20) trading days (whether or not consecutive) during any thirty (30) consecutive trading day period (including the last day of such period), and we are entitled to redeem all or any portion of the Redeemable Convertible Preferred Stock on or after the fifth anniversary of the date of original issuance at a redemption price specified in the Certificate of Designations. The holders of our Redeemable Convertible Preferred Stock also have the right to receive certain Minimum Consideration (as defined in Note 8 “Redeemable Convertible Preferred Stock” to our consolidated financial statements included elsewhere in this Annual Report) upon a mandatory conversion, optional redemption, fundamental change or liquidation event. While we largely can control the occurrence of such events, if we are required to cash settle any of these obligations as a result of the liquidity conditions not being met, the amount of such cash settlement is subject to factors beyond our control and we cannot presently predict the amount of such cash settlement, which increases over time is not subject to any cap or limitation. A requirement to cash settle any obligations in relation to the Redeemable Convertible Preferred Stock may have a material adverse effect on our business, prospects, results of operations and financial condition. See “—</w:t>
      </w:r>
      <w:r>
        <w:rPr>
          <w:rFonts w:ascii="Times New Roman;serif" w:hAnsi="Times New Roman;serif"/>
          <w:b w:val="false"/>
          <w:i/>
          <w:color w:val="000000"/>
          <w:sz w:val="20"/>
        </w:rPr>
        <w:t>The issuance of additional shares of our common stock or other equity or equity-linked securities, including upon conversion, optional redemption or repurchase of convertible securities, or sales of a significant portion of our common stock, could depress the market price of our common stock.</w:t>
      </w:r>
      <w:r>
        <w:rPr>
          <w:color w:val="000000"/>
        </w:rPr>
        <w: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business may not generate cash flow from operations in the future sufficient to service our debt, our obligations under the Redeemable Convertible Preferred Stock and make necessary capital expenditures. If we are unable to generate such cash flow, we may be required to adopt one or more alternatives, such as selling assets, restructuring debt or preferred stock or obtaining additional debt financing or equity capital on terms that may be onerous or highly dilutive. Our ability to refinance any current or future indebtedness or preferred stock will depend on the capital markets and our financial condition at such time. Our obligations to the holders of our Redeemable Convertible Preferred Stock could also limit our ability to obtain additional financing, which could have an adverse effect on our financial condition. We may not be able to engage in future financing on desirable terms, which could result in a default on our debt obligations. In addition, our existing debt agreements contain, and any of our future debt agreements may contain restrictive covenants that may prohibit us from selling assets, restructuring debt or preferred stock or obtaining additional debt financing or equity capital, which may make it more difficult for us to obtain additional capital to pursue business opportunities, including potential acquisitions or divestitures. Our failure to comply with these covenants could result in an event of default which, if not cured or waived, could result in the acceleration of our debt, and may limit our ability to obtain additional financing, which in turn may have an adverse effect on our cash flows and liquidity.</w:t>
      </w:r>
    </w:p>
    <w:p>
      <w:pPr>
        <w:pStyle w:val="TextBody"/>
        <w:bidi w:val="0"/>
        <w:spacing w:lineRule="auto" w:line="288" w:before="240" w:after="283"/>
        <w:jc w:val="left"/>
        <w:rPr/>
      </w:pPr>
      <w:r>
        <w:rPr>
          <w:rFonts w:ascii="Times New Roman;serif" w:hAnsi="Times New Roman;serif"/>
          <w:b w:val="false"/>
          <w:color w:val="000000"/>
          <w:sz w:val="20"/>
        </w:rPr>
        <w:t>Further, shares of our common stock are subordinate in right of payment to all of our current and future debt and Redeemable Convertible Preferred Stock. We cannot assure that there would be any remaining funds for any distribution to our stockholders after the payment of all of our debt or, in the case of our Redeemable Convertible Preferred Stock, payment of all of our obligations upon liquidation or, in certain limited circumstances where cash settlement is required, our obligations upon mandatory conversion, optional redemption or a fundamental change. See “—</w:t>
      </w:r>
      <w:r>
        <w:rPr>
          <w:rFonts w:ascii="Times New Roman;serif" w:hAnsi="Times New Roman;serif"/>
          <w:b w:val="false"/>
          <w:i/>
          <w:color w:val="000000"/>
          <w:sz w:val="20"/>
        </w:rPr>
        <w:t>We may be unable to raise the funds necessary to pay the cash amounts due upon mandatory conversion, redeem our Redeemable</w:t>
      </w:r>
      <w:r>
        <w:rPr>
          <w:color w:val="000000"/>
        </w:rPr>
        <w:t xml:space="preserve"> </w:t>
      </w:r>
      <w:r>
        <w:rPr>
          <w:rFonts w:ascii="Times New Roman;serif" w:hAnsi="Times New Roman;serif"/>
          <w:b w:val="false"/>
          <w:i/>
          <w:color w:val="000000"/>
          <w:sz w:val="20"/>
        </w:rPr>
        <w:t>Convertible Preferred Stock or repurchase the Redeemable</w:t>
      </w:r>
      <w:r>
        <w:rPr>
          <w:color w:val="000000"/>
        </w:rPr>
        <w:t xml:space="preserve"> </w:t>
      </w:r>
      <w:r>
        <w:rPr>
          <w:rFonts w:ascii="Times New Roman;serif" w:hAnsi="Times New Roman;serif"/>
          <w:b w:val="false"/>
          <w:i/>
          <w:color w:val="000000"/>
          <w:sz w:val="20"/>
        </w:rPr>
        <w:t>Convertible Preferred Stock upon a fundamental change</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our indebtedness and our obligations under our Redeemable Convertible Preferred Stock, combined with our other existing and future financial obligations and contractual commitments, could have other important consequences. For example, it could:</w:t>
      </w:r>
    </w:p>
    <w:p>
      <w:pPr>
        <w:pStyle w:val="TextBody"/>
        <w:bidi w:val="0"/>
        <w:spacing w:lineRule="auto" w:line="288" w:before="120" w:after="283"/>
        <w:ind w:left="0" w:right="0" w:hanging="360"/>
        <w:jc w:val="left"/>
        <w:rPr>
          <w:color w:val="231F20"/>
        </w:rPr>
      </w:pPr>
      <w:r>
        <w:rPr>
          <w:color w:val="231F20"/>
        </w:rPr>
        <w:t xml:space="preserve">• </w:t>
      </w:r>
      <w:r>
        <w:rPr>
          <w:rFonts w:ascii="Times New Roman;serif" w:hAnsi="Times New Roman;serif"/>
          <w:b w:val="false"/>
          <w:color w:val="231F20"/>
          <w:sz w:val="20"/>
        </w:rPr>
        <w:t>make us more vulnerable to adverse changes in general U.S. and worldwide economic, industry and competitive conditions and adverse changes in government regulation;</w:t>
      </w:r>
    </w:p>
    <w:p>
      <w:pPr>
        <w:pStyle w:val="TextBody"/>
        <w:bidi w:val="0"/>
        <w:spacing w:lineRule="auto" w:line="288" w:before="120" w:after="283"/>
        <w:ind w:left="0" w:right="0" w:hanging="360"/>
        <w:jc w:val="left"/>
        <w:rPr>
          <w:color w:val="000000"/>
        </w:rPr>
      </w:pPr>
      <w:r>
        <w:rPr>
          <w:color w:val="000000"/>
        </w:rPr>
        <w:t xml:space="preserve">• </w:t>
      </w:r>
      <w:r>
        <w:rPr>
          <w:rFonts w:ascii="Times New Roman;serif" w:hAnsi="Times New Roman;serif"/>
          <w:b w:val="false"/>
          <w:color w:val="000000"/>
          <w:sz w:val="20"/>
        </w:rPr>
        <w:t>limit our flexibility in planning for, or reacting to, changes in our business and our industry;</w:t>
      </w:r>
    </w:p>
    <w:p>
      <w:pPr>
        <w:pStyle w:val="TextBody"/>
        <w:bidi w:val="0"/>
        <w:spacing w:lineRule="auto" w:line="288" w:before="120" w:after="283"/>
        <w:ind w:left="0" w:right="0" w:hanging="360"/>
        <w:jc w:val="left"/>
        <w:rPr>
          <w:color w:val="000000"/>
        </w:rPr>
      </w:pPr>
      <w:r>
        <w:rPr>
          <w:color w:val="000000"/>
        </w:rPr>
        <w:t xml:space="preserve">• </w:t>
      </w:r>
      <w:r>
        <w:rPr>
          <w:rFonts w:ascii="Times New Roman;serif" w:hAnsi="Times New Roman;serif"/>
          <w:b w:val="false"/>
          <w:color w:val="000000"/>
          <w:sz w:val="20"/>
        </w:rPr>
        <w:t>place us at a disadvantage compared to our competitors who have less debt or other obligations;</w:t>
      </w:r>
    </w:p>
    <w:p>
      <w:pPr>
        <w:pStyle w:val="TextBody"/>
        <w:bidi w:val="0"/>
        <w:spacing w:lineRule="auto" w:line="288" w:before="120" w:after="283"/>
        <w:ind w:left="0" w:right="0" w:hanging="360"/>
        <w:jc w:val="left"/>
        <w:rPr>
          <w:color w:val="000000"/>
        </w:rPr>
      </w:pPr>
      <w:r>
        <w:rPr>
          <w:color w:val="000000"/>
        </w:rPr>
        <w:t xml:space="preserve">• </w:t>
      </w:r>
      <w:r>
        <w:rPr>
          <w:rFonts w:ascii="Times New Roman;serif" w:hAnsi="Times New Roman;serif"/>
          <w:b w:val="false"/>
          <w:color w:val="000000"/>
          <w:sz w:val="20"/>
        </w:rPr>
        <w:t>limit our ability to borrow or raise additional amounts to fund acquisitions, for working capital and for other general corporate purposes; and</w:t>
      </w:r>
    </w:p>
    <w:p>
      <w:pPr>
        <w:pStyle w:val="TextBody"/>
        <w:bidi w:val="0"/>
        <w:spacing w:lineRule="auto" w:line="288" w:before="120" w:after="283"/>
        <w:ind w:left="0" w:right="0" w:hanging="360"/>
        <w:jc w:val="left"/>
        <w:rPr>
          <w:color w:val="000000"/>
        </w:rPr>
      </w:pPr>
      <w:r>
        <w:rPr>
          <w:color w:val="000000"/>
        </w:rPr>
        <w:t xml:space="preserve">• </w:t>
      </w:r>
      <w:r>
        <w:rPr>
          <w:rFonts w:ascii="Times New Roman;serif" w:hAnsi="Times New Roman;serif"/>
          <w:b w:val="false"/>
          <w:color w:val="000000"/>
          <w:sz w:val="20"/>
        </w:rPr>
        <w:t>make an acquisition of our company less attractive or more difficult.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Any of these factors could harm our business, results of operations and financial condition. In addition, if we incur additional indebtedness or issue additional Redeemable Convertible Preferred Stock, the risks related to our business and our ability to service or repay our indebtedness would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incurred and may still incur substantially more debt.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subsidiaries have incurred and may need to incur substantial additional debt in the future, subject to the restrictions contained in our debt instruments, some of which may be secured debt. The ABL Credit Facility, the certificate of designations of Series A Redeemable Convertible Preferred Stock (the “Series A Certificate of Designations”) and the certificate of designations of the Series B Redeemable Convertible Preferred Stock (the “Series B Certificate of Designations”) (together, the “Certificate of Designations”), impose certain restrictions on our ability to incur additional debt, but we are not restricted under the terms of the indentures governing our Convertible Senior Notes from incurring additional debt, securing existing or future debt, recapitalizing our debt or taking a number of other actions that could have the effect of diminishing our ability to make payments on our Convertible Senior Notes when due.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conditional conversion feature of the Convertible Senior Notes, if triggered, may adversely affect our financial condition and operating results.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the 2026 Notes, before the close of business on the business day immediately before September 15, 2026, noteholders will have the right to convert their 2026 Notes upon the occurrence of certain events, and they may elect to convert their 2026 Notes regardless of the occurrence of such events from and after September 15, 2026 until the close of business on the second scheduled trading day immediately before December 15, 2026. For the 2030 Notes, before the close of business on the business day immediately before January 1, 2030, noteholders will have the right to convert their 2030 Notes upon the occurrence of certain events, and they may elect to convert their 2030 Notes regardless of the occurrence of such events from and after January 1, 2030 until the close of business on the second scheduled trading day immediately before April 1, 2030. For the 2031 Notes, before the close of business on the business day immediately before August 1, 2031, noteholders will have the right to convert their 2031 Notes upon the occurrence of certain events, and they may elect to convert their 2031 Notes regardless of the occurrence of such events from and after August 1, 2031 until the close of business on the second scheduled trading day immediately before November 1, 2031. If holders of the Convertible Senior Notes elect to convert their notes, unless we elect to satisfy our conversion obligation by delivering solely shares of our common stock, we would be required to settle a portion or all of our conversion obligation through the payment of cash, which could adversely affect our liquidity. In addition, in certain circumstances, such as conversion by holders or redemption, we could be required under applicable accounting rules to reclassify all or a portion of the outstanding principal of the Convertible Senior Notes as a current rather than long-term liability, which would result in a material reduction of our net working capital.</w:t>
      </w:r>
    </w:p>
    <w:p>
      <w:pPr>
        <w:pStyle w:val="TextBody"/>
        <w:bidi w:val="0"/>
        <w:spacing w:lineRule="auto" w:line="288" w:before="240" w:after="283"/>
        <w:jc w:val="left"/>
        <w:rPr/>
      </w:pPr>
      <w:r>
        <w:rPr>
          <w:rFonts w:ascii="Times New Roman;serif" w:hAnsi="Times New Roman;serif"/>
          <w:b/>
          <w:i/>
          <w:color w:val="000000"/>
          <w:sz w:val="20"/>
        </w:rPr>
        <w:t>The holders of our Redeemable</w:t>
      </w:r>
      <w:r>
        <w:rPr>
          <w:color w:val="000000"/>
        </w:rPr>
        <w:t xml:space="preserve"> </w:t>
      </w:r>
      <w:r>
        <w:rPr>
          <w:rFonts w:ascii="Times New Roman;serif" w:hAnsi="Times New Roman;serif"/>
          <w:b/>
          <w:i/>
          <w:color w:val="000000"/>
          <w:sz w:val="20"/>
        </w:rPr>
        <w:t>Convertible Preferred Stock are entitled to vote on an as-converted to common stock basis and have rights to approve certain actions, which reduces the relative voting power of the holders of our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holders of our Redeemable Convertible Preferred Stock are entitled to vote, on an as-converted basis together with holders of our common stock, the number of votes (subject to a voting cap in accordance with Nasdaq listing rules) equal to the number of whole shares of common stock into which the shares of the Redeemable Convertible Preferred Stock held by such holder are convertible on the record date for determining stockholders entitled to vote on such matter, which reduces the relative voting power of our common stockholders.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as long as at least 10% of the aggregate number of shares of the Series A and Series B Redeemable Convertible Preferred Stock originally issued remain outstanding, respectively, and subject to certain other conditions, holders of such Redeemable Convertible Preferred Stock are entitled to a separate class vote with respect to, among other things, amendments to our organizational documents that have an adverse effect on the respective Redeemable Convertible Preferred Stock, authorizations or issuances by us of capital stock that ranks senior or equal to the respective Redeemable Convertible Preferred Stock with respect to dividends or distributions on liquidation or the terms of which provide for cash dividends (other than the common stock), winding-up or dissolution, and decreases in the number of authorized shares of the Redeemable Convertible Preferred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a result of these consent and voting rights of the Redeemable Convertible Preferred Stock, holders of the Redeemable Convertible Preferred Stock have significant power to influence the outcome over any matter submitted for the vote of the holders of our common stock and to influence certain matters affecting our governance and capitalization.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Redeemable Convertible Preferred Stock has rights, preferences and privileges that are not held by, and are senior to the rights of, our common stockholders.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Redeemable Convertible Preferred Stock ranks senior to the common stock with respect to dividends and distributions of assets upon the Company’s liquidation, dissolution or winding up. In addition, the Redeemable Convertible Preferred Stock creates substantial obligations upon us in the case of a conversion, mandatory conversion, optional redemption, fundamental change or liquidation event that may have an adverse effect upon our financial condition and the interests of the holders of our common stock. The Redeemable Convertible Preferred Stock ranks senior to the common stock with respect to dividends, which substantially limits our ability to issue parity securities, junior securities or cash dividend securities, and may in some circumstances limit our ability to pay dividends on our common stock. Furthermore, the Certificate of Designations also provides that as long as Ayar owns at least 50% of the Redeemable Convertible Preferred Stock, we are required to comply with certain debt incurrence covenants in our ABL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000000"/>
          <w:sz w:val="20"/>
        </w:rPr>
        <w:t>Holders of the Redeemable Convertible Preferred Stock also have rights to a guaranteed Minimum Consideration in the event that the Company exercises its right to mandatory conversion or optional redemption of the Redeemable Convertible Preferred Stock, and in the event of a fundamental change or liquidation event. See “—</w:t>
      </w:r>
      <w:r>
        <w:rPr>
          <w:rFonts w:ascii="Times New Roman;serif" w:hAnsi="Times New Roman;serif"/>
          <w:b w:val="false"/>
          <w:i/>
          <w:color w:val="000000"/>
          <w:sz w:val="20"/>
        </w:rPr>
        <w:t>The issuance of additional shares of our common stock or other equity or equity-linked securities, including upon conversion, optional redemption or repurchase of convertible securities, or sales of a significant portion of our common stock, could depress the market price of our common stock.</w:t>
      </w:r>
      <w:r>
        <w:rPr>
          <w:color w:val="000000"/>
        </w:rPr>
        <w:t xml:space="preserve">” </w:t>
      </w:r>
      <w:r>
        <w:rPr>
          <w:rFonts w:ascii="Times New Roman;serif" w:hAnsi="Times New Roman;serif"/>
          <w:b w:val="false"/>
          <w:color w:val="000000"/>
          <w:sz w:val="20"/>
        </w:rPr>
        <w:t>In addition, holders of our Redeemable Convertible Preferred Stock have the right to receive payment in cash upon a mandatory conversion, optional redemption or a fundamental change if certain liquidity conditions are not satisfied. See “—</w:t>
      </w:r>
      <w:r>
        <w:rPr>
          <w:rFonts w:ascii="Times New Roman;serif" w:hAnsi="Times New Roman;serif"/>
          <w:b w:val="false"/>
          <w:i/>
          <w:color w:val="000000"/>
          <w:sz w:val="20"/>
        </w:rPr>
        <w:t>Servicing our current and future debt and potential payment obligations, including under the terms of our Convertible Senior Notes and Redeemable Convertible Preferred Stock, may restrict our flexibility in operating our business and require a significant amount of cash, and we may not have sufficient cash flow from our business to pay our indebtedness or satisfy our payment obligations.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We may be unable to raise the funds necessary should any cash amounts become payable upon mandatory conversion or in connection with a fundamental change or optional redemption in relation to our Redeemable</w:t>
      </w:r>
      <w:r>
        <w:rPr>
          <w:color w:val="000000"/>
        </w:rPr>
        <w:t xml:space="preserve"> </w:t>
      </w:r>
      <w:r>
        <w:rPr>
          <w:rFonts w:ascii="Times New Roman;serif" w:hAnsi="Times New Roman;serif"/>
          <w:b w:val="false"/>
          <w:i/>
          <w:color w:val="000000"/>
          <w:sz w:val="20"/>
        </w:rPr>
        <w:t>Convertible Preferred Stock</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unable to draw down the full amounts available under the ABL Credit Facility, the SIDF Loan Agreement, the 2025 GIB Credit Facility or the DDTL Credit Facility.</w:t>
      </w:r>
    </w:p>
    <w:p>
      <w:pPr>
        <w:pStyle w:val="TextBody"/>
        <w:bidi w:val="0"/>
        <w:spacing w:lineRule="auto" w:line="288" w:before="240" w:after="283"/>
        <w:jc w:val="left"/>
        <w:rPr/>
      </w:pPr>
      <w:r>
        <w:rPr>
          <w:rFonts w:ascii="Times New Roman;serif" w:hAnsi="Times New Roman;serif"/>
          <w:b w:val="false"/>
          <w:color w:val="000000"/>
          <w:sz w:val="20"/>
        </w:rPr>
        <w:t>The ABL Credit Facility has an initial aggregate principal commitment amount of up to $1.0 billion. However, availability of the committed amounts under the ABL Credit Facility is subject to the value of the eligible borrowing base and certain debt compliance covenants in the Certificate of Designations. We are currently able to draw down only a portion of the full amount available under the ABL Credit Facility. In addition, there is no guarantee that we will have sufficient eligible borrowing base in the future to be able to draw down the full amount available under the ABL Credit Facility. In addition, amounts committed under the SIDF Loan Agreement and the 2025 GIB Credit Facility are only available for certain specific purposes and subject to conditions on drawdowns. The DDTL Credit Facility provides for an approximately $1.98 billion delayed draw term loan credit facility, subject to drawdown conditions, including the requirement that there is no availability under the ABL Credit Facility. Any inability to draw down the full amounts committed under these facilities, should the need arise, may have an</w:t>
      </w:r>
      <w:r>
        <w:rPr>
          <w:color w:val="231F20"/>
        </w:rPr>
        <w:t xml:space="preserve"> </w:t>
      </w:r>
      <w:r>
        <w:rPr>
          <w:rFonts w:ascii="Times New Roman;serif" w:hAnsi="Times New Roman;serif"/>
          <w:b w:val="false"/>
          <w:color w:val="231F20"/>
          <w:sz w:val="20"/>
        </w:rPr>
        <w:t>adverse effect on our cash flows and liquidity.</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not be able to identify adequate strategic relationship opportunities or form strategic relationships, in the future.</w:t>
      </w:r>
    </w:p>
    <w:p>
      <w:pPr>
        <w:pStyle w:val="TextBody"/>
        <w:bidi w:val="0"/>
        <w:spacing w:lineRule="auto" w:line="288" w:before="240" w:after="283"/>
        <w:jc w:val="left"/>
        <w:rPr/>
      </w:pPr>
      <w:r>
        <w:rPr>
          <w:rFonts w:ascii="Times New Roman;serif" w:hAnsi="Times New Roman;serif"/>
          <w:b w:val="false"/>
          <w:color w:val="231F20"/>
          <w:sz w:val="20"/>
        </w:rPr>
        <w:t xml:space="preserve">Strategic business relationships have been and will continue to be an important factor in the growth and long-term success of our business. From time-to-time, we explore opportunities to enter into such relationships, including partnerships with original equipment manufacturers, service and charging providers, and technology innovators. However, there are no assurances that we will be able to identify or secure suitable business relationship opportunities in the future or that </w:t>
      </w:r>
      <w:r>
        <w:rPr>
          <w:rFonts w:ascii="Times New Roman;serif" w:hAnsi="Times New Roman;serif"/>
          <w:b w:val="false"/>
          <w:color w:val="000000"/>
          <w:sz w:val="20"/>
        </w:rPr>
        <w:t xml:space="preserve">we will be able to maintain such relationships. In addition, </w:t>
      </w:r>
      <w:r>
        <w:rPr>
          <w:rFonts w:ascii="Times New Roman;serif" w:hAnsi="Times New Roman;serif"/>
          <w:b w:val="false"/>
          <w:color w:val="231F20"/>
          <w:sz w:val="20"/>
        </w:rPr>
        <w:t>our competitors may capitalize on such opportunities before we do and we may not be able to offer similar benefits to other companies with which we would like to establish and maintain strategic relationships, which could impair our ability to establish such relationships. For example, we have partnered with third-party EV charging providers to provide our customers with access to charging infrastructure, and we will rely on ongoing access to such infrastructure to provide our customers with charging solutions. If third-party EV charging providers terminate their partnerships or otherwise fail to deliver the anticipated benefits of their partnerships, our ability to provide a satisfactory customer experience will be harmed. In addition, although we have gained access to Tesla’s Supercharger network, any delay in implementing changes in Lucid vehicles required by Tesla by a certain milestone date may result in Tesla denying our access to their network.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 negative publicity or harm to their reputation from events relating to their business, we may also suffer negative publicity or harm to our reputation by virtue of our association with any such third party.</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Moreover, identifying and executing on such opportunities could demand substantial management time and resources, and negotiating and financing relationships involves significant costs and uncertainties. If we are unable to successfully source and execute strategic relationship opportunities in the future, our overall growth could be impaired, and our business, prospects and results of operations could be materially adversely affected.</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acquire other businesses, which could require significant management attention, disrupt our business, dilute stockholder value and adversely affect our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 the integration of acquired businesses, assets or personnel typically requires significant time and resources, which could result in a diversion of resources from our existing business, which could have an adverse effect on our operations, and we may not be able to manage the integration process successfully. For instance, in April 2025, we acquired select facilities and assets in Arizona previously belonging to Nikola Corporation, including Nikola’s former Coolidge manufacturing facility and the Phoenix facility, and we offered employment to certain former Nikola employees in roles across our Arizona facilities.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equity-linked securities to finance any such acquisitions could result in dilution to our stockholders. The incurrence of indebtedness could result in increased fixed obligations and exposure to potential unknown liabilities of the acquired business and could also include covenants or other restrictions that could impede our ability to manage our operations.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Our financial results may vary significantly from period-to-period due to fluctuations in our production levels, operating costs, product demand and other factors.</w:t>
      </w:r>
    </w:p>
    <w:p>
      <w:pPr>
        <w:pStyle w:val="TextBody"/>
        <w:bidi w:val="0"/>
        <w:spacing w:lineRule="auto" w:line="288" w:before="240" w:after="283"/>
        <w:jc w:val="left"/>
        <w:rPr/>
      </w:pPr>
      <w:r>
        <w:rPr>
          <w:rFonts w:ascii="Times New Roman;serif" w:hAnsi="Times New Roman;serif"/>
          <w:b w:val="false"/>
          <w:color w:val="231F20"/>
          <w:sz w:val="20"/>
        </w:rPr>
        <w:t xml:space="preserve">Our period-to-period financial results may vary based on our production levels, operating costs and product demand, which we anticipate will fluctuate as we continue to design, develop and manufacture new vehicles (which could also reduce sales of our existing vehicles), increase production capacity, design and develop new EV-related products and technologies including robotaxis, and establish or expand design, research and development, production, sales and service facilities. Our revenues from period-to-period may fluctuate as we identify and investigate areas of demand, adjust volumes and add new incentives or product derivatives based on market demand and margin opportunities, develop and introduce new vehicles or introduce existing vehicles to new markets for the first time. Our production levels also depend on our ability to obtain vehicle components from our suppliers, the effective operation of our manufacturing facilities, our ability to expand our production capacity, and our ability to timely deliver finished vehicles to customers. Lower production and sales volumes and an inability to fully utilize our purchase commitments with suppliers may result in increased costs and excess inventory as well as potential inventory write-offs. See “—Risks Related to Manufacturing and Supply Chain — </w:t>
      </w:r>
      <w:r>
        <w:rPr>
          <w:rFonts w:ascii="Times New Roman;serif" w:hAnsi="Times New Roman;serif"/>
          <w:b w:val="false"/>
          <w:i/>
          <w:color w:val="231F20"/>
          <w:sz w:val="20"/>
        </w:rPr>
        <w:t>if we fail to successfully tool our manufacturing facilities or if our manufacturing facilities become inoperable, we will be unable to produce our vehicles and our business will be harmed.</w:t>
      </w:r>
      <w:r>
        <w:rPr>
          <w:color w:val="231F20"/>
        </w:rPr>
        <w:t xml:space="preserve">” </w:t>
      </w:r>
      <w:r>
        <w:rPr>
          <w:rFonts w:ascii="Times New Roman;serif" w:hAnsi="Times New Roman;serif"/>
          <w:b w:val="false"/>
          <w:color w:val="231F20"/>
          <w:sz w:val="20"/>
        </w:rPr>
        <w:t xml:space="preserve">In addition, automotive manufacturers typically experience significant seasonality, with comparatively low sales in the first quarter and comparatively high sales in the fourth quarter, and we expect to experience similar seasonality as we scale commercial production and sale of our current and future vehicles. Our period-to-period results of operations may also fluctuate because of other factors including labor availability and costs for hourly and management personnel; profitability of our vehicles in all of our markets, including price adjustments and incentives; changes in interest rates; impairment of long-lived assets; macroeconomic conditions, including changes in trade policies and imposition or proposed imposition of tariffs; negative publicity relating to our vehicles; changes in consumer preferences and competitive conditions; investment in expansion to new markets; or increase in our sales, service and marketing activities. See “— Risks Related to Litigation and Regulation — </w:t>
      </w:r>
      <w:r>
        <w:rPr>
          <w:rFonts w:ascii="Times New Roman;serif" w:hAnsi="Times New Roman;serif"/>
          <w:b w:val="false"/>
          <w:i/>
          <w:color w:val="231F20"/>
          <w:sz w:val="20"/>
        </w:rPr>
        <w:t>Changes in U.S. trade policy, including the imposition of or uncertainties surrounding tariffs or revocation of normal trade relations and the resulting consequences, could adversely affect our business, prospects, results of operations and financial condition.</w:t>
      </w:r>
      <w:r>
        <w:rPr>
          <w:color w:val="231F20"/>
        </w:rPr>
        <w:t xml:space="preserve">” </w:t>
      </w:r>
      <w:r>
        <w:rPr>
          <w:rFonts w:ascii="Times New Roman;serif" w:hAnsi="Times New Roman;serif"/>
          <w:b w:val="false"/>
          <w:color w:val="231F20"/>
          <w:sz w:val="20"/>
        </w:rPr>
        <w:t>As a result of these factors, we believe that quarter-to-quarter comparisons of our financial results, especially in the short-term, may have limited utility as an indicator of future performance. Significant variation in our quarterly performance could also significantly and adversely affect the trading price of our common stock.</w:t>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Tax</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Our ability to use net operating loss carryforwards and certain other tax attributes may be limited.</w:t>
      </w:r>
    </w:p>
    <w:p>
      <w:pPr>
        <w:pStyle w:val="TextBody"/>
        <w:bidi w:val="0"/>
        <w:spacing w:lineRule="auto" w:line="288" w:before="240" w:after="283"/>
        <w:jc w:val="left"/>
        <w:rPr/>
      </w:pPr>
      <w:r>
        <w:rPr>
          <w:rFonts w:ascii="Times New Roman;serif" w:hAnsi="Times New Roman;serif"/>
          <w:b w:val="false"/>
          <w:color w:val="231F20"/>
          <w:sz w:val="20"/>
        </w:rPr>
        <w:t>We have accumulated U.S. federal and state net operating loss (“NOL”) carryforwards and research and deve</w:t>
      </w:r>
      <w:r>
        <w:rPr>
          <w:rFonts w:ascii="Times New Roman;serif" w:hAnsi="Times New Roman;serif"/>
          <w:b w:val="false"/>
          <w:color w:val="000000"/>
          <w:sz w:val="20"/>
        </w:rPr>
        <w:t>lopment credits which may be available to offset and reduce future taxable income. While our U.S. federal NOL carryforwards arising in taxable years beginning after December 31, 2017, will not be subject to expiration, some of our U.S. federal and state NOL carryforwards of $10.8 billion and $7.8 billion, respectively, from taxable years prior to 2018 will begin to expire in 2027. See Note 13 “Income Taxes” to the consolidated financial statements included elsewhere in this Annual Report for more information. As of December 31, 2025, we also had U.S. federal research and development credit carryforwards which will begin to expire in 2036 and state research and development credit carryforwards do not have an expiration date. As of December 31, 2025, we had foreign net operating loss carryforwards, the majority of which will begin to expire in 2043. As of December 31, 2025, we maintain a full valuation allowance for our U.S. and the majority of our non-U.S. net deferred tax assets.</w:t>
      </w:r>
    </w:p>
    <w:p>
      <w:pPr>
        <w:pStyle w:val="TextBody"/>
        <w:bidi w:val="0"/>
        <w:spacing w:lineRule="auto" w:line="288" w:before="240" w:after="283"/>
        <w:jc w:val="left"/>
        <w:rPr/>
      </w:pPr>
      <w:r>
        <w:rPr>
          <w:rFonts w:ascii="Times New Roman;serif" w:hAnsi="Times New Roman;serif"/>
          <w:b w:val="false"/>
          <w:color w:val="000000"/>
          <w:sz w:val="20"/>
        </w:rPr>
        <w:t>Our U.S. federal and state NOL carryforwards and certain tax credits may be subject to significant limitations under Section 382 and Section 383 of the U.S. tax code, respectively, and similar provisions of state law. Un</w:t>
      </w:r>
      <w:r>
        <w:rPr>
          <w:rFonts w:ascii="Times New Roman;serif" w:hAnsi="Times New Roman;serif"/>
          <w:b w:val="false"/>
          <w:color w:val="231F20"/>
          <w:sz w:val="20"/>
        </w:rPr>
        <w:t>der those sections of the U.S. tax code, if a corporation undergoes an “ownership change,” the corporation’s ability to use its pre-change NOL carryforwards and other pre-change attributes, such as research tax credits, to offset its post-change income or tax may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231F20"/>
          <w:sz w:val="20"/>
        </w:rPr>
        <w:t>In general, an “ownership change” will occur if there is a cumulative change in our ownership by “5-percent shareholders” that exceeds 50 percentage poin</w:t>
      </w:r>
      <w:r>
        <w:rPr>
          <w:rFonts w:ascii="Times New Roman;serif" w:hAnsi="Times New Roman;serif"/>
          <w:b w:val="false"/>
          <w:color w:val="000000"/>
          <w:sz w:val="20"/>
        </w:rPr>
        <w:t>ts over a rolling three-year period. Similar rules may apply under state tax laws. We have completed a formal Section 382 study of our equity transactions through December 31, 2020. The study determined that we experienced an “ownership change” in 2016, and we will not be able to utilize $12 million of our U.S. federal NOL and $3 million of U.S. federal research and development tax credit carryforwards. Similar provisions of state law may also apply to limit our use of accumulated state tax attributes from the same period.</w:t>
      </w:r>
    </w:p>
    <w:p>
      <w:pPr>
        <w:pStyle w:val="TextBody"/>
        <w:bidi w:val="0"/>
        <w:spacing w:lineRule="auto" w:line="288" w:before="240" w:after="283"/>
        <w:jc w:val="left"/>
        <w:rPr/>
      </w:pPr>
      <w:r>
        <w:rPr>
          <w:rFonts w:ascii="Times New Roman;serif" w:hAnsi="Times New Roman;serif"/>
          <w:b w:val="false"/>
          <w:color w:val="000000"/>
          <w:sz w:val="20"/>
        </w:rPr>
        <w:t>We have not yet completed an analysis of whether the business combination between the Company and Legacy Lucid also caused an “ownership change.” In addition, future changes in our stock ownership may be outside of our control. If we undergo an ownership change, we may be prevented from fully utilizing the NOL carryforwards and tax credits existing at the time of the ownership change prior to their expiration. Future regulatory changes could also limit our ability to utilize NOL carry</w:t>
      </w:r>
      <w:r>
        <w:rPr>
          <w:rFonts w:ascii="Times New Roman;serif" w:hAnsi="Times New Roman;serif"/>
          <w:b w:val="false"/>
          <w:color w:val="231F20"/>
          <w:sz w:val="20"/>
        </w:rPr>
        <w:t>forwards and tax credits. To the extent we are not able to offset future taxable income with our NOL carryforwards and tax credits, our net income and cash flows may be adversely affected.</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It is more likely than not that we will not generate taxable income in time to use any of our NOL carryforwards and research and development credits before their expiration.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Unanticipated tax laws or any change in the application of existing tax laws to us or our customers or any change to our corporate structure may adversely impact our profitability and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are subject to income and other taxes in the United States and a growing number of foreign jurisdictions.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 For example, the Tax Cuts and Jobs Act of 2017 introduced a Base Erosion and Anti-Abuse Tax which imposes a minimum tax on adjusted income of corporations with average applicable gross receipt of at least $500 million for prior three tax years and that make certain payments to related foreign persons. In addition, the Organization for Economic Cooperation and Development has issued model rules in connection with the Base Erosion and Profit Shifting integrated framework that determine multi-jurisdictional taxing rights and the rate of tax applicable to certain types of income.</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These contemplated tax initiatives, if finalized and adopted by the United States or other countries where we do business, and the other tax issues described above may materially and adversely impact our operating activities, transfer pricing policies, effective tax rate, deferred tax assets, cash flows and financial results in the current or future reporting periods.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may change our corporate structure, our business operations or certain agreements that we have entered into relating to taxes in a particular jurisdiction. These changes may materially and adversely impact our consolidated financial statements.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Our warrants are accounted for as liabilities and the changes in value of our warrants could have a material effect on our financial results.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Accounting Standards Codification (“ASC”) 815-40, “Derivatives and Hedging — Contracts in Entity’s Own Equity,”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privately placed common stock warrants issued in connection with the Churchill IPO (the “Private Placement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Public Company Requirements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The requirements of being a public company may strain our resources and distract our management, which could make it difficult to manage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are required to comply with various regulatory and reporting requirements, including those required by the SEC and Nasdaq. Complying with these reporting and other regulatory requirements is time-consuming and will result in increased costs to us and could have a negative effect on our results of operations, financial condition or business. Those requirements and their interpretation and application may also change from time-to-time and those changes could have a material adverse effect on our results of operations, financial condition or business. A failure to comply with such requirements, as interpreted and applied, could also have a material adverse effect on our results of operations, financial condition or business. These obligations and constituents will require significant attention from our senior management and could divert their attention away from the day-to-day management of our business, which could adversely affect our business, results of operations, cash flows, and financial condition.</w:t>
      </w:r>
    </w:p>
    <w:p>
      <w:pPr>
        <w:pStyle w:val="TextBody"/>
        <w:bidi w:val="0"/>
        <w:spacing w:lineRule="auto" w:line="288" w:before="240" w:after="283"/>
        <w:jc w:val="left"/>
        <w:rPr/>
      </w:pPr>
      <w:r>
        <w:rPr>
          <w:rFonts w:ascii="Times New Roman;serif" w:hAnsi="Times New Roman;serif"/>
          <w:b w:val="false"/>
          <w:color w:val="231F20"/>
          <w:sz w:val="20"/>
        </w:rPr>
        <w:t xml:space="preserve">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w:t>
      </w:r>
      <w:r>
        <w:rPr>
          <w:rFonts w:ascii="Times New Roman;serif" w:hAnsi="Times New Roman;serif"/>
          <w:b w:val="false"/>
          <w:color w:val="000000"/>
          <w:sz w:val="20"/>
        </w:rPr>
        <w:t>In addition, changing laws, regulations, and standards related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lineRule="auto" w:line="288" w:before="240" w:after="283"/>
        <w:jc w:val="left"/>
        <w:rPr/>
      </w:pPr>
      <w:r>
        <w:rPr>
          <w:rFonts w:ascii="Times New Roman;serif" w:hAnsi="Times New Roman;serif"/>
          <w:b w:val="false"/>
          <w:color w:val="231F20"/>
          <w:sz w:val="20"/>
        </w:rPr>
        <w:t xml:space="preserve">To implement, maintain and improve the effectiveness of our disclosure controls and procedures, we will need to commit significant resources, hire additional staff and provide additional management oversight. </w:t>
      </w:r>
      <w:r>
        <w:rPr>
          <w:rFonts w:ascii="Times New Roman;serif" w:hAnsi="Times New Roman;serif"/>
          <w:b w:val="false"/>
          <w:color w:val="000000"/>
          <w:sz w:val="20"/>
        </w:rPr>
        <w:t xml:space="preserve">To comply with the requirements of being a public company, we have undertaken, and expect to continue to further undertake in the future, various actions, such as hiring additional accounting staff and implementing new internal controls and procedures </w:t>
      </w:r>
      <w:r>
        <w:rPr>
          <w:rFonts w:ascii="Times New Roman;serif" w:hAnsi="Times New Roman;serif"/>
          <w:b w:val="false"/>
          <w:color w:val="231F20"/>
          <w:sz w:val="20"/>
        </w:rPr>
        <w:t>for the purpose of addressing the standards and requirements applicable to public companies. Sustaining our growth also will require us to 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the SEC’s internal control over financial reporting requirements. Internal control over financial reporting is complex and may be revised over time to adapt to changes in our business, or changes in applicable accounting rules.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part of such requirements, we are required to provide management’s attestation on the report on internal control over financial reporting by our independent registered public accounting firm. The design of internal controls over financial reporting for our business has required and will continue to require significant time and resources from management and other personnel.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we are required to report any control deficiencies that constitute a “material weakness” in our internal control over financial reporting. We cannot guarantee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will not be able to certify as to the effectiveness of our internal control over financial reporting. Matters impacting our internal control over financial reporting may result in material misstatements of our consolidated financial statements,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This could materially adversely affect us by, for example, leading to a decline in our stock price and impairing our ability to raise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be required to take write-downs or write-offs, restructuring and impairment or other charges that could have a significant negative effect on our financial condition, results of operations and stock price, which could cause our stockholders to lose some or all of their investment.</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may be required to write-down or write-off assets, restructure operations, or incur impairment or other charges that could result in losses.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Our Common Stock</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The price of our common stock has been, and may continue to be, volatile, and this volatility may negatively impact the trading price of our common stock and the Convertible Senior Notes.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stockholders’ investment in our securities and our securities may trade at prices significantly below the price stockholders paid for them. In such circumstances, the trading price of our securities may not recover and may experience a further decline.</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Factors affecting the trading price of our securities may include: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market conditions in the broader stock market in general, or in our industry in particular;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actual or anticipated fluctuations in our quarterly financial or operating results or the quarterly financial or operating results of companies perceived to be similar to ours;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changes in the market’s expectations about our operating results;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public’s reaction to our press releases, other public announcements and filings with the SEC;</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public’s reaction to financial projections and any other guidance or metrics that we may publicly disclose, including any decision to adjust or withdraw such financial projections, guidance or metrics;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speculation in the press or investment community;</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actual or anticipated developments in our business, competitors’ businesses or the competitive landscape generally;</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lower-than-anticipated industry-wide EV adoption rates or perception that EV demand is slowing;</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operating results failing to meet the expectation of securities analysts or investors in a particular period;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timing of the achievement of objectives under our business plan and the timing and amount of costs we incur in connection therewith;</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changes in financial estimates and recommendations by securities analysts concerning us or the market in general;</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operating and stock price performance of other companies that investors deem comparable to ours;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market reaction to any of our strategic partners;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changes in laws and regulations affecting our business;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commencement of, or involvement in, litigation or investigations involving us;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changes in our capital structure, such as future issuances of securities or the incurrence of additional debt;</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 xml:space="preserve">the volume of our common stock available for public sale, including as a result of conversion of our Convertible Senior Notes or our </w:t>
      </w:r>
      <w:r>
        <w:rPr>
          <w:rFonts w:ascii="Times New Roman;serif" w:hAnsi="Times New Roman;serif"/>
          <w:b w:val="false"/>
          <w:color w:val="000000"/>
          <w:sz w:val="20"/>
        </w:rPr>
        <w:t xml:space="preserve">Redeemable </w:t>
      </w:r>
      <w:r>
        <w:rPr>
          <w:rFonts w:ascii="Times New Roman;serif" w:hAnsi="Times New Roman;serif"/>
          <w:b w:val="false"/>
          <w:color w:val="231F20"/>
          <w:sz w:val="20"/>
        </w:rPr>
        <w:t>Convertible Preferred Stock;</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 xml:space="preserve">any major change in our Board </w:t>
      </w:r>
      <w:r>
        <w:rPr>
          <w:rFonts w:ascii="Times New Roman;serif" w:hAnsi="Times New Roman;serif"/>
          <w:b w:val="false"/>
          <w:color w:val="000000"/>
          <w:sz w:val="20"/>
        </w:rPr>
        <w:t>or management;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sales of substantial amounts of our common stock by our directors, officers or significant stockholders or the perception that such sales could occur;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general economic and political conditions, such as uncertainties in trade policies, the imposition or proposed imposition of tariffs, export controls, threat of a trade war, recessions, interest rate changes, inflation, bank closures and liquidity concerns at financial institutions, changes in diplomatic and trade relationships, fluctuations in foreign currency exchange rates, acts of war or terrorism, and natural disasters;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other risk factors listed in this section “Risk Factors.”</w:t>
      </w:r>
    </w:p>
    <w:p>
      <w:pPr>
        <w:pStyle w:val="TextBody"/>
        <w:bidi w:val="0"/>
        <w:spacing w:lineRule="auto" w:line="288" w:before="240" w:after="283"/>
        <w:jc w:val="left"/>
        <w:rPr/>
      </w:pPr>
      <w:r>
        <w:rPr>
          <w:rFonts w:ascii="Times New Roman;serif" w:hAnsi="Times New Roman;serif"/>
          <w:b w:val="false"/>
          <w:color w:val="000000"/>
          <w:sz w:val="20"/>
        </w:rPr>
        <w:t xml:space="preserve">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Notes regardless of our business, prospects, financial conditions or results of operations. Broad market and industry factors, including global or regional conflicts and other geopolitical events, natural disasters, and any other global pa</w:t>
      </w:r>
      <w:r>
        <w:rPr>
          <w:rFonts w:ascii="Times New Roman;serif" w:hAnsi="Times New Roman;serif"/>
          <w:b w:val="false"/>
          <w:color w:val="231F20"/>
          <w:sz w:val="20"/>
        </w:rPr>
        <w:t xml:space="preserve">ndemics, as well as general economic, political and market conditions such as recessions, inflation, </w:t>
      </w:r>
      <w:r>
        <w:rPr>
          <w:rFonts w:ascii="Times New Roman;serif" w:hAnsi="Times New Roman;serif"/>
          <w:b w:val="false"/>
          <w:color w:val="000000"/>
          <w:sz w:val="20"/>
        </w:rPr>
        <w:t xml:space="preserve">bank closures and liquidity concerns at financial institutions, </w:t>
      </w:r>
      <w:r>
        <w:rPr>
          <w:rFonts w:ascii="Times New Roman;serif" w:hAnsi="Times New Roman;serif"/>
          <w:b w:val="false"/>
          <w:color w:val="231F20"/>
          <w:sz w:val="20"/>
        </w:rPr>
        <w:t>or interest rate changes, may seriously affect the market price of our common stock and other securities, regardless of our actual operating performance. A decline in the market price of our securities also could adversely affect our ability to issue additional securities and our ability to obtain additional financing in the future.</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the stock markets in general, and the markets for technology and EV stocks in particular, have experienced extreme volatility that has sometimes been unrelated to the operating performance of the companies.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Convertible Senior Notes may impact the market price of our common stock, in particular during any redemption conversion period in connection with a redemption of the Convertible Senior Notes or any observation period for a conversion of the Convertible Senior Notes.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pStyle w:val="TextBody"/>
        <w:bidi w:val="0"/>
        <w:spacing w:lineRule="auto" w:line="288" w:before="240" w:after="283"/>
        <w:jc w:val="left"/>
        <w:rPr/>
      </w:pPr>
      <w:r>
        <w:rPr>
          <w:rFonts w:ascii="Times New Roman;serif" w:hAnsi="Times New Roman;serif"/>
          <w:b/>
          <w:i/>
          <w:color w:val="231F20"/>
          <w:sz w:val="20"/>
        </w:rPr>
        <w:t>The issuance of additional shares of our common stock or other equity or equity-linked securities,</w:t>
      </w:r>
      <w:r>
        <w:rPr>
          <w:color w:val="000000"/>
        </w:rPr>
        <w:t xml:space="preserve"> </w:t>
      </w:r>
      <w:r>
        <w:rPr>
          <w:rFonts w:ascii="Times New Roman;serif" w:hAnsi="Times New Roman;serif"/>
          <w:b/>
          <w:i/>
          <w:color w:val="231F20"/>
          <w:sz w:val="20"/>
        </w:rPr>
        <w:t>including upon conversion, optional redemption or repurchase of convertible securities, or sales of a significant portion of our common stock, could depress the market price of our common stock.</w:t>
      </w:r>
    </w:p>
    <w:p>
      <w:pPr>
        <w:pStyle w:val="TextBody"/>
        <w:bidi w:val="0"/>
        <w:spacing w:lineRule="auto" w:line="288" w:before="240" w:after="283"/>
        <w:jc w:val="left"/>
        <w:rPr/>
      </w:pPr>
      <w:r>
        <w:rPr>
          <w:rFonts w:ascii="Times New Roman;serif" w:hAnsi="Times New Roman;serif"/>
          <w:b w:val="false"/>
          <w:color w:val="231F20"/>
          <w:sz w:val="20"/>
        </w:rPr>
        <w:t>Future issuan</w:t>
      </w:r>
      <w:r>
        <w:rPr>
          <w:rFonts w:ascii="Times New Roman;serif" w:hAnsi="Times New Roman;serif"/>
          <w:b w:val="false"/>
          <w:color w:val="000000"/>
          <w:sz w:val="20"/>
        </w:rPr>
        <w:t>ces of shares of our common stock, or of securities convertible into or exercisable for our common stock, could depress the market price of our common stock and result in significant dilution for holders of our common stock. This includes the potential issuance of a substantial number of shares of our common stock upon the conversion, optional redemption, or repurchase of our Redeemable Convertible Preferred Stock. The Redeemable Convertible Preferred Stock is convertible into our common stock at specified conversion prices, subject to customary anti-dilution adjustments, and the number of shares issuable upon conversion may increase over time due to the compounding of dividends at an initial rate of 9% per annum, which are not subject to any cap or sunset provisions and may accrue in perpetuity. As a result, the number of shares of common stock issuable upon conversion of the Redeemable Convertible Preferred Stock may continue to increase, further diluting the ownership interests of existing common stockholders.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in certain circumstances, including in connection with a mandatory conversion, optional redemption, or a fundamental change (as defined in the Certificate of Designations), holders of the Redeemable Convertible Preferred Stock may be entitled to receive “Minimum Consideration.” If the value of the Minimum Consideration exceeds the Accrued Value of the Redeemable Convertible Preferred Stock, we would be required to issue a number of shares of common stock that is presently indeterminable and, particularly if our stock price is substantially below the initial conversion price, such issuances could result in significant dilution to the common stockholders which could have a material adverse effect on the market prices of our common stock and on our financial condition, liquidity, and ability to obtain additional financing.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exercise of our outstanding warrants and options, the vesting and settlement of our restricted stock units and the conversion of our Convertible Senior Notes may also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stock incentive plan, or for other reasons.</w:t>
      </w:r>
    </w:p>
    <w:p>
      <w:pPr>
        <w:pStyle w:val="TextBody"/>
        <w:bidi w:val="0"/>
        <w:spacing w:lineRule="auto" w:line="288" w:before="240" w:after="283"/>
        <w:jc w:val="left"/>
        <w:rPr/>
      </w:pPr>
      <w:r>
        <w:rPr>
          <w:rFonts w:ascii="Times New Roman;serif" w:hAnsi="Times New Roman;serif"/>
          <w:b w:val="false"/>
          <w:color w:val="000000"/>
          <w:sz w:val="20"/>
        </w:rPr>
        <w:t xml:space="preserve">The market price of shares of our common </w:t>
      </w:r>
      <w:r>
        <w:rPr>
          <w:rFonts w:ascii="Times New Roman;serif" w:hAnsi="Times New Roman;serif"/>
          <w:b w:val="false"/>
          <w:color w:val="231F20"/>
          <w:sz w:val="20"/>
        </w:rPr>
        <w:t>stock could decline as a result of substantial sales of common stock or securities convertible into shares of common stock, particularly by our significant stockholders, a large number of shares of common stock becoming available for sale or the perception in the market that holders of a large number of shares intend to sell their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231F20"/>
          <w:sz w:val="20"/>
        </w:rPr>
        <w:t xml:space="preserve">In addition, pursuant to the Investor Rights Agreement, </w:t>
      </w:r>
      <w:r>
        <w:rPr>
          <w:rFonts w:ascii="Times New Roman;serif" w:hAnsi="Times New Roman;serif"/>
          <w:b w:val="false"/>
          <w:color w:val="000000"/>
          <w:sz w:val="20"/>
        </w:rPr>
        <w:t>dated February 22, 2021 (as amended from time-to-time, the “Investor Rights Agreement”)</w:t>
      </w:r>
      <w:r>
        <w:rPr>
          <w:rFonts w:ascii="Times New Roman;serif" w:hAnsi="Times New Roman;serif"/>
          <w:b w:val="false"/>
          <w:color w:val="231F20"/>
          <w:sz w:val="20"/>
        </w:rPr>
        <w:t>, Ayar, and certain other parties thereto are entitled to, among other things, certain registration rights, including demand, piggy-back and shelf registration rights with respect to their shares of common stock (including shares of common stock underlying the Redeemable Convertible Preferred Stock held by Ayar) and Ayar’s shares of the Redeemable Convertible Preferred Stock. We also provided certain registration rights to SMB with respect to the shares of common stock issued to SMB pursuant to the 2025 Subscription Agreement. If either pursuant to any registration statement or through another avenue, one or more of these stockholders were to sell a substantial portion of the securities they hold, including any common stock issued upon conversion, redemption or repurchase of our Redeemable Convertible Preferred Stock, it could cause the trading price of our common stock to decline. Furthermore, given Ayar’s substantial concentration in ownership of our common stock and the Redeemable Convertible Preferred Stock, if Ayar were to elect to sell in the open market or in private placement transactions, it could have the effect of increasing the volatility in our stock price or putting significant downward pressure on the price of our common stock.</w:t>
      </w:r>
    </w:p>
    <w:p>
      <w:pPr>
        <w:pStyle w:val="TextBody"/>
        <w:bidi w:val="0"/>
        <w:spacing w:lineRule="auto" w:line="288" w:before="240" w:after="283"/>
        <w:jc w:val="left"/>
        <w:rPr/>
      </w:pPr>
      <w:r>
        <w:rPr>
          <w:rFonts w:ascii="Times New Roman;serif" w:hAnsi="Times New Roman;serif"/>
          <w:b/>
          <w:i/>
          <w:color w:val="000000"/>
          <w:sz w:val="20"/>
        </w:rPr>
        <w:t>We are a “controlled company” withi</w:t>
      </w:r>
      <w:r>
        <w:rPr>
          <w:rFonts w:ascii="Times New Roman;serif" w:hAnsi="Times New Roman;serif"/>
          <w:b/>
          <w:i/>
          <w:color w:val="231F20"/>
          <w:sz w:val="20"/>
        </w:rPr>
        <w:t>n the meaning of the applicable Nasdaq rules and, as a result, qualify for exemptions from certain corporate governance requirements. Our stockholders will not have the same protections afforded to stockholders of companies that are not controlled companies.</w:t>
      </w:r>
    </w:p>
    <w:p>
      <w:pPr>
        <w:pStyle w:val="TextBody"/>
        <w:bidi w:val="0"/>
        <w:spacing w:lineRule="auto" w:line="288" w:before="240" w:after="283"/>
        <w:jc w:val="left"/>
        <w:rPr/>
      </w:pPr>
      <w:r>
        <w:rPr>
          <w:rFonts w:ascii="Times New Roman;serif" w:hAnsi="Times New Roman;serif"/>
          <w:b w:val="false"/>
          <w:color w:val="231F20"/>
          <w:sz w:val="20"/>
        </w:rPr>
        <w:t xml:space="preserve">As of </w:t>
      </w:r>
      <w:r>
        <w:rPr>
          <w:rFonts w:ascii="Times New Roman;serif" w:hAnsi="Times New Roman;serif"/>
          <w:b w:val="false"/>
          <w:color w:val="000000"/>
          <w:sz w:val="20"/>
        </w:rPr>
        <w:t>December 31, 2025</w:t>
      </w:r>
      <w:r>
        <w:rPr>
          <w:rFonts w:ascii="Times New Roman;serif" w:hAnsi="Times New Roman;serif"/>
          <w:b w:val="false"/>
          <w:color w:val="231F20"/>
          <w:sz w:val="20"/>
        </w:rPr>
        <w:t>, the PIF, both directly and indirectly through A</w:t>
      </w:r>
      <w:r>
        <w:rPr>
          <w:rFonts w:ascii="Times New Roman;serif" w:hAnsi="Times New Roman;serif"/>
          <w:b w:val="false"/>
          <w:color w:val="000000"/>
          <w:sz w:val="20"/>
        </w:rPr>
        <w:t>yar, held over 50% of t</w:t>
      </w:r>
      <w:r>
        <w:rPr>
          <w:rFonts w:ascii="Times New Roman;serif" w:hAnsi="Times New Roman;serif"/>
          <w:b w:val="false"/>
          <w:color w:val="231F20"/>
          <w:sz w:val="20"/>
        </w:rPr>
        <w:t>he voting power for the election of our directors</w:t>
      </w:r>
      <w:r>
        <w:rPr>
          <w:rFonts w:ascii="Times New Roman;serif" w:hAnsi="Times New Roman;serif"/>
          <w:b w:val="false"/>
          <w:color w:val="000000"/>
          <w:sz w:val="20"/>
        </w:rPr>
        <w:t>. As a result, we are a “controlled company” within the meaning of the Nasdaq rules, and as a result, we qualify for exemptions from ce</w:t>
      </w:r>
      <w:r>
        <w:rPr>
          <w:rFonts w:ascii="Times New Roman;serif" w:hAnsi="Times New Roman;serif"/>
          <w:b w:val="false"/>
          <w:color w:val="231F20"/>
          <w:sz w:val="20"/>
        </w:rPr>
        <w:t>rtain corporate governance requirements. Under these rules, a company of which more than 50% of the voting power for the election of directors is held by an individual, group or another</w:t>
      </w:r>
      <w:r>
        <w:rPr>
          <w:color w:val="000000"/>
        </w:rPr>
        <w:t xml:space="preserve"> </w:t>
      </w:r>
      <w:r>
        <w:rPr>
          <w:rFonts w:ascii="Times New Roman;serif" w:hAnsi="Times New Roman;serif"/>
          <w:b w:val="false"/>
          <w:color w:val="000000"/>
          <w:sz w:val="20"/>
        </w:rPr>
        <w:t>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eight directors to our Board.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for so long as Ayar holds the Redeemable Convertible Preferred Stock and as result of the consent and voting rights of the Redeemable Convertible Preferred Stock, coupled with the voting rights associated with Ayar’s existing ownership of common stock in the Company, Ayar has significant power to influence the outcome over any matter submitted for the vote of the holders of our common stock and to influence certain matters affecting our governance and capitalization. Further, Ayar is entitled to receive additional shares of our common stock under the prepaid forward transactions entered into with a forward counterparty that is an affiliate of one of the initial purchasers of the 2030 Notes and the 2031 Notes (the “Forward Counterparty”) in connection with the pricing of the 2030 Notes and the 2031 Notes. This concentration of ownership and voting power allows Ayar to exercise control over certain decisions, in particular with regards to governance and capitalization matters,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w:t>
      </w:r>
    </w:p>
    <w:p>
      <w:pPr>
        <w:pStyle w:val="TextBody"/>
        <w:bidi w:val="0"/>
        <w:spacing w:lineRule="auto" w:line="288" w:before="240" w:after="283"/>
        <w:jc w:val="left"/>
        <w:rPr/>
      </w:pPr>
      <w:r>
        <w:rPr>
          <w:rFonts w:ascii="Times New Roman;serif" w:hAnsi="Times New Roman;serif"/>
          <w:b w:val="false"/>
          <w:color w:val="000000"/>
          <w:sz w:val="20"/>
        </w:rPr>
        <w:t>The interests of Ayar may differ from the interests of our other stockholders and, as such, Ayar’s voting power and influence over us may decrease the relative interests of our other stockholders or of the Company. Such concentration of voting power could also have the effect of delaying,</w:t>
      </w:r>
      <w:r>
        <w:rPr>
          <w:color w:val="231F20"/>
        </w:rPr>
        <w:t xml:space="preserve"> </w:t>
      </w:r>
      <w:r>
        <w:rPr>
          <w:rFonts w:ascii="Times New Roman;serif" w:hAnsi="Times New Roman;serif"/>
          <w:b w:val="false"/>
          <w:color w:val="231F20"/>
          <w:sz w:val="20"/>
        </w:rPr>
        <w:t>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Convertible Senior Notes.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The PIF and Ayar beneficially own a significant equity interest in us and may take actions that conflict with other stockholders’ interests.</w:t>
      </w:r>
    </w:p>
    <w:p>
      <w:pPr>
        <w:pStyle w:val="TextBody"/>
        <w:bidi w:val="0"/>
        <w:spacing w:lineRule="auto" w:line="288" w:before="240" w:after="283"/>
        <w:jc w:val="left"/>
        <w:rPr/>
      </w:pPr>
      <w:r>
        <w:rPr>
          <w:rFonts w:ascii="Times New Roman;serif" w:hAnsi="Times New Roman;serif"/>
          <w:b w:val="false"/>
          <w:color w:val="231F20"/>
          <w:sz w:val="20"/>
        </w:rPr>
        <w:t>The interests of the PIF and Ayar may not align with our interests and the interests of our other stockholders or securityholders. The PIF and Ayar are each in the business of making investments in companies and may acquire and hold interests in businesses that compete directly or indirectly with us. The PIF and Ayar and their respective affiliates, may also pursue acquisition opportunities that may be c</w:t>
      </w:r>
      <w:r>
        <w:rPr>
          <w:rFonts w:ascii="Times New Roman;serif" w:hAnsi="Times New Roman;serif"/>
          <w:b w:val="false"/>
          <w:color w:val="000000"/>
          <w:sz w:val="20"/>
        </w:rPr>
        <w:t>omplementary to our business and, as a result, those acquisition opportunities may not be available to us.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Securities or industry analysts may or may not publish research or reports about us, our business, our market, or change their recommendations regarding our common stock adversely, which could cause the price and trading volume of our common stock to decline.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can be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do not anticipate paying any cash dividends for the foreseeable future.</w:t>
      </w:r>
    </w:p>
    <w:p>
      <w:pPr>
        <w:pStyle w:val="TextBody"/>
        <w:bidi w:val="0"/>
        <w:spacing w:lineRule="auto" w:line="288" w:before="240" w:after="283"/>
        <w:jc w:val="left"/>
        <w:rPr/>
      </w:pPr>
      <w:r>
        <w:rPr>
          <w:rFonts w:ascii="Times New Roman;serif" w:hAnsi="Times New Roman;serif"/>
          <w:b w:val="false"/>
          <w:color w:val="231F20"/>
          <w:sz w:val="20"/>
        </w:rPr>
        <w:t xml:space="preserve">We have never declared or paid cash dividends on our capital stock, and we do not anticipate paying any cash dividends in the foreseeable future. In addition, the ABL Credit Facility, the DDTL Credit Facility and our </w:t>
      </w:r>
      <w:r>
        <w:rPr>
          <w:rFonts w:ascii="Times New Roman;serif" w:hAnsi="Times New Roman;serif"/>
          <w:b w:val="false"/>
          <w:color w:val="000000"/>
          <w:sz w:val="20"/>
        </w:rPr>
        <w:t xml:space="preserve">Redeemable </w:t>
      </w:r>
      <w:r>
        <w:rPr>
          <w:rFonts w:ascii="Times New Roman;serif" w:hAnsi="Times New Roman;serif"/>
          <w:b w:val="false"/>
          <w:color w:val="231F20"/>
          <w:sz w:val="20"/>
        </w:rPr>
        <w:t>Convertible Preferred Stock limits our and certain of our subsidiaries’ ability to pay cash dividends. We currently intend to retain our future earnings, if any, for the foreseeable future, to fund the development and growth of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Any future determination to pay cash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our stockholders’ only source of gain on an investment in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There is no guarantee that an active and liquid public market for our securities will be sustained.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 liquid trading market for our common stock is not sustained: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holders of our common stock may not be able to liquidate their investment in shares of our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holders of our common stock may not be able to resell their shares of our common stock at favorable prices, or at all;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market price of shares of our common stock may experience significant price volatility;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there may be less efficiency in carrying out purchase and sale orders with respect to our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Additionally, if our securities become delisted from Nasdaq for any reason, and are quoted on the OTC Bulletin Board, an inter-dealer automated quotation system for equity securities that is not a national securities exchange, the liquidity and trading of our securities may be more limited than if we were quoted or listed on Nasdaq or another national securities exchange. Our stockholders may be unable to sell their securities unless a market can be established or sustained.</w:t>
      </w:r>
    </w:p>
    <w:p>
      <w:pPr>
        <w:pStyle w:val="TextBody"/>
        <w:bidi w:val="0"/>
        <w:spacing w:lineRule="auto" w:line="288" w:before="240" w:after="283"/>
        <w:jc w:val="left"/>
        <w:rPr/>
      </w:pPr>
      <w:r>
        <w:rPr>
          <w:rFonts w:ascii="Times New Roman;serif" w:hAnsi="Times New Roman;serif"/>
          <w:b/>
          <w:i/>
          <w:color w:val="000000"/>
          <w:sz w:val="20"/>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w:t>
      </w:r>
      <w:r>
        <w:rPr>
          <w:rFonts w:ascii="Times New Roman;serif" w:hAnsi="Times New Roman;serif"/>
          <w:b/>
          <w:i/>
          <w:color w:val="231F20"/>
          <w:sz w:val="20"/>
        </w:rPr>
        <w:t>or disputes with us or with our directors, officers or employees and may discourage stockholders from bringing such claims.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Under our current bylaws, unless we consent in writing to the selection of an alternative forum, the sole and exclusive forum will be a state court within the State of Delaware (or, if no state court located within the State of Delaware has jurisdiction, the federal district court for the District of Delaware) for: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any derivative action or proceeding brought on our behalf;</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any action asserting a claim of breach of a fiduciary duty owed by any of our directors, officers or employees to us or our stockholders;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any action asserting a claim against us or any of our directors or officers or other employees arising pursuant to any provision of the DGCL or our certificate of incorporation or bylaws (as either may be amended, restated, modified, supplemented or waived from time-to-time); or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any action asserting a claim against us or any of our directors or officers or other employees governed by the internal affairs doctrine.</w:t>
      </w:r>
    </w:p>
    <w:p>
      <w:pPr>
        <w:pStyle w:val="TextBody"/>
        <w:bidi w:val="0"/>
        <w:spacing w:lineRule="auto" w:line="288" w:before="240" w:after="283"/>
        <w:jc w:val="left"/>
        <w:rPr/>
      </w:pPr>
      <w:r>
        <w:rPr>
          <w:rFonts w:ascii="Times New Roman;serif" w:hAnsi="Times New Roman;serif"/>
          <w:b w:val="false"/>
          <w:color w:val="231F20"/>
          <w:sz w:val="20"/>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valid at face value, a stockholder may nevertheless seek to bring a claim in a venue other than those designated in the exclusive forum provisions, and there can</w:t>
      </w:r>
      <w:r>
        <w:rPr>
          <w:color w:val="000000"/>
        </w:rPr>
        <w:t xml:space="preserve"> </w:t>
      </w:r>
      <w:r>
        <w:rPr>
          <w:rFonts w:ascii="Times New Roman;serif" w:hAnsi="Times New Roman;serif"/>
          <w:b w:val="false"/>
          <w:color w:val="231F20"/>
          <w:sz w:val="20"/>
        </w:rPr>
        <w:t>be no assurance that such provisions will be enforced by a court in those other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i/>
          <w:color w:val="231F20"/>
          <w:sz w:val="20"/>
        </w:rPr>
        <w:t xml:space="preserve">Some provisions of Delaware law, our current certificate of incorporation and our current bylaws, our Certificate of Designations and the indentures for the Convertible Senior Notes may deter third parties from acquiring us and diminish the value of our common stock, the Convertible Senior Notes and the </w:t>
      </w:r>
      <w:r>
        <w:rPr>
          <w:rFonts w:ascii="Times New Roman;serif" w:hAnsi="Times New Roman;serif"/>
          <w:b/>
          <w:i/>
          <w:color w:val="000000"/>
          <w:sz w:val="20"/>
        </w:rPr>
        <w:t>Redeemable</w:t>
      </w:r>
      <w:r>
        <w:rPr>
          <w:color w:val="000000"/>
        </w:rPr>
        <w:t xml:space="preserve"> </w:t>
      </w:r>
      <w:r>
        <w:rPr>
          <w:rFonts w:ascii="Times New Roman;serif" w:hAnsi="Times New Roman;serif"/>
          <w:b/>
          <w:i/>
          <w:color w:val="231F20"/>
          <w:sz w:val="20"/>
        </w:rPr>
        <w:t>Convertible Preferred Stock.</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current certificate of incorporation and our current bylaws provide for, among other things: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ability of our Board to issue one or more series of preferred stock with voting or other rights or preferences that could have the effect of impeding the success of an attempt to acquire us or otherwise effect a change in control;</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subject to the Investor Rights Agreement, advance notice for nominations of directors by stockholders and for stockholders to include matters to be considered at stockholder meetings;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certain limitations on convening special stockholder meetings.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prior to such time, the Board approved either the business combination or the transaction that resulted in the stockholder becoming an interested stockholder;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upon consummation of the transaction that resulted in the stockholder becoming an interested stockholder, the interested stockholder owned at least 85% of voting stock outstanding at the time the transaction commenced, excluding certain shares; or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at or subsequent to that time, the business combination is approved by our Board and by the affirmative vote of holders of at least two-thirds of the votes of our outstanding voting stock that is not owned by the interested stockholder.</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pStyle w:val="TextBody"/>
        <w:bidi w:val="0"/>
        <w:spacing w:lineRule="auto" w:line="288" w:before="240" w:after="283"/>
        <w:jc w:val="left"/>
        <w:rPr/>
      </w:pPr>
      <w:r>
        <w:rPr>
          <w:rFonts w:ascii="Times New Roman;serif" w:hAnsi="Times New Roman;serif"/>
          <w:b w:val="false"/>
          <w:color w:val="000000"/>
          <w:sz w:val="20"/>
        </w:rPr>
        <w:t xml:space="preserve">In addition, certain terms of our Redeemable Convertible Preferred Stock and the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Notes may make it more difficult for an entity to acquire us. As the current holder of our Convertible Preferred Stock, Ayar has certain repurchase, conversion and consent rights, including the right, at the option of Ayar, to require us to repurchase for cash or, if under the terms of our Redeemable Convertible Preferred Stock we are then permitted, and we so elect, shares of our common stock (or other securities to be received by a holder of common stock in such fundamental change) in connection with a fundamental change, based on the applicable Minimum Consideration. See “</w:t>
      </w:r>
      <w:r>
        <w:rPr>
          <w:color w:val="231F20"/>
        </w:rPr>
        <w:t xml:space="preserve">— </w:t>
      </w:r>
      <w:r>
        <w:rPr>
          <w:rFonts w:ascii="Times New Roman;serif" w:hAnsi="Times New Roman;serif"/>
          <w:b w:val="false"/>
          <w:color w:val="000000"/>
          <w:sz w:val="20"/>
        </w:rPr>
        <w:t>Risks Related to Financing and Strategic Transactions—</w:t>
      </w:r>
      <w:r>
        <w:rPr>
          <w:rFonts w:ascii="Times New Roman;serif" w:hAnsi="Times New Roman;serif"/>
          <w:b w:val="false"/>
          <w:i/>
          <w:color w:val="000000"/>
          <w:sz w:val="20"/>
        </w:rPr>
        <w:t>Our Redeemable</w:t>
      </w:r>
      <w:r>
        <w:rPr>
          <w:color w:val="000000"/>
        </w:rPr>
        <w:t xml:space="preserve"> </w:t>
      </w:r>
      <w:r>
        <w:rPr>
          <w:rFonts w:ascii="Times New Roman;serif" w:hAnsi="Times New Roman;serif"/>
          <w:b w:val="false"/>
          <w:i/>
          <w:color w:val="000000"/>
          <w:sz w:val="20"/>
        </w:rPr>
        <w:t>Convertible Preferred Stock has rights, preferences and privileges that are not held by, and are senior to the rights of, our common stockholders</w:t>
      </w:r>
      <w:r>
        <w:rPr>
          <w:rFonts w:ascii="Times New Roman;serif" w:hAnsi="Times New Roman;serif"/>
          <w:b w:val="false"/>
          <w:color w:val="000000"/>
          <w:sz w:val="20"/>
        </w:rPr>
        <w:t xml:space="preserve">.” Similarly, the indentures governing the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 xml:space="preserve">Notes generally requires us, at the option of the holders, to repurchase the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 xml:space="preserve">Notes for cash upon the occurrence of a fundamental change and, in certain circumstances, to increase the conversion rate for a holder that converts its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 xml:space="preserve">Notes in connection with a make-whole fundamental change, as defined in the indentures for the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Notes. These provisions may make it more costly for a potential acquirer to engage in a business combination transaction with us.</w:t>
      </w:r>
    </w:p>
    <w:p>
      <w:pPr>
        <w:pStyle w:val="TextBody"/>
        <w:bidi w:val="0"/>
        <w:spacing w:lineRule="auto" w:line="288" w:before="240" w:after="240"/>
        <w:jc w:val="left"/>
        <w:rPr/>
      </w:pPr>
      <w:r>
        <w:rPr>
          <w:rFonts w:ascii="Times New Roman;serif" w:hAnsi="Times New Roman;serif"/>
          <w:b w:val="false"/>
          <w:color w:val="000000"/>
          <w:sz w:val="20"/>
        </w:rPr>
        <w:t xml:space="preserve">These provisions in our current certificate of incorporation, our current bylaws, our Certificate of Designations and the indentures for the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Notes as well as D</w:t>
      </w:r>
      <w:r>
        <w:rPr>
          <w:rFonts w:ascii="Times New Roman;serif" w:hAnsi="Times New Roman;serif"/>
          <w:b w:val="false"/>
          <w:color w:val="231F20"/>
          <w:sz w:val="20"/>
        </w:rPr>
        <w:t xml:space="preserve">elaware law could increase the cost and difficulty of acquiring us or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value of the Convertible Senior Notes or the </w:t>
      </w:r>
      <w:r>
        <w:rPr>
          <w:rFonts w:ascii="Times New Roman;serif" w:hAnsi="Times New Roman;serif"/>
          <w:b w:val="false"/>
          <w:color w:val="000000"/>
          <w:sz w:val="20"/>
        </w:rPr>
        <w:t xml:space="preserve">Redeemable </w:t>
      </w:r>
      <w:r>
        <w:rPr>
          <w:rFonts w:ascii="Times New Roman;serif" w:hAnsi="Times New Roman;serif"/>
          <w:b w:val="false"/>
          <w:color w:val="231F20"/>
          <w:sz w:val="20"/>
        </w:rPr>
        <w:t xml:space="preserve">Convertible Preferred Stock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the Convertible Senior Notes or the </w:t>
      </w:r>
      <w:r>
        <w:rPr>
          <w:rFonts w:ascii="Times New Roman;serif" w:hAnsi="Times New Roman;serif"/>
          <w:b w:val="false"/>
          <w:color w:val="000000"/>
          <w:sz w:val="20"/>
        </w:rPr>
        <w:t xml:space="preserve">Redeemable </w:t>
      </w:r>
      <w:r>
        <w:rPr>
          <w:rFonts w:ascii="Times New Roman;serif" w:hAnsi="Times New Roman;serif"/>
          <w:b w:val="false"/>
          <w:color w:val="231F20"/>
          <w:sz w:val="20"/>
        </w:rPr>
        <w:t>Convertible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At Lucid, cybersecurity risk management is an integral part of our overall enterprise risk management program. We have made significant investments in people, processes, and technology to protect Lucid’s connected vehicles, services, confidential business information, and employee and consumer personal data. We have implemented multiple and varied processes and technologies for the avoidance, identification, assessment, mitigation, and remediation of risks from cybersecurity threats and incidents designated to protect against the cybersecurity risk landscape. We regularly assess and enhance our protection, detection, response, and recovery capabilities and engage with the cybersecurity communities including Auto-ISAC, third-party cybersecurity and compliance partners, internal stakeholders, and organizations leading best practices, to support our goals and objectives. Our cybersecurity risk management program integrates multiple teams across the organization, including our IT, digital and physical product, infrastructure, and legal teams, with leadership and oversight by executive management, the Audit Committee of the Board of Directors (“Audit Committee”), and the Board of Directors (“Board”).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date, Lucid is not aware of risks from cybersecurity threats, including as a result of any previous cybersecurity incidents, that have materially affected or are reasonably likely to materially affect Lucid, including our business strategy, results of operations or financial condition. See Item 1A. “Risk Factors” of this Annual Report for further information about our cybersecurity risk.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Governance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Board and Committee Oversight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Board has oversight responsibility for our overall enterprise risk management and delegates cybersecurity risk management oversight to the Audit Committee. The Audit Committee oversees Lucid’s policies and practices with respect to risk assessment and risk management, including discussing with management (i) Lucid’s major financial, cybersecurity, privacy and other information technology risk exposures; (ii) the steps that have been taken to monitor and control such exposures; and (iii) any material cybersecurity threats or incidents. The Audit Committee and the Board receive regular reporting from Lucid’s management, including our Head of Cybersecurity and other leaders of our enterprise IT security and product cybersecurity departments (“Cybersecurity Leaders”), led by our Head of Cybersecurity, on the status of our cybersecurity program and ad hoc reporting on material cybersecurity threats and incidents.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Management’s Role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At the management level, our Information Security Steering Committee (“ISSC”), with oversight by our VP of IT and General Counsel, is responsible for leading our cybersecurity risk management program and enterprise cybersecurity matters. Under the ISSC, we have various cybersecurity working committees, led by our Cybersecurity Leaders, which are primarily responsible for operational review of cybersecurity threats and incidents as part of our incident response process. Cybersecurity Leaders receive reports from our cybersecurity team and monitors the prevention, detection, mitigation, and remediation of cybersecurity threats and incidents. For potentially material cybersecurity threats and incidents, we escalate these to the ISSC, which, with additional oversight and support from our Interim CEO, would raise such threats and incidents to our Audit Committee Chair and, as appropriate, to our Board as they arise. If the cybersecurity incident is determined to be material, disclosure would be filed with the SEC within four business days of determination.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Cybersecurity Leaders and the dedicated personnel on their teams have industry-recognized certifications such as Certified Information Security Manager, Certified Information Systems Security Professional, and Boardroom qualified Technology Expert, and experienced information systems security professionals and information security managers with many years of technical cybersecurity management experience. Our Head of Cybersecurity has served in various roles in information security over the past 30 years, including serving as Chief Information Security Officer for four other technology companies. Our Head of Cybersecurity has a Bachelor of Science in Cybersecurity and Information Assurance and has earned several industry certifications in systems and cybersecurity.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Management of Cybersecurity Risk</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Our Cybersecurity Risk Management Processes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cybersecurity risk management program provides a framework for handling cybersecurity threats and incidents by identifying and escalating risks, issues, and key decisions to management, the Audit Committee, and our Board. We designed our program to protect our products and services, confidential business information (including intellectual property), and employee and consumer data and includes steps for detecting and monitoring cybersecurity threats and incidents, assessing the severity of such threats or incidents, identifying the source of such threats or incidents, including whether such threats or incidents are associated with a third-party vendor or service provider, implementing cybersecurity countermeasures and mitigation strategies and informing management, the Audit Committee, and our Board of potentially material cybersecurity threats and incidents. In addition, our cybersecurity team provides cybersecurity training to employees during the onboarding process and on a periodic basis thereafter, with specialized training and tabletop exercises for our core incident response teams and executive management on at least an annual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oversight of the ISSC, our cybersecurity risk management program is implemented day-to-day by our cybersecurity team, who identifies, considers, and assesses risks from cybersecurity threats and incidents on a regular basis; establishes processes to monitor such cybersecurity risks; provides mitigation and remediation measures; engages in policy review and development; provides product support and deployment; and maintains our cybersecurity program. Our cybersecurity team also implements data loss prevention tools and capabilities, customer security measures, incident response measures, and processes for management of third-party vendors and service providers. Our cybersecurity incident response is driven by our Lucid Data and Security Incident Response Plan. Based upon the severity assessment and ranking, incidents are handled by the relevant teams for technical, operational, and legal risk management.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Lucid has implemented processes to integrate our cybersecurity risk management processes into our overall enterprise risk management system including within our greater product management, personnel management, and third-party vendor and service provider management processes.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Third-Party Auditors and Consultants in Cybersecurity Risk Management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cybersecurity team also periodically engages third-party cybersecurity experts for risk assessment and system enhancements. We utilize third-party auditors and assessors in connection with our cybersecurity risk management program to identify gaps and develop policies, procedures, and strategies designed to improve the cybersecurity program. We also use third-party consultants to obtain and will use them to maintain relevant organizational cybersecurity certifications, including UN Regulation 155 Vehicle Cybersecurity Approval. As a general matter, we have from time-to-time utilized third-party cybersecurity consultants on an ad hoc basis in specific instances, including (i) to address potential cybersecurity threats and incidents, (ii) to conduct cybersecurity assessments and penetration testing on high-value systems and applications; and (iii) to develop internal capabilities to improve our cybersecurity defense.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Cybersecurity Risk Management of Third-Party Vendors and Service Providers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also implemented risk management practices designed to minimize cybersecurity risks that arise from utilizing third-party vendors and service providers that receive or have access to Lucid confidential information or personal data. In order to oversee and identify such risks, we have implemented the following processes: (i) a third-party security risk management program designed to assess security risk of new third-party vendors or service providers and develop countermeasures to manage unacceptable risks; (ii) provisions in our third-party vendors and service provider contracts with added security requirements; (iii) training procurement teams on management of third-party vendor and service providers; (iv) role-based access controls for third-party personnel; and (v) data transfer mechanisms for the sharing of data with third parties. While we are in the process of increasing the resiliency of these capabilities across the board, our control over and ability to monitor the security posture of third-party vendors and service providers remains limited and there can be no assurance that we can prevent, mitigate or remediate the risk of any compromise or failure in the security infrastructure owned or controlled by such third parties. In addition, any contractual protections with such third parties, including our right to indemnification, if any at all, may be limited or insufficient to prevent a negative impact on our business from such compromise or failure.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headquartered in Newark, California. Our principal facilities include properties in North America, Europe and the Middle East, which are primarily for manufacturing, assembly, warehousing, engineering, retail and service, and administrative activities. We have opened 62 studios and service centers (excluding temporary and satellite service centers) under leases: 45 in North America, 12 in Europe, and five in the Middle East. Our current manufacturing facilities are in Casa Grande, Arizona and Saudi Arabia. We currently lease or own the land on which our material properties are situated, and the leased properties are subject to various lease arrangements with third-party entities.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Excluding our growing portfolio of retail and service locations, a list of certain of our principal facilities are outlined below:</w:t>
      </w:r>
    </w:p>
    <w:tbl>
      <w:tblPr>
        <w:tblW w:w="8091" w:type="dxa"/>
        <w:jc w:val="left"/>
        <w:tblInd w:w="0" w:type="dxa"/>
        <w:tblLayout w:type="fixed"/>
        <w:tblCellMar>
          <w:top w:w="28" w:type="dxa"/>
          <w:left w:w="28" w:type="dxa"/>
          <w:bottom w:w="28" w:type="dxa"/>
          <w:right w:w="28" w:type="dxa"/>
        </w:tblCellMar>
      </w:tblPr>
      <w:tblGrid>
        <w:gridCol w:w="761"/>
        <w:gridCol w:w="669"/>
        <w:gridCol w:w="654"/>
        <w:gridCol w:w="109"/>
        <w:gridCol w:w="109"/>
        <w:gridCol w:w="109"/>
        <w:gridCol w:w="1242"/>
        <w:gridCol w:w="1242"/>
        <w:gridCol w:w="1250"/>
        <w:gridCol w:w="109"/>
        <w:gridCol w:w="109"/>
        <w:gridCol w:w="109"/>
        <w:gridCol w:w="474"/>
        <w:gridCol w:w="474"/>
        <w:gridCol w:w="671"/>
      </w:tblGrid>
      <w:tr>
        <w:trPr/>
        <w:tc>
          <w:tcPr>
            <w:tcW w:w="7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Primary 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Owned or Leased</w:t>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Headquarters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Newark,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Manufacturing (AMP-1)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Casa Grande, 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Owned/Leased</w:t>
            </w:r>
            <w:r>
              <w:rPr>
                <w:rFonts w:ascii="Times New Roman;serif" w:hAnsi="Times New Roman;serif"/>
                <w:b w:val="false"/>
                <w:color w:val="000000"/>
                <w:sz w:val="13"/>
              </w:rPr>
              <w:t>(1)</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Manufacturing (AMP-2)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King Abdullah Economic City, Saudi Arabia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Leased</w:t>
            </w:r>
          </w:p>
        </w:tc>
      </w:tr>
    </w:tbl>
    <w:p>
      <w:pPr>
        <w:pStyle w:val="TextBody"/>
        <w:bidi w:val="0"/>
        <w:spacing w:lineRule="auto" w:line="288" w:before="240" w:after="24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We own a substantial portion of the AMP-1 property and have an option to purchase the land for the portion of the AMP-1 property that is under lease.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a description of our legal proceedings, please see the description set forth in the “Legal Matters” section in Note 12 “Commitments and Contingencies” in the notes to the consolidated financial statements in Item 8 of Part II of this Annual Report,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Stock Market LLC under the ticker symbol “LCID.”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29, 2025, we effected a reverse stock split of our common stock at a ratio of one-for-ten (1:10) and a corresponding reduction of the authorized shares of common stock, as approved by our Board and stockholders. The shares of the common stock began trading on a reverse split-adjusted basis at market open on September 2, 2025.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January 30, 2026, there were 101 holders of record of our common stock. The number of beneficial owners is substantially greater than the number of record holders because a large portion of our common stock is held through banks, brokers and other financial institutions.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not paid any cash dividends on our common stock to date. The payment of cash dividends in the future is dependent upon our revenues and earnings, if any, capital requirements, the terms of any indebtedness and general financial condition. The payment of any cash dividends will be within the discretion of the Board at such time. In addition, the Board is not currently considering and does not anticipate declaring any stock dividends in the foreseeable future.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 a description of securities authorized under our equity compensation plans, see Note 10 “Stock-based awards” to the consolidated financial statements included elsewhere in this Annual Report for more information.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 Sales of Unregistered Securities; Use of Proceeds from Registered Offerings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Subscription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July 16, 2025, we entered into a subscription agreement (the “2025 Subscription Agreement”) with SMB, a subsidiary of Uber, under which we agreed to issue and SMB agreed to purchase, in a private placement, our common stock equal to (i) $300.0 million in cash divided by (ii) an amount equal to the arithmetic average of the daily volume-weighted average price of the common stock over a period of 30 consecutive trading days ending on, and including, July 15, 2025. In September 2025, we entered into an amendment to the 2025 Subscription Agreement with SMB to reflect the adjustments made to the number of placement shares and purchase price per placement share therein due to the Reverse Stock Split (as defined in Note 2 “Summary of Significant Accounting Policies” to our consolidated financial statements included elsewhere in this Annual Report), and consummated the private placement of shares to SMB and issued 13,715,121 shares, at a price per share of $21.87, for aggregate net proceeds of $299.7 million after deducting issuance costs of $0.3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issued under the 2025 Subscription Agreement were sold in reliance on the exemption from registration provided in Section 4(a)(2) of the Securities Act.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April 8, 2025, we issued $1.1 billion aggregate principal amount of 5.00% convertible senior notes due 2030 in a private offering to qualified institutional buyers pursuant to Rule 144A under the Securities Act. We used the net proceeds from the 2030 Notes offering (i) to fund the approximate $118.3 million cost of entering into the capped call transaction and (ii) to fund repurchases of approximately $1,052.5 million in aggregate principal amount of the 2026 Notes, using $931.4 million of the net proceeds of the 2030 Notes. We intend to use the remaining net proceeds for general corporate purposes.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17, 2025, we issued $975.0 million aggregate principal amount of 7.00% convertible senior notes due 2031 in a private offering to qualified institutional buyers pursuant to Rule 144A under the Securities Act. We used the net proceeds from the 2031 Notes offering to fund repurchases of approximately $755.7 million in aggregate principal amount of the 2026 Notes, using $748.2 million of the net proceeds of the 2031 Notes. We intend to use the remaining net proceeds for general corporate purposes.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This performance graph shall not be deemed “filed” for purposes of Section 18 of the Exchange Act, or incorporated by reference into any of our other filings under the Securities Act, or the Exchange Act, except as shall be expressly set forth by specific reference in such filing.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graph shows a comparison, from January 1, 2021 through December 31, 2025, of the cumulative total return on our common stock, the NASDAQ Composite Index and the 20 largest public companies sharing the same SIC code as us, which is SIC code 3711, “Motor Vehicles and Passenger Car Bodies” (Motor Vehicles and Passenger Car Bodies Public Company Group). Such returns are based on historical results and are not intended to suggest future performance. Data for the NASDAQ Composite Index and the Motor Vehicles and Passenger Car Bodies Public Company Group assumes an investment of $100 on January 1, 2021 and reinvestment of dividends. We have never declared or paid cash dividends on our common stock nor do we anticipate paying any such cash dividends in the foreseeable future.</w:t>
      </w:r>
    </w:p>
    <w:p>
      <w:pPr>
        <w:pStyle w:val="TextBody"/>
        <w:bidi w:val="0"/>
        <w:spacing w:before="0" w:after="0"/>
        <w:jc w:val="left"/>
        <w:rPr/>
      </w:pPr>
      <w:r>
        <w:rPr/>
      </w:r>
    </w:p>
    <w:p>
      <w:pPr>
        <w:pStyle w:val="TextBody"/>
        <w:bidi w:val="0"/>
        <w:spacing w:before="0" w:after="0"/>
        <w:jc w:val="left"/>
        <w:rPr/>
      </w:pPr>
      <w:r>
        <w:rPr/>
        <w:drawing>
          <wp:inline distT="0" distB="0" distL="0" distR="0">
            <wp:extent cx="7315200" cy="4371975"/>
            <wp:effectExtent l="0" t="0" r="0" b="0"/>
            <wp:docPr id="7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 descr=""/>
                    <pic:cNvPicPr>
                      <a:picLocks noChangeAspect="1" noChangeArrowheads="1"/>
                    </pic:cNvPicPr>
                  </pic:nvPicPr>
                  <pic:blipFill>
                    <a:blip r:embed="rId2"/>
                    <a:stretch>
                      <a:fillRect/>
                    </a:stretch>
                  </pic:blipFill>
                  <pic:spPr bwMode="auto">
                    <a:xfrm>
                      <a:off x="0" y="0"/>
                      <a:ext cx="7315200" cy="4371975"/>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7. Management’s Discussion and Analysis of Financial Condition and Results of Operations.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Management’s Discussion and Analysis of Financial Condition and Results of Operations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provides information that Lucid management believes is relevant to an assessment and understanding of Lucid’s consolidated results of operations and financial condition as of December 31, 2025 and for the fiscal year ended December 31, 2025. The discussion should be read together with our consolidated financial statements and related notes that are included elsewhere in this Annual Report. For discussion related to our financial condition as of December 31, 2024, results of operations for the fiscal year ended December 31, 2024 and year-to-year comparison between the years ended December 31, 2024 and 2023, refer to the Annual Report on Form 10-K for the fiscal year ended December 31, 2024 filed with the SEC on February 25, 2025. This discussion may contain forward-looking statements based upon Lucid’s current expectations, estimates and projections that involve risks and uncertainties. Our actual results could differ materially from those anticipated in these forward-looking statements as a result of various factors, including those set forth under “Risk Factors” in Part I, Item 1A of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Unless otherwise noted, the share, per share, and related information in this Annual Report has been retrospectively adjusted to reflect the Reverse Stock Split (as defined in Note 2 “Summary of Significant Accounting Policies” to our consolidated financial statements included elsewhere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a technology company that is shaping the future of mobility through our innovations, advanced technology, and software-defined vehicle platforms. Our award-winning Lucid Air and Lucid Gravity set new standards with their unmatched combination of performance, range, space, and efficiency. Our focus on in-house hardware and software innovation, vertical integration, and a “clean sheet” approach to engineering and design led to the development of the award-winning Lucid Air and Lucid Gravity, and upcoming Midsize platform.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sell vehicles directly to consumers through our retail sales network and online channels, including Lucid Financial Services. We believe that owning and operating our sales network provides the best opportunity to closely manage the customer experience, gather direct feedback, and ensure that every interaction is tailored to customer needs. We are also actively exploring alternative importer and agency models to enhance flexibility and optimize our distribution strategy in response to evolving market dynamics. We also own and operate a vehicle service network comprised of service centers in major metropolitan areas and a fleet of mobile service vehicles. In addition to our in-house capabilities, we continue to grow an approved list of specially trained collision repair shops, which in some cases serve as repair hubs for mobile service.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designed, developed, and now manufacture and sell two groundbreaking EVs: The Lucid Air sedan, for which customer deliveries began in late 2021, and the Lucid Gravity SUV, which arrived on the road in late 2024. We plan to expand our vehicle lineup with the upcoming Midsize platform vehicles, which is scheduled to start production in late 2026.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Introducing a new vehicle is challenging and complex, particularly at our accelerated pace, and we are leveraging insights gained from our Lucid Air and Lucid Gravity production ramps while planning for our Midsize production. The highly uncertain macroeconomic environment and swift-moving trade policies further complicate these efforts. In response to this uncertainty, we are diligently working to optimize our supply chain and manufacturing plans.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Workforce Reduction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2026, we announced a reduction of our current U.S. workforce (the “Plan”) intended to align with our long-term operating goals as we focus on the start of production of our Midsize platform, expansion into the robotaxi market and development of ADAS technologies, as well as the sale and distribution of our current models in existing and new geographies. We expect to substantially complete the Plan by the end of the second quarter of 2026, subject to local law and consultation requirements. As a result of the Plan, we expect to incur total restructuring charges of approximately $40 million to $42 million, primarily related to severance payments, employee benefits, and employee transition. We expect the Plan to provide us with an annualized cash savings of approximately $145 million to $150 million.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2031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2025, we issued $975.0 million aggregate principal amount of the 2031 Notes in a private offering. The net proceeds from the offering were $962.2 million after deducting debt issuance costs.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Repurchase of 2026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Contemporaneously with the 2031 Notes offering, we repurchased $755.7 million aggregate principal amount of the 2026 notes, using $748.2 million of the net proceeds of the 2031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Potential Impact of Adverse Economic Conditions and Trade Policy Uncertainties on our Business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global economic recession, downturn or other adverse economic conditions, whether due to changes or uncertainties in trade policies, the imposition or proposed imposition of tariffs, export controls, threat of a trade war, persistent inflation, political instability, global or regional conflicts or other geopolitical events, public health crises, interest rate increases or other central bank policy actions, bank closures and liquidity concerns at financial institutions, or other factors, may have an adverse impact on our business, prospects, financial condition and results of operations. If any of our suppliers, sub-suppliers or partners experience financial distress, insolvency or disruptions in operations, they may be unable to fulfill their obligations or meet our production and quality requirements. Adverse economic conditions and uncertainty about the current and future domestic or global economic conditions may also cause our customers to defer purchases or cancel their orders in response to higher interest rates, limited consumer credit availability, lower cash reserves, fluctuations in foreign currency exchange rates, and weakened consumer confidence. A reduction in demand for our products may result in a decline in product sales, with a corresponding material adverse impact on our business, prospects, financial condition and results of operations. Given our premium brand positioning and pricing, an economic recession or downturn is likely to have a disproportionate adverse effect on us compared to our competitors in the EV and traditional automotive sectors, to the extent that consumer demand for luxury goods declines in favor of more cost-conscious alternatives. In addition, adverse economic conditions and uncertainties surrounding trade policies, tariffs and export controls could also cause supply chain and logistical challenges and operational risks. In particular, the U.S. federal government enacted the law commonly referred to as the OBBBA, which eliminates, limits or phases out certain tax credits that had previously provided significant benefits to lessees and purchasers of EVs and adds new eligibility requirements on manufacturers to continue claiming tax credits on EV components. It also eliminates certain penalties for noncompliance with certain fuel efficiency standards and introduces certain key tax law modifications.</w:t>
      </w:r>
    </w:p>
    <w:p>
      <w:pPr>
        <w:pStyle w:val="TextBody"/>
        <w:bidi w:val="0"/>
        <w:spacing w:lineRule="auto" w:line="288" w:before="240" w:after="283"/>
        <w:jc w:val="left"/>
        <w:rPr/>
      </w:pPr>
      <w:r>
        <w:rPr>
          <w:rFonts w:ascii="Times New Roman;serif" w:hAnsi="Times New Roman;serif"/>
          <w:b w:val="false"/>
          <w:color w:val="000000"/>
          <w:sz w:val="20"/>
        </w:rPr>
        <w:t xml:space="preserve">Taken together, adverse economic conditions and uncertainties surrounding trade policies, tariffs and export controls, coupled with supply chain challenges and the potential difficulty of passing costs to consumers or sharing the burden with suppliers, could reduce demand for our products and have a material adverse effect on our business, prospects, results of operations and financial condition. In addition, the deterioration of conditions in the financial markets may limit our ability to obtain external financing to fund our operations and capital expenditures for business growth on terms favorable to us, if at all. See “Risk Factors” in Item 1A of Part I of this Annual Report for more information regarding risks associated with a global economic downturn or recession, changes or uncertainties in trade policies, or the imposition or proposed imposition of tariffs, including under the captions </w:t>
      </w:r>
      <w:r>
        <w:rPr>
          <w:color w:val="000000"/>
        </w:rPr>
        <w:t>“</w:t>
      </w:r>
      <w:r>
        <w:rPr>
          <w:rFonts w:ascii="Times New Roman;serif" w:hAnsi="Times New Roman;serif"/>
          <w:b w:val="false"/>
          <w:i/>
          <w:color w:val="000000"/>
          <w:sz w:val="20"/>
        </w:rPr>
        <w:t xml:space="preserve">A global economic recession, downturn or other adverse economic conditions may have a material adverse impact on our business, prospects, results of operations and financial condition.” and “Changes in U.S. trade policy, including the imposition of or uncertainties surrounding tariffs or revocation of normal trade relations and the resulting consequences, could adversely affect our business, prospects, results of operations and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Key Factors Affecting Our Performance</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believe that our future success and financial performance depend on a number of factors that present significant opportunities for our business, but also pose risks and challenges, including those discussed below and in the section entitled “Risk Factors” in Item 1A of Part I of this Annual Report.</w:t>
      </w:r>
    </w:p>
    <w:p>
      <w:pPr>
        <w:pStyle w:val="TextBody"/>
        <w:bidi w:val="0"/>
        <w:spacing w:lineRule="auto" w:line="288" w:before="240" w:after="283"/>
        <w:jc w:val="left"/>
        <w:rPr/>
      </w:pPr>
      <w:r>
        <w:rPr>
          <w:rFonts w:ascii="Times New Roman;serif" w:hAnsi="Times New Roman;serif"/>
          <w:b/>
          <w:i/>
          <w:color w:val="000000"/>
          <w:sz w:val="20"/>
        </w:rPr>
        <w:t>Design and Technology Leadership</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believe that we are positioned to be a leader in the EV market by unlocking the potential for advanced, high-performance, and long-range EVs to co-exist. We designed the Lucid Air and the Lucid Gravity with race-proven battery and powertrain technologies, offering robust performance together with a sleek exterior design and expansive interior space due to our miniaturized key drivetrain components. The Lucid Gravity is a groundbreaking new class of SUV, conceived from the ground up. Enabled by our revolutionary technology, the Lucid Gravity provides the interior space and practicality of a full-size SUV within the exterior footprint of a mid-size SUV. As a result, it provides a sophisticated space for up to seven adults, game-changing versatility, and an unparalleled driving experience.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Lucid Air and the Lucid Gravity are software-defined vehicles, designed to improve over time, with OTA software updates and key hardware already in place in the vehicle. This holistic systems approach to the integration of hardware and software is what allows us to provide these continuous OTA updates.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designed the Lucid Gravity to share components with the Lucid Air where possible, and we continue to evaluate opportunities to apply components developed for the Lucid Gravity to the Lucid Air, further expanding the number of common parts while also enhancing the customer experience in the Lucid Air. These measures enable efficiency in design, engineering, and capital expenditure deployment for the Lucid Gravity. We anticipate continued consumer demand for the Lucid Air based on its luxurious design, high-performance technology, sustainability leadership, and the growing acceptance of and demand for EVs as substitutes for gasoline-fueled vehicles. We also anticipate that these attributes will drive customer demand for the Lucid Gravity, and our future models, including our upcoming Midsize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i/>
          <w:color w:val="000000"/>
          <w:sz w:val="20"/>
        </w:rPr>
        <w:t>Distribution Models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a direct-to-consumer sales and service model in North America, which we believe allows us to offer a personalized experience for our customers based on their purchase and ownership preferences. We expect to continue to incur significant expenses in our sales, service and marketing operations for sales of the Lucid Air, the Lucid Gravity, and any future vehicle programs, including the upcoming Midsize platform, that we may offer over the coming decade, including to open additional studios, expand our sales force, grow marketing and brand awareness, and establish a robust service center operation. As of December 31, 2025, we have opened 62 studios and service centers (excluding temporary and satellite service centers): 40 in the United States (14 in California, four in each of Florida and New York, two in each of Arizona, Illinois, Massachusetts, New Jersey, Texas, Virginia and Washington, and one in each of Colorado, Georgia, Michigan and Pennsylvania), seven in Germany, five in Canada, four in Saudi Arabia, three in Switzerland, one in Netherlands, one in Norway, and one in the United Arab Emirates. We also plan to hire additional sales, customer service, and service center personnel. We believe that investing in our direct-to-consumer sales and service model will be critical to delivering and servicing the Lucid EVs we currently manufacture and sell.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we expand globally, our strategy includes establishing third-party distribution partnerships through proven business models such as importer, dealer, agent, and authorized repairer relationships. Introducing these channels is expected to enable rapid growth in these markets while optimizing the capital required to build a comprehensive sales and service network. All third-party partnerships are expected to be governed by robust agreements, standards, and guidelines to ensure compliance and maintain the Lucid customer experience throughout the entire journey.</w:t>
      </w:r>
    </w:p>
    <w:p>
      <w:pPr>
        <w:pStyle w:val="TextBody"/>
        <w:bidi w:val="0"/>
        <w:spacing w:lineRule="auto" w:line="288" w:before="240" w:after="283"/>
        <w:jc w:val="left"/>
        <w:rPr/>
      </w:pPr>
      <w:r>
        <w:rPr>
          <w:rFonts w:ascii="Times New Roman;serif" w:hAnsi="Times New Roman;serif"/>
          <w:b/>
          <w:i/>
          <w:color w:val="000000"/>
          <w:sz w:val="20"/>
        </w:rPr>
        <w:t>Expanding and Improving Manufacturing Capacity and Processes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Achieving commercialization and growth for each generation of our EVs requires us to make significant capital expenditures to scale our production capacity and improve our supply chain processes in the United States and internationally. We expect our capital expenditures to increase as we continue constructing the CBU portion of AMP-2 and expanding AMP-1.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EVs, our ability to achieve sales and meet customer demand at anticipated levels, our ability to utilize planned capacity in our existing facilities and our ability to enter new markets.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Technology Innovation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develop in-house battery, powertrain, and software technology, which requires significant capital investment in research and development. The EV market is highly competitive, including both established automotive manufacturers and new entrants. To establish market position and attract customers, we plan to continue making substantial investments in research and development for the commercialization and continued enhancements of the Lucid Air and the Lucid Gravity, the development of our Midsize platform, as well as future generations of our EVs and other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i/>
          <w:color w:val="000000"/>
          <w:sz w:val="20"/>
        </w:rPr>
        <w:t>Revenue</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revenue for the periods presented (in thousands):</w:t>
      </w:r>
    </w:p>
    <w:tbl>
      <w:tblPr>
        <w:tblW w:w="5891" w:type="dxa"/>
        <w:jc w:val="left"/>
        <w:tblInd w:w="0" w:type="dxa"/>
        <w:tblLayout w:type="fixed"/>
        <w:tblCellMar>
          <w:top w:w="28" w:type="dxa"/>
          <w:left w:w="28" w:type="dxa"/>
          <w:bottom w:w="28" w:type="dxa"/>
          <w:right w:w="28" w:type="dxa"/>
        </w:tblCellMar>
      </w:tblPr>
      <w:tblGrid>
        <w:gridCol w:w="266"/>
        <w:gridCol w:w="234"/>
        <w:gridCol w:w="236"/>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2"/>
        <w:gridCol w:w="192"/>
        <w:gridCol w:w="532"/>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recognize revenue from vehicle sales when the customer obtains control of the vehicle, which is upon delivery. We also generate revenue from non-warranty after-sales vehicle services and parts, sales of battery pack systems, powertrain kits, retail merchandise, regulatory credits, and sales of non-Lucid vehicles acquired as part of the trade-in program. We generate regulatory credits revenue from the sale of tradable credits we earn under various regulations. This includes credits related to ZEVs and GHG, and CAFE credits.</w:t>
      </w:r>
    </w:p>
    <w:p>
      <w:pPr>
        <w:pStyle w:val="TextBody"/>
        <w:bidi w:val="0"/>
        <w:spacing w:lineRule="auto" w:line="288" w:before="240" w:after="283"/>
        <w:jc w:val="left"/>
        <w:rPr/>
      </w:pPr>
      <w:r>
        <w:rPr>
          <w:rFonts w:ascii="Times New Roman;serif" w:hAnsi="Times New Roman;serif"/>
          <w:b w:val="false"/>
          <w:color w:val="000000"/>
          <w:sz w:val="20"/>
        </w:rPr>
        <w:t>Revenue increased by $546.0 million, or 68%, for the year ended December 31, 2025, as compared to the year ended December 31, 2024. The increase was primarily driven by higher Lucid vehicle deliveries for the year ended December 31, 2025, as compared to the year ended December 31, 2024. In addition, our ramp-up of the Lucid Gravity which has a higher average selling price, resulted in a favorable product mix that further contributed to the increase in the revenue. We believe the recent proposal to lower the U.S. federal fuel economy standards and eliminate CAFE EV credit trading may create uncertainties to future regulatory credit sales. Please see “</w:t>
      </w:r>
      <w:r>
        <w:rPr>
          <w:rFonts w:ascii="Times New Roman;serif" w:hAnsi="Times New Roman;serif"/>
          <w:b w:val="false"/>
          <w:i/>
          <w:color w:val="000000"/>
          <w:sz w:val="20"/>
        </w:rPr>
        <w:t>Risk Factors — Risks Related to Our Business and Operations — The unavailability, reduction or elimination of certain government and economic programs could have a material adverse effect on our business, prospects, financial condition and results of operations</w:t>
      </w:r>
      <w:r>
        <w:rPr>
          <w:color w:val="000000"/>
        </w:rPr>
        <w:t>”</w:t>
      </w:r>
      <w:r>
        <w:rPr>
          <w:rFonts w:ascii="Times New Roman;serif" w:hAnsi="Times New Roman;serif"/>
          <w:b w:val="false"/>
          <w:color w:val="242424"/>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 and Gross Profit (Loss)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cost of revenue for the periods presented (in thousands):</w:t>
      </w:r>
    </w:p>
    <w:tbl>
      <w:tblPr>
        <w:tblW w:w="6880" w:type="dxa"/>
        <w:jc w:val="left"/>
        <w:tblInd w:w="0" w:type="dxa"/>
        <w:tblLayout w:type="fixed"/>
        <w:tblCellMar>
          <w:top w:w="28" w:type="dxa"/>
          <w:left w:w="28" w:type="dxa"/>
          <w:bottom w:w="28" w:type="dxa"/>
          <w:right w:w="28" w:type="dxa"/>
        </w:tblCellMar>
      </w:tblPr>
      <w:tblGrid>
        <w:gridCol w:w="522"/>
        <w:gridCol w:w="458"/>
        <w:gridCol w:w="460"/>
        <w:gridCol w:w="196"/>
        <w:gridCol w:w="946"/>
        <w:gridCol w:w="109"/>
        <w:gridCol w:w="109"/>
        <w:gridCol w:w="109"/>
        <w:gridCol w:w="109"/>
        <w:gridCol w:w="196"/>
        <w:gridCol w:w="871"/>
        <w:gridCol w:w="109"/>
        <w:gridCol w:w="109"/>
        <w:gridCol w:w="109"/>
        <w:gridCol w:w="109"/>
        <w:gridCol w:w="196"/>
        <w:gridCol w:w="811"/>
        <w:gridCol w:w="109"/>
        <w:gridCol w:w="109"/>
        <w:gridCol w:w="109"/>
        <w:gridCol w:w="109"/>
        <w:gridCol w:w="192"/>
        <w:gridCol w:w="192"/>
        <w:gridCol w:w="532"/>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2,610,176 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4456" w:type="dxa"/>
        <w:jc w:val="left"/>
        <w:tblInd w:w="0" w:type="dxa"/>
        <w:tblLayout w:type="fixed"/>
        <w:tblCellMar>
          <w:top w:w="28" w:type="dxa"/>
          <w:left w:w="28" w:type="dxa"/>
          <w:bottom w:w="28" w:type="dxa"/>
          <w:right w:w="28" w:type="dxa"/>
        </w:tblCellMar>
      </w:tblPr>
      <w:tblGrid>
        <w:gridCol w:w="396"/>
        <w:gridCol w:w="348"/>
        <w:gridCol w:w="350"/>
        <w:gridCol w:w="269"/>
        <w:gridCol w:w="271"/>
        <w:gridCol w:w="256"/>
        <w:gridCol w:w="109"/>
        <w:gridCol w:w="109"/>
        <w:gridCol w:w="109"/>
        <w:gridCol w:w="314"/>
        <w:gridCol w:w="316"/>
        <w:gridCol w:w="256"/>
        <w:gridCol w:w="109"/>
        <w:gridCol w:w="109"/>
        <w:gridCol w:w="109"/>
        <w:gridCol w:w="109"/>
        <w:gridCol w:w="109"/>
        <w:gridCol w:w="109"/>
        <w:gridCol w:w="109"/>
        <w:gridCol w:w="109"/>
        <w:gridCol w:w="109"/>
        <w:gridCol w:w="109"/>
        <w:gridCol w:w="109"/>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Cost of vehicle sales includes direct parts, materials, shipping and handling costs, allocable overhead costs such as depreciation of manufacturing related equipment and facilities, information technology costs, personnel costs, including wages and stock-based compensation, estimated warranty costs, charges to reduce inventories to their net realizable value, charges for any excess or obsolete inventories, and losses from firm purchase commitments. Cost of vehicle sales also includes depreciation of operating lease vehicles. Manufacturing credits earned are recorded as a reduction to cost of vehicle sales.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Cost of other revenue includes direct parts, material and labor costs, depreciation of tooling costs, shipping and logistic costs. Cost of other revenue also includes costs associated with providing non-warranty after-sales services and costs for retail merchandise.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Cost of revenue increased by $879.2 million, or 51%, for the year ended December 31, 2025, as compared to the year ended December 31, 2024, primarily due to higher delivery volume of the Lucid vehicles and higher inventory write-downs including losses from firm purchase commitments, partially offset by improvements in vehicle cost efficiency driven by higher production volume. Cost of revenue included approximately $120 million of incremental tariff cost impact during the year ended December 31, 2025. In the near term, we expect our production volume of vehicles to continue to be less than our manufacturing capacity.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recorded write-downs of $815.7 million and $617.4 million for the years ended December 31, 2025 and 2024, respectively, to reduce our inventories to their net realizable values, for any excess or obsolete inventories, and losses from firm purchase commitments. The increase in the write-downs was primarily due to higher inventory balance and firm purchase commitments driven by the Lucid Gravity production ramp-up and tariff impacts for the year ended December 31, 2025, as compared to the year ended December 31, 2024. While the final scope and application of recently announced changes in trade policy remain uncertain at this time, higher tariffs on imports and subsequent retaliatory tariffs could adversely impact our financial results. We expect inventory write-downs could negatively affect our costs of vehicle sales in the near term as we ramp production volumes up toward our manufacturing capacity.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16, 2022, the IRA was enacted with clean energy incentives. The impact of the IRA on our results of operations was not material for the years ended December 31, 2025 and 2024. We will continue to evaluate the expected future impact of the IRA on our business and financial statements upon issuance of additional regulatory guidance.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Gross margin improved to (92.8)% for the year ended December 31, 2025, as compared to (114.3)% for the year ended December 31, 2024, primarily driven by improvements in vehicle cost efficiency and an increase in regulatory credit sales, partially offset by higher inventory write-downs and losses from firm purchase commitments. In addition, gross margin was negatively impacted by $120 million of incremental tariff cost and approximately $70 million of additional costs associated with the Lucid Gravity production ramp-up. Our gross margin was also negatively impacted by the fact that our direct production costs for vehicles sold during the period exceeded the revenue generated from those sales, independent of the charges for inventory write-downs.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i/>
          <w:color w:val="000000"/>
          <w:sz w:val="20"/>
        </w:rPr>
        <w:t>Operating Expenses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operating expenses for the periods presented (in thousands):</w:t>
      </w:r>
    </w:p>
    <w:tbl>
      <w:tblPr>
        <w:tblW w:w="7951" w:type="dxa"/>
        <w:jc w:val="left"/>
        <w:tblInd w:w="0" w:type="dxa"/>
        <w:tblLayout w:type="fixed"/>
        <w:tblCellMar>
          <w:top w:w="28" w:type="dxa"/>
          <w:left w:w="28" w:type="dxa"/>
          <w:bottom w:w="28" w:type="dxa"/>
          <w:right w:w="28" w:type="dxa"/>
        </w:tblCellMar>
      </w:tblPr>
      <w:tblGrid>
        <w:gridCol w:w="923"/>
        <w:gridCol w:w="812"/>
        <w:gridCol w:w="814"/>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248"/>
        <w:gridCol w:w="248"/>
        <w:gridCol w:w="532"/>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2,245,367 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2,097,709 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Research and Development</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efforts have primarily focused on the development of our battery and powertrain technology, the Lucid Air, the Lucid Gravity, and future generations of our EVs, including our Midsize platform. Research and development expenses primarily consist of materials, supplies, personnel-related expenses for employees involved in the engineering, designing, and testing of EVs, and contractor fees. Personnel-related expenses primarily include salaries, benefits and stock-based compensation. In addition, research and development expenses include prototype material, engineering, design and testing services, and allocated facilities costs, such as office and rent expense and depreciation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by $34.9 million, or 3%, for the year ended December 31, 2025, as compared to the year ended December 31, 2024. The increase was primarily attributable to increases of $85.8 million in payroll related expenses and $26.4 million in utilization of contractors and professional fees primarily related to an increase in headcount to support our Midsize platform, $17.9 million in facilities and rental related costs, $11.6 million in stock-based compensation expenses, and $7.5 million in other expenses. These increases were partially offset by a decrease of $115.1 million in engineering, design and testing services, and prototype materials related mostly to the Lucid Gravity as we started production in late 2024.</w:t>
      </w:r>
    </w:p>
    <w:p>
      <w:pPr>
        <w:pStyle w:val="TextBody"/>
        <w:bidi w:val="0"/>
        <w:spacing w:lineRule="auto" w:line="288" w:before="240" w:after="283"/>
        <w:jc w:val="left"/>
        <w:rPr/>
      </w:pPr>
      <w:r>
        <w:rPr>
          <w:rFonts w:ascii="Times New Roman;serif" w:hAnsi="Times New Roman;serif"/>
          <w:b w:val="false"/>
          <w:i/>
          <w:color w:val="000000"/>
          <w:sz w:val="20"/>
        </w:rPr>
        <w:t>Selling, General, and Administrative</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primarily consist of personnel-related expenses for employees involved in general corporate, selling and marketing functions, including executive management and administration, legal, human resources, facilities and real estate, accounting, finance, tax, and information technology. Personnel-related expenses primarily include salaries, benefits and stock-based compensation. Selling, general, and administrative expenses also include allocated facilities costs, such as office, rent and depreciation expenses, professional services fees, sales and marketing expenses and other general corporate expenses. As we continue to grow as a company, build out our sales force, and commercialize the Lucid Air and Lucid Gravity, and future generations of our EVs, including our Midsize platform, we expect an increase to our selling, general and administrative costs.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increased by $133.0 million, or 15%, for the year ended December 31, 2025, as compared to the year ended December 31, 2024. The increase was primarily attributable to increases of $52.3 million in sales and marketing expenses, $34.7 million in facilities and rental related costs, $33.1 million in payroll related expenses due to our continued commercialization and growth strategy, $11.6 million in utilization of contractors and professional fees, and $11.3 million in other general corporate expenses. These increases were partially offset by a decrease of $26.6 million in stock-based compensation expenses, primarily driven by a reversal of previously recognized expenses for the former CEO’s unvested time-based RSUs during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Restructuring Charges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May 24, 2024, we announced a restructuring plan (the “2024 Restructuring Plan”) intended to optimize operating expenses in response to evolving business needs and productivity improvement through a reduction in workforce. We completed the 2024 Restructuring Plan during the first quarter of 2025. During the year ended December 31, 2024, we recorded restructuring charges of $20.3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other income (expense), net for the periods presented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72"/>
        <w:gridCol w:w="1584"/>
        <w:gridCol w:w="1591"/>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10"/>
        <w:gridCol w:w="211"/>
        <w:gridCol w:w="533"/>
      </w:tblGrid>
      <w:tr>
        <w:trPr/>
        <w:tc>
          <w:tcPr>
            <w:tcW w:w="1972"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common stock warrant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equity securities of a related party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 liabilities associated with redeemable convertible preferred stock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801,369 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308,077 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pPr>
      <w:r>
        <w:rPr>
          <w:rFonts w:ascii="Times New Roman;serif" w:hAnsi="Times New Roman;serif"/>
          <w:b w:val="false"/>
          <w:i/>
          <w:color w:val="000000"/>
          <w:sz w:val="16"/>
        </w:rPr>
        <w:t xml:space="preserve">*nm </w:t>
      </w:r>
      <w:r>
        <w:rPr>
          <w:rFonts w:ascii="Times New Roman;serif" w:hAnsi="Times New Roman;serif"/>
          <w:b w:val="false"/>
          <w:color w:val="000000"/>
          <w:sz w:val="16"/>
        </w:rPr>
        <w:t>-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Change in Fair Value of Common Stock Warrant Liability </w:t>
      </w:r>
    </w:p>
    <w:p>
      <w:pPr>
        <w:pStyle w:val="TextBody"/>
        <w:bidi w:val="0"/>
        <w:spacing w:lineRule="auto" w:line="276" w:before="240" w:after="283"/>
        <w:jc w:val="left"/>
        <w:rPr/>
      </w:pPr>
      <w:r>
        <w:rPr>
          <w:rFonts w:ascii="Times New Roman;serif" w:hAnsi="Times New Roman;serif"/>
          <w:b w:val="false"/>
          <w:color w:val="000000"/>
          <w:sz w:val="20"/>
        </w:rPr>
        <w:t xml:space="preserve">On February 22, 2021, Churchill entered into a definitive merger agreement with Atieva, Inc. in which Atieva, Inc. would become a wholly owned subsidiary of Churchill (the “Merger”). Upon the closing of the Merger on July 23, 2021, Churchill was immediately renamed to “Lucid Group, Inc”. </w:t>
      </w:r>
      <w:r>
        <w:rPr>
          <w:rFonts w:ascii="Times New Roman;serif" w:hAnsi="Times New Roman;serif"/>
          <w:b w:val="false"/>
          <w:color w:val="231F20"/>
          <w:sz w:val="20"/>
        </w:rPr>
        <w:t xml:space="preserve">Our common stock warrant liability relates to the Private Placement Warrants to purchase shares of our common stock that were effectively issued upon the closing in connection with the Merger. Our common stock warrant liability is subject to remeasurement to fair value at each reporting period.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Private Placement Warrants remained unexercised as of December 31, 2025. The liability was remeasured to a fair value of nil and $19.5 million as of December 31, 2025 and 2024, respectively. The change in fair value resulted in unrealized gains of $19.5 million and $34.2 million for the years ended December 31, 2025 and 2024, respectively. The change in fair value was classified within change in fair value of common stock warrant liability in the consolidated statements of operations and comprehensive loss. See Note 7 “Common Stock Warrant Liability” to our consolidated financial statements included elsewhere in this Annual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Equity Securities of a Related Party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6, 2023, in connection with the commencement of the Strategic Technology Arrangement with Aston Martin, we received 28,352,273 ordinary shares of Aston Martin. The ordinary shares of Aston Martin are subject to remeasurement to fair value at each reporting period. Such shares were remeasured to a fair value of $24.3 million and $37.8 million as of December 31, 2025 and 2024, respectively. The change in fair value resulted in unrealized losses of $15.8 million and $43.1 million for the years ended December 31, 2025 and 2024, respectively, and was classified within change in fair value of equity securities of a related party in the consolidated statements of operations and comprehensive loss. See Note 5 “Fair Value Measurements and Financial Instruments” and Note 16 “Related Party Transactions” to our consolidated financial statements included elsewhere in this Annual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Derivative Liabilities Associated with Redeemable Convertible Preferred Stock (Related Party)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2024, we entered into a subscription agreement (the “Series A Subscription Agreement”) with Ayar. Pursuant to the Series A Subscription Agreement, Ayar agreed to purchase from us 100,000 shares of our Series A Redeemable Convertible Preferred Stock for an aggregate purchase price of $1.0 billion in a private placement. Subsequently, in March 2024, we issued the shares to Ayar pursuant to the Series A Subscription Agreement and received aggregate net proceeds of $997.6 million after deducting issuance costs of $2.4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2024, we entered into a subscription agreement (the “Series B Subscription Agreement”) with Ayar. Pursuant to the Series B Subscription Agreement, Ayar agreed to purchase from us 75,000 shares of our Series B Redeemable Convertible Preferred Stock for an aggregate purchase price of $750.0 million in a private placement. Subsequently, in August 2024, we issued the shares to Ayar pursuant to the Series B Subscription Agreement and received aggregate net proceeds of $749.4 million after deducting issuance costs of $0.6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concluded that the conversion features, inclusive of all settlement outcomes where the pay-off is indexed to the if-converted value, meets all the requirements to be separately accounted for as a bifurcated derivative. As a result, we bifurcated the Redeemable Convertible Preferred Stock between (i) the host contracts which are accounted for within mezzanine equity, and (ii) the bifurcated derivative liabilities related to the conversion features. The bifurcated derivatives are remeasured to fair value at each reporting period with changes in fair value recorded in the consolidated statement of operations and comprehensive loss.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derivative liabilities of the Redeemable Convertible Preferred Stock were remeasured to a fair value of $16.2 million and $639.4 million as of December 31, 2025 and 2024, respectively. We recognized gains of $623.2 million and $155.4 million for the years ended December 31, 2025 and 2024, respectively, primarily driven by decreases in our stock price, within change in fair value of derivative liabilities associated with redeemable convertible preferred stock (related party) in the consolidated statements of operations and comprehensive loss. See Note 8 “Redeemable Convertible Preferred Stock” to our consolidated financial statements included elsewhere in this Annual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Gain on Extinguishment of Debt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2025, we repurchased $1,052.5 million aggregate principal amount of the 2026 Notes, using $931.4 million of the net proceeds of the 2030 Notes. In November 2025, we repurchased $755.7 million aggregate principal amount of the 2026 Notes, using $748.2 million of the net proceeds of the 2031 Notes. The repurchases of the 2026 Notes were accounted for as debt extinguishments. The difference between the consideration paid to repurchase a portion of the 2026 Notes and the then carrying value of the 2026 Notes resulted in a total gain of $121.8 million, and was recorded within gain on extinguishment of debt in the consolidated statement of operations and comprehensive loss during the year ended December 31, 2025. See Note 6 “Debt” to our consolidated financial statements included elsewhere in this Annual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income decreased by $56.6 million, or 27%, for the year ended December 31, 2025, as compared to the year ended December 31, 2024, primarily due to lower average balances and higher average purchase price of available-for-sale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primarily consists of contractual interest and amortization of debt discounts and debt issuance costs incurred related to the 2026 Notes, the 2030 Notes, and the 2031 Notes, commitment fees and amortization of deferred issuance costs from the ABL Credit Facility and the DDTL Credit Facility, interest on borrowings from the GIB credit facility and on our finance leases, and capitalized interest on construction in progress related to significant capital asset construction.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increased by $62.2 million, or 189%, for the year ended December 31, 2025, as compared to the year ended December 31, 2024. The increase was primarily due to higher interest expense of $48.5 million from the issuances of the 2030 Notes and the 2031 Notes during the year ended December 31, 2025 and higher interest expense of $12.9 million from the GIB credit facility resulting from higher average borrowings during the year ended December 31, 2025, as compared to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Expense, net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 primarily consists of foreign currency gains and losses and changes in residual value guarantee reserve. Our foreign currency exchange gains and losses relate to transactions and monetary asset and liability balances denominated in currencies other than the U.S. dollar. We expect our foreign currency gains and losses to continue to fluctuate in the future due to changes in foreign currency exchange rates.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 decreased by $9.8 million, or (53)%, for the year ended December 31, 2025, as compared to the year ended December 31, 2024, primarily due to changes in foreign currency exchange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Provision for (Benefit from) Income Taxes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provision for (benefit from) income taxes for the periods presented (in thousands):</w:t>
      </w:r>
    </w:p>
    <w:tbl>
      <w:tblPr>
        <w:tblW w:w="7689" w:type="dxa"/>
        <w:jc w:val="left"/>
        <w:tblInd w:w="0" w:type="dxa"/>
        <w:tblLayout w:type="fixed"/>
        <w:tblCellMar>
          <w:top w:w="28" w:type="dxa"/>
          <w:left w:w="28" w:type="dxa"/>
          <w:bottom w:w="28" w:type="dxa"/>
          <w:right w:w="28" w:type="dxa"/>
        </w:tblCellMar>
      </w:tblPr>
      <w:tblGrid>
        <w:gridCol w:w="1109"/>
        <w:gridCol w:w="973"/>
        <w:gridCol w:w="977"/>
        <w:gridCol w:w="196"/>
        <w:gridCol w:w="631"/>
        <w:gridCol w:w="109"/>
        <w:gridCol w:w="109"/>
        <w:gridCol w:w="109"/>
        <w:gridCol w:w="109"/>
        <w:gridCol w:w="196"/>
        <w:gridCol w:w="556"/>
        <w:gridCol w:w="109"/>
        <w:gridCol w:w="109"/>
        <w:gridCol w:w="109"/>
        <w:gridCol w:w="109"/>
        <w:gridCol w:w="196"/>
        <w:gridCol w:w="631"/>
        <w:gridCol w:w="109"/>
        <w:gridCol w:w="109"/>
        <w:gridCol w:w="109"/>
        <w:gridCol w:w="109"/>
        <w:gridCol w:w="268"/>
        <w:gridCol w:w="268"/>
        <w:gridCol w:w="380"/>
      </w:tblGrid>
      <w:tr>
        <w:trPr/>
        <w:tc>
          <w:tcPr>
            <w:tcW w:w="1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bl>
    <w:p>
      <w:pPr>
        <w:pStyle w:val="TextBody"/>
        <w:bidi w:val="0"/>
        <w:spacing w:lineRule="auto" w:line="288" w:before="0" w:after="0"/>
        <w:jc w:val="left"/>
        <w:rPr/>
      </w:pPr>
      <w:r>
        <w:rPr>
          <w:rFonts w:ascii="Times New Roman;serif" w:hAnsi="Times New Roman;serif"/>
          <w:b w:val="false"/>
          <w:i/>
          <w:color w:val="000000"/>
          <w:sz w:val="16"/>
        </w:rPr>
        <w:t xml:space="preserve">*nm </w:t>
      </w:r>
      <w:r>
        <w:rPr>
          <w:rFonts w:ascii="Times New Roman;serif" w:hAnsi="Times New Roman;serif"/>
          <w:b w:val="false"/>
          <w:color w:val="000000"/>
          <w:sz w:val="16"/>
        </w:rPr>
        <w:t>- not meaningful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provision for (benefit from) income taxes consists primarily of U.S., state and foreign income taxes in jurisdictions in which we operate. We maintain a valuation allowance against the full value of our U.S. and state net deferred tax assets because we believe it is more likely than not that the recoverability of these deferred tax assets will not be realized.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July 4, 2025, the OBBBA was signed into law, introducing significant changes to the U.S. federal income tax code. The OBBBA included provisions that allow for the immediate expensing of domestic research and development expenses and certain capital expenditures, as well as other changes related to the U.S. taxation of profits derived from foreign operations. We are electing to fully amortize its previously capitalized domestic research and development expenses in the current year. Due to the full valuation allowance on our U.S. deferred tax assets, the net tax impact of the legislation is immaterial. See Note 13 “Income Taxes” to our consolidated financial statements included elsewhere in this Annual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Liquidity and Capital Resources</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$2.14 billion of cash, cash equivalents and investments. We also had $1.98 billion, $396.8 million, and $38.3 million of unused available credit amounts from the DDTL Credit Facility, the ABL Credit Facility, and the 2025 GIB Credit Facility, respectively, as of December 31, 2025. Our existing sources of liquidity include cash, cash equivalents, investments, and credit facilities. We funded operations primarily with issuances of common stock, convertible preferred stock, convertible notes, and loans.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expect that our current sources of liquidity together with our projection of cash flows from operating activities will provide us with adequate liquidity for at least the next 12 months, including investment in funding (i) ongoing operations, (ii) research and development projects for new products/ technologies, (iii) further construction of AMP-1 in Casa Grande, Arizona, (iv) construction of the CBU portion of AMP-2 in Saudi Arabia, (v) vendor tooling, (vi) expansion of retail studios and service centers, and (vii) other initiatives related to the sale of vehicles or technology.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anticipate our cumulative spending on capital expenditures to be in a range of approximately $1.2 billion to $1.4 billion for the fiscal year 2026 to support our continued commercialization and growth objectives as we strategically invest in manufacturing capacity and capabilities, our retail studios and service center capabilities throughout North America and across the globe, development of different products and technologies, and other areas supporting the growth of Lucid’s business. We expect to continue to receive financing and support for certain capital expenditures in connection with AMP-2 construction and purchases of machinery, tooling, and equipment. Refer to Note 6 “Debt” and Note 16 “Related Party Transactions” to the consolidated financial statements included elsewhere in this Annual Report for more information. Our future capital expenditures may vary and will depend on many factors including the timing and extent of spending and other growth initiatives. In addition, we expect our operating expenses to increase in order to grow and support the operations of a global technology automotive company targeting volumes in line with Lucid’s aspirations.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our total minimum lease payments are $706.5 million, of which $187.9 million is due in fiscal year 2026. We also have non-cancellable long-term commitments of approximately $2.63 billion, primarily relating to certain inventory component purchases. For details regarding these obligations, refer to Note 11 “Leases” and Note 12 “Commitments and Contingencies” to the consolidated financial statements included elsewhere in this Annual Report for more information. </w:t>
      </w:r>
    </w:p>
    <w:p>
      <w:pPr>
        <w:pStyle w:val="TextBody"/>
        <w:bidi w:val="0"/>
        <w:spacing w:lineRule="auto" w:line="26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2026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2021, we issued $2,012.5 million of the 2026 Notes. The 2026 Notes accrue interest at a rate of 1.25% per annum, payable semi-annually in arrears on June 15 and December 15 of each year, beginning on June 15, 2022. The 2026 Notes will mature on December 15, 2026, unless earlier repurchased, redeemed or converted. Before the close of business on the business day immediately before September 15, 2026, noteholders will have the right to convert their 2026 Notes only upon the occurrence of certain events. From and after September 15, 2026, noteholders may elect at any time to convert their 2026 Notes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is 1.8255 shares of common stock per $1,000 principal amount of the 2026 Notes, which represents an initial conversion price of approximately $547.80 per share of common stock. The conversion rate and conversion price will be subject to customary adjustments upon the occurrence of certain events, including a reverse stock split. In addition, if certain corporate events that constitute a make-whole fundamental change (as defined in the indenture) occur, then the conversion rate will, in certain circumstances, be increased for a specified period of time. As of December 31, 2025 and 2024, we were in compliance with applicable covenants under the indenture governing the 2026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2025, contemporaneously with the 2030 Notes offering, we repurchased $1,052.5 million aggregate principal amount of the 2026 Notes, using $931.4 million of the net proceeds of the 2030 Notes. In November 2025, we repurchased $755.7 million aggregate principal amount of the 2026 Notes, using $748.2 million of the net proceeds of the 2031 Notes. Following the redemption, our outstanding principal balance of the 2026 Notes was $204.3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2030 Notes and Capped Call Transactions</w:t>
      </w:r>
    </w:p>
    <w:p>
      <w:pPr>
        <w:pStyle w:val="TextBody"/>
        <w:bidi w:val="0"/>
        <w:spacing w:lineRule="auto" w:line="26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2030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2025, we issued $1,100.0 million of the 2030 Notes. Contemporaneously with the 2030 Notes offering, we entered into privately negotiated transactions with certain holders of the 2026 Notes to repurchase $1,052.5 million aggregate principal amount of the 2026 Notes, using $931.4 million of the net proceeds of the 2030 Notes. The 2030 Notes accrue interest at a rate of 5.00% per annum, payable semi-annually in arrears on April 1 and October 1 of each year, beginning on October 1, 2025. The 2030 Notes will mature on April 1, 2030, unless earlier repurchased, redeemed or converted. Before the close of business on the business day immediately before January 1, 2030, noteholders will have the right to convert their 2030 Notes only upon the occurrence of certain events. From and after January 1, 2030, noteholders may elect at any time to convert their 2030 Notes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is 33.3333 shares of common stock per $1,000 principal amount of the 2030 Notes, which represents an initial conversion price of approximately $30.00 per share of common stock. The conversion rate and conversion price will be subject to customary adjustments upon the occurrence of certain events, including a reverse stock split. In addition, if certain corporate events that constitute a make-whole fundamental change (as defined in the indenture) occur, then the conversion rate will, in certain circumstances, be increased for a specified period of time. As of December 31, 2025, we were in compliance with applicable covenants under the indenture governing the 2030 Notes.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Capped Call Transactions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2030 Notes offering, we paid $118.3 million to enter into privately negotiated capped call transactions (the “Capped Call Transactions”) with certain financial institutions. The Capped Call Transactions cover, subject to anti-dilution adjustments, the number of shares of our common stock initially underlying the 2030 Notes. The Capped Call Transactions have an expiration date of April 1, 2030.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expect the Capped Call Transactions generally would reduce the potential dilution to our common stock upon conversion of the notes or offset any cash payments that we could be required to make in excess of the principal amount of any converted notes, as the case may be, in the event that the market price per share of our common stock, as measured under the terms of the Capped Call Transactions, is greater than the strike price of the Capped Call Transactions. The initial strike price of the Capped Call Transactions corresponds to the initial conversion price of the 2030 Notes, or approximately $30.00 per share of our common stock. The initial cap price of the Capped Call Transactions was $48.00 per share of our common stock and is subject to customary anti-dilution adjustments.</w:t>
      </w:r>
    </w:p>
    <w:p>
      <w:pPr>
        <w:pStyle w:val="TextBody"/>
        <w:bidi w:val="0"/>
        <w:spacing w:lineRule="auto" w:line="26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2031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2025, we issued $975.0 million of the 2031 Notes. Contemporaneously with the 2031 Notes offering, we entered into privately negotiated transactions with certain holders of the 2026 Notes to repurchase $755.7 million aggregate principal amount of the 2026 Notes, using $748.2 million of the net proceeds of the 2031 Notes. The 2031 Notes accrue interest at a rate of 7.00% per annum, payable semi-annually in arrears on May 1 and November 1 of each year, beginning on May 1, 2026. The 2031 Notes will mature on November 1, 2031, unless earlier repurchased, redeemed or converted. The holders may require us to repurchase the 2031 Notes on November 1, 2029. Before the close of business on the business day immediately before August 1, 2031, noteholders will have the right to convert their 2031 Notes only upon the occurrence of certain events. From and after August 1, 2031, noteholders may elect at any time to convert their 2031 Notes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is 48.0475 shares of common stock per $1,000 principal amount of the 2031 Notes, which represents an initial conversion price of approximately $20.81 per share of common stock. The conversion rate and conversion price will be subject to customary adjustments upon the occurrence of certain events, including a reverse stock split. In addition, if certain corporate events that constitute a make-whole fundamental change (as defined in the indenture) occur, then the conversion rate will, in certain circumstances, be increased for a specified period of time. As of December 31, 2025, we were in compliance with applicable covenants under the indenture governing the 2031 Notes.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International Manufacturing Expansion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February 27, 2022, we announced the selection of KAEC in Saudi Arabia as the location of our first international manufacturing plant and signed related agreements with the Ministry of Investment of Saudi Arabia (“MISA”), the SIDF, and the Economic City at KAEC. We started the AMP-2 operations with re-assembly of the Lucid Air vehicle “kits” pre-manufactured in the U.S. and, over time, will commence production of complete vehicles.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SIDF Loan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February 27, 2022, Lucid LLC, a limited liability company established in Saudi Arabia and our subsidiary (“Lucid LLC”) entered into the SIDF Loan Agreement.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$93.3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us or any of our other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SIDF Loans will not bear interest. Instead, Lucid LLC will be required to pay SIDF service fees, consisting of follow-up and technical evaluation fees, ranging, in aggregate, from SAR 415 million (approximately $110.7 million) to SAR 1.77 billion (approximately $472.0 million), over the term of the SIDF Loans. SIDF Loans will be secured by security interests in the equipment, machines and assets funded thereby.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KAEC, and drawdowns under the SIDF Loan Agreement are subject to certain conditions precedent. As of December 31, 2025 and 2024, no amount was outstanding under the SIDF Loan Agreement.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MISA Agreements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2022, Lucid LLC entered into agreements with MISA, a related party of the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agreements, MISA has the right to require Lucid LLC to transfer the ownership of AMP-2 to MISA, at the fair market value thereof, reduced by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CBU operations at AMP-2 at the latest.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2023, we received support of SAR 366 million (approximately $97.5 million) in cash, of which $62.5 million was recorded as deferred liability within other long-term liabilities and $35.0 million was recorded as a deduction in calculating the carrying amount of the related assets in the consolidated balance sheet as of December 31, 2023. As of December 31, 2024, we recorded $97.5 million as a deduction in calculating the carrying amount of the related assets in the consolidated balance sheet. During the year ended December 31, 2025, there were no further deductions to the carrying value of the related assets in the consolidated balance sheet. There were no unfulfilled conditions and contingencies attached to the payments received. </w:t>
      </w:r>
    </w:p>
    <w:p>
      <w:pPr>
        <w:pStyle w:val="TextBody"/>
        <w:bidi w:val="0"/>
        <w:spacing w:lineRule="auto" w:line="288" w:before="240" w:after="283"/>
        <w:jc w:val="left"/>
        <w:rPr>
          <w:rFonts w:ascii="Times New Roman;serif" w:hAnsi="Times New Roman;serif"/>
          <w:b w:val="false"/>
          <w:i/>
          <w:color w:val="242424"/>
          <w:sz w:val="20"/>
        </w:rPr>
      </w:pPr>
      <w:r>
        <w:rPr>
          <w:rFonts w:ascii="Times New Roman;serif" w:hAnsi="Times New Roman;serif"/>
          <w:b w:val="false"/>
          <w:i/>
          <w:color w:val="242424"/>
          <w:sz w:val="20"/>
        </w:rPr>
        <w:t>GIB Facility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April 29, 2022, Lucid LLC entered into a revolving credit facility agreement (the “GIB Facility Agreement”) with GIB, maturing on February 28, 2025. GIB is a related party of the PIF, which is an affiliate of Ayar. The GIB Facility Agreement provided for two committed revolving credit facilities in an aggregate principal amount of SAR 1.0 billion (approximately $266.1 million). On March 12, 2023, Lucid LLC entered into an amendment of the GIB Facility Agreement (together with the GIB Facility Agreement, the “2023 Amended GIB Facility Agreement”) to combine the two committed revolving credit facilities into a committed SAR 1.0 billion (approximately $266.1 million) revolving credit facility (the “2023 GIB Credit Facility”) which may be used for general corporate purposes. Loans under the 2023 Amended GIB Facility Agreement had a maturity of no more than 12 months and bore interest at a rate of 1.40% per annum over SAIBOR (based on the term of borrowing) and associated fees. Under the 2023 Amended GIB Facility Agreement, we were required to pay a quarterly commitment fee of 0.15% per annum based on the unutilized portion of the 2023 GIB Credit Facility.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February 24, 2025, Lucid LLC entered into the 2025 GIB Credit Facility maturing on February 24, 2028 to increase the credit facility committed amount from SAR 1.0 billion (approximately $266.1 million) to SAR 1.9 billion (approximately $506.6 million). Loans under the 2025 GIB Credit Facility may be used for general corporate purposes, have a maturity of no more than 12 months, and bear interest at a rate of 1.40% per annum over SAIBOR (based on the term of borrowing) and associated fees. We are required to pay a quarterly commitment fee of 0.25% per annum based on the unutilized portion of the 2025 GIB Credit Facility. Commitments under the 2025 GIB Credit Facility will terminate, and all amounts then outstanding thereunder would become payable, on the maturity date of the 2025 GIB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2025 GIB Credit Facility contains certain conditions precedent to drawdowns, representations and warranties and covenants of Lucid LLC and events of default.</w:t>
      </w:r>
    </w:p>
    <w:p>
      <w:pPr>
        <w:pStyle w:val="TextBody"/>
        <w:bidi w:val="0"/>
        <w:spacing w:lineRule="auto" w:line="288" w:before="240" w:after="283"/>
        <w:jc w:val="left"/>
        <w:rPr/>
      </w:pPr>
      <w:r>
        <w:rPr>
          <w:rFonts w:ascii="Times New Roman;serif" w:hAnsi="Times New Roman;serif"/>
          <w:b w:val="false"/>
          <w:color w:val="000000"/>
          <w:sz w:val="20"/>
        </w:rPr>
        <w:t>As of December 31, 2025 and 2024, we had outstanding borrowings of SAR 1,755.0 million (approximately</w:t>
      </w:r>
      <w:r>
        <w:rPr>
          <w:color w:val="B6B6B6"/>
        </w:rPr>
        <w:t xml:space="preserve"> </w:t>
      </w:r>
      <w:r>
        <w:rPr>
          <w:rFonts w:ascii="Times New Roman;serif" w:hAnsi="Times New Roman;serif"/>
          <w:b w:val="false"/>
          <w:color w:val="000000"/>
          <w:sz w:val="20"/>
        </w:rPr>
        <w:t>$468.0 million) and SAR 475.0 million (approximately $126.4 million), respectively. The weighted average interest rate on the outstanding borrowings was 6.44%</w:t>
      </w:r>
      <w:r>
        <w:rPr>
          <w:color w:val="B6B6B6"/>
        </w:rPr>
        <w:t xml:space="preserve"> </w:t>
      </w:r>
      <w:r>
        <w:rPr>
          <w:rFonts w:ascii="Times New Roman;serif" w:hAnsi="Times New Roman;serif"/>
          <w:b w:val="false"/>
          <w:color w:val="000000"/>
          <w:sz w:val="20"/>
        </w:rPr>
        <w:t>and 7.04% as of December 31, 2025 and 2024, respectively. As of December 31, 2025 and 2024, availability under the GIB credit facility was SAR 143.5 million (approximately $38.3 million) and SAR 523.2 million (approximately $139.2 million), respectively, after giving effect to the outstanding letters of credit. As of December 31, 2025 and 2024, we were in compliance with applicable covenants under the GIB credit facility.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ABL Credit Facility</w:t>
      </w:r>
    </w:p>
    <w:p>
      <w:pPr>
        <w:pStyle w:val="TextBody"/>
        <w:bidi w:val="0"/>
        <w:spacing w:lineRule="auto" w:line="288" w:before="240" w:after="283"/>
        <w:jc w:val="left"/>
        <w:rPr/>
      </w:pPr>
      <w:r>
        <w:rPr>
          <w:rFonts w:ascii="Times New Roman;serif" w:hAnsi="Times New Roman;serif"/>
          <w:b w:val="false"/>
          <w:color w:val="000000"/>
          <w:sz w:val="20"/>
        </w:rPr>
        <w:t xml:space="preserve">In June 2022, we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w:t>
      </w:r>
      <w:r>
        <w:rPr>
          <w:rFonts w:ascii="Times New Roman;serif" w:hAnsi="Times New Roman;serif"/>
          <w:b w:val="false"/>
          <w:color w:val="242424"/>
          <w:sz w:val="20"/>
        </w:rPr>
        <w:t>In June 2024, we amended the ABL Credit Facility to update the Canadian reference rate.</w:t>
      </w:r>
      <w:r>
        <w:rPr>
          <w:color w:val="000000"/>
        </w:rPr>
        <w:t xml:space="preserve"> </w:t>
      </w:r>
      <w:r>
        <w:rPr>
          <w:rFonts w:ascii="Times New Roman;serif" w:hAnsi="Times New Roman;serif"/>
          <w:b w:val="false"/>
          <w:color w:val="000000"/>
          <w:sz w:val="20"/>
        </w:rPr>
        <w:t xml:space="preserve">Availability under the ABL Credit Facility is subject to the value of eligible assets in the borrowing base and is reduced by outstanding loan borrowings and issuances of letters of credit which bear customary letter of credit fees. Subject to certain terms and conditions, we may request one or more increases in the amount of credit commitments under the ABL Credit Facility in an aggregate amount up to the sum of $500.0 million plus certain other amounts. We are required to pay a quarterly commitment fee of 0.25% per annum based on the unutilized portion of the ABL Credit Facility.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ABL Credit Facility contains customary covenants that limit our ability and our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our option following satisfaction of certain pre-conditions, may be replaced with a springing, minimum fixed charge coverage ratio financial covenant, in each case on terms set forth in the credit agreement governing the ABL Credit Facility. As of December 31, 2025 and 2024, we were in compliance with applicable covenants under the ABL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we had no outstanding borrowings under the ABL Credit Facility. Outstanding letters of credit under the ABL Credit Facility were $104.1 million and $56.9 million as of December 31, 2025 and 2024, respectively. Availability under the ABL Credit Facility was $596.0 million (including $199.2 million cash and cash equivalents) and $354.9 million (including $191.1 million cash and cash equivalents) as of December 31, 2025 and 2024, respectively, after giving effect to the borrowing base and the outstanding letters of credit.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2024, we entered into the DDTL Credit Facility with Ayar that may be used for working capital and general corporate purposes. The DDTL Credit Facility provides for a delayed draw term loan credit facility in an aggregate principal amount of $750.0 million and has a stated maturity date of August 4, 2029. Borrowings under the DDTL Credit Facility bear interest at the applicable interest rates specified in the credit agreement governing the 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2025, we increased the aggregate principal amount of the DDTL Credit Facility from $750.0 million to $1.98 billion. We are required to pay a quarterly undrawn fee of 0.50% per annum based on the unutilized portion of the 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DDTL Credit Facility contains customary covenants that limit our ability and our restricted subsidiaries to, among other activities, pay dividends, incur debt, create liens and encumbrances, redeem or repurchase stock, dispose of certain assets, consummate acquisitions or other investments, prepay certain debt, engage in sale and leaseback transactions or consummate mergers and other fundamental changes. The DDTL Credit Facility also includes a minimum liquidity covenant. As of December 31, 2025 and 2024, we were in compliance with applicable covenants, and had no outstanding borrowings under the DDTL Credit Facility.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Subscription Agreements and Underwriting Agreements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June 2023, we completed the public offering pursuant to an underwriting agreement (the “2023 Underwriting Agreement”) for aggregate net proceeds of $1.2 billion and also consummated a private placement of shares to Ayar pursuant to a subscription agreement (the “2023 Subscription Agreement”) for aggregate net proceeds of $1.8 billion after deducting issuance costs. See Note 9 “Stockholders’ Equity” to the consolidated financial statements included elsewhere in this Annual Report,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2024, we issued 100,000 shares of our Series A Redeemable Convertible Preferred Stock to Ayar pursuant to the Series A Subscription Agreement and received aggregate net proceeds of $997.6 million after deducting issuance costs. In August 2024, we also issued 75,000 shares of our Series B Redeemable Convertible Preferred Stock to Ayar pursuant to the Series B Subscription Agreement and received aggregate net proceeds of $749.4 million after deducting issuance costs. See Note 8 “Redeemable Convertible Preferred Stock” to the consolidated financial statements included elsewhere in this Annual Report,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we completed the public offering pursuant to an underwriting agreement (the “2024 Underwriting Agreement”) and received net proceeds of $718.4 million and also consummated the private placement of shares to Ayar pursuant to a subscription agreement (the “2024 Subscription Agreement”) for net proceeds of $1,025.7 million after deducting issuance costs. See Note 9 “Stockholders’ Equity” and Note 16 “Related Party Transactions” to the consolidated financial statements included elsewhere in this Annual Report, for more information.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we consummated the private placement of shares to SMB pursuant to the 2025 Subscription Agreement for aggregate net proceeds of $299.7 million after deducting issuance costs. See Note 9 “Stockholders’ Equity” to the consolidated financial statements included elsewhere in this Annual Report, for more information.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generated significant losses from our operations as reflected in our accumulated deficit of $15.6 billion and $12.9 billion as of December 31, 2025 and 2024, respectively. Additionally, we have generated significant negative cash flows from operations and investing activities as we continue to support the growth of our business.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and therefore, may affect the timing and magnitude of these anticipated expenditures. These risk and uncertainties are described in more detail in the section entitled “Risk Factors” in Item 1A of Part I of this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 (in thousands):</w:t>
      </w:r>
    </w:p>
    <w:tbl>
      <w:tblPr>
        <w:tblW w:w="8483" w:type="dxa"/>
        <w:jc w:val="left"/>
        <w:tblInd w:w="0" w:type="dxa"/>
        <w:tblLayout w:type="fixed"/>
        <w:tblCellMar>
          <w:top w:w="28" w:type="dxa"/>
          <w:left w:w="28" w:type="dxa"/>
          <w:bottom w:w="28" w:type="dxa"/>
          <w:right w:w="28" w:type="dxa"/>
        </w:tblCellMar>
      </w:tblPr>
      <w:tblGrid>
        <w:gridCol w:w="2029"/>
        <w:gridCol w:w="1787"/>
        <w:gridCol w:w="1793"/>
        <w:gridCol w:w="196"/>
        <w:gridCol w:w="946"/>
        <w:gridCol w:w="109"/>
        <w:gridCol w:w="109"/>
        <w:gridCol w:w="109"/>
        <w:gridCol w:w="109"/>
        <w:gridCol w:w="196"/>
        <w:gridCol w:w="946"/>
        <w:gridCol w:w="154"/>
      </w:tblGrid>
      <w:tr>
        <w:trPr/>
        <w:tc>
          <w:tcPr>
            <w:tcW w:w="2029"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(2,931,912)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(2,019,674)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provided by (used in) investing activities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(1,294,454)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3,549,673 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(566,139)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Used in Operating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cash flows used in operating activities to date have been primarily comprised of cash outlays to support overall growth of the business, especially the costs related to inventory and sale of our vehicles, costs related to research and development, payroll and other general and administrative activities. As we continue to ramp up after starting commercial operations, we expect our cash used in operating activities to increase before it starts to generate any material cash flows from our business.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increased by $912.2 million to $2,931.9 million during the year ended December 31, 2025, as compared to the year ended December 31, 2024. The increase was primarily due to increases in net operating assets and liabilities of $762.1 million and net loss excluding non-cash expenses and gains of $150.1 million during the year ended December 31, 2025, as compared to the year ended December 31, 2024. The increase in net operating assets and liabilities was primarily attributable to higher inventory purchases driven by the Lucid Gravity production ramp-up.</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Provided by (Used in) Investing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cash flows provided by (used in) investing activities primarily relate to proceeds from maturities of investments, net of purchases of investments and capital expenditures to support our growth.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$1,478.4 million during year ended December 31, 2025, compared to $1,294.5 million of net cash used in investing activities in the prior year. The change was primarily attributable to higher volume of investment maturities compared to investment purchases during the year ended December 31, 2025, as compared to the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Provided by Financing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financed our operations primarily from the issuances of equity and equity-linked securities and debt financings, the private placements to Ayar and SMB, convertible preferred stock, the proceeds of the Merger, the 2026 Notes, the 2030 Notes, and the 2031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decreased by $2,662.3 million to $887.3 million during the year ended December 31, 2025, as compared to the year ended December 31, 2024. We received net proceeds of $1,081.9 million from the issuance of the 2030 Notes, $962.2 million from the issuance of the 2031 Notes, $299.7 million from the 2025 Subscription Agreement, and repurchased a portion of the 2026 Notes using $1,679.6 million during the year ended December 31,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also received net proceeds of $1,744.0 million from the issuance of common stock under the 2024 Subscription Agreement and Underwriting Agreement, $997.6 million from the issuance of Series A Redeemable Convertible Preferred Stock, and $749.4 million from the issuance of Series B Redeemable Convertible Preferred Stock during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Recently Issued Accounting Pronouncements Not Yet Adopted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2024, the SEC issued its final rule that requires certain climate-related disclosures in annual reports, including governance, oversight, and risk management processes on material climate-related risks; material impact of climate risks on our strategy, business model, and outlook; material climate targets and goals; and material financial statements impacts due to severe weather events and other natural conditions. In April 2024, the SEC stayed implementation of the final rule pending completion of judicial review. In March 2025, the SEC stated that it has ended its defense of the rule. We continue to monitor the status of these rules.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which requires disclosure of specified information about certain costs and expenses (such as purchases of inventory, employee compensation, depreciation, and amortization) within the relevant expense captions presented on the face of the statements of operations and comprehensive loss. The guidance is effective for annual reporting periods beginning after December 15, 2026, and interim reporting periods within annual reporting periods beginning after December 15, 2027. Early adoption is permitted, and should be applied either prospectively or retrospectively. We are evaluating the impact of this amendment to the related financial statement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The ASU removed references to prescriptive and sequential software development stages. The ASU requires us to start capitalizing eligible software costs when management has authorized and committed to funding the software project, and it is probable that the project will be completed and the software will be used to perform the function intended. The ASU does not change the types of costs eligible for capitalization. The guidance is effective for annual reporting periods beginning after December 15, 2027, and interim reporting periods within those annual reporting periods. Early adoption is permitted and may be applied using a prospective, retrospective or modified transition approach. We are evaluating the impact of this amendment to the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2025-10, Government Grants (Topic 832): Accounting for Government Grants Received by Business Entities. The ASU requires us to recognize a government grant when it is probable that we will comply with the conditions attached to the grant and the grant will be received, and we meet the recognition guidance for a grant related to an asset or a grant related to income. The ASU requires a grant related to an asset to be recognized as we incur the related costs for which the grant is intended to compensate, either as deferred income or as an adjustment to the cost basis in determining the carrying amount of the asset. The ASU also requires a grant related to income and a grant related to an asset for which the deferred income approach is elected to be recognized in earnings on a systematic and rational basis. When we elect the cost accumulation approach for a grant related to an asset, there is no separate subsequent recognition of the government grant proceeds in earnings. We are required to continue providing disclosures on the nature of the government grant received, the accounting policies used to account for the grant, and significant terms and conditions of the grant. The guidance is effective for annual reporting periods beginning after December 15, 2028, and interim reporting periods within those annual reporting periods. Early adoption is permitted, and may be applied using a modified prospective, modified retrospective or retrospective approach. We are evaluating the impact of this amendment to the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The ASU provides clarity on the current interim reporting disclosures and introduces a disclosure principle which requires us to disclose events since the end of the last annual reporting period that have a material impact on us. The guidance is effective for interim reporting periods within annual reporting periods beginning after December 15, 2027. Early adoption is permitted and may be applied using a prospective or retrospective approach. We are evaluating the impact of this amendment to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2025-12, Codification Improvements. The ASU represents changes to the Codification that clarify, correct errors, or make minor improvements. The guidance is effective for annual reporting periods beginning after December 15, 2026, and interim reporting periods within those annual reporting periods. Early adoption is permitted and we may elect the transition method on an issue-by-issue basis. We are evaluating the impact of this amendment to the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considered all other recently issued accounting pronouncements and do not believe the adoption of such pronouncements will have a material impact on our financial statements or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Note 2 “Summary of Significant Accounting Policies” to our consolidated financial statements included elsewhere in this Annual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Critical Accounting Estimates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and the related notes thereto included elsewhere in this Annual Report are prepared in accordance with generally accepted accounting principles in the United States (“U.S. GAAP”). The preparation of our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For more information about our accounting policies, see Note 2 “Summary of Significant Accounting Policies” to the consolidated financial statements included elsewhere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follow a five-step process in which we identify the contract, identify the related performance obligations, determine the transaction price, allocate the transaction price to the identified performance obligations, and recognize revenue when (or as) the performance obligations are satisfied.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Vehicle Sales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Vehicle sales revenue is generated from the sale of EVs to customers. The performance obligations identified in vehicle sale arrangements include delivery of the vehicle equipped with an onboard ADAS, the provision of maintenance services, the remarketing activities, and the right to unspecified OTA software updates as they become available over the term of the basic vehicle warranty, which is generally four years. Shipping and handling provided by us is considered a fulfillment activity.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Payment is typically received at the time of delivery or shortly after delivery of the vehicle to the customer, except for vehicle sales under the EV Purchase Agreement. Generally, control transfers to the customer at the time of delivery when the customer takes physical possession of the vehicle, which may be at a Lucid studio or other destination chosen by the customer. Our vehicle contracts do not contain a significant financing component. We have elected to exclude sales taxes from the measurement of the transaction price. We estimate the standalone selling price of all performance obligations by considering costs used to develop and deliver the good or service, third-party pricing of similar goods or services and other information that may be available. The transaction price is allocated among the performance obligations in proportion to the standalone selling price of our performance obligations.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recognize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 Payments received before the customer obtains control of the vehicle are recorded within other current liabilities in the consolidated balance sheets.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the time of revenue recognition, we reduce the transaction price and record a sales return reserve against revenue for estimated variable consideration related to future returns. Such return rate estimates are based on historical experience.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provide a manufacturer’s warranty on all vehicles sold. The warranty covers the rectification of reported defects via repair, replacement, or adjustment of faulty parts or components. The warranty does not cover any item where failure is due to normal wear and tear. This assurance-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type warranty does not create a performance obligation separate from the vehicle. The estimated cost of the assurance-type warranty is accrued at the time of vehicle sale.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a residual value guarantee (“RVG”) to our commercial banking partners in connection with their vehicle leasing programs. Under the vehicle leasing program, we do not bear casualty and credit risks during the lease term, and are contractually obligated (or entitled) to share a portion of the shortfall (or excess) between the resale value realized by the commercial banking partners and a predetermined resale value. At the lease inception, we are required to deposit cash collateral equal to a contractual percentage of the residual value of the leased vehicles with the commercial banking partners. The cash collateral is held in a restricted bank account owned by the commercial banking partner until it is used, as applicable, in settlement of the RVG at the end of the lease term. Cash collateral is recorded in other noncurrent assets, subject to an asset impairment review at each reporting period. </w:t>
      </w:r>
    </w:p>
    <w:p>
      <w:pPr>
        <w:pStyle w:val="TextBody"/>
        <w:bidi w:val="0"/>
        <w:spacing w:lineRule="auto" w:line="288" w:before="240" w:after="283"/>
        <w:jc w:val="left"/>
        <w:rPr/>
      </w:pPr>
      <w:r>
        <w:rPr>
          <w:rFonts w:ascii="Times New Roman;serif" w:hAnsi="Times New Roman;serif"/>
          <w:b w:val="false"/>
          <w:color w:val="000000"/>
          <w:sz w:val="20"/>
        </w:rPr>
        <w:t xml:space="preserve">We account for the vehicle leasing program in accordance with ASC 842, </w:t>
      </w:r>
      <w:r>
        <w:rPr>
          <w:rFonts w:ascii="Times New Roman;serif" w:hAnsi="Times New Roman;serif"/>
          <w:b w:val="false"/>
          <w:i/>
          <w:color w:val="000000"/>
          <w:sz w:val="20"/>
        </w:rPr>
        <w:t xml:space="preserve">Leases, </w:t>
      </w:r>
      <w:r>
        <w:rPr>
          <w:rFonts w:ascii="Times New Roman;serif" w:hAnsi="Times New Roman;serif"/>
          <w:b w:val="false"/>
          <w:color w:val="000000"/>
          <w:sz w:val="20"/>
        </w:rPr>
        <w:t xml:space="preserve">ASC 460, </w:t>
      </w:r>
      <w:r>
        <w:rPr>
          <w:rFonts w:ascii="Times New Roman;serif" w:hAnsi="Times New Roman;serif"/>
          <w:b w:val="false"/>
          <w:i/>
          <w:color w:val="000000"/>
          <w:sz w:val="20"/>
        </w:rPr>
        <w:t>Guarantees</w:t>
      </w:r>
      <w:r>
        <w:rPr>
          <w:color w:val="000000"/>
        </w:rPr>
        <w:t xml:space="preserve"> </w:t>
      </w:r>
      <w:r>
        <w:rPr>
          <w:rFonts w:ascii="Times New Roman;serif" w:hAnsi="Times New Roman;serif"/>
          <w:b w:val="false"/>
          <w:color w:val="000000"/>
          <w:sz w:val="20"/>
        </w:rPr>
        <w:t xml:space="preserve">and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We are the lessor at inception of a lease and immediately transfer the lease as well as the underlying vehicle to our commercial banking partners, with the transaction being accounted for as a sale under ASC 606. We recognize revenue when control transfers upon delivery when the consumer-lessee takes physical possession of the vehicle, and bifurcate the RVG at fair value and account for it as a reduction to revenue and a guarantee liability. The remaining amount of the transaction price is allocated among the performance obligations. Any fees or incentives that are paid or payable by us to commercial banking partners are recognized as a reduction to vehicle sales revenue.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guarantee liability represents the estimated amount we expect to pay at the end of the lease term. We are released from residual risk upon either expiration or settlement of the RVG. We evaluate variables such as third-party residual value publications, risk of future price deterioration due to changes in market conditions and reconditioning costs to determine the estimated residual value guarantee liability. RVG liability is assessed subsequently for any changes on a quarterly basis. As we accumulate more data related to the resale value of our vehicles or as market conditions change, there could be material changes to the estimated guarantee liabilities. The maximum potential amount of future payments (in excess of RVG liabilities recorded) that we could be required to make was $705.9 million and $401.1 million as of December 31, 2025 and 2024, respectively.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Vehicle Operating Lease Revenue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account for sales of vehicles with repurchase obligations as operating leases. We sell vehicles primarily to rental companies with an obligation to repurchase the vehicles at an agreed upon repurchase price. We record the difference between the proceeds received and the agreed upon repurchase price as vehicle leasing revenue on a straight-line basis over the term of the lease. Deferred leasing revenue and repurchase obligation were recorded in other current liabilities and other long-term liabilities in the consolidated balance sheets.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Sale and Leaseback Transactions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enter into sale and leaseback transactions in which we transfer control of vehicles to rental companies and simultaneously lease them back as operating leases. We recognize revenue related to the vehicles under the arrangement when the rental companies obtain control of the vehicles and separately recognizes the leaseback obligations based on the present value of the future payments to the rental companies within other current liabilities and other long-term liabilities. We also record right-of-use assets which are amortized over the term of the leaseback. Operating lease expense is recognized on a straight-line basis over the term of the leaseback.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Inventory Valuation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are stated at the lower of cost or net realizable value. Cost is computed using standard cost for vehicles, which approximates actual cost on a first-in, first-out basis. We record inventory write-downs for excess or obsolete inventories based upon assumptions about current and future demand forecasts. If inventory on-hand is in excess of future demand forecast and market conditions, the excess amounts are written-off.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is also reviewed to determine whether its carrying value exceeds the net amount realizable upon the ultimate sale of the inventory. This requires an assessment to determine the selling price of the vehicles less the estimated cost to convert the inventory on-hand into a finished product. Once inventory is written down, a new lower cost basis for that inventory is established and subsequent changes in facts and circumstances do not result in the restoration or increase in that newly established cost basis.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event there are changes in our estimates of future selling prices or production costs, we might be required to record additional and potentially material write-downs. A small change in our estimates may result in a material change in our reported financial results.</w:t>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periodically review and record write-downs for excess or obsolete inventories based upon assumptions about current and future demand forecasts, considering shelf-life and technological obsolescence of certain inventories. Our current and future demand forecasts are based on our historical sales, market share performance, macroeconomic factors and trends in quantities or prices of orders for our products. We evaluate whether raw materials are approaching the end of their shelf-lives or becoming technologically obsolete, and the likelihood that we will be able to use the raw materials in production. If our inventory on-hand is in excess of future demand forecast and market conditions, the excess amounts are provisioned or written-down.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Redeemable Convertible Preferred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Accounting for the redeemable convertible preferred stock requires an evaluation to determine if liability classification is required under ASC 480-10. Liability classification is required for freestanding financial instruments that are (1) subject to an unconditional obligation requiring the issuer to redeem the instrument by transferring assets, such as those that are mandatorily redeemable, (2) instruments other than equity shares that embody an obligation of the issuer to repurchase its equity shares, or (3) certain types of instruments that obligate the issuer to issue a variable number of equity shares.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Securities that do not meet the scoping criteria to be classified as a liability under ASC 480 are subject to redeemable equity guidance, which prescribes securities that may be subject to redemption upon an event not solely within the control of the issuer to be classified as temporary equity. Securities classified in temporary equity are initially measured at the proceeds received, net of issuance costs and excluding the fair value of bifurcated embedded derivatives, if any. Subsequent measurement of the carrying value of the redeemable convertible preferred stock is required as the instrument is probable of becoming redeemable. We accrete the redeemable convertible preferred stock to its redemption value. In certain circumstances, the redemption price may vary based on changes in stock price, in which case we will recognize changes in the redemption value immediately as they occur and adjust the carrying value of the security to equal the then current maximum redemption value at the end of each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Derivative Liabilities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issuance of the redeemable convertible preferred stock, we evaluated the instruments for any features that must be bifurcated and separately accounted for as embedded derivatives. We concluded that the conversion features, inclusive of all settlement outcomes where the pay-off is indexed to the if-converted value, meets all the requirements to be separately accounted for as a bifurcated derivative. As a result, we bifurcated the redeemable convertible preferred stock between (i) the host contracts which are accounted for within mezzanine equity, and (ii) the bifurcated derivative liabilities. The proceeds from issuance are first allocated to the fair value of the bifurcated derivatives with the residual being allocated to the host contracts. The bifurcated derivatives are remeasured to fair value each reporting period with changes in fair value recorded in earnings. We estimated the fair value of the derivative liabilities using a binomial lattice model. Inherent in a binomial lattice model are unobservable inputs and assumptions. The inputs for the valuation of the derivative liabilities included the volatility, credit spread, and term. Assumptions used in the valuation also consider the contractual terms as well as the quoted price of our common stock in an active market. Significant changes in any of those inputs in isolation would result in significant changes to the fair value measurement. We remeasure the derivative liabilities at each reporting period and recognize the changes in fair value in the consolidated statement of operations and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Item 7A. Quantitative and Qualitative Disclosures about Market Risk.</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equity price and inflationary pressure.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for changes in interest rates applicable to our cash and cash equivalents, and investments. We had cash, cash equivalents, and investments totaling approximately $2.14 billion as of December 31, 2025. Our investment policy is focused on the preservation of capital and supporting our liquidity needs. Under the policy, we invest in highly rated securities, primarily issued by the U.S. government or liquid money market funds. We do not invest in financial instruments for trading or speculative purposes. We utilize external investment managers who adhere to the guidelines of our investment policy. A hypothetical 100 basis point increase in interest rates would not be material to the fair market value of our portfolio as of December 31,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Equity Price Risk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hold equity securities of Aston Martin. The fair value of these equity securities was $24.3 million as of December 31, 2025. Changes in fair value of these equity securities are impacted by the volatility of the stock market and changes in general economic conditions, among other factors. A hypothetical 10% decrease in the stock price of these equity securities would not be material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Supply Risk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dependent on our suppliers, the majority of which are single-source suppliers. The inability of these suppliers to deliver necessary components of its products according to the schedule and at prices, quality levels and volumes acceptable to us, whether due to changes or uncertainties in trade policies, the imposition or proposed imposition of tariffs, threat of a trade war or otherwise, or its inability to efficiently manage these components, or the unavailability of stable domestic suppliers, could have a material adverse effect on our results of operations and financial condition.</w:t>
      </w:r>
    </w:p>
    <w:p>
      <w:pPr>
        <w:pStyle w:val="TextBody"/>
        <w:bidi w:val="0"/>
        <w:spacing w:before="24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Index of Consolidated Financial Statements for the fiscal years ended December 31, 2025, 2024, and 2023.</w:t>
      </w:r>
    </w:p>
    <w:tbl>
      <w:tblPr>
        <w:tblW w:w="10205" w:type="dxa"/>
        <w:jc w:val="left"/>
        <w:tblInd w:w="0" w:type="dxa"/>
        <w:tblLayout w:type="fixed"/>
        <w:tblCellMar>
          <w:top w:w="28" w:type="dxa"/>
          <w:left w:w="28" w:type="dxa"/>
          <w:bottom w:w="28" w:type="dxa"/>
          <w:right w:w="28" w:type="dxa"/>
        </w:tblCellMar>
      </w:tblPr>
      <w:tblGrid>
        <w:gridCol w:w="3411"/>
        <w:gridCol w:w="2939"/>
        <w:gridCol w:w="2955"/>
        <w:gridCol w:w="109"/>
        <w:gridCol w:w="109"/>
        <w:gridCol w:w="109"/>
        <w:gridCol w:w="167"/>
        <w:gridCol w:w="167"/>
        <w:gridCol w:w="239"/>
      </w:tblGrid>
      <w:tr>
        <w:trPr/>
        <w:tc>
          <w:tcPr>
            <w:tcW w:w="3411"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b7016b9327c64b4d8e990f09f25599a1_175">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Number 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b7016b9327c64b4d8e990f09f25599a1_175">
              <w:r>
                <w:rPr>
                  <w:rStyle w:val="InternetLink"/>
                  <w:rFonts w:ascii="Times New Roman;serif" w:hAnsi="Times New Roman;serif"/>
                  <w:b w:val="false"/>
                  <w:strike w:val="false"/>
                  <w:dstrike w:val="false"/>
                  <w:color w:val="000000"/>
                  <w:sz w:val="20"/>
                  <w:u w:val="none"/>
                  <w:effect w:val="none"/>
                </w:rPr>
                <w:t>95</w:t>
              </w:r>
            </w:hyperlink>
          </w:p>
        </w:tc>
      </w:tr>
      <w:tr>
        <w:trPr/>
        <w:tc>
          <w:tcPr>
            <w:tcW w:w="9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 of Lucid Group, Inc. and its 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178">
              <w:r>
                <w:rPr>
                  <w:rStyle w:val="InternetLink"/>
                  <w:rFonts w:ascii="Times New Roman;serif" w:hAnsi="Times New Roman;serif"/>
                  <w:b w:val="false"/>
                  <w:color w:val="000080"/>
                  <w:sz w:val="20"/>
                  <w:u w:val="single"/>
                </w:rPr>
                <w:t>Consolidated Balance Sheets as of December 31, 202</w:t>
              </w:r>
            </w:hyperlink>
            <w:hyperlink w:anchor="ib7016b9327c64b4d8e990f09f25599a1_178">
              <w:r>
                <w:rPr>
                  <w:rStyle w:val="InternetLink"/>
                  <w:rFonts w:ascii="Times New Roman;serif" w:hAnsi="Times New Roman;serif"/>
                  <w:b w:val="false"/>
                  <w:color w:val="000080"/>
                  <w:sz w:val="20"/>
                  <w:u w:val="single"/>
                </w:rPr>
                <w:t>5</w:t>
              </w:r>
            </w:hyperlink>
            <w:hyperlink w:anchor="ib7016b9327c64b4d8e990f09f25599a1_178">
              <w:r>
                <w:rPr>
                  <w:rStyle w:val="InternetLink"/>
                  <w:rFonts w:ascii="Times New Roman;serif" w:hAnsi="Times New Roman;serif"/>
                  <w:b w:val="false"/>
                  <w:color w:val="000080"/>
                  <w:sz w:val="20"/>
                  <w:u w:val="single"/>
                </w:rPr>
                <w:t xml:space="preserve"> and 202</w:t>
              </w:r>
            </w:hyperlink>
            <w:hyperlink w:anchor="ib7016b9327c64b4d8e990f09f25599a1_178">
              <w:r>
                <w:rPr>
                  <w:rStyle w:val="InternetLink"/>
                  <w:rFonts w:ascii="Times New Roman;serif" w:hAnsi="Times New Roman;serif"/>
                  <w:b w:val="false"/>
                  <w:color w:val="000080"/>
                  <w:sz w:val="20"/>
                  <w:u w:val="single"/>
                </w:rPr>
                <w:t>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016b9327c64b4d8e990f09f25599a1_178">
              <w:r>
                <w:rPr>
                  <w:rStyle w:val="InternetLink"/>
                  <w:rFonts w:ascii="Times New Roman;serif" w:hAnsi="Times New Roman;serif"/>
                  <w:b w:val="false"/>
                  <w:strike w:val="false"/>
                  <w:dstrike w:val="false"/>
                  <w:color w:val="000000"/>
                  <w:sz w:val="20"/>
                  <w:u w:val="none"/>
                  <w:effect w:val="none"/>
                </w:rPr>
                <w:t>97</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181">
              <w:r>
                <w:rPr>
                  <w:rStyle w:val="InternetLink"/>
                  <w:rFonts w:ascii="Times New Roman;serif" w:hAnsi="Times New Roman;serif"/>
                  <w:b w:val="false"/>
                  <w:color w:val="000080"/>
                  <w:sz w:val="20"/>
                  <w:u w:val="single"/>
                </w:rPr>
                <w:t>Consolidated Statements of Operations and Comprehensive Loss for the years ended December 31, 202</w:t>
              </w:r>
            </w:hyperlink>
            <w:hyperlink w:anchor="ib7016b9327c64b4d8e990f09f25599a1_181">
              <w:r>
                <w:rPr>
                  <w:rStyle w:val="InternetLink"/>
                  <w:rFonts w:ascii="Times New Roman;serif" w:hAnsi="Times New Roman;serif"/>
                  <w:b w:val="false"/>
                  <w:color w:val="000080"/>
                  <w:sz w:val="20"/>
                  <w:u w:val="single"/>
                </w:rPr>
                <w:t>5</w:t>
              </w:r>
            </w:hyperlink>
            <w:hyperlink w:anchor="ib7016b9327c64b4d8e990f09f25599a1_181">
              <w:r>
                <w:rPr>
                  <w:rStyle w:val="InternetLink"/>
                  <w:rFonts w:ascii="Times New Roman;serif" w:hAnsi="Times New Roman;serif"/>
                  <w:b w:val="false"/>
                  <w:color w:val="000080"/>
                  <w:sz w:val="20"/>
                  <w:u w:val="single"/>
                </w:rPr>
                <w:t>, 202</w:t>
              </w:r>
            </w:hyperlink>
            <w:hyperlink w:anchor="ib7016b9327c64b4d8e990f09f25599a1_181">
              <w:r>
                <w:rPr>
                  <w:rStyle w:val="InternetLink"/>
                  <w:rFonts w:ascii="Times New Roman;serif" w:hAnsi="Times New Roman;serif"/>
                  <w:b w:val="false"/>
                  <w:color w:val="000080"/>
                  <w:sz w:val="20"/>
                  <w:u w:val="single"/>
                </w:rPr>
                <w:t>4</w:t>
              </w:r>
            </w:hyperlink>
            <w:hyperlink w:anchor="ib7016b9327c64b4d8e990f09f25599a1_181">
              <w:r>
                <w:rPr>
                  <w:rStyle w:val="InternetLink"/>
                  <w:rFonts w:ascii="Times New Roman;serif" w:hAnsi="Times New Roman;serif"/>
                  <w:b w:val="false"/>
                  <w:color w:val="000080"/>
                  <w:sz w:val="20"/>
                  <w:u w:val="single"/>
                </w:rPr>
                <w:t>,</w:t>
              </w:r>
            </w:hyperlink>
            <w:hyperlink w:anchor="ib7016b9327c64b4d8e990f09f25599a1_181">
              <w:r>
                <w:rPr>
                  <w:rStyle w:val="InternetLink"/>
                  <w:rFonts w:ascii="Times New Roman;serif" w:hAnsi="Times New Roman;serif"/>
                  <w:b w:val="false"/>
                  <w:color w:val="000080"/>
                  <w:sz w:val="20"/>
                  <w:u w:val="single"/>
                </w:rPr>
                <w:t xml:space="preserve"> and 202</w:t>
              </w:r>
            </w:hyperlink>
            <w:hyperlink w:anchor="ib7016b9327c64b4d8e990f09f25599a1_181">
              <w:r>
                <w:rPr>
                  <w:rStyle w:val="InternetLink"/>
                  <w:rFonts w:ascii="Times New Roman;serif" w:hAnsi="Times New Roman;serif"/>
                  <w:b w:val="false"/>
                  <w:color w:val="000080"/>
                  <w:sz w:val="20"/>
                  <w:u w:val="single"/>
                </w:rPr>
                <w:t>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016b9327c64b4d8e990f09f25599a1_181">
              <w:r>
                <w:rPr>
                  <w:rStyle w:val="InternetLink"/>
                  <w:rFonts w:ascii="Times New Roman;serif" w:hAnsi="Times New Roman;serif"/>
                  <w:b w:val="false"/>
                  <w:strike w:val="false"/>
                  <w:dstrike w:val="false"/>
                  <w:color w:val="000000"/>
                  <w:sz w:val="20"/>
                  <w:u w:val="none"/>
                  <w:effect w:val="none"/>
                </w:rPr>
                <w:t>98</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184">
              <w:r>
                <w:rPr>
                  <w:rStyle w:val="InternetLink"/>
                  <w:rFonts w:ascii="Times New Roman;serif" w:hAnsi="Times New Roman;serif"/>
                  <w:b w:val="false"/>
                  <w:color w:val="000080"/>
                  <w:sz w:val="20"/>
                  <w:u w:val="single"/>
                </w:rPr>
                <w:t>Consolidated Statements of Redeemable Convertible Preferred Stock and Stockholders' Equity for the years ended December 31, 202</w:t>
              </w:r>
            </w:hyperlink>
            <w:hyperlink w:anchor="ib7016b9327c64b4d8e990f09f25599a1_184">
              <w:r>
                <w:rPr>
                  <w:rStyle w:val="InternetLink"/>
                  <w:rFonts w:ascii="Times New Roman;serif" w:hAnsi="Times New Roman;serif"/>
                  <w:b w:val="false"/>
                  <w:color w:val="000080"/>
                  <w:sz w:val="20"/>
                  <w:u w:val="single"/>
                </w:rPr>
                <w:t>5</w:t>
              </w:r>
            </w:hyperlink>
            <w:hyperlink w:anchor="ib7016b9327c64b4d8e990f09f25599a1_184">
              <w:r>
                <w:rPr>
                  <w:rStyle w:val="InternetLink"/>
                  <w:rFonts w:ascii="Times New Roman;serif" w:hAnsi="Times New Roman;serif"/>
                  <w:b w:val="false"/>
                  <w:color w:val="000080"/>
                  <w:sz w:val="20"/>
                  <w:u w:val="single"/>
                </w:rPr>
                <w:t>, 202</w:t>
              </w:r>
            </w:hyperlink>
            <w:hyperlink w:anchor="ib7016b9327c64b4d8e990f09f25599a1_184">
              <w:r>
                <w:rPr>
                  <w:rStyle w:val="InternetLink"/>
                  <w:rFonts w:ascii="Times New Roman;serif" w:hAnsi="Times New Roman;serif"/>
                  <w:b w:val="false"/>
                  <w:color w:val="000080"/>
                  <w:sz w:val="20"/>
                  <w:u w:val="single"/>
                </w:rPr>
                <w:t>4</w:t>
              </w:r>
            </w:hyperlink>
            <w:hyperlink w:anchor="ib7016b9327c64b4d8e990f09f25599a1_184">
              <w:r>
                <w:rPr>
                  <w:rStyle w:val="InternetLink"/>
                  <w:rFonts w:ascii="Times New Roman;serif" w:hAnsi="Times New Roman;serif"/>
                  <w:b w:val="false"/>
                  <w:color w:val="000080"/>
                  <w:sz w:val="20"/>
                  <w:u w:val="single"/>
                </w:rPr>
                <w:t>,</w:t>
              </w:r>
            </w:hyperlink>
            <w:hyperlink w:anchor="ib7016b9327c64b4d8e990f09f25599a1_184">
              <w:r>
                <w:rPr>
                  <w:rStyle w:val="InternetLink"/>
                  <w:rFonts w:ascii="Times New Roman;serif" w:hAnsi="Times New Roman;serif"/>
                  <w:b w:val="false"/>
                  <w:color w:val="000080"/>
                  <w:sz w:val="20"/>
                  <w:u w:val="single"/>
                </w:rPr>
                <w:t xml:space="preserve"> </w:t>
              </w:r>
            </w:hyperlink>
            <w:hyperlink w:anchor="ib7016b9327c64b4d8e990f09f25599a1_184">
              <w:r>
                <w:rPr>
                  <w:rStyle w:val="InternetLink"/>
                  <w:rFonts w:ascii="Times New Roman;serif" w:hAnsi="Times New Roman;serif"/>
                  <w:b w:val="false"/>
                  <w:color w:val="000080"/>
                  <w:sz w:val="20"/>
                  <w:u w:val="single"/>
                </w:rPr>
                <w:t>and 202</w:t>
              </w:r>
            </w:hyperlink>
            <w:hyperlink w:anchor="ib7016b9327c64b4d8e990f09f25599a1_184">
              <w:r>
                <w:rPr>
                  <w:rStyle w:val="InternetLink"/>
                  <w:rFonts w:ascii="Times New Roman;serif" w:hAnsi="Times New Roman;serif"/>
                  <w:b w:val="false"/>
                  <w:color w:val="000080"/>
                  <w:sz w:val="20"/>
                  <w:u w:val="single"/>
                </w:rPr>
                <w:t>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016b9327c64b4d8e990f09f25599a1_184">
              <w:r>
                <w:rPr>
                  <w:rStyle w:val="InternetLink"/>
                  <w:rFonts w:ascii="Times New Roman;serif" w:hAnsi="Times New Roman;serif"/>
                  <w:b w:val="false"/>
                  <w:strike w:val="false"/>
                  <w:dstrike w:val="false"/>
                  <w:color w:val="000000"/>
                  <w:sz w:val="20"/>
                  <w:u w:val="none"/>
                  <w:effect w:val="none"/>
                </w:rPr>
                <w:t>99</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187">
              <w:r>
                <w:rPr>
                  <w:rStyle w:val="InternetLink"/>
                  <w:rFonts w:ascii="Times New Roman;serif" w:hAnsi="Times New Roman;serif"/>
                  <w:b w:val="false"/>
                  <w:color w:val="000080"/>
                  <w:sz w:val="20"/>
                  <w:u w:val="single"/>
                </w:rPr>
                <w:t>Consolidated Statements of Cash Flows for the years ended December 31, 202</w:t>
              </w:r>
            </w:hyperlink>
            <w:hyperlink w:anchor="ib7016b9327c64b4d8e990f09f25599a1_187">
              <w:r>
                <w:rPr>
                  <w:rStyle w:val="InternetLink"/>
                  <w:rFonts w:ascii="Times New Roman;serif" w:hAnsi="Times New Roman;serif"/>
                  <w:b w:val="false"/>
                  <w:color w:val="000080"/>
                  <w:sz w:val="20"/>
                  <w:u w:val="single"/>
                </w:rPr>
                <w:t>5</w:t>
              </w:r>
            </w:hyperlink>
            <w:hyperlink w:anchor="ib7016b9327c64b4d8e990f09f25599a1_187">
              <w:r>
                <w:rPr>
                  <w:rStyle w:val="InternetLink"/>
                  <w:rFonts w:ascii="Times New Roman;serif" w:hAnsi="Times New Roman;serif"/>
                  <w:b w:val="false"/>
                  <w:color w:val="000080"/>
                  <w:sz w:val="20"/>
                  <w:u w:val="single"/>
                </w:rPr>
                <w:t>, 202</w:t>
              </w:r>
            </w:hyperlink>
            <w:hyperlink w:anchor="ib7016b9327c64b4d8e990f09f25599a1_187">
              <w:r>
                <w:rPr>
                  <w:rStyle w:val="InternetLink"/>
                  <w:rFonts w:ascii="Times New Roman;serif" w:hAnsi="Times New Roman;serif"/>
                  <w:b w:val="false"/>
                  <w:color w:val="000080"/>
                  <w:sz w:val="20"/>
                  <w:u w:val="single"/>
                </w:rPr>
                <w:t>4</w:t>
              </w:r>
            </w:hyperlink>
            <w:hyperlink w:anchor="ib7016b9327c64b4d8e990f09f25599a1_187">
              <w:r>
                <w:rPr>
                  <w:rStyle w:val="InternetLink"/>
                  <w:rFonts w:ascii="Times New Roman;serif" w:hAnsi="Times New Roman;serif"/>
                  <w:b w:val="false"/>
                  <w:color w:val="000080"/>
                  <w:sz w:val="20"/>
                  <w:u w:val="single"/>
                </w:rPr>
                <w:t>,</w:t>
              </w:r>
            </w:hyperlink>
            <w:hyperlink w:anchor="ib7016b9327c64b4d8e990f09f25599a1_187">
              <w:r>
                <w:rPr>
                  <w:rStyle w:val="InternetLink"/>
                  <w:rFonts w:ascii="Times New Roman;serif" w:hAnsi="Times New Roman;serif"/>
                  <w:b w:val="false"/>
                  <w:color w:val="000080"/>
                  <w:sz w:val="20"/>
                  <w:u w:val="single"/>
                </w:rPr>
                <w:t xml:space="preserve"> and 202</w:t>
              </w:r>
            </w:hyperlink>
            <w:hyperlink w:anchor="ib7016b9327c64b4d8e990f09f25599a1_187">
              <w:r>
                <w:rPr>
                  <w:rStyle w:val="InternetLink"/>
                  <w:rFonts w:ascii="Times New Roman;serif" w:hAnsi="Times New Roman;serif"/>
                  <w:b w:val="false"/>
                  <w:color w:val="000080"/>
                  <w:sz w:val="20"/>
                  <w:u w:val="single"/>
                </w:rPr>
                <w:t>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016b9327c64b4d8e990f09f25599a1_187">
              <w:r>
                <w:rPr>
                  <w:rStyle w:val="InternetLink"/>
                  <w:rFonts w:ascii="Times New Roman;serif" w:hAnsi="Times New Roman;serif"/>
                  <w:b w:val="false"/>
                  <w:strike w:val="false"/>
                  <w:dstrike w:val="false"/>
                  <w:color w:val="000000"/>
                  <w:sz w:val="20"/>
                  <w:u w:val="none"/>
                  <w:effect w:val="none"/>
                </w:rPr>
                <w:t>100</w:t>
              </w:r>
            </w:hyperlink>
          </w:p>
        </w:tc>
      </w:tr>
      <w:tr>
        <w:trPr/>
        <w:tc>
          <w:tcPr>
            <w:tcW w:w="9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7016b9327c64b4d8e990f09f25599a1_331">
              <w:r>
                <w:rPr>
                  <w:rStyle w:val="InternetLink"/>
                  <w:rFonts w:ascii="Times New Roman;serif" w:hAnsi="Times New Roman;serif"/>
                  <w:b w:val="false"/>
                  <w:strike w:val="false"/>
                  <w:dstrike w:val="false"/>
                  <w:color w:val="000000"/>
                  <w:sz w:val="20"/>
                  <w:u w:val="none"/>
                  <w:effect w:val="none"/>
                </w:rPr>
                <w:t>Notes to Consolidated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016b9327c64b4d8e990f09f25599a1_190">
              <w:r>
                <w:rPr>
                  <w:rStyle w:val="InternetLink"/>
                  <w:rFonts w:ascii="Times New Roman;serif" w:hAnsi="Times New Roman;serif"/>
                  <w:b w:val="false"/>
                  <w:strike w:val="false"/>
                  <w:dstrike w:val="false"/>
                  <w:color w:val="000000"/>
                  <w:sz w:val="20"/>
                  <w:u w:val="none"/>
                  <w:effect w:val="none"/>
                </w:rPr>
                <w:t>102</w:t>
              </w:r>
            </w:hyperlink>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To the Board of Directors and Stockholders </w:t>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Lucid Group, Inc.:</w:t>
      </w:r>
    </w:p>
    <w:p>
      <w:pPr>
        <w:pStyle w:val="TextBody"/>
        <w:bidi w:val="0"/>
        <w:spacing w:lineRule="auto" w:line="288" w:before="240" w:after="283"/>
        <w:jc w:val="left"/>
        <w:rPr>
          <w:rFonts w:ascii="Times New Roman;serif" w:hAnsi="Times New Roman;serif"/>
          <w:b w:val="false"/>
          <w:i/>
          <w:color w:val="000000"/>
          <w:sz w:val="19"/>
        </w:rPr>
      </w:pPr>
      <w:r>
        <w:rPr>
          <w:rFonts w:ascii="Times New Roman;serif" w:hAnsi="Times New Roman;serif"/>
          <w:b w:val="false"/>
          <w:i/>
          <w:color w:val="000000"/>
          <w:sz w:val="19"/>
        </w:rPr>
        <w:t>Opinions on the Consolidated Financial Statements and Internal Control Over Financial Reporting</w:t>
      </w:r>
    </w:p>
    <w:p>
      <w:pPr>
        <w:pStyle w:val="TextBody"/>
        <w:bidi w:val="0"/>
        <w:spacing w:lineRule="auto" w:line="288" w:before="240" w:after="283"/>
        <w:jc w:val="left"/>
        <w:rPr/>
      </w:pPr>
      <w:r>
        <w:rPr>
          <w:rFonts w:ascii="Times New Roman;serif" w:hAnsi="Times New Roman;serif"/>
          <w:b w:val="false"/>
          <w:color w:val="000000"/>
          <w:sz w:val="19"/>
        </w:rPr>
        <w:t xml:space="preserve">We have audited the accompanying consolidated balance sheets of Lucid Group, Inc. and subsidiaries (the Company) as of December 31, 2025 and 2024, the related consolidated statements of operations and comprehensive loss, redeemable convertible preferred stock and stockholders’ equity, and cash flows for the years then ended, and the related notes (collectively, the consolidated financial statements). We also have audited the Company’s internal control over financial reporting as of December 31, 2025, based on criteria established in </w:t>
      </w:r>
      <w:r>
        <w:rPr>
          <w:rFonts w:ascii="Times New Roman;serif" w:hAnsi="Times New Roman;serif"/>
          <w:b w:val="false"/>
          <w:i/>
          <w:color w:val="000000"/>
          <w:sz w:val="19"/>
        </w:rPr>
        <w:t>Internal Control – Integrated Framework (2013) issued by the Committee of Sponsoring Organizations of the Treadway Commission.</w:t>
      </w:r>
    </w:p>
    <w:p>
      <w:pPr>
        <w:pStyle w:val="TextBody"/>
        <w:bidi w:val="0"/>
        <w:spacing w:lineRule="auto" w:line="288" w:before="240" w:after="283"/>
        <w:jc w:val="left"/>
        <w:rPr/>
      </w:pPr>
      <w:r>
        <w:rPr>
          <w:rFonts w:ascii="Times New Roman;serif" w:hAnsi="Times New Roman;serif"/>
          <w:b w:val="false"/>
          <w:color w:val="000000"/>
          <w:sz w:val="19"/>
        </w:rPr>
        <w:t xml:space="preserve">In our opinion, the consolidated financial statements referred to above present fairly, in all material respects, the financial position of the Company as of December 31, 2025 and 2024, and the results of its operations and its cash flows for the years then ended, in conformity with U.S. generally accepted accounting principles. Also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19"/>
        </w:rPr>
        <w:t>Internal Control – Integrated Framework (2013) issued by the Committee of Sponsoring Organizations of the Treadway Commission.</w:t>
      </w:r>
    </w:p>
    <w:p>
      <w:pPr>
        <w:pStyle w:val="TextBody"/>
        <w:bidi w:val="0"/>
        <w:spacing w:lineRule="auto" w:line="288" w:before="240" w:after="283"/>
        <w:jc w:val="left"/>
        <w:rPr>
          <w:rFonts w:ascii="Times New Roman;serif" w:hAnsi="Times New Roman;serif"/>
          <w:b w:val="false"/>
          <w:i/>
          <w:color w:val="000000"/>
          <w:sz w:val="19"/>
        </w:rPr>
      </w:pPr>
      <w:r>
        <w:rPr>
          <w:rFonts w:ascii="Times New Roman;serif" w:hAnsi="Times New Roman;serif"/>
          <w:b w:val="false"/>
          <w:i/>
          <w:color w:val="000000"/>
          <w:sz w:val="19"/>
        </w:rPr>
        <w:t>Basis for Opinions</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240" w:after="283"/>
        <w:jc w:val="left"/>
        <w:rPr>
          <w:rFonts w:ascii="Times New Roman;serif" w:hAnsi="Times New Roman;serif"/>
          <w:b w:val="false"/>
          <w:i/>
          <w:color w:val="000000"/>
          <w:sz w:val="19"/>
        </w:rPr>
      </w:pPr>
      <w:r>
        <w:rPr>
          <w:rFonts w:ascii="Times New Roman;serif" w:hAnsi="Times New Roman;serif"/>
          <w:b w:val="false"/>
          <w:i/>
          <w:color w:val="000000"/>
          <w:sz w:val="19"/>
        </w:rPr>
        <w:t>Definition and Limitations of Internal Control Over Financial Reporting</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19"/>
        </w:rPr>
      </w:pPr>
      <w:r>
        <w:rPr>
          <w:rFonts w:ascii="Times New Roman;serif" w:hAnsi="Times New Roman;serif"/>
          <w:b w:val="false"/>
          <w:i/>
          <w:color w:val="000000"/>
          <w:sz w:val="19"/>
        </w:rPr>
        <w:t>Critical Audit Matter</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240" w:after="283"/>
        <w:jc w:val="left"/>
        <w:rPr>
          <w:rFonts w:ascii="Times New Roman;serif" w:hAnsi="Times New Roman;serif"/>
          <w:b w:val="false"/>
          <w:i/>
          <w:color w:val="000000"/>
          <w:sz w:val="19"/>
        </w:rPr>
      </w:pPr>
      <w:r>
        <w:rPr>
          <w:rFonts w:ascii="Times New Roman;serif" w:hAnsi="Times New Roman;serif"/>
          <w:b w:val="false"/>
          <w:i/>
          <w:color w:val="000000"/>
          <w:sz w:val="19"/>
        </w:rPr>
        <w:t>Evaluation of net realizable value of certain inventories</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As discussed in Note 4 to the consolidated financial statements, the Company has inventories with a carrying value of $1,110 million as of December 31, 2025. The Company adjusts the carrying value of inventory when the cost of inventory exceeds the estimated net realizable value. The Company records inventory write-downs for excess or obsolete inventories based upon assumptions about current and future demand forecasts. Additionally, the Company reviews inventory to determine whether the carrying value exceeds the net amount realizable upon the ultimate sale of the inventory, requiring the Company to determine the estimated selling price of vehicles and the estimated cost to convert the inventory on-hand into a finished product.</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We identified the evaluation of the Company’s determination of net realizable value of certain inventories as a critical audit matter. Subjective auditor judgment and significant audit effort were required to assess key inputs within the Company’s determination of net realizable value of certain inventories. Specifically, the key inputs within the calculation include the estimated selling prices and the estimated cost to convert the inventory on-hand into a finished product.</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The following are the primary procedures we performed to address this critical audit matter. We evaluated the design and tested the operating effectiveness of certain internal controls over the Company’s inventory process, including controls related to the estimated selling prices and the estimated cost to convert the inventory on-hand into a finished product. We evaluated estimated selling prices by comparing them to internal sales documentation, actual sales, peer company data, and relevant market information. We evaluated the Company’s ability to accurately forecast the estimated cost to convert inventory on-hand by comparing historical production projections to actual results. We assessed the estimated cost to convert the inventory on-hand by comparing it to future sales projections. For certain inventories, we also evaluated the estimated cost to convert inventory on-hand by comparing the historical estimated cost to convert to actual results.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/s/ KPMG LLP</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We have served as the Company’s auditor since 2023.</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Santa Clara, California </w:t>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February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3012"/>
        <w:gridCol w:w="2052"/>
        <w:gridCol w:w="2059"/>
        <w:gridCol w:w="109"/>
        <w:gridCol w:w="109"/>
        <w:gridCol w:w="109"/>
        <w:gridCol w:w="196"/>
        <w:gridCol w:w="886"/>
        <w:gridCol w:w="109"/>
        <w:gridCol w:w="109"/>
        <w:gridCol w:w="109"/>
        <w:gridCol w:w="109"/>
        <w:gridCol w:w="196"/>
        <w:gridCol w:w="886"/>
        <w:gridCol w:w="155"/>
      </w:tblGrid>
      <w:tr>
        <w:trPr/>
        <w:tc>
          <w:tcPr>
            <w:tcW w:w="3012"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1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1,606,865 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Short-term investments (including $50,000 and $15,000 associated with a related party as of December 31,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2,424,103 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Accounts receivable, net (including $120,540 and $57,909 from a related party as of December 31,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407,774 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Other current assets (including nil and $34,503 associated with a related party as of December 31,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3,299,651 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4,873,936 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3,978,132 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3,262,612 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211,886 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Long-term investments (including $24,259 and $57,831 associated with a related party as of December 31,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249,443 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8,386,981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9,647,931</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Current portion of debt (including $467,963 and $126,417 associated with a related party as of December 31,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Other current liabilities (including $81,580 and nil associated with a related party as of December 31,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898,254 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2,636,130 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1,165,291 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2,002,151 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Other long-term liabilities (including $123,198 and $121,136 associated with related parties as of December 31,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592,314 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associated with redeemable convertible preferred stock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639,425 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5,386,204 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4,475,277 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Preferred stock 10,000,000 shares authorized as of December 31, 2025 and 2024, Series A redeemable convertible preferred stock, par value $0.0001; 100,000 shares issued and outstanding as of December 31, 2025 and 2024; liquidation preference of $1,350,441 and $1,138,825 as of December 31, 2025 and 2024, respectively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730,025 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Preferred stock 10,000,000 shares authorized as of December 31, 2025 and 2024, Series B redeemable convertible preferred stock, par value $0.0001; 75,000 shares issued and outstanding as of December 31, 2025 and 2024; liquidation preference of $949,249 and $800,442 as of December 31, 2025 and 2024, respectively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569,817 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2,283,490 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1,299,842 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rFonts w:ascii="Times New Roman;serif" w:hAnsi="Times New Roman;serif"/>
                <w:b w:val="false"/>
                <w:color w:val="000000"/>
                <w:sz w:val="18"/>
              </w:rPr>
              <w:t>Common stock, par value $0.0001; 1,500,000,000 shares authorized as of December 31, 2025 and 2024; 327,451,844 and 303,221,972 shares issued and 327,366,062 and 303,136,190 shares outstanding as of December 31, 2025 and 2024, respectively</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16,337,023 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16,808,291 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Treasury stock, at cost, 85,782 shares at December 31, 2025 and 2024</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(15,610,745)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(12,912,694)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3,872,812 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18"/>
              </w:rPr>
            </w:pPr>
            <w:r>
              <w:rPr>
                <w:rFonts w:ascii="Times New Roman;serif" w:hAnsi="Times New Roman;serif"/>
                <w:b/>
                <w:color w:val="000000"/>
                <w:sz w:val="18"/>
              </w:rPr>
              <w:t>TOTAL LIABILITIES, REDEEMABLE CONVERTIBLE PREFERRED STOCK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8,386,981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9,647,931</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number of shares of common stock and treasury stock have been adjusted for the prior period presented to reflect the one-for-ten (1:10) reverse stock split effected on August 29, 2025. See Note 2 “Summary of Significant Accounting Policies” for more information.</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206"/>
        <w:gridCol w:w="1816"/>
        <w:gridCol w:w="1821"/>
        <w:gridCol w:w="196"/>
        <w:gridCol w:w="915"/>
        <w:gridCol w:w="109"/>
        <w:gridCol w:w="109"/>
        <w:gridCol w:w="109"/>
        <w:gridCol w:w="109"/>
        <w:gridCol w:w="196"/>
        <w:gridCol w:w="915"/>
        <w:gridCol w:w="109"/>
        <w:gridCol w:w="109"/>
        <w:gridCol w:w="109"/>
        <w:gridCol w:w="109"/>
        <w:gridCol w:w="196"/>
        <w:gridCol w:w="915"/>
        <w:gridCol w:w="157"/>
      </w:tblGrid>
      <w:tr>
        <w:trPr/>
        <w:tc>
          <w:tcPr>
            <w:tcW w:w="220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 (including $144,034, $174,204, and $43,714 from a related party for the years ended December 31, 2025, 2024, and 2023, respectively)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595,271 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2,610,176 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1,936,066 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937,012 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797,235 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929292"/>
              </w:rPr>
            </w:pPr>
            <w:r>
              <w:rPr>
                <w:color w:val="929292"/>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and expenses</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4,855,543 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3,828,652 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3,694,859 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(3,020,820)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(3,099,588)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 net</w:t>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common stock warrant liability</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equity securities of a related party</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 liabilities associated with redeemable convertible preferred stock (related party)</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extinguishment of debt</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 (including $24,250, $6,980, and $2,159 to related parties for the years ended December 31, 2025, 2024, and 2023, respectively)</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(24,915)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net</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272,194 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before provision for (benefit from) income taxes</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(2,700,384)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(2,712,743)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(2,827,394)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(2,698,051)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(2,713,942)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(2,828,420)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redeemable convertible preferred stock (related party)</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attributable to common stockholders, basic</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(3,681,699)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(3,061,552)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(2,828,420)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2026 Notes</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extinguishment of debt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attributable to common stockholders, diluted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(3,789,155)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(3,061,552)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(2,828,420)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Weighted-average shares outstanding attributable to common stockholders</w:t>
            </w:r>
            <w:r>
              <w:rPr>
                <w:rFonts w:ascii="Times New Roman;serif" w:hAnsi="Times New Roman;serif"/>
                <w:b w:val="false"/>
                <w:color w:val="000000"/>
                <w:sz w:val="12"/>
              </w:rPr>
              <w:t>(1)</w:t>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311,680,046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244,517,654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208,177,262</w:t>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313,400,136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244,517,654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208,177,262</w:t>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loss per share attributable to common stockholders</w:t>
            </w:r>
            <w:r>
              <w:rPr>
                <w:rFonts w:ascii="Times New Roman;serif" w:hAnsi="Times New Roman;serif"/>
                <w:b w:val="false"/>
                <w:color w:val="000000"/>
                <w:sz w:val="12"/>
              </w:rPr>
              <w:t>(1)</w:t>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w:t>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unrealized gains on investments, net of tax</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 (loss)</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loss</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(2,684,260)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(2,720,891)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(2,811,998)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redeemable convertible preferred stock (related party)</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(983,648)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(347,610)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loss attributable to common stockholders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(3,667,908)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(3,068,501)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(2,811,998)</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weighted-average shares outstanding attributable to common stockholders and net loss per share attributable to common stockholders have been adjusted for the prior periods presented to reflect the one-for-ten (1:10) reverse stock split effected on August 29, 2025. See Note 2 “Summary of Significant Accounting Policies” for more information.</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REDEEMABLE CONVERTIBLE PREFERRED STOCK AND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tbl>
      <w:tblPr>
        <w:tblW w:w="14227" w:type="dxa"/>
        <w:jc w:val="center"/>
        <w:tblInd w:w="0" w:type="dxa"/>
        <w:tblLayout w:type="fixed"/>
        <w:tblCellMar>
          <w:top w:w="28" w:type="dxa"/>
          <w:left w:w="28" w:type="dxa"/>
          <w:bottom w:w="28" w:type="dxa"/>
          <w:right w:w="28" w:type="dxa"/>
        </w:tblCellMar>
      </w:tblPr>
      <w:tblGrid>
        <w:gridCol w:w="701"/>
        <w:gridCol w:w="234"/>
        <w:gridCol w:w="236"/>
        <w:gridCol w:w="109"/>
        <w:gridCol w:w="109"/>
        <w:gridCol w:w="109"/>
        <w:gridCol w:w="375"/>
        <w:gridCol w:w="376"/>
        <w:gridCol w:w="171"/>
        <w:gridCol w:w="109"/>
        <w:gridCol w:w="109"/>
        <w:gridCol w:w="109"/>
        <w:gridCol w:w="196"/>
        <w:gridCol w:w="886"/>
        <w:gridCol w:w="109"/>
        <w:gridCol w:w="109"/>
        <w:gridCol w:w="109"/>
        <w:gridCol w:w="109"/>
        <w:gridCol w:w="109"/>
        <w:gridCol w:w="109"/>
        <w:gridCol w:w="109"/>
        <w:gridCol w:w="533"/>
        <w:gridCol w:w="533"/>
        <w:gridCol w:w="171"/>
        <w:gridCol w:w="109"/>
        <w:gridCol w:w="109"/>
        <w:gridCol w:w="109"/>
        <w:gridCol w:w="196"/>
        <w:gridCol w:w="346"/>
        <w:gridCol w:w="109"/>
        <w:gridCol w:w="109"/>
        <w:gridCol w:w="109"/>
        <w:gridCol w:w="109"/>
        <w:gridCol w:w="196"/>
        <w:gridCol w:w="976"/>
        <w:gridCol w:w="109"/>
        <w:gridCol w:w="109"/>
        <w:gridCol w:w="109"/>
        <w:gridCol w:w="109"/>
        <w:gridCol w:w="196"/>
        <w:gridCol w:w="661"/>
        <w:gridCol w:w="109"/>
        <w:gridCol w:w="109"/>
        <w:gridCol w:w="109"/>
        <w:gridCol w:w="109"/>
        <w:gridCol w:w="196"/>
        <w:gridCol w:w="716"/>
        <w:gridCol w:w="109"/>
        <w:gridCol w:w="109"/>
        <w:gridCol w:w="109"/>
        <w:gridCol w:w="109"/>
        <w:gridCol w:w="196"/>
        <w:gridCol w:w="976"/>
        <w:gridCol w:w="109"/>
        <w:gridCol w:w="109"/>
        <w:gridCol w:w="109"/>
        <w:gridCol w:w="109"/>
        <w:gridCol w:w="196"/>
        <w:gridCol w:w="88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4"/>
              </w:rPr>
              <w:t xml:space="preserve">Redeemable Convertible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Common Stock</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Accumulated</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Other</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Comprehensive</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Total</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Stockholders’</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182,931,474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11,752,303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(7,370,332)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4,349,701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(2,828,420)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(2,828,420)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1,694,776 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474,887 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900,364 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2023 Underwriting Agreement,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17,354,495 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2023 Subscription Agreement, net of issuance costs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26,569,370 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229,925,366</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15,066,287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(10,198,752)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4,851,692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(2,713,942)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(2,713,942)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4,494,526 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897,646 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451,361 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2024 Underwriting Agreement,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27,748,453 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2024 Subscription Agreement, net of issuance costs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39,618,838 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Series A redeemable convertible preferred stock, net of derivative liability and issuance costs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Series B redeemable convertible preferred stock, net of derivative liability and issuance costs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redeemable convertible preferred stock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(347,610)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175,000</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1,299,842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303,136,190</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16,808,291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(12,912,694)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3,872,812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(2,698,051)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(2,698,051)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payments for net settlement of employee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employee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8,602,771 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1,559,456 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352,524 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2025 Subscription Agreement,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13,715,121 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capped call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redeemable convertible preferred stock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(983,648)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175,000</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2,283,490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327,366,062</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16,337,023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11,692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(15,610,745)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717,287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number of shares of common stock has been adjusted for the prior periods presented to reflect the one-for-ten (1:10) reverse stock split effected on August 29, 2025. See Note 2 “Summary of Significant Accounting Policies” for more information.</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258"/>
        <w:gridCol w:w="1795"/>
        <w:gridCol w:w="1809"/>
        <w:gridCol w:w="196"/>
        <w:gridCol w:w="909"/>
        <w:gridCol w:w="109"/>
        <w:gridCol w:w="109"/>
        <w:gridCol w:w="109"/>
        <w:gridCol w:w="109"/>
        <w:gridCol w:w="196"/>
        <w:gridCol w:w="909"/>
        <w:gridCol w:w="109"/>
        <w:gridCol w:w="109"/>
        <w:gridCol w:w="109"/>
        <w:gridCol w:w="109"/>
        <w:gridCol w:w="196"/>
        <w:gridCol w:w="909"/>
        <w:gridCol w:w="156"/>
      </w:tblGrid>
      <w:tr>
        <w:trPr/>
        <w:tc>
          <w:tcPr>
            <w:tcW w:w="2258"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(2,828,420)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233,531 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insurance premium</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cost</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and firm purchase commitments write-downs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906,069 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common stock warrant liability</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equity securities of a related party</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 liabilities associated with redeemable convertible preferred stock (related party)</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accretion of investment discounts/premiums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extinguishment of debt</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(including $(62,631), $(22,383), and $(35,526) from a related party for the years ended December 31, 2025, 2024, and 2023, respectively)</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(658,010)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liabilities (including $2,100, $4,900, and $107,763 associated with a related party for the years ended December 31, 2025, 2024, and 2023, respectively)</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(2,931,912)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(2,019,674)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(2,489,753)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 (including $(225,864), $(164,683), and $(80,511) from a related party for the years ended December 31, 2025, 2024, and 2023, respectively)</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(910,644)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investments (including $(30,000), $(35,000), and nil from a related party for the years ended December 31, 2025, 2024, and 2023, respectively)</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(4,622,890)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(3,998,282)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investments (including $15,000 from a related party for the year ended December 31, 2025, and nil for the years ended December 31, 2024 and 2023)</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4,112,084 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3,720,890 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sale of investments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government grant</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1,478,429 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(1,294,454)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(946,975)</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829310"/>
                <wp:effectExtent l="0" t="0" r="0" b="0"/>
                <wp:wrapNone/>
                <wp:docPr id="102" name="Frame101"/>
                <a:graphic xmlns:a="http://schemas.openxmlformats.org/drawingml/2006/main">
                  <a:graphicData uri="http://schemas.microsoft.com/office/word/2010/wordprocessingShape">
                    <wps:wsp>
                      <wps:cNvSpPr txBox="1"/>
                      <wps:spPr>
                        <a:xfrm>
                          <a:off x="0" y="0"/>
                          <a:ext cx="6480175" cy="829310"/>
                        </a:xfrm>
                        <a:prstGeom prst="rect"/>
                        <a:solidFill>
                          <a:srgbClr val="FFFFFF"/>
                        </a:solidFill>
                      </wps:spPr>
                      <wps:txbx>
                        <w:txbxContent>
                          <w:p>
                            <w:pPr>
                              <w:pStyle w:val="TextBody"/>
                              <w:bidi w:val="0"/>
                              <w:spacing w:before="240" w:after="283"/>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316"/>
        <w:gridCol w:w="1827"/>
        <w:gridCol w:w="1834"/>
        <w:gridCol w:w="196"/>
        <w:gridCol w:w="871"/>
        <w:gridCol w:w="109"/>
        <w:gridCol w:w="109"/>
        <w:gridCol w:w="109"/>
        <w:gridCol w:w="109"/>
        <w:gridCol w:w="196"/>
        <w:gridCol w:w="871"/>
        <w:gridCol w:w="109"/>
        <w:gridCol w:w="109"/>
        <w:gridCol w:w="109"/>
        <w:gridCol w:w="109"/>
        <w:gridCol w:w="196"/>
        <w:gridCol w:w="871"/>
        <w:gridCol w:w="155"/>
      </w:tblGrid>
      <w:tr>
        <w:trPr/>
        <w:tc>
          <w:tcPr>
            <w:tcW w:w="2316"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Series A redeemable convertible preferred stock to a related party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issuance costs for Series A redeemable convertible preferred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Series B redeemable convertible preferred stock to a related party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issuance costs for Series B redeemable convertible preferred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under 2025 Subscription Agreement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 of issuance costs for the 2025 Subscription Agreement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issuance of 2031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 of transaction costs for the issuance of 2031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2030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 of transaction costs for the issuance of 2030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capped call options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Repurchases of 2026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under 2024 Underwriting Agreement, net of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under 2024 Subscription Agreement to a related party, net of issuance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under 2023 Underwriting Agreement, net of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1,184,224 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under 2023 Subscription Agreement to a related party, net of issuance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1,812,641 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from a related party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borrowings to a related party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purchase plan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for net settlement of employee awards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 for finance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 for credit facility issuance costs (including $(9,723), $(5,625), and nil to related parties for the years ended December 31, 2025, 2024, and 2023,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3,549,673 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3,070,915 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(566,139)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(365,813)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cash, cash equivalents, and 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1,737,320 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cash, cash equivalents, and restricted cash</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1,371,507 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 net of amounts capitalized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investing and financing activity: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Increases (decrease) in accounts payable and accrued liabilities related to property, plant and equipment (including $81,580, $(19,725) and $8,530 associated with a related party for the years ended December 31, 2025, 2024, and 2023, respectively)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grant (related party) reflected in property, plant and equipment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and right-of-use assets obtained through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securities obtained through Strategic Technology Arrangement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829310"/>
                <wp:effectExtent l="0" t="0" r="0" b="0"/>
                <wp:wrapNone/>
                <wp:docPr id="103" name="Frame102"/>
                <a:graphic xmlns:a="http://schemas.openxmlformats.org/drawingml/2006/main">
                  <a:graphicData uri="http://schemas.microsoft.com/office/word/2010/wordprocessingShape">
                    <wps:wsp>
                      <wps:cNvSpPr txBox="1"/>
                      <wps:spPr>
                        <a:xfrm>
                          <a:off x="0" y="0"/>
                          <a:ext cx="6480175" cy="829310"/>
                        </a:xfrm>
                        <a:prstGeom prst="rect"/>
                        <a:solidFill>
                          <a:srgbClr val="FFFFFF"/>
                        </a:solidFill>
                      </wps:spPr>
                      <wps:txbx>
                        <w:txbxContent>
                          <w:p>
                            <w:pPr>
                              <w:pStyle w:val="TextBody"/>
                              <w:bidi w:val="0"/>
                              <w:spacing w:before="240" w:after="283"/>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NOTE 1</w:t>
      </w:r>
      <w:r>
        <w:rPr>
          <w:color w:val="000000"/>
        </w:rPr>
        <w:t xml:space="preserve"> – </w:t>
      </w:r>
      <w:r>
        <w:rPr>
          <w:rFonts w:ascii="Times New Roman;serif" w:hAnsi="Times New Roman;serif"/>
          <w:b/>
          <w:color w:val="000000"/>
          <w:sz w:val="20"/>
        </w:rPr>
        <w:t>DESCRIPTION OF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Lucid is a technology company that is setting new standards with the world’s most advanced EVs, the award-winning Lucid Air and Lucid Gravity.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Throughout the notes to the consolidated financial statements, unless otherwise noted, the “Company,” “we,” “us” or “our” and similar terms refer to Lucid and its subsidiaries.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devotes its efforts to business planning, sale and servicing of vehicles, providing technology access, research and development, construction of manufacturing facilities, expansion of retail studios and service centers, recruitment of management and technical talent, acquisition of operating assets, and capital-raising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inception through December 31, 2025, the Company has incurred operating losses and negative cash flows from operating activities. For the years ended December 31, 2025, 2024, and 2023, the Company has incurred net losses of $2.7 billion, $2.7 billion, and $2.8 billion, respectively. The Company had an accumulated deficit of $15.6 billion as of December 31,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completed the first phase of the construction of its AMP-1 in 2021, transitioned general assembly to the AMP-1 phase 2 manufacturing facility and completed the SKD portion of its AMP-2 in September 2023. The Company also completed key manufacturing activities, including the paint shop, stamping, a new body shop for the Lucid Gravity, and a majority of the powertrain shop, of the AMP-1 phase 2 manufacturing facility in 2024. The Company began commercial production of its first vehicle, the Lucid Air, in September 2021 and delivered its first vehicles in late October 2021. The Company began commercial production and deliveries of its second vehicle, the Lucid Gravity, in December 2024. Currently, the AMP-1 phase 2 facility manufactures the Lucid Air and the Lucid Gravity. The Company continues to expand AMP-1, construct the CBU portion of AMP-2, and build a network of retail sales and service locations. The Company has plans for continued development of additional vehicle model types for future release, including its upcoming Midsize platform. The aforementioned activities will require considerable capital, which is above and beyond the expected cash inflows from the current sales of Lucid vehicles. As such, the future operating plan involves considerable risk if secure funding sources are not identified and confirmed.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existing sources of liquidity include cash, cash equivalents, investments, and unused available credit amounts from credit facilities. The Company funded operations primarily with issuances of common stock, convertible preferred stock, convertible notes, and loans.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2022, the Company entered into a loan agreement with the SIDF with an aggregate principal amount of up to approximately $1.4 billion, the ABL Credit Facility with an initial aggregate principal commitment amount of up to $1.0 billion, and the GIB Facility Agreement with an aggregate principal amount of approximately $266.1 million for two revolving credit facilities.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2023, the Company amended the GIB Facility Agreement to combine the two revolving credit facilities into a committed $266.1 million 2023 GIB Credit Facility. In February 2025, Lucid LLC renewed the 2023 GIB Credit Facility and entered into the 2025 GIB Credit Facility maturing on February 24, 2028, to increase the credit facility committed amount from SAR 1.0 billion (approximately $266.1 million) to SAR 1.9 billion (approximately $506.6 million). See Note 6 “Debt”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May 2023, the Company entered into the 2023 Underwriting Agreement with BofA Securities, Inc. (the “Underwriter”), under which the Underwriter agreed to purchase from the Company shares of common stock in a public offering for aggregate net proceeds to the Company of $1.2 billion. In May 2023, the Company also entered into the 2023 Subscription Agreement with Ayar, pursuant to which Ayar agreed to purchase from the Company shares of common stock in a private placement for aggregate net proceeds of $1.8 billion. In June 2023, the Company completed the public offering pursuant to the 2023 Underwriting Agreement for aggregate net proceeds of $1.2 billion and also consummated the private placement to Ayar pursuant to the 2023 Subscription Agreement for aggregate net proceeds of $1.8 billion. See Note 16 “Related Party Transactions”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2024, the Company entered into the Series A Subscription Agreement with Ayar. Pursuant to the Series A Subscription Agreement, Ayar agreed to purchase from the Company 100,000 shares of its Series A Redeemable Convertible Preferred Stock, for an aggregate purchase price of $1.0 billion in a private placement. Subsequently, in March 2024, the Company issued the shares to Ayar pursuant to the Series A Subscription Agreement and received aggregate net proceeds of $997.6 million. In August 2024, the Company entered into the Series B Subscription Agreement with Ayar. Pursuant to the Series B Subscription Agreement, Ayar agreed to purchase from the Company 75,000 shares of its Series B Redeemable Convertible Preferred Stock, for an aggregate purchase price of $750.0 million in a private placement. Subsequently, in August 2024, the Company issued the shares to Ayar pursuant to the Series B Subscription Agreement and received aggregate net proceeds of $749.4 million. See Note 8 “Redeemable Convertible Preferred Stock” and Note 16 “Related Party Transactions”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Redeemable Convertible Preferred Stock are convertible at the option of the holder (i) at any time the closing price per share of the common stock on the trading date immediately preceding the date on which the holder delivers the relevant notice of conversion is at least a certain price threshold as noted in the Certificate of Designations of the Company or (ii) during specified periods preceding a fundamental change or optional redemption by the Company under the terms of the Redeemable Convertible Preferred Stock. See Note 8 “Redeemable Convertible Preferred Stock”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2024, the Company entered into a $750.0 million five-year unsecured DDTL Credit Facility with Ayar. In November 2025, the Company and Ayar agreed to increase the aggregate principal amount from $750.0 million to $1.98 billion. See Note 6 “Debt” and Note 16 “Related Party Transactions”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October 2024, the Company entered into the 2024 Underwriting Agreement with the Underwriter, under which the Underwriter agreed to purchase from the Company shares of common stock in a public offering. The Company also granted the Underwriter a 30-day option to purchase additional shares of our common stock (the “ Overallotment Option”), which the Underwriter exercised to purchase additional shares. In October 2024, the Company also entered into the 2024 Subscription Agreement with Ayar, pursuant to which Ayar agreed to purchase from the Company shares of common stock in a private placement. In addition, given the Underwriter’s exercise of the Overallotment Option, Ayar agreed to purchase additional shares of common stock. In October 2024, the Company completed the public offering pursuant to the 2024 Underwriting Agreement for aggregate net proceeds of $718.4 million and also consummated the private placement of shares to Ayar pursuant to the 2024 Subscription Agreement for aggregate net proceeds of $1,025.7 million. See Note 16 “Related Party Transactions”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July 2025, the Company entered into the 2025 Subscription Agreement with SMB, a subsidiary of Uber, under which the Company agreed to issue and SMB agreed to purchase, in a private placement, the Company’s common stock equal to (i) $300.0 million in cash divided by (ii) an amount equal to the arithmetic average of the daily volume-weighted average price of the common stock over a period of 30 consecutive trading days ending on, and including, July 15, 2025. In September 2025, the Company and SMB entered into an amendment to the 2025 Subscription Agreement to reflect the adjustments made to the number of placement shares and purchase price per placement share therein due to the Reverse Stock Split (as defined below), and consummated the private placement of shares to SMB for aggregate net proceeds of $299.7 million. See Note 9 “Stockholders’ Equity”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2025, the Company issued $1.10 billion aggregate principal amount of the 2030 Notes in a private offering. The net proceeds from the offering were $1.08 billion, after deducting debt issuance costs. In connection with the 2030 Notes offering, the Company paid $118.3 million to enter into privately negotiated capped call transactions with certain financial institutions to increase the effective conversion premium. Contemporaneously with the 2030 Notes offering, the Company repurchased $1,052.5 million aggregate principal amount of the 2026 Notes, using $931.4 million of the net proceeds of the 2030 Notes. See Note 6 “Debt”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2025, the Company issued $975.0 million aggregate principal amount of the 2031 Notes in a private offering. The net proceeds from the offering were $962.2 million, after deducting debt issuance costs. Contemporaneously with the 2031 Notes offering, the Company repurchased $755.7 million aggregate principal amount of the 2026 Notes, using $748.2 million of the net proceeds of the 2031 Notes. See Note 6 “Debt” for more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Certain Significant Risks and Uncertainties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current business activities consist of (i) generating sales from the deliveries and service of vehicles, (ii) research and development efforts to design, engineer and develop high-performance EVs and advanced EV powertrain components, including battery pack systems, (iii) construction of the CBU portion of AMP-2 in Saudi Arabia, (iv) further construction of AMP-1 in Casa Grande, Arizona, (v) expansion of its retail studios and service center capabilities throughout North America and across the globe, and (vi) building strategic partnerships in an effort to accelerate growth and expand into new markets such as robotaxis. The Company is subject to the risks associated with such activities, including the need to further develop its technology, its marketing, and distribution channels; the need to further develop its sourcing, logistics, supply chain and manufacturing; and the need to hire additional management and other employees. Successful completion of the Company’s development program and, ultimately, the attainment of profitable operations, are dependent upon future events, including our ability to access potential markets, and secure long-term financing on commercially reasonable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participates in dynamic high-technology industries. Changes in any of the following areas could have a material adverse impact on the Company’s future financial position, results of operations, or cash flows: changes in the overall demand for its products and services; advances and trends in new technologies; competitive pressures; acceptance of the Company’s products and services; litigation or claims against the Company based on intellectual property (including patents); supply chain and logistical challenges and uncertainties; uncertainties surrounding trade policies as well as domestic and foreign tariffs and export controls; political, regulatory, social, environmental and economic conditions or other factors; and the Company’s ability to attract and retain employees necessary to support its business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global economic recession, downturn or other adverse economic conditions, whether due to changes or uncertainties in trade policies, the imposition or proposed imposition of tariffs, export controls, threat of a trade war, persistent inflation, political instability, global or regional conflicts or other geopolitical events, public health crises, interest rate changes or other central bank policy actions, bank closures and liquidity concerns at financial institutions, or other factors, may have an adverse impact on the Company’s business, prospects, financial condition and results of operations. If any of the Company’s suppliers, sub-suppliers or partners experience financial distress, insolvency or disruptions in operations, they may be unable to fulfill their obligations or meet the Company’s production and quality requirements. Adverse economic conditions and uncertainty about the current and future domestic or global economic conditions may also cause the Company’s customers to defer purchases or cancel their orders in response to higher interest rates, limited consumer credit availability, lower cash reserves, fluctuations in foreign currency exchange rates, and weakened consumer confidence. A reduction in demand for the Company’s products may result in a decline in product sales, with a corresponding material adverse impact on the Company’s business, prospects, financial condition and results of operations. Given the Company’s premium brand positioning and pricing, an economic recession or downturn is likely to have a disproportionate adverse effect on the Company compared to its competitors in the EV and traditional automotive sectors, to the extent that consumer demand for luxury goods declines in favor of more cost-conscious alternatives. In addition, adverse economic conditions and uncertainties surrounding trade policies, tariffs and export controls have caused, and may continue to cause, supply chain and logistical challenges and operational risks. In particular, the U.S. federal government enacted the law commonly referred to as the OBBBA, which eliminates, limits or phases out certain tax credits that had previously provided significant benefits to lessees and purchasers of EVs and adds new eligibility requirements on manufacturers to continue claiming tax credits on EV components. It also eliminates certain penalties for noncompliance with certain fuel efficiency standards and introduces certain key tax law modifications.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Taken together, adverse economic conditions and uncertainties surrounding trade policies, tariffs and export controls, coupled with supply chain challenges and the potential difficulty of passing costs to customers or sharing the burden with suppliers, could reduce demand for the Company’s products and have a material adverse effect on the Company’s business, prospects, results of operations and financial condition. In addition, the deterioration of conditions in the financial markets may limit the Company’s ability to obtain external financing to fund its operations and capital expenditures for business growth on terms favorable to the Company, if at all. See “Risk Factors” in Item 1A of Part I of this Annual Report for more information regarding risks associated with a global economic recession, downturn or other adverse economic conditions.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current circumstances, any impact on the Company’s financial condition, results of operations or cash flows in the future continues to be difficult to estimate and predict, as it depends on future events that are highly uncertain and cannot be predicted with accuracy.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NOTE 2</w:t>
      </w:r>
      <w:r>
        <w:rPr>
          <w:color w:val="000000"/>
        </w:rPr>
        <w:t xml:space="preserve"> – </w:t>
      </w:r>
      <w:r>
        <w:rPr>
          <w:rFonts w:ascii="Times New Roman;serif" w:hAnsi="Times New Roman;serif"/>
          <w:b/>
          <w:color w:val="000000"/>
          <w:sz w:val="20"/>
        </w:rPr>
        <w:t>SUMMARY OF SIGNIFICANT ACCOUNTING POLICIES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Basis of Presentation and Principles of Consolidation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included herein have been prepared in accordance with U.S. GAAP. The consolidated financial statements include the accounts of the Company and its wholly owned subsidiaries. All significant intercompany balances and transactions have been eliminated in consolidation. Certain prior-period amounts have been reclassified in the accompanying consolidated financial statements and notes thereto in order to conform to the current period presentation.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29, 2025, the Company effected a reverse stock split of its common stock at a ratio of one-for-ten (1:10) (the “Reverse Stock Split”) and a corresponding reduction of the authorized shares of common stock, as approved by the Company’s Board of Directors and stockholders. The shares of the common stock began trading on a reverse split-adjusted basis at market open on September 2, 2025. Unless otherwise noted, the share, per share, and related information in this Annual Report on Form 10-K reflects the effect of the Reverse Stock Split. The share and per share information of the Redeemable Convertible Preferred Stock remains unchanged, except for the information relating to the common stock underlying the Redeemable Convertible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Segment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in one operating and one reportable segment, as the CODM reviews financial information presented on a consolidated basis for purposes of making operating decisions, allocating resources, and evaluating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amounts reported in the financial statements and accompanying notes. Significant estimates, assumptions and judgments made by management include, among others, inventory valuation, warranty reserve, useful lives of property, plant and equipment, fair value of common stock warrants, fair value of derivative liabilities associated with the Redeemable Convertible Preferred Stock, estimates of RVG liability, deferred revenue related to technology access fees and OTA software updates, sales return reserves, assumptions used to measure stock-based compensation expense, income taxes, and estimated incremental borrowing rates for assessing operating and finance leases.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Actual results may differ from these estimates under different assumptions or conditions due to the inherent uncertainty involved in making those estimates and any such differences may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Cash, Cash Equivalents and Restricted Cash</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considers all highly liquid investments with an original maturity at the date of purchase of three months or less to be cash equivalents.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Restricted cash is primarily related to cash reserved or letters of credit issued for certain lease arrangements.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to amounts shown in the statements of cash flows (in thousands):</w:t>
      </w:r>
    </w:p>
    <w:tbl>
      <w:tblPr>
        <w:tblW w:w="7194" w:type="dxa"/>
        <w:jc w:val="left"/>
        <w:tblInd w:w="0" w:type="dxa"/>
        <w:tblLayout w:type="fixed"/>
        <w:tblCellMar>
          <w:top w:w="28" w:type="dxa"/>
          <w:left w:w="28" w:type="dxa"/>
          <w:bottom w:w="28" w:type="dxa"/>
          <w:right w:w="28" w:type="dxa"/>
        </w:tblCellMar>
      </w:tblPr>
      <w:tblGrid>
        <w:gridCol w:w="1532"/>
        <w:gridCol w:w="1345"/>
        <w:gridCol w:w="1353"/>
        <w:gridCol w:w="211"/>
        <w:gridCol w:w="976"/>
        <w:gridCol w:w="109"/>
        <w:gridCol w:w="109"/>
        <w:gridCol w:w="109"/>
        <w:gridCol w:w="109"/>
        <w:gridCol w:w="211"/>
        <w:gridCol w:w="976"/>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1,606,865 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1,040,913 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1,607,052 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Investments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investments in marketable debt securities have been classified and accounted for as available-for-sale and they are stated at fair value. The Company classifies its investments as either short-term or long-term based on each instrument’s underlying contractual maturity date. Unrealized gains and losses on our investments of available-for-sale securities are recorded in accumulated other comprehensive income (loss) which is included within stockholders’ equity. Interest, as well as amortization and accretion of purchase premiums and discounts on its investments of available-for-sale securities are included in interest income. The cost of securities sold is determined using the specific identification method. Realized gains and losses on the sale of available-for-sale securities are recorded in other expense, net in the consolidated statements of operations and comprehensive loss. </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The Company regularly reviews its investment portfolio of </w:t>
      </w:r>
      <w:r>
        <w:rPr>
          <w:rFonts w:ascii="Times New Roman;serif" w:hAnsi="Times New Roman;serif"/>
          <w:b w:val="false"/>
          <w:color w:val="000000"/>
          <w:sz w:val="20"/>
        </w:rPr>
        <w:t>available-for-sale securities</w:t>
      </w:r>
      <w:r>
        <w:rPr>
          <w:color w:val="000000"/>
          <w:shd w:fill="FFFFFF" w:val="clear"/>
        </w:rPr>
        <w:t xml:space="preserve"> </w:t>
      </w:r>
      <w:r>
        <w:rPr>
          <w:rFonts w:ascii="Times New Roman;serif" w:hAnsi="Times New Roman;serif"/>
          <w:b w:val="false"/>
          <w:color w:val="000000"/>
          <w:sz w:val="20"/>
          <w:shd w:fill="FFFFFF" w:val="clear"/>
        </w:rPr>
        <w:t xml:space="preserve">for allowance for </w:t>
      </w:r>
      <w:r>
        <w:rPr>
          <w:rFonts w:ascii="Times New Roman;serif" w:hAnsi="Times New Roman;serif"/>
          <w:b w:val="false"/>
          <w:color w:val="000000"/>
          <w:sz w:val="20"/>
        </w:rPr>
        <w:t>credit lo</w:t>
      </w:r>
      <w:r>
        <w:rPr>
          <w:rFonts w:ascii="Times New Roman;serif" w:hAnsi="Times New Roman;serif"/>
          <w:b w:val="false"/>
          <w:color w:val="000000"/>
          <w:sz w:val="20"/>
          <w:shd w:fill="FFFFFF" w:val="clear"/>
        </w:rPr>
        <w:t xml:space="preserve">sses. Factors considered include severity of declines in fair values below amortized costs, adverse conditions related to securities, creditworthiness of the security issuers, and collectability of principal and interest payments.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Equity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equity securities with readily determinable fair value are measured and stated at fair value with unrealized gains and losses recorded in the consolidated statements of operations and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Accounts Receivable, Net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consists of receivables from our customers and from financial institutions offering financing products to our customers for the sale of vehicles, sales of powertrain kits, services, and regulatory credits. The Company provides an allowance against accounts receivable for any potential uncollectible amounts. The Company recorded immaterial allowance for uncollectible amounts as of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 of credit risk consist of cash, cash equivalents, investments, and accounts receivable. The Company places its cash primarily with domestic financial institutions that are federally insured within statutory limits; however, its deposits exceed federally insured limits. The Company invests in highly rated securities, primarily issued by the U.S. government or liquid money market funds. As of December 31, 2025 and 2024, accounts receivable from the EV Purchase Agreement, represented 68.0% and 51.7% of the total accounts receivable balance, respectively. See Note 16 “Related Party Transactions” for more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Concentration of Supply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dependent on its suppliers, the majority of which are single-source suppliers. The inability of these suppliers to deliver necessary components of its products according to the schedule and at prices, quality levels, and volumes acceptable to the Company, whether due to changes or uncertainties in trade policies, the imposition or proposed imposition of tariffs, threat of a trade war or otherwise, or its inability to efficiently manage these components, or the unavailability of stable domestic suppliers, could have a material adverse effect on the Company’s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Inventory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Inventories are stated at the lower of cost or net realizable value. Cost is computed using standard cost for vehicles, which approximates actual cost on a first-in, first-out basis. The Company records inventory write-downs for excess or obsolete inventories based upon assumptions about current and future demand forecasts. If inventory on-hand is in excess of future demand forecast and market conditions, the excess amounts are written-off.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Inventory is also reviewed to determine whether its carrying value exceeds the net amount realizable upon the ultimate sale of the inventory. This requires an assessment to determine the selling price of the vehicles less the estimated cost to convert the inventory on-hand into a finished product. Once inventory is written down, a new lower cost basis for that inventory is established and subsequent changes in facts and circumstances do not result in the restoration or increase in that newly established cost basis.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event there are changes in our estimates of future selling prices or production costs, the Company may be required to record additional and potentially material write-downs. A small change in the Company’s estimates may result in a material change in its reported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Property, plant, and equipment are stated at cost, less accumulated depreciation. Depreciation is recorded using the straight-line method over the estimated useful lives of the related assets. </w:t>
      </w:r>
      <w:r>
        <w:rPr>
          <w:rFonts w:ascii="Times New Roman;serif" w:hAnsi="Times New Roman;serif"/>
          <w:b w:val="false"/>
          <w:color w:val="000000"/>
          <w:sz w:val="20"/>
        </w:rPr>
        <w:t xml:space="preserve">Interest expense capitalized for significant capital asset construction in progress is included within property, plant and equipment, net and is amortized over the life of the related assets. The Company capitalizes qualified costs incurred during the application development stage of internal-use software. Costs incurred during the preliminary project stage and post-implementation stage are expensed.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classifies vehicles sold with repurchase obligations that are accounted for as operating leases within Property, plant and equipment, which are initially measured at cost and depreciated on a straight-line basis to the estimated residual value over the contractual period.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generally uses the following estimated useful lives for each asset category: </w:t>
      </w:r>
    </w:p>
    <w:tbl>
      <w:tblPr>
        <w:tblW w:w="9236" w:type="dxa"/>
        <w:jc w:val="left"/>
        <w:tblInd w:w="0" w:type="dxa"/>
        <w:tblLayout w:type="fixed"/>
        <w:tblCellMar>
          <w:top w:w="28" w:type="dxa"/>
          <w:left w:w="28" w:type="dxa"/>
          <w:bottom w:w="28" w:type="dxa"/>
          <w:right w:w="28" w:type="dxa"/>
        </w:tblCellMar>
      </w:tblPr>
      <w:tblGrid>
        <w:gridCol w:w="1054"/>
        <w:gridCol w:w="924"/>
        <w:gridCol w:w="931"/>
        <w:gridCol w:w="109"/>
        <w:gridCol w:w="109"/>
        <w:gridCol w:w="109"/>
        <w:gridCol w:w="1756"/>
        <w:gridCol w:w="1756"/>
        <w:gridCol w:w="2488"/>
      </w:tblGrid>
      <w:tr>
        <w:trPr/>
        <w:tc>
          <w:tcPr>
            <w:tcW w:w="105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Life (years)</w:t>
            </w:r>
          </w:p>
        </w:tc>
      </w:tr>
      <w:tr>
        <w:trPr/>
        <w:tc>
          <w:tcPr>
            <w:tcW w:w="2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Machinery, tooling and vehicles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3 - 15</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Shorter of the lease term or the estimated useful lives of the assets</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Building and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5 - 40</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Shorter of remaining lease term or the estimated useful lives of the assets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Management determines the useful lives of the Company’s property and equipment when those assets are initially recognized and routinely reviews the remaining estimated useful lives. Current estimate of useful lives represents the best estimate of the useful lives based on the Company’s current facts and circumstances, but may differ from the actual useful lives due to changes to its business operations, changes in the planned use of assets, and the technological advancements. When management changes the estimate useful life assumption for any asset, the remaining carrying amount of the asset is accounted for prospectively and depreciated over the revised estimated useful life.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Expenditures for repair and maintenance costs are expensed as incurred, and expenditures for major renewals and improvements that increase functionality of the asset are capitalized and depreciated ratably over the identified useful life. Upon disposition or retirement of property and equipment, the related cost and accumulated depreciation and amortization are removed, and any gain or loss is reflected in the consolidated statement of operations and comprehensive loss. The disposition gain or loss on fixed assets recorded for the years ended December 31, 2025, 2024, and 2023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Impairment of Long-Lived Assets</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Long-lived assets, including property, plant and equipment and </w:t>
      </w:r>
      <w:r>
        <w:rPr>
          <w:rFonts w:ascii="Times New Roman;serif" w:hAnsi="Times New Roman;serif"/>
          <w:b w:val="false"/>
          <w:color w:val="000000"/>
          <w:sz w:val="20"/>
        </w:rPr>
        <w:t xml:space="preserve">right-of-use (“ROU”) assets </w:t>
      </w:r>
      <w:r>
        <w:rPr>
          <w:rFonts w:ascii="Times New Roman;serif" w:hAnsi="Times New Roman;serif"/>
          <w:b w:val="false"/>
          <w:color w:val="000000"/>
          <w:sz w:val="20"/>
          <w:shd w:fill="FFFFFF" w:val="clear"/>
        </w:rPr>
        <w:t xml:space="preserve">are reviewed for impairment whenever events or changes in circumstances indicate that the carrying amount of an asset may not be recoverable. If circumstances require a long-lived asset or asset group be tested for potential impairment, the Company first compares undiscounted cash flows expected to be generated by that asset or asset </w:t>
      </w:r>
      <w:r>
        <w:rPr>
          <w:rFonts w:ascii="Times New Roman;serif" w:hAnsi="Times New Roman;serif"/>
          <w:b w:val="false"/>
          <w:color w:val="000000"/>
          <w:sz w:val="20"/>
        </w:rPr>
        <w:t>group to its carrying amount. If the carrying amount of the long-lived asset or asset group is not recoverable on an undiscounted cash flow basis, an impairment is recognized to the extent the carrying amount of the underlying asset exceeds its fair value. The Company recognized impairment loss of $15.3 million</w:t>
      </w:r>
      <w:r>
        <w:rPr>
          <w:color w:val="B6B6B6"/>
        </w:rPr>
        <w:t xml:space="preserve"> </w:t>
      </w:r>
      <w:r>
        <w:rPr>
          <w:rFonts w:ascii="Times New Roman;serif" w:hAnsi="Times New Roman;serif"/>
          <w:b w:val="false"/>
          <w:color w:val="000000"/>
          <w:sz w:val="20"/>
        </w:rPr>
        <w:t>for the year ended December 31, 2023. Impairment loss recognized for the years ended December 31, 2025 and 2024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lease agreements with lease and non-lease components and has elected not to account for lease and non-lease components together, rather the Company accounts for the lease and non-lease components separately in the consolidated financial statements. The Company has also elected not to record ROU assets and corresponding lease liabilities for short-term leases having initial terms of 12 months or less if the leases do not contain a purchase option or renewal term that the Company is reasonably certain to exercise. Instead, the Company recognizes lease payments on a straight-line basis over the lease term. </w:t>
      </w:r>
    </w:p>
    <w:p>
      <w:pPr>
        <w:pStyle w:val="TextBody"/>
        <w:bidi w:val="0"/>
        <w:spacing w:lineRule="auto" w:line="288" w:before="240" w:after="283"/>
        <w:jc w:val="left"/>
        <w:rPr/>
      </w:pPr>
      <w:r>
        <w:rPr>
          <w:rFonts w:ascii="Times New Roman;serif" w:hAnsi="Times New Roman;serif"/>
          <w:b w:val="false"/>
          <w:color w:val="000000"/>
          <w:sz w:val="20"/>
        </w:rPr>
        <w:t>Operating lease assets are included within operating lease ROU assets. Finance lease assets are included within property, plant and equipment, net. The corresponding operating lease liabilities are included within other current liabilities and other</w:t>
      </w:r>
      <w:r>
        <w:rPr>
          <w:color w:val="000000"/>
        </w:rPr>
        <w:t> </w:t>
      </w:r>
      <w:r>
        <w:rPr>
          <w:rFonts w:ascii="Times New Roman;serif" w:hAnsi="Times New Roman;serif"/>
          <w:b w:val="false"/>
          <w:color w:val="000000"/>
          <w:sz w:val="20"/>
        </w:rPr>
        <w:t>long-term liabilities; the finance lease liabilities are included within finance lease liabilities, current portion and finance lease liabilities, net of current portion on the Company’s consolidated balance sheets as of December 31, 2025 and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All lease assets and lease liabilities are recognized based on the present value of lease payments over the lease term. The Company estimates the Company’s incremental borrowing rate based on the information available at lease commencement date in determining the present value of lease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Foreign Currency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determines the functional currency of our foreign subsidiaries based on the primary currency in which they operate. The Company translates all assets and liabilities of foreign subsidiaries to U.S. dollars at the current exchange rate as of each balance sheet date. Revenue and expenses are translated at the average exchange rate prevailing during the period. Any resulting translation adjustments are included in accumulated other comprehensive income (loss). The assets and liabilities of foreign subsidiaries whose local currency is not their functional currency are remeasured from their local currency to their functional currency and then translated to U.S. Dollars.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Foreign currency transaction gains and losses are a result of the effect of exchange rate changes on transactions denominated in currencies other than the functional currency. Gains and losses arising from foreign currency transactions and the effects of remeasurements are recorded within other expense, net within the Company’s consolidated statements of operations and comprehensive loss. Foreign currency transaction gains and losses were not material for the years ended December 31, 2025, 2024, and 2023.</w:t>
      </w:r>
      <w:r>
        <w:rPr>
          <w:color w:val="EE2724"/>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Revenue from Contracts with Customers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follows a five-step process in which the Company identifies the contract, identifies the related performance obligations, determines the transaction price, allocates the transaction price to the identified performance obligations, and recognizes revenue when (or as) the performance obligations are satisfied.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Vehicle Sales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Vehicle sales revenue is generated from the sale of EVs to customers. The Company generated total vehicle sales revenue of $1,183.8 million, $752.8 million, and $581.4 million during the years ended December 31, 2025, 2024, and 2023, respectively. The performance obligations identified in vehicle sale arrangements include delivery of the vehicle equipped with an onboard ADAS, the provision of maintenance services, the remarketing activities, and the right to unspecified OTA software updates as they become available over the term of the basic vehicle warranty, which is generally four years. Shipping and handling provided by the Company is considered a fulfillment activity.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Payment is typically received at the time of delivery or shortly after delivery of the vehicle to the customer, except for vehicle sales under the EV Purchase Agreement. Generally, control transfers to the customer at the time of delivery when the customer takes physical possession of the vehicle, which may be at a Lucid studio or other destination chosen by the customer. The Company’s vehicle contracts do not contain a significant financing component. The Company has elected to exclude sales taxes from the measurement of the transaction price. The Company estimates the standalone selling price of all performance obligations by considering costs used to develop and deliver the good or service, third-party pricing of similar goods or services and other information that may be available. The transaction price is allocated among the performance obligations in proportion to the standalone selling price of the Company’s performance obligations.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 Payments received before the customer obtains control of the vehicle are recorded within other current liabilities in the consolidated balance sheets.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the time of revenue recognition, the Company reduces the transaction price and records a sales return reserve against revenue for estimated variable consideration related to future returns. Return rate estimates are based on historical experience and the sales return reserve balance was not material as of December 31, 2025 and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recorded $87.5 million and $53.3 million of total deferred revenue from all vehicle sales related to OTA, maintenance services, and remarketing activities for vehicle sales, respectively. The Company recorded $30.0 million and $18.5 million of the total deferred revenue within other current liabilities and the remaining $57.5 million and $34.8 million within other long-term liabilities in the consolidated balance sheets as of December 31, 2025 and 2024, respectively. Revenue recognized that was included in the deferred revenue at the beginning of the period was not material during the years ended December 31, 2025, 2024, and 2023.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provides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The estimated cost of the assurance-type warranty is accrued at the time of vehicle sale.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provides a residual value guarantee to its commercial banking partners in connection with their vehicle leasing programs. Vehicle sales with RVG represented approximately 51%, 55%, and 32% of total revenue during the years ended December 31, 2025, 2024, and 2023, respectively. Under the vehicle leasing program, the Company does not bear casualty and credit risks during the lease term, and is contractually obligated (or entitled) to share the entire or a portion of the shortfall (or excess) between the resale value realized by the commercial banking partners and a predetermined resale value. At the lease inception, the Company is required to deposit cash collateral equal to a contractual percentage of the residual value of the leased vehicles with the commercial banking partners. The cash collateral is primarily held in a restricted bank account owned by the commercial banking partner until it is used, as applicable, in settlement of the RVG at the end of the lease term. Cash collateral is recorded in other current assets and other noncurrent assets on consolidated balance sheets, subject to an asset impairment review at each reporting period.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Company accounts for the vehicle leasing program in accordance with ASC 842, </w:t>
      </w:r>
      <w:r>
        <w:rPr>
          <w:rFonts w:ascii="Times New Roman;serif" w:hAnsi="Times New Roman;serif"/>
          <w:b w:val="false"/>
          <w:i/>
          <w:color w:val="000000"/>
          <w:sz w:val="20"/>
        </w:rPr>
        <w:t xml:space="preserve">Leases, </w:t>
      </w:r>
      <w:r>
        <w:rPr>
          <w:rFonts w:ascii="Times New Roman;serif" w:hAnsi="Times New Roman;serif"/>
          <w:b w:val="false"/>
          <w:color w:val="000000"/>
          <w:sz w:val="20"/>
        </w:rPr>
        <w:t xml:space="preserve">ASC 460, </w:t>
      </w:r>
      <w:r>
        <w:rPr>
          <w:rFonts w:ascii="Times New Roman;serif" w:hAnsi="Times New Roman;serif"/>
          <w:b w:val="false"/>
          <w:i/>
          <w:color w:val="000000"/>
          <w:sz w:val="20"/>
        </w:rPr>
        <w:t>Guarantees</w:t>
      </w:r>
      <w:r>
        <w:rPr>
          <w:color w:val="000000"/>
        </w:rPr>
        <w:t xml:space="preserve"> </w:t>
      </w:r>
      <w:r>
        <w:rPr>
          <w:rFonts w:ascii="Times New Roman;serif" w:hAnsi="Times New Roman;serif"/>
          <w:b w:val="false"/>
          <w:color w:val="000000"/>
          <w:sz w:val="20"/>
        </w:rPr>
        <w:t xml:space="preserve">and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The Company is the lessor at inception of a lease and immediately transfers the lease as well as the underlying vehicle to its commercial banking partners, with the transaction being accounted for as a sale under ASC 606. The Company recognizes revenue when control transfers upon delivery when the consumer-lessee takes physical possession of the vehicle, and bifurcates the RVG at fair value and accounts for it as a reduction to revenue and a guarantee liability. The remaining amount of the transaction price is allocated among the performance obligations. Any fees or incentives that are paid or payable by the Company to commercial banking partners are recognized as a reduction to vehicle sales revenue.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guarantee liability represents the estimated amount the Company expects to pay at the end of the lease term. The Company is released from residual risk upon either expiration or settlement of the RVG. The Company evaluates variables such as third-party residual value publications, risk of future price deterioration due to changes in market conditions and reconditioning costs to determine the estimated RVG liability. RVG liability is assessed subsequently for any changes on a quarterly basis. The Company recorded $114.0 million and $58.0 million of RVG liabilities as of December 31, 2025 and 2024, respectively, in other current liabilities and other long-term liabilities in the consolidated balance sheets. As the Company accumulates more data related to the resale value of our vehicles or as market conditions change, there could be material changes to the estimated guarantee liabilities. The maximum potential amount of future payments (in excess of RVG liabilities recorded) that the Company could be required to make was $705.9 million and $401.1 million as of December 31, 2025 and 2024, respectively.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Vehicle Operating Lease Revenue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sales of vehicles with repurchase obligations as operating leases. The Company sells vehicles primarily to rental companies with an obligation to repurchase the vehicles at an agreed upon repurchase price. The Company records the difference between the proceeds received and the agreed upon repurchase price as vehicle leasing revenue on a straight-line basis over the term of the lease. Deferred leasing revenue and repurchase obligation were recorded in other current liabilities and other long-term liabilities in the consolidated balance sheets, and were not material as of December 31, 2025 and 2024. The operating lease revenue was not material for the years ended December 31, 2025, 2024, and 2023.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Sale and Leaseback Transactions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enters into sale and leaseback transactions in which the Company transfers control of vehicles to rental companies and simultaneously leases them back as operating leases. The Company recognizes revenue related to the vehicles under the arrangement when the rental companies obtain control of the vehicles and separately recognizes the leaseback obligations based on the present value of the future payments to the rental companies within other current liabilities and other long-term liabilities. The Company also records right-of-use assets which are amortized over the term of the leaseback. Operating lease expense is recognized on a straight-line basis over the term of the leaseback.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recorded revenue from sale and leaseback transactions of $70.9 million during the year ended December 31, 2025. The revenue from sale and leaseback transactions was not material during the years ended December 31, 2024 and 2023. Operating lease expenses were not material.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consists primarily of revenue from non-warranty after-sales vehicle services and parts, sales of battery pack systems, powertrain kits, retail merchandise, regulatory credits, and sales of non-Lucid vehicles acquired as part of the trade-in program. The Company generates regulatory credits revenue from the sale of tradable credits the Company earns under various regulations. This includes credits related to ZEVs and GHG, and CAFE credits. Regulatory credit revenue totaled $96.0 million and $30.4 million during the years ended December 31, 2025 and 2024, respectively. Regulatory credit revenue for the year ended December 31, 2023 was not material. The revenue from sales of non-Lucid vehicles was not material for the years ended December 31, 2025 and 2024. There was no revenue from the sales of non-Lucid vehicles for the year ended December 31, 2023.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sale of battery pack systems, powertrain kits along with related supplies, and regulatory credits is a single performance obligation recognized at the point in time when control is transferred to the customer. Shipping and handling provided by the Company is considered a fulfillment activity. While customers generally have the right to return defective or non-conforming products, past experience has demonstrated that product returns have been immaterial. Customer remedies may include either a cash refund or an exchange of the returned product. Payment for the products sold are received upon invoice or in accordance with payment terms customary to the business. The Company’s regulatory credit sales, battery pack system or powertrain kits contracts do not contain a significant financing component. The Company has elected to exclude sales taxes from the measurement of the transaction price.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Control transfers to the customer when the product or regulatory credit is delivered or transferred to the customer as the customer can then direct the use of the product or regulatory credit and obtain substantially all of the remaining benefits from the asset at that point in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Cost of Revenue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Vehicle Sales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Cost of vehicle sales includes direct parts, materials, shipping and handling costs, allocable overhead costs such as depreciation of manufacturing related equipment and facilities, information technology costs, personnel costs, including wages and stock-based compensation, estimated warranty costs, charges to reduce inventories to their net realizable value, charges for any excess or obsolete inventories, and losses from firm purchase commitments. Manufacturing credits earned are recorded as a reduction to cost of vehicle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Vehicle Operating Lease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Depreciation of operating lease vehicles is classified as cost of vehicle operating lease revenue.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other revenue includes direct parts, material and labor costs, depreciation of tooling costs, shipping and logistic costs. Cost of other revenue also includes costs associated with providing non-warranty after-sales services, and costs for retail merchandise.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Warranties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provides a manufacturer’s warranty on all vehicles it sells and accrues a warranty reserve for warranty coverage, as applicable. These estimates are based on actual claims incurred to date and an estimate of the nature, frequency, and costs of future claims. The Company accrues a warranty reserve for all products sold which includes the Company’s best estimates of the projected costs related to recalls identified and special campaigns to repair or replace items under warranties. The Company reviews the adequacy of warranty reserve on a regular basis. Changes to the Company’s historical or projected warranty experience may cause material changes to the warranty reserve in the future. The portion of the warranty reserve for costs expected to be incurred within the next 12 months is included within other current liabilities, while the remaining balance is included within other long-term liabilities in the consolidated balance sheets. The warranty expense is recorded as a component of cost of revenue in the consolidated statements of operations and comprehensive loss.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recognizes recovery from suppliers as an offset to the warranty expenses in the consolidated statements of operations and comprehensive loss and in other current assets in the consolidated balance sheet when the recovery amounts are contractually agreed with the suppliers. During the year ended December 31, 2024, the Company recorded supplier recovery of $50 million. No supplier recovery was recorded during the years ended December 31, 2025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utilizes the liability method to account for income taxes, under which deferred tax assets and liabilities arise from the temporary differences between the tax basis of an asset or liability and its reported amount in the consolidated financial statements, as well as from net operating loss and tax credit carryforwards. Deferred tax amounts are determined by using the tax rates expected to be in effect when the taxes will actually be paid, or refunds received, as provided for under currently enacted tax law. </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The Company recognizes deferred tax assets to the extent that these assets are more likely than not to be realized. In making such a determination, all available positive and negative evidence are considered, including future reversals of existing taxable temporary differences, projected future taxable income, </w:t>
      </w:r>
      <w:r>
        <w:rPr>
          <w:rFonts w:ascii="Times New Roman;serif" w:hAnsi="Times New Roman;serif"/>
          <w:b w:val="false"/>
          <w:color w:val="000000"/>
          <w:sz w:val="20"/>
        </w:rPr>
        <w:t>tax-planning</w:t>
      </w:r>
      <w:r>
        <w:rPr>
          <w:color w:val="000000"/>
          <w:shd w:fill="FFFFFF" w:val="clear"/>
        </w:rPr>
        <w:t xml:space="preserve"> </w:t>
      </w:r>
      <w:r>
        <w:rPr>
          <w:rFonts w:ascii="Times New Roman;serif" w:hAnsi="Times New Roman;serif"/>
          <w:b w:val="false"/>
          <w:color w:val="000000"/>
          <w:sz w:val="20"/>
          <w:shd w:fill="FFFFFF" w:val="clear"/>
        </w:rPr>
        <w:t>strategies, and results of recent operations. If it is determined that deferred tax assets would be realized in the future in excess of their net recorded amount, an adjustment would be made to the deferred tax asset valuation allowance, which would reduce the provision for (benefit from) income taxes.</w:t>
      </w:r>
    </w:p>
    <w:p>
      <w:pPr>
        <w:pStyle w:val="TextBody"/>
        <w:bidi w:val="0"/>
        <w:spacing w:lineRule="auto" w:line="288" w:before="240" w:after="283"/>
        <w:jc w:val="left"/>
        <w:rPr/>
      </w:pPr>
      <w:r>
        <w:rPr>
          <w:rFonts w:ascii="Times New Roman;serif" w:hAnsi="Times New Roman;serif"/>
          <w:b w:val="false"/>
          <w:color w:val="000000"/>
          <w:sz w:val="20"/>
        </w:rPr>
        <w:t xml:space="preserve">The Company records uncertain tax positions on the basis of a two-step process which includes (1) determining whether it is more likely than not that the tax positions will be sustained on the basis of the </w:t>
      </w:r>
      <w:r>
        <w:rPr>
          <w:rFonts w:ascii="Times New Roman;serif" w:hAnsi="Times New Roman;serif"/>
          <w:b w:val="false"/>
          <w:color w:val="000000"/>
          <w:sz w:val="20"/>
          <w:shd w:fill="FFFFFF" w:val="clear"/>
        </w:rPr>
        <w:t>technical merits of the position</w:t>
      </w:r>
      <w:r>
        <w:rPr>
          <w:rFonts w:ascii="Times New Roman;serif" w:hAnsi="Times New Roman;serif"/>
          <w:b w:val="false"/>
          <w:color w:val="000000"/>
          <w:sz w:val="20"/>
        </w:rPr>
        <w:t>, and (2) for those tax positions that meet the more-likely-than-not recognition threshold, the Company recognizes the amount of tax benefit that is more than 50 percent likely to be realized upon ultimate settlement with the related tax authority.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policy is to recognize interest and penalties related to unrecognized tax benefits in provision for (benefit from) income taxes in the consolidated statements of operations and comprehensive loss. Accrued interest and penalties are included within other long-term liabilities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240" w:after="283"/>
        <w:jc w:val="left"/>
        <w:rPr/>
      </w:pPr>
      <w:r>
        <w:rPr>
          <w:rFonts w:ascii="Times New Roman;serif" w:hAnsi="Times New Roman;serif"/>
          <w:b w:val="false"/>
          <w:color w:val="000000"/>
          <w:sz w:val="20"/>
        </w:rPr>
        <w:t xml:space="preserve">The Company issues stock-based compensation awards to employees, officers, directors, and non-employees in the form of stock options, restricted stock units (“RSUs”) and employee stock purchase plan (the “ESPP”). The Company measures and recognizes compensation expense for stock-based awards based on the awards’ fair value on the date of grant. The Company accounts for forfeitures of stock-based awards when they occur. The fair value of RSUs that generally vest based on service and/or performance conditions is measured using the fair value of the Company’s common stock on the date of the grant. The fair value of RSUs that vest based on service and market conditions is measured using a Monte Carlo simulation model on the date of grant. The fair value of stock options that vest based on service condition is measured using the Black-Scholes option pricing model on the date of grant. The Monte Carlo simulation model and the Black-Scholes option pricing model require the input of assumptions, including the fair value of the Company’s common stock, the expected term of the award, the expected volatility of the Company’s common stock, risk-free interest rates, and the expected dividend yield of the Company’s common stock. </w:t>
      </w:r>
      <w:r>
        <w:rPr>
          <w:rFonts w:ascii="Times New Roman;serif" w:hAnsi="Times New Roman;serif"/>
          <w:b w:val="false"/>
          <w:color w:val="000000"/>
          <w:sz w:val="20"/>
          <w:shd w:fill="FFFFFF" w:val="clear"/>
        </w:rPr>
        <w:t>The assumptions used to determine the fair value of the awards represent management’s best estimates.</w:t>
      </w:r>
      <w:r>
        <w:rPr>
          <w:color w:val="000000"/>
        </w:rPr>
        <w:t xml:space="preserve"> </w:t>
      </w:r>
      <w:r>
        <w:rPr>
          <w:rFonts w:ascii="Times New Roman;serif" w:hAnsi="Times New Roman;serif"/>
          <w:b w:val="false"/>
          <w:color w:val="000000"/>
          <w:sz w:val="20"/>
        </w:rPr>
        <w:t>These estimates involve inherent uncertainties and the application of management’s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000000"/>
          <w:sz w:val="20"/>
        </w:rPr>
        <w:t>The fair value of awards that vest</w:t>
      </w:r>
      <w:r>
        <w:rPr>
          <w:color w:val="231F20"/>
        </w:rPr>
        <w:t xml:space="preserve"> </w:t>
      </w:r>
      <w:r>
        <w:rPr>
          <w:rFonts w:ascii="Times New Roman;serif" w:hAnsi="Times New Roman;serif"/>
          <w:b w:val="false"/>
          <w:color w:val="231F20"/>
          <w:sz w:val="20"/>
        </w:rPr>
        <w:t xml:space="preserve">based on only continuous service is recognized on a straight-line basis over the requisite service period. </w:t>
      </w:r>
      <w:r>
        <w:rPr>
          <w:rFonts w:ascii="Times New Roman;serif" w:hAnsi="Times New Roman;serif"/>
          <w:b w:val="false"/>
          <w:color w:val="000000"/>
          <w:sz w:val="20"/>
        </w:rPr>
        <w:t xml:space="preserve">The fair value of awards that vest based on performance or market conditions is recognized over the requisite service period using the graded vesting attribution method. Stock-based compensation expense is only recognized for awards with performance conditions once the performance condition becomes probable of being achieved. </w:t>
      </w:r>
      <w:r>
        <w:rPr>
          <w:rFonts w:ascii="Times New Roman;serif" w:hAnsi="Times New Roman;serif"/>
          <w:b w:val="false"/>
          <w:color w:val="231F20"/>
          <w:sz w:val="20"/>
        </w:rPr>
        <w:t>The performance-based RSUs vest</w:t>
      </w:r>
      <w:r>
        <w:rPr>
          <w:color w:val="000000"/>
        </w:rPr>
        <w:t xml:space="preserve"> </w:t>
      </w:r>
      <w:r>
        <w:rPr>
          <w:rFonts w:ascii="Times New Roman;serif" w:hAnsi="Times New Roman;serif"/>
          <w:b w:val="false"/>
          <w:color w:val="000000"/>
          <w:sz w:val="20"/>
        </w:rPr>
        <w:t xml:space="preserve">based on the actual achievement of corporate performance goals and/or individual performance. </w:t>
      </w:r>
      <w:r>
        <w:rPr>
          <w:rFonts w:ascii="Times New Roman;serif" w:hAnsi="Times New Roman;serif"/>
          <w:b w:val="false"/>
          <w:color w:val="231F20"/>
          <w:sz w:val="20"/>
        </w:rPr>
        <w:t xml:space="preserve">The </w:t>
      </w:r>
      <w:r>
        <w:rPr>
          <w:rFonts w:ascii="Times New Roman;serif" w:hAnsi="Times New Roman;serif"/>
          <w:b w:val="false"/>
          <w:color w:val="000000"/>
          <w:sz w:val="20"/>
        </w:rPr>
        <w:t>RSUs with market conditions vest only if the Company achieves certain market capitalization targets.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Comprehensive Loss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is composed of two components: net loss and other comprehensive income (loss). Other comprehensive income (loss) refers to net unrealized gains or losses on investments in available-for sale securities and foreign currency translation adjustments that are recorded as an element of stockholders’ equity and are excluded from the determination of net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primarily consist of materials, supplies, personnel-related expenses, contractor fees, prototype material, engineering design and testing expenses, and allocated facilities cost. Substantially all of the Company’s research and development expenses are related to developing new products, related technologies, services and improving existing products and services. Research and development expenses have been expensed as incurred and included in the consolidated statements of operations and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Selling, General, and Administrative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primarily consist of personnel-related expenses for employees involved in general corporate, selling and marketing functions, including executive management and administration, legal, human resources, allocated facilities and real estate, accounting, finance, tax, and information technology.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Advertising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Advertising costs are expensed as incurred and are included in selling, general, and administrative expenses in the consolidated statements of operations and comprehensive loss. Advertising costs were $112.2 million, $49.8 million, and $35.3 million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Restructuring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restructuring charges primarily consist of severance payments, employee benefits, employee transition and stock-based compensation expenses associated with the management-approved restructuring plan. One-time employee termination benefits are recognized at the time of communication to employees, unless future service is required, in which case the costs are recognized over the future service period. Ongoing employee termination benefits are recognized when payments are probable and amounts are reasonably estimable. Other costs are recognized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Commitments and Contingencies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Liabilities for loss contingencies arising from claims, assessments, litigation, fines, and penalties and other sources are recorded when it is probable that a liability has been incurred and the amount within a range of loss can be reasonably estimated. When no amount within the range is a better estimate than any other amount, the Company accrues for the minimum amount within the range. Legal costs incurred in connection with loss contingencies are expensed as incurred.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Redeemable Convertible Preferred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Accounting for the redeemable convertible preferred stock requires an evaluation to determine if liability classification is required under ASC 480-10. Liability classification is required for freestanding financial instruments that are (1) subject to an unconditional obligation requiring the issuer to redeem the instrument by transferring assets, such as those that are mandatorily redeemable, (2) instruments other than equity shares that embody an obligation of the issuer to repurchase its equity shares, or (3) certain types of instruments that obligate the issuer to issue a variable number of equity shares.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that do not meet the scoping criteria to be classified as a liability under ASC 480 are subject to redeemable equity guidance, which prescribes securities that may be subject to redemption upon an event not solely within the Company’s control to be classified as temporary equity. Securities classified in temporary equity are initially measured at the proceeds received, net of issuance costs and excluding the fair value of bifurcated embedded derivatives, if any. Subsequent measurement of the carrying value of the redeemable convertible preferred stock is required as the instrument is probable of becoming redeemable. The Company accretes the redeemable convertible preferred stock to its redemption value. In certain circumstances, the redemption price may vary based on changes in stock price, in which case the Company recognizes changes in the redemption value immediately as they occur and adjust the carrying value of the security to equal the then current maximum redemption value at the end of each reporting period.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Derivative Liabilities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evaluates all of its financial instruments, including convertible notes and redeemable convertible preferred stock, to determine if such instruments are derivatives or contain features that qualify as embedded derivatives. The Company applies significant judgment to identify and evaluate complex terms and conditions in these contracts and agreements to determine whether embedded derivatives exist. Embedded derivatives must be separately measured from the host contracts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consolidated statements of operations and comprehensive loss at each reporting period end. Bifurcated embedded derivatives are classified as a separate liability in the consolidated balance sheet.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derivative liabilities are related to the conversion features embedded in the Redeemable Convertible Preferred Stock. See Note 8 “Redeemable Convertible Preferred Stock” for more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Net Loss Per Share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and diluted net loss per share attributable to common stockholders is computed in conformity with the two-class method required for participating securities. The Company considers all series of its redeemable convertible preferred stock to be participating securities as they are cumulative and participate in common stock dividends on an as-converted basis. The net loss attributable to common stockholders reflects the remeasurements of the host contracts for the cumulative dividend and mezzanine equity accretions. Under the two-class method, the net loss attributable to common stockholders is not allocated to the redeemable convertible preferred stock as the preferred stockholders do not have a contractual obligation to share in the Company’s losses. The diluted net loss attributable to common stockholders reflects the elimination of interest expense and gain on extinguishment of debt for convertible notes, if the impact is dilutive.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Basic net loss per share is computed by dividing net loss attributable to common stockholders by the weighted-average number of shares of common stock outstanding during the period. Diluted net loss per share is computed by giving effect to all potentially dilutive common share equivalents to the extent they are dilutive. Potentially dilutive shares of the 2026 Notes under if-converted method are included in the computation of diluted net loss per share. For purposes of this calculation, Private Placement Warrants, stock options outstanding, RSUs outstanding, potential shares issued under ESPP, if-converted common shares from convertible notes, if-converted common shares from Series A redeemable convertible preferred stock and if-converted common shares from Series B redeemable convertible preferred stock are considered to be common stock equivalents.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Common Stock Warrants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accounts for warrants for shares of the Company’s common stock that are not indexed to its own stock as liabilities at fair value on the balance sheet. Liability-classified common stock warrants are subject to remeasurement to fair value as of any respective exercise date and as of each subsequent balance sheet date with changes in fair value recorded in the Company’s statement of operations and comprehensive loss. The Company’s Private Placement Warrants are liability-classified instruments because they are not deemed indexed to the Company’s own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Government Grants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recognizes government grants once there is reasonable assurance to receive the grants and meet all the conditions specified in the grants. Grants related to income are recorded as deductions to the related expenses for which the grants are intended to compensate. Grants related to fixed assets are recorded as a deduction in calculating the carrying amount of the related assets and are recognized in profit or loss over the life of a depreciable asset through reduced depreciation expense. Grants received in advance of the acquisition or construction of assets are recorded initially in deferred liability and then as a deduction in calculating the carrying amount of the related fixed assets upon acquisition or construction of the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FASB issued ASU 2023-09, Income Taxes (Topic 740): Improvements to Income Tax Disclosures, which requires incremental annual income tax disclosures. This amendment includes disclosures of specific categories in the rate reconciliation, income taxes paid (net of refunds received) disaggregated by federal, state, and foreign taxes, and details about federal, state, and foreign tax expense. The guidance is effective for annual periods beginning after December 15, 2024. The Company adopted ASU 2023-09 prospectively for the fiscal year ended December 31, 2025. See Note 13 “Income Taxes” for the required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3 - RESTRUCTURING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May 24, 2024, the Company announced the 2024 Restructuring Plan intended to optimize operating expenses in response to evolving business needs and productivity improvement through a reduction in workforce. The Company completed the 2024 Restructuring Plan during the first quarter of 2025. During the year ended December 31, 2024, the Company recorded restructuring charges of $20.3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March 28, 2023, the Company announced a restructuring plan (the “2023 Restructuring Plan”) intended to reduce operating expenses in response to evolving business needs and productivity improvement through a reduction in workforce. The Company completed the 2023 Restructuring Plan during the first quarter of 2024. During the year ended December 31, 2023, the Company recorded restructuring charges of $24.5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restructuring liabilities associated with the restructuring plans was as follows (in thousands):</w:t>
      </w:r>
    </w:p>
    <w:tbl>
      <w:tblPr>
        <w:tblW w:w="6306" w:type="dxa"/>
        <w:jc w:val="left"/>
        <w:tblInd w:w="0" w:type="dxa"/>
        <w:tblLayout w:type="fixed"/>
        <w:tblCellMar>
          <w:top w:w="28" w:type="dxa"/>
          <w:left w:w="28" w:type="dxa"/>
          <w:bottom w:w="28" w:type="dxa"/>
          <w:right w:w="28" w:type="dxa"/>
        </w:tblCellMar>
      </w:tblPr>
      <w:tblGrid>
        <w:gridCol w:w="1516"/>
        <w:gridCol w:w="1332"/>
        <w:gridCol w:w="1336"/>
        <w:gridCol w:w="221"/>
        <w:gridCol w:w="489"/>
        <w:gridCol w:w="114"/>
        <w:gridCol w:w="114"/>
        <w:gridCol w:w="114"/>
        <w:gridCol w:w="114"/>
        <w:gridCol w:w="246"/>
        <w:gridCol w:w="549"/>
        <w:gridCol w:w="161"/>
      </w:tblGrid>
      <w:tr>
        <w:trPr/>
        <w:tc>
          <w:tcPr>
            <w:tcW w:w="151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liabilities - beginning of period</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charges excluding non-cash items</w:t>
            </w:r>
            <w:r>
              <w:rPr>
                <w:rFonts w:ascii="Times New Roman;serif" w:hAnsi="Times New Roman;serif"/>
                <w:b w:val="false"/>
                <w:color w:val="000000"/>
                <w:sz w:val="13"/>
              </w:rPr>
              <w:t>(1)</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liabilities - end of period</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Excluded non-cash items of $1.5 million for the year ended December 31, 2024 related to the 2024 Restructuring Plan, which was net of accelerated stock-based compensation expense of $3.2 million and a reversal of $4.7 million related to previously recognized stock-based compensation expenses for unvested restricted stock awards.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restructuring liabilities associated with the restructuring plans included within other current liabilities in the consolidated balance sheet were nil and immaterial, respectively.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20, 2026, the Company announced a reduction of its current U.S. workforce. See Note 18 “Subsequent Event”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4 – BALANCE SHEETS COMPONENTS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as of December 31, 2025 and 2024 was as follows (in thousands): </w:t>
      </w:r>
    </w:p>
    <w:tbl>
      <w:tblPr>
        <w:tblW w:w="4313" w:type="dxa"/>
        <w:jc w:val="left"/>
        <w:tblInd w:w="0" w:type="dxa"/>
        <w:tblLayout w:type="fixed"/>
        <w:tblCellMar>
          <w:top w:w="28" w:type="dxa"/>
          <w:left w:w="28" w:type="dxa"/>
          <w:bottom w:w="28" w:type="dxa"/>
          <w:right w:w="28" w:type="dxa"/>
        </w:tblCellMar>
      </w:tblPr>
      <w:tblGrid>
        <w:gridCol w:w="543"/>
        <w:gridCol w:w="476"/>
        <w:gridCol w:w="480"/>
        <w:gridCol w:w="211"/>
        <w:gridCol w:w="976"/>
        <w:gridCol w:w="109"/>
        <w:gridCol w:w="109"/>
        <w:gridCol w:w="109"/>
        <w:gridCol w:w="109"/>
        <w:gridCol w:w="211"/>
        <w:gridCol w:w="82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Finished goods</w:t>
            </w:r>
            <w:r>
              <w:rPr>
                <w:color w:val="000000"/>
              </w:rPr>
              <w:t xml:space="preserv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1,109,529 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Inventory as of December 31, 2025 and 2024 was comprised of raw materials, work in progress related to the production of vehicles for sale and SKD units for final assembly in Saudi Arabia, and finished goods inventory including new vehicles available for sale, vehicles in transit to fulfill customer orders, used vehicles which the Company intends to sell, and service parts. During the years ended December 31, 2025, 2024, and 2023, the Company recorded write-downs of $815.7 million, $617.4 million, and $926.9 million, respectively, to reduce its inventories to its net realizable values and for any excess or obsolete inventories, as well as losses from firm purchase commitments (“LCNRV”). While the final scope and application of recently announced changes in trade policy remain uncertain at this time, higher tariffs on imports and subsequent retaliatory tariffs could adversely impact the Company’s financial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Property, plant and equipment,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net as of December 31, 2025 and 2024 was as follows (in thousands):</w:t>
      </w:r>
    </w:p>
    <w:tbl>
      <w:tblPr>
        <w:tblW w:w="7014" w:type="dxa"/>
        <w:jc w:val="left"/>
        <w:tblInd w:w="0" w:type="dxa"/>
        <w:tblLayout w:type="fixed"/>
        <w:tblCellMar>
          <w:top w:w="28" w:type="dxa"/>
          <w:left w:w="28" w:type="dxa"/>
          <w:bottom w:w="28" w:type="dxa"/>
          <w:right w:w="28" w:type="dxa"/>
        </w:tblCellMar>
      </w:tblPr>
      <w:tblGrid>
        <w:gridCol w:w="1466"/>
        <w:gridCol w:w="1289"/>
        <w:gridCol w:w="1295"/>
        <w:gridCol w:w="211"/>
        <w:gridCol w:w="976"/>
        <w:gridCol w:w="109"/>
        <w:gridCol w:w="109"/>
        <w:gridCol w:w="109"/>
        <w:gridCol w:w="109"/>
        <w:gridCol w:w="211"/>
        <w:gridCol w:w="976"/>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Building and improvements</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Machinery, tooling and vehicles</w:t>
            </w:r>
            <w:r>
              <w:rPr>
                <w:rFonts w:ascii="Times New Roman;serif" w:hAnsi="Times New Roman;serif"/>
                <w:b w:val="false"/>
                <w:color w:val="000000"/>
                <w:sz w:val="13"/>
              </w:rPr>
              <w:t>(2)(3)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4,050,560 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(787,948)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3,262,612 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As of December 31, 2025 and 2024</w:t>
      </w:r>
      <w:r>
        <w:rPr>
          <w:rFonts w:ascii="Times New Roman;serif" w:hAnsi="Times New Roman;serif"/>
          <w:b w:val="false"/>
          <w:color w:val="000000"/>
          <w:sz w:val="20"/>
        </w:rPr>
        <w:t xml:space="preserve">, </w:t>
      </w:r>
      <w:r>
        <w:rPr>
          <w:rFonts w:ascii="Times New Roman;serif" w:hAnsi="Times New Roman;serif"/>
          <w:b w:val="false"/>
          <w:color w:val="000000"/>
          <w:sz w:val="16"/>
        </w:rPr>
        <w:t>$127.5 million of capital expenditure support received from MISA was primarily recorded as a deduction to the AMP-2 building balance. See Note 2 “Summary of Significant Accounting Policies” and Note 16 “Related Party Transactions” for more information.</w:t>
      </w:r>
    </w:p>
    <w:p>
      <w:pPr>
        <w:pStyle w:val="TextBody"/>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Included $47.2 million and $39.5 million</w:t>
      </w:r>
      <w:r>
        <w:rPr>
          <w:color w:val="000000"/>
        </w:rPr>
        <w:t xml:space="preserve"> </w:t>
      </w:r>
      <w:r>
        <w:rPr>
          <w:rFonts w:ascii="Times New Roman;serif" w:hAnsi="Times New Roman;serif"/>
          <w:b w:val="false"/>
          <w:color w:val="000000"/>
          <w:sz w:val="16"/>
        </w:rPr>
        <w:t>of service loaner vehicles as of December 31, 2025 and 2024, respectively.</w:t>
      </w:r>
    </w:p>
    <w:p>
      <w:pPr>
        <w:pStyle w:val="TextBody"/>
        <w:bidi w:val="0"/>
        <w:spacing w:lineRule="auto" w:line="288" w:before="0" w:after="0"/>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Included $33.7 million and $34.7 million</w:t>
      </w:r>
      <w:r>
        <w:rPr>
          <w:color w:val="000000"/>
        </w:rPr>
        <w:t xml:space="preserve"> </w:t>
      </w:r>
      <w:r>
        <w:rPr>
          <w:rFonts w:ascii="Times New Roman;serif" w:hAnsi="Times New Roman;serif"/>
          <w:b w:val="false"/>
          <w:color w:val="000000"/>
          <w:sz w:val="16"/>
        </w:rPr>
        <w:t>of operating lease vehicles sold to rental companies as of December 31,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 represents the costs incurred in connection with the construction of buildings or new additions to the Company’s plant facilities, including tooling with outside vendors. Costs classified as construction in progress include all costs of obtaining the asset, installation of the asset, and bringing it to the location and the condition necessary for its intended use. No depreciation is provided for construction in progress until such time as the asset is completed and is ready for its intended use. Construction in progress consisted of the following (in thousands):</w:t>
      </w:r>
    </w:p>
    <w:tbl>
      <w:tblPr>
        <w:tblW w:w="5828" w:type="dxa"/>
        <w:jc w:val="left"/>
        <w:tblInd w:w="0" w:type="dxa"/>
        <w:tblLayout w:type="fixed"/>
        <w:tblCellMar>
          <w:top w:w="28" w:type="dxa"/>
          <w:left w:w="28" w:type="dxa"/>
          <w:bottom w:w="28" w:type="dxa"/>
          <w:right w:w="28" w:type="dxa"/>
        </w:tblCellMar>
      </w:tblPr>
      <w:tblGrid>
        <w:gridCol w:w="1146"/>
        <w:gridCol w:w="1006"/>
        <w:gridCol w:w="1012"/>
        <w:gridCol w:w="211"/>
        <w:gridCol w:w="826"/>
        <w:gridCol w:w="109"/>
        <w:gridCol w:w="109"/>
        <w:gridCol w:w="109"/>
        <w:gridCol w:w="109"/>
        <w:gridCol w:w="211"/>
        <w:gridCol w:w="82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tooling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Construction of AMP-1 and AMP-2</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Leasehold improvements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construction in progress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As of December 31, 2025 and 2024, $67.3 million of capital expenditure support received from MISA was recorded primarily as a deduction to the AMP-2 facility construction in progress balance. See Note 2 “Summary of Significant Accounting Policies” and Note 16 “Related Party Transactions”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was $451.2 million, $295.3 million, and $233.5 million for the years ended December 31, 2025, 2024, and 2023, respectively. The amount of interest capitalized on construction in progress related to significant capital asset constructions was not material for the years ended December 31, 2025, 2024, and 2023, respectively.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current liabilities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as of December 31, 2025 and 2024 were as follows (in thousands):</w:t>
      </w:r>
    </w:p>
    <w:tbl>
      <w:tblPr>
        <w:tblW w:w="7583" w:type="dxa"/>
        <w:jc w:val="left"/>
        <w:tblInd w:w="0" w:type="dxa"/>
        <w:tblLayout w:type="fixed"/>
        <w:tblCellMar>
          <w:top w:w="28" w:type="dxa"/>
          <w:left w:w="28" w:type="dxa"/>
          <w:bottom w:w="28" w:type="dxa"/>
          <w:right w:w="28" w:type="dxa"/>
        </w:tblCellMar>
      </w:tblPr>
      <w:tblGrid>
        <w:gridCol w:w="1727"/>
        <w:gridCol w:w="1519"/>
        <w:gridCol w:w="1523"/>
        <w:gridCol w:w="211"/>
        <w:gridCol w:w="976"/>
        <w:gridCol w:w="109"/>
        <w:gridCol w:w="109"/>
        <w:gridCol w:w="109"/>
        <w:gridCol w:w="109"/>
        <w:gridCol w:w="211"/>
        <w:gridCol w:w="826"/>
        <w:gridCol w:w="154"/>
      </w:tblGrid>
      <w:tr>
        <w:trPr/>
        <w:tc>
          <w:tcPr>
            <w:tcW w:w="1727"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design, and testing accrual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 accrual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purchases</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leasehold improvements accrual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services accrual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Tooling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 on firm inventory purchase commitments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warranty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revenue</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incentive accrual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RVG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1,392,641 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898,254 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Primarily represent accruals for inventory related purchases and transportation charges that had not been invoiced.</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Represent deferred revenue from vehicle sales primarily related to OTA and remarketing activities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long-term liabilities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 as of December 31, 2025 and 2024 were as follows (in thousands):</w:t>
      </w:r>
    </w:p>
    <w:tbl>
      <w:tblPr>
        <w:tblW w:w="6683" w:type="dxa"/>
        <w:jc w:val="left"/>
        <w:tblInd w:w="0" w:type="dxa"/>
        <w:tblLayout w:type="fixed"/>
        <w:tblCellMar>
          <w:top w:w="28" w:type="dxa"/>
          <w:left w:w="28" w:type="dxa"/>
          <w:bottom w:w="28" w:type="dxa"/>
          <w:right w:w="28" w:type="dxa"/>
        </w:tblCellMar>
      </w:tblPr>
      <w:tblGrid>
        <w:gridCol w:w="1453"/>
        <w:gridCol w:w="1279"/>
        <w:gridCol w:w="1287"/>
        <w:gridCol w:w="211"/>
        <w:gridCol w:w="826"/>
        <w:gridCol w:w="109"/>
        <w:gridCol w:w="109"/>
        <w:gridCol w:w="109"/>
        <w:gridCol w:w="109"/>
        <w:gridCol w:w="211"/>
        <w:gridCol w:w="826"/>
        <w:gridCol w:w="154"/>
      </w:tblGrid>
      <w:tr>
        <w:trPr/>
        <w:tc>
          <w:tcPr>
            <w:tcW w:w="145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long-term liabilities</w:t>
            </w:r>
            <w:r>
              <w:rPr>
                <w:rFonts w:ascii="Times New Roman;serif" w:hAnsi="Times New Roman;serif"/>
                <w:b w:val="false"/>
                <w:color w:val="000000"/>
                <w:sz w:val="13"/>
              </w:rPr>
              <w:t>(1)(2)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long-term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592,314 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As of December 31, 2025 and 2024, $114.8 million and $112.7 million of deferred revenue was recorded within other long-term liabilities in the consolidated balance sheets, respectively, in connection with the strategic technology and supply arrangement, and integration and supply arrangements with Aston Martin. See Note 16 “Related Party Transactions” for more information.</w:t>
      </w:r>
    </w:p>
    <w:p>
      <w:pPr>
        <w:pStyle w:val="TextBody"/>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Included accrued warranty balance of $93.4 million and $75.7 million as of December 31, 2025 and 2024,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Accrued warranty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Accrued warranty activities consisted of the following (in thousands):</w:t>
      </w:r>
    </w:p>
    <w:tbl>
      <w:tblPr>
        <w:tblW w:w="5978" w:type="dxa"/>
        <w:jc w:val="left"/>
        <w:tblInd w:w="0" w:type="dxa"/>
        <w:tblLayout w:type="fixed"/>
        <w:tblCellMar>
          <w:top w:w="28" w:type="dxa"/>
          <w:left w:w="28" w:type="dxa"/>
          <w:bottom w:w="28" w:type="dxa"/>
          <w:right w:w="28" w:type="dxa"/>
        </w:tblCellMar>
      </w:tblPr>
      <w:tblGrid>
        <w:gridCol w:w="1200"/>
        <w:gridCol w:w="1054"/>
        <w:gridCol w:w="1060"/>
        <w:gridCol w:w="211"/>
        <w:gridCol w:w="826"/>
        <w:gridCol w:w="109"/>
        <w:gridCol w:w="109"/>
        <w:gridCol w:w="109"/>
        <w:gridCol w:w="109"/>
        <w:gridCol w:w="211"/>
        <w:gridCol w:w="826"/>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warranty -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costs incurred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 for warranty</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warranty - end of period</w:t>
            </w:r>
            <w:r>
              <w:rPr>
                <w:rFonts w:ascii="Times New Roman;serif" w:hAnsi="Times New Roman;serif"/>
                <w:b w:val="false"/>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Provision for warranty for the years ended December 31, 2025 and 2024 included estimated costs related to the recalls identified and special campaigns to repair or replace items under warranties. During the year ended December 31, 2024, the Company recorded $46.1 million provision associated with a special warranty campaign. </w:t>
      </w:r>
    </w:p>
    <w:p>
      <w:pPr>
        <w:pStyle w:val="TextBody"/>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Accrued warranty balance of $58.8 million and $36.8 million was recorded within other current liabilities, and $93.4 million and $75.7 million was recorded within other long-term liabilities, in the consolidated balance sheets as of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5 - FAIR VALUE MEASUREMENTS AND FINANCIAL INSTRUMENTS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certain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This hierarchy prioritizes the inputs into three broad levels as follows:</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Level 1</w:t>
      </w:r>
      <w:r>
        <w:rPr>
          <w:color w:val="000000"/>
        </w:rPr>
        <w:t>—</w:t>
      </w:r>
      <w:r>
        <w:rPr>
          <w:rFonts w:ascii="Times New Roman;serif" w:hAnsi="Times New Roman;serif"/>
          <w:b w:val="false"/>
          <w:color w:val="000000"/>
          <w:sz w:val="20"/>
        </w:rPr>
        <w:t>Quoted prices (unadjusted) in active markets for identical assets or liabilities.</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Level 2</w:t>
      </w:r>
      <w:r>
        <w:rPr>
          <w:color w:val="000000"/>
        </w:rPr>
        <w:t>—</w:t>
      </w:r>
      <w:r>
        <w:rPr>
          <w:rFonts w:ascii="Times New Roman;serif" w:hAnsi="Times New Roman;serif"/>
          <w:b w:val="false"/>
          <w:color w:val="000000"/>
          <w:sz w:val="20"/>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Level 3</w:t>
      </w:r>
      <w:r>
        <w:rPr>
          <w:color w:val="000000"/>
        </w:rPr>
        <w:t>—</w:t>
      </w:r>
      <w:r>
        <w:rPr>
          <w:rFonts w:ascii="Times New Roman;serif" w:hAnsi="Times New Roman;serif"/>
          <w:b w:val="false"/>
          <w:color w:val="000000"/>
          <w:sz w:val="20"/>
        </w:rPr>
        <w:t>Inputs that are generally unobservable and typically reflect management’s estimates of assumptions that market participants would use in pricing the asset or liability. Factors used to develop the estimated fair value are unobservable inputs that are not supported by market activity. The sensitivity of the fair value measurement to changes in unobservable inputs may result in a significantly higher or lower measurement.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cash equivalents and investments are reported at their respective fair values on the Company’s consolidated balance sheets. The Company’s short-term and long-term investments are classified as available-for-sale securities. Carrying amounts of accounts receivable, accounts payable, and other current liabilities approximate their estimated fair values.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financial assets subject to fair value measurements on a recurring basis by level within the fair value hierarchy as of December 31, 2025 and 2024 (in thousands):</w:t>
      </w:r>
    </w:p>
    <w:tbl>
      <w:tblPr>
        <w:tblW w:w="11008" w:type="dxa"/>
        <w:jc w:val="left"/>
        <w:tblInd w:w="0" w:type="dxa"/>
        <w:tblLayout w:type="fixed"/>
        <w:tblCellMar>
          <w:top w:w="28" w:type="dxa"/>
          <w:left w:w="28" w:type="dxa"/>
          <w:bottom w:w="28" w:type="dxa"/>
          <w:right w:w="28" w:type="dxa"/>
        </w:tblCellMar>
      </w:tblPr>
      <w:tblGrid>
        <w:gridCol w:w="511"/>
        <w:gridCol w:w="231"/>
        <w:gridCol w:w="189"/>
        <w:gridCol w:w="211"/>
        <w:gridCol w:w="976"/>
        <w:gridCol w:w="109"/>
        <w:gridCol w:w="109"/>
        <w:gridCol w:w="109"/>
        <w:gridCol w:w="109"/>
        <w:gridCol w:w="211"/>
        <w:gridCol w:w="616"/>
        <w:gridCol w:w="109"/>
        <w:gridCol w:w="109"/>
        <w:gridCol w:w="109"/>
        <w:gridCol w:w="109"/>
        <w:gridCol w:w="257"/>
        <w:gridCol w:w="495"/>
        <w:gridCol w:w="134"/>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4"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As: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Time deposits</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2,109,805 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Included $50.0 million of time deposits with GIB in short-term investments. GIB is a related party of the PIF, which is an affiliate of Ayar. See Note 16 “Related Party Transactions” for more information.</w:t>
      </w:r>
    </w:p>
    <w:tbl>
      <w:tblPr>
        <w:tblW w:w="11485" w:type="dxa"/>
        <w:jc w:val="left"/>
        <w:tblInd w:w="0" w:type="dxa"/>
        <w:tblLayout w:type="fixed"/>
        <w:tblCellMar>
          <w:top w:w="28" w:type="dxa"/>
          <w:left w:w="28" w:type="dxa"/>
          <w:bottom w:w="28" w:type="dxa"/>
          <w:right w:w="28" w:type="dxa"/>
        </w:tblCellMar>
      </w:tblPr>
      <w:tblGrid>
        <w:gridCol w:w="691"/>
        <w:gridCol w:w="231"/>
        <w:gridCol w:w="189"/>
        <w:gridCol w:w="211"/>
        <w:gridCol w:w="976"/>
        <w:gridCol w:w="109"/>
        <w:gridCol w:w="109"/>
        <w:gridCol w:w="109"/>
        <w:gridCol w:w="109"/>
        <w:gridCol w:w="211"/>
        <w:gridCol w:w="616"/>
        <w:gridCol w:w="109"/>
        <w:gridCol w:w="109"/>
        <w:gridCol w:w="109"/>
        <w:gridCol w:w="109"/>
        <w:gridCol w:w="211"/>
        <w:gridCol w:w="63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69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4"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As:</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 Investments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Time deposits</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5,040,152 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1,606,865 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2,424,103 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Included $15.0 million and $20.0 million of time deposits with GIB in short-term investments and long-term investments, respectively. See Note 16 “Related Party Transactions”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2024, and 2023, there were immaterial gross realized gains or losses on the sale of available-for-sale securities. Accrued interest receivable excluded from both the fair value and amortized cost basis of the available-for-sale securities was $13.1 million and $19.6 million as of December 31, 2025 and 2024, respectively, and was recorded in other current assets on its consolidated balance sheets. As of December 31, 2025 and 2024, no allowance for credit losses was recorded related to an impairment of available-for-sale securities.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available-for-sale securities by contractual maturity:</w:t>
      </w:r>
    </w:p>
    <w:tbl>
      <w:tblPr>
        <w:tblW w:w="6182" w:type="dxa"/>
        <w:jc w:val="left"/>
        <w:tblInd w:w="0" w:type="dxa"/>
        <w:tblLayout w:type="fixed"/>
        <w:tblCellMar>
          <w:top w:w="28" w:type="dxa"/>
          <w:left w:w="28" w:type="dxa"/>
          <w:bottom w:w="28" w:type="dxa"/>
          <w:right w:w="28" w:type="dxa"/>
        </w:tblCellMar>
      </w:tblPr>
      <w:tblGrid>
        <w:gridCol w:w="1035"/>
        <w:gridCol w:w="913"/>
        <w:gridCol w:w="917"/>
        <w:gridCol w:w="211"/>
        <w:gridCol w:w="976"/>
        <w:gridCol w:w="109"/>
        <w:gridCol w:w="109"/>
        <w:gridCol w:w="109"/>
        <w:gridCol w:w="109"/>
        <w:gridCol w:w="266"/>
        <w:gridCol w:w="1234"/>
        <w:gridCol w:w="194"/>
      </w:tblGrid>
      <w:tr>
        <w:trPr/>
        <w:tc>
          <w:tcPr>
            <w:tcW w:w="103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Within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631,093 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one year through three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487,982 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1,119,075 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6, 2023, the Company received 28,352,273 ordinary shares of Aston Martin with an initial fair value of $73.2 million. The Company remeasured the shares and recorded fair values of $24.3 million and $37.8 million within long-term investments in the consolidated balance sheets as of December 31, 2025 and 2024, respectively. These equity securities are publicly traded stocks (where shares are denominated in GBP) measured at fair value on a recurring basis and classified within level 1 in the fair value hierarchy. During the years ended December 31, 2025, 2024, and 2023, the Company recognized unrealized losses of $15.8 million and $43.1 million, and an unrealized gain of $6.0 million, respectively, in change of fair value of equity securities of a related party in the consolidated statement of operations and comprehensive loss. During the years ended December 31, 2025, 2024, and 2023, the Company also recognized $2.3 million of unrealized foreign currency gain, $0.6 million of unrealized foreign currency loss, and $2.3 million of unrealized foreign currency gain related to these equity securities, respectively, in other expense, net in the consolidated statement of operations and comprehensive loss. See Note 16 “Related Party Transactions” for more information.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Level 3 liabilities consist of the common stock warrant liability and the derivative liabilities associated with the Redeemable Convertible Preferred Stock, of which the fair values were measured upon issuance of the Private Placement Warrants and the Redeemable Convertible Preferred Stock and are remeasured at each reporting period. The valuation methodology and underlying assumptions are discussed further in Note 7 “Common Stock Warrant Liability” and Note 8 “Redeemable Convertible Preferred Stock”, respectively. Level 3 liabilities also consist of residual value guarantee liabilities, of which the fair value is measured initially upon delivery of vehicles and assessed subsequently for any changes on a quarterly basis. Significant changes in the unobservable inputs used in determining the fair value would result in significant changes to the fair value measurement.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the common stock warrant liability measured and recorded at fair value on a recurring basis (in thousands):</w:t>
      </w:r>
    </w:p>
    <w:tbl>
      <w:tblPr>
        <w:tblW w:w="5391" w:type="dxa"/>
        <w:jc w:val="left"/>
        <w:tblInd w:w="0" w:type="dxa"/>
        <w:tblLayout w:type="fixed"/>
        <w:tblCellMar>
          <w:top w:w="28" w:type="dxa"/>
          <w:left w:w="28" w:type="dxa"/>
          <w:bottom w:w="28" w:type="dxa"/>
          <w:right w:w="28" w:type="dxa"/>
        </w:tblCellMar>
      </w:tblPr>
      <w:tblGrid>
        <w:gridCol w:w="946"/>
        <w:gridCol w:w="830"/>
        <w:gridCol w:w="834"/>
        <w:gridCol w:w="109"/>
        <w:gridCol w:w="109"/>
        <w:gridCol w:w="109"/>
        <w:gridCol w:w="211"/>
        <w:gridCol w:w="721"/>
        <w:gridCol w:w="109"/>
        <w:gridCol w:w="109"/>
        <w:gridCol w:w="109"/>
        <w:gridCol w:w="109"/>
        <w:gridCol w:w="211"/>
        <w:gridCol w:w="721"/>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the derivative liabilities associated with the Redeemable Convertible Preferred Stock measured and recorded at fair value on a recurring basis (in thousands):</w:t>
      </w:r>
    </w:p>
    <w:tbl>
      <w:tblPr>
        <w:tblW w:w="10205" w:type="dxa"/>
        <w:jc w:val="left"/>
        <w:tblInd w:w="0" w:type="dxa"/>
        <w:tblLayout w:type="fixed"/>
        <w:tblCellMar>
          <w:top w:w="28" w:type="dxa"/>
          <w:left w:w="28" w:type="dxa"/>
          <w:bottom w:w="28" w:type="dxa"/>
          <w:right w:w="28" w:type="dxa"/>
        </w:tblCellMar>
      </w:tblPr>
      <w:tblGrid>
        <w:gridCol w:w="782"/>
        <w:gridCol w:w="687"/>
        <w:gridCol w:w="690"/>
        <w:gridCol w:w="323"/>
        <w:gridCol w:w="1268"/>
        <w:gridCol w:w="167"/>
        <w:gridCol w:w="109"/>
        <w:gridCol w:w="109"/>
        <w:gridCol w:w="109"/>
        <w:gridCol w:w="322"/>
        <w:gridCol w:w="1261"/>
        <w:gridCol w:w="166"/>
        <w:gridCol w:w="109"/>
        <w:gridCol w:w="109"/>
        <w:gridCol w:w="109"/>
        <w:gridCol w:w="323"/>
        <w:gridCol w:w="1268"/>
        <w:gridCol w:w="167"/>
        <w:gridCol w:w="109"/>
        <w:gridCol w:w="109"/>
        <w:gridCol w:w="109"/>
        <w:gridCol w:w="318"/>
        <w:gridCol w:w="1245"/>
        <w:gridCol w:w="237"/>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Series A 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Series B Derivative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Series A 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Series B Derivative Liability</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value-beginning of period</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408,800 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230,625 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w:t>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497,100 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297,675 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(398,000)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(225,225)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(67,050)</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value-end of period</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408,800 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230,625 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6 –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carrying value of the Company’s debt as of December 31, 2025 and 2024 was as follows (in millions):</w:t>
      </w:r>
    </w:p>
    <w:tbl>
      <w:tblPr>
        <w:tblW w:w="5213" w:type="dxa"/>
        <w:jc w:val="left"/>
        <w:tblInd w:w="0" w:type="dxa"/>
        <w:tblLayout w:type="fixed"/>
        <w:tblCellMar>
          <w:top w:w="28" w:type="dxa"/>
          <w:left w:w="28" w:type="dxa"/>
          <w:bottom w:w="28" w:type="dxa"/>
          <w:right w:w="28" w:type="dxa"/>
        </w:tblCellMar>
      </w:tblPr>
      <w:tblGrid>
        <w:gridCol w:w="841"/>
        <w:gridCol w:w="738"/>
        <w:gridCol w:w="746"/>
        <w:gridCol w:w="109"/>
        <w:gridCol w:w="109"/>
        <w:gridCol w:w="109"/>
        <w:gridCol w:w="212"/>
        <w:gridCol w:w="773"/>
        <w:gridCol w:w="110"/>
        <w:gridCol w:w="109"/>
        <w:gridCol w:w="109"/>
        <w:gridCol w:w="109"/>
        <w:gridCol w:w="212"/>
        <w:gridCol w:w="772"/>
        <w:gridCol w:w="155"/>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2031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GIB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accounted for the issuances of the 2026 Notes, the 2030 Notes, and the 2031 Notes as single liabilities measured at its respective amortized cost, as no other embedded features require bifurcation and recognition as derivatives. It determined the fair value of the Convertible Senior Notes based on quoted prices in markets that are not active, which is considered a Level 2 valuation input. The following table sets forth a summary of the 2026 Notes, the 2030 Notes, and the 2031 Notes as of December 31, 2025 and 2024 (in millions):</w:t>
      </w:r>
    </w:p>
    <w:tbl>
      <w:tblPr>
        <w:tblW w:w="10205" w:type="dxa"/>
        <w:jc w:val="left"/>
        <w:tblInd w:w="0" w:type="dxa"/>
        <w:tblLayout w:type="fixed"/>
        <w:tblCellMar>
          <w:top w:w="28" w:type="dxa"/>
          <w:left w:w="28" w:type="dxa"/>
          <w:bottom w:w="28" w:type="dxa"/>
          <w:right w:w="28" w:type="dxa"/>
        </w:tblCellMar>
      </w:tblPr>
      <w:tblGrid>
        <w:gridCol w:w="774"/>
        <w:gridCol w:w="678"/>
        <w:gridCol w:w="688"/>
        <w:gridCol w:w="254"/>
        <w:gridCol w:w="924"/>
        <w:gridCol w:w="131"/>
        <w:gridCol w:w="109"/>
        <w:gridCol w:w="109"/>
        <w:gridCol w:w="109"/>
        <w:gridCol w:w="718"/>
        <w:gridCol w:w="1791"/>
        <w:gridCol w:w="373"/>
        <w:gridCol w:w="109"/>
        <w:gridCol w:w="109"/>
        <w:gridCol w:w="109"/>
        <w:gridCol w:w="299"/>
        <w:gridCol w:w="1086"/>
        <w:gridCol w:w="154"/>
        <w:gridCol w:w="109"/>
        <w:gridCol w:w="109"/>
        <w:gridCol w:w="109"/>
        <w:gridCol w:w="211"/>
        <w:gridCol w:w="766"/>
        <w:gridCol w:w="109"/>
        <w:gridCol w:w="109"/>
        <w:gridCol w:w="159"/>
      </w:tblGrid>
      <w:tr>
        <w:trPr/>
        <w:tc>
          <w:tcPr>
            <w:tcW w:w="7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268" w:type="dxa"/>
            <w:gridSpan w:val="2"/>
            <w:tcBorders/>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Debt Discounts and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2031 Notes</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convertible senior notes</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2,279.3 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10054" w:type="dxa"/>
        <w:jc w:val="left"/>
        <w:tblInd w:w="0" w:type="dxa"/>
        <w:tblLayout w:type="fixed"/>
        <w:tblCellMar>
          <w:top w:w="28" w:type="dxa"/>
          <w:left w:w="28" w:type="dxa"/>
          <w:bottom w:w="28" w:type="dxa"/>
          <w:right w:w="28" w:type="dxa"/>
        </w:tblCellMar>
      </w:tblPr>
      <w:tblGrid>
        <w:gridCol w:w="380"/>
        <w:gridCol w:w="333"/>
        <w:gridCol w:w="337"/>
        <w:gridCol w:w="271"/>
        <w:gridCol w:w="984"/>
        <w:gridCol w:w="140"/>
        <w:gridCol w:w="109"/>
        <w:gridCol w:w="109"/>
        <w:gridCol w:w="109"/>
        <w:gridCol w:w="890"/>
        <w:gridCol w:w="2218"/>
        <w:gridCol w:w="462"/>
        <w:gridCol w:w="109"/>
        <w:gridCol w:w="109"/>
        <w:gridCol w:w="109"/>
        <w:gridCol w:w="332"/>
        <w:gridCol w:w="1206"/>
        <w:gridCol w:w="171"/>
        <w:gridCol w:w="109"/>
        <w:gridCol w:w="109"/>
        <w:gridCol w:w="109"/>
        <w:gridCol w:w="211"/>
        <w:gridCol w:w="766"/>
        <w:gridCol w:w="109"/>
        <w:gridCol w:w="109"/>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263" w:type="dxa"/>
            <w:gridSpan w:val="2"/>
            <w:tcBorders/>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Debt Discounts and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effective interest rate for the 2026 Notes, the 2030 Notes, and the 2031 Notes is 1.5%, 5.4%, and 7.3%, respectively. The components of interest expense related to the 2026 Notes, the 2030 Notes, and the 2031 Notes were as follows (in millions):</w:t>
      </w:r>
    </w:p>
    <w:tbl>
      <w:tblPr>
        <w:tblW w:w="7767" w:type="dxa"/>
        <w:jc w:val="left"/>
        <w:tblInd w:w="0" w:type="dxa"/>
        <w:tblLayout w:type="fixed"/>
        <w:tblCellMar>
          <w:top w:w="28" w:type="dxa"/>
          <w:left w:w="28" w:type="dxa"/>
          <w:bottom w:w="28" w:type="dxa"/>
          <w:right w:w="28" w:type="dxa"/>
        </w:tblCellMar>
      </w:tblPr>
      <w:tblGrid>
        <w:gridCol w:w="1655"/>
        <w:gridCol w:w="1456"/>
        <w:gridCol w:w="1464"/>
        <w:gridCol w:w="211"/>
        <w:gridCol w:w="511"/>
        <w:gridCol w:w="109"/>
        <w:gridCol w:w="109"/>
        <w:gridCol w:w="109"/>
        <w:gridCol w:w="109"/>
        <w:gridCol w:w="211"/>
        <w:gridCol w:w="511"/>
        <w:gridCol w:w="109"/>
        <w:gridCol w:w="109"/>
        <w:gridCol w:w="109"/>
        <w:gridCol w:w="109"/>
        <w:gridCol w:w="211"/>
        <w:gridCol w:w="511"/>
        <w:gridCol w:w="154"/>
      </w:tblGrid>
      <w:tr>
        <w:trPr/>
        <w:tc>
          <w:tcPr>
            <w:tcW w:w="165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discounts and debt issuance costs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2026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2021, the Company issued an aggregate of $2,012.5 million principal amount of 1.25% convertible senior notes due in December 2026 in a private offering to qualified institutional buyers pursuant to Rule 144A under the Securities Act, at an issuance price equal to 99.5% of the principal amount of 2026 Notes. The Company has designated the 2026 Notes as green bonds, whose proceeds will be allocated in accordance with the Company’s green bond framework. The 2026 Notes were issued pursuant to and are governed by an indenture dated December 14, 2021, between the Company and U.S. Bank National Association as the trustee. The proceeds from the issuance of the 2026 Notes were $1,986.6 million, net of the issuance discount and debt issuance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2026 Notes are unsecured obligations which bear regular interest at 1.25% per annum and are payable semi-annually in arrears on June 15 and December 15 of each year, beginning on June 15, 2022. The 2026 Notes will mature on December 15, 2026, unless repurchased, redeemed, or converted in accordance with their terms prior to such date. The 2026 Notes are convertible into cash, shares of the Company’s common stock, or a combination of cash and shares of the Company’s common stock, at the Company’s election, at an initial conversion rate of 1.8255 shares of the Company’s common stock per $1,000 principal amount of 2026 Notes, which is equivalent to an initial conversion price of approximately $547.80 per share of the Company’s common stock. The conversion rate and conversion price will be subject to customary adjustments upon the occurrence of certain events, including a reverse stock split. The Company may redeem for cash all or any portion of the 2026 Notes, at the Company’s option, on or after December 20, 2024 if the last reported sale price of the Company’s common stock has been at least 130% of the conversion price then in effect for at least 20 trading days at a redemption price equal to 100% of the principal amount of the 2026 Notes to be redeemed, plus accrued and unpaid interest up to the day before the redemption date. The holders may require the Company to repurchase the 2026 Notes upon the occurrence of certain fundamental change transactions at a redemption price equal to 100% of the principal amount of the 2026 Notes redeemed, plus accrued and unpaid interest up to the day before the redemption date.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Holders of the 2026 Notes may convert all or a portion of their 2026 Notes at their option prior to September 15, 2026, in multiples of $1,000 principal amounts, only under the following circumstances: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during any calendar quarter commencing after the quarter ended on March 31, 2022 (and only during such calendar quarter), if the Company’s common stock price exceeds 130% of the conversion price for at least 20 trading days during the 30 consecutive trading days at the end of the prior calendar quarter;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upon the occurrence of specified corporate events; or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if the Company calls any or all 2026 Notes for redemption, at any time prior to the close of business on the scheduled trading day immediately preceding the redemption date, but only with respect to the notes called for redemption.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or after September 15, 2026, the 2026 Notes are convertible at any time until the close of business on the second scheduled trading day immediately preceding the maturity date. Holders of the 2026 Notes who convert the 2026 Notes in connection with a make-whole fundamental change, as defined in the indenture governing the 2026 Notes, or in connection with a redemption may be entitled to an increase in the conversion rate.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2025, contemporaneously with the 2030 Notes offering, the Company repurchased $1,052.5 million aggregate principal amount of the 2026 Notes, using $931.4 million of the net proceeds of the 2030 Notes. The difference between the consideration paid with the net proceeds from the 2030 Notes to repurchase a portion of the 2026 Notes principal amount and the then carrying value of the 2026 Notes resulted in a gain of $116.4 million. Following the redemption, the Company’s outstanding principal balance of the 2026 Notes was $960.0 million. In November 2025, contemporaneously with the 2031 Notes offering, the Company repurchased $755.7 million aggregate principal amount of the 2026 Notes, using $748.2 million of the net proceeds of the 2031 Notes. The difference between the consideration paid with the net proceeds from the 2031 Notes to repurchase a portion of the 2026 Notes principal amount and the then carrying value of the 2026 Notes resulted in a gain of $5.4 million. Following the redemption, the Company’s outstanding principal balance of the 2026 Notes was $204.3 million. The repurchases of the 2026 Notes were accounted for as debt extinguishments. During the year ended December 31, 2025, the Company recorded a total gain of $121.8 million within gain on extinguishment of debt in the consolidated statement of operations and comprehensive loss.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2026 Notes were not eligible for conversion as of December 31, 2025 and 2024. No sinking fund is provided for the 2026 Notes, which means that the Company is not required to redeem or retire them periodically. As of December 31, 2025 and 2024, the Company was in compliance with applicable covenants under the indentures governing the 2026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2030 Notes and Capped Call Transactions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2030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2025, the Company issued an aggregate of $1,100.0 million principal amount of 5.00% convertible senior notes due in April 2030 in a private offering to qualified institutional buyers pursuant to Rule 144A under the Securities Act, at an issuance price equal to 100.0% of the principal amount of the 2030 Notes. The 2030 Notes were issued pursuant to and are governed by an indenture dated April 8, 2025, between the Company and U.S. Bank Trust Company, National Association as the trustee. The proceeds from the issuance of the 2030 Notes were $1,081.8 million, net of the debt issuance costs. Contemporaneously with the 2030 Notes offering, the Company entered into privately negotiated transactions with certain holders of the 2026 Notes to repurchase $1,052.5 million aggregate principal amount of the 2026 Notes, using $931.4 million of the net proceeds of the 2030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2030 Notes are unsecured obligations which bear regular interest at 5.00% per annum and are payable semi-annually in arrears on April 1 and October 1 of each year, beginning on October 1, 2025. The 2030 Notes will mature on April 1, 2030, unless repurchased, redeemed, or converted in accordance with their terms prior to such date. The 2030 Notes are convertible into cash, shares of the Company’s common stock, or a combination of cash and shares of the Company’s common stock, at the Company’s election, at an initial conversion rate of 33.3333 shares of the Company’s common stock per $1,000 principal amount of the 2030 Notes, which is equivalent to an initial conversion price of approximately $30.00 per share of the Company’s common stock. The conversion rate and conversion price will be subject to customary adjustments upon the occurrence of certain events, including a reverse stock split. The Company may redeem for cash all or any portion of the 2030 Notes, at the Company’s option, on or after April 6, 2028 if the last reported sale price of the Company’s common stock has been at least 130% of the conversion price then in effect for at least 20 trading days at a redemption price equal to 100% of the principal amount of the 2030 Notes to be redeemed, plus accrued and unpaid interest up to the day before the redemption date. The holders may require the Company to repurchase the 2030 Notes upon the occurrence of certain fundamental change transactions at a redemption price equal to 100% of the principal amount of the 2030 Notes redeemed, plus accrued and unpaid interest up to the day before the redemption date.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Holders of the 2030 Notes may convert all or a portion of their 2030 Notes at their option prior to January 1, 2030, in multiples of $1,000 principal amounts, only under the following circumstances: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during any calendar quarter commencing after the quarter ended on June 30, 2025 (and only during such calendar quarter), if the Company’s common stock price exceeds 130% of the conversion price for at least 20 trading days during the 30 consecutive trading days at the end of the prior calendar quarter;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upon the occurrence of specified corporate events; or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if the Company calls any or all 2030 Notes for redemption, at any time prior to the close of business on the scheduled trading day immediately preceding the redemption date, but only with respect to the notes called for redemption.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or after January 1, 2030, the 2030 Notes are convertible at any time until the close of business on the second scheduled trading day immediately preceding the maturity date. Holders of the 2030 Notes who convert the 2030 Notes in connection with a make-whole fundamental change, as defined in the indenture governing the 2030 Notes, or in connection with a redemption may be entitled to an increase in the conversion rate.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2030 Notes were not eligible for conversion as of December 31, 2025. No sinking fund is provided for the 2030 Notes, which means that the Company is not required to redeem or retire them periodically. As of December 31, 2025, the Company was in compliance with applicable covenants under the indentures governing the 2030 Notes.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Capped Call Transactions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2030 Notes offering, the Company paid $118.3 million to enter into the Capped Call Transactions with certain financial institutions. The Capped Call Transactions cover, subject to anti-dilution adjustments, the number of shares of the Company’s common stock initially underlying the 2030 Notes. The Capped Call Transactions have an expiration date of April 1, 2030.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expects the Capped Call Transactions generally would reduce the potential dilution to the Company’s common stock upon conversion of the notes or offset any cash payments that the Company could be required to make in excess of the principal amount of any converted notes, as the case may be, in the event that the market price per share of Lucid’s common stock, as measured under the terms of the Capped Call Transactions, is greater than the strike price of the Capped Call Transactions. The initial strike price of the Capped Call Transactions corresponds to the initial conversion price of the 2030 Notes, or approximately $30.00 per share of the Company’s common stock. The initial cap price of the Capped Call Transactions was $48.00 per share of the Company’s common stock and is subject to customary anti-dilution adjustments.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Capped Call Transactions were separate transactions, entered into by the Company with certain financial institutions, and were not part of the terms of the 2030 Notes. Holders of the 2030 Notes will not have any rights with respect to the Capped Call Transactions. The Company recorded the Capped Call Transactions as a reduction to additional paid-in capital in the consolidated balance sheet as of December 31, 2025, with no remeasurement in subsequent periods as they meet the conditions for equity classification.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2031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2025, the Company issued an aggregate of $975.0 million principal amount of 7.00% convertible senior notes due in November 2031 in a private offering to qualified institutional buyers pursuant to Rule 144A under the Securities Act, at an issuance price equal to 100.0% of the principal amount of the 2031 Notes. The 2031 Notes were issued pursuant to and are governed by an indenture dated November 17, 2025, between the Company and U.S. Bank Trust Company, National Association as the trustee. The proceeds from the issuance of the 2031 Notes were $962.2 million, net of the debt issuance costs. Contemporaneously with the 2031 Notes offering, the Company entered into privately negotiated transactions with certain holders of the 2026 Notes to repurchase $755.7 million aggregate principal amount of the 2026 Notes, using $748.2 million of the net proceeds of the 2031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2031 Notes are unsecured obligations which bear regular interest at 7.00% per annum and are payable semi-annually in arrears on May 1 and November 1 of each year, beginning on May 1, 2026. The 2031 Notes will mature on November 1, 2031, unless repurchased, redeemed, or converted in accordance with their terms prior to such date. The 2031 Notes are convertible into cash, shares of the Company’s common stock, or a combination of cash and shares of the Company’s common stock, at the Company’s election, at an initial conversion rate of 48.0475 shares of the Company’s common stock per $1,000 principal amount of the 2031 Notes, which is equivalent to an initial conversion price of approximately $20.81 per share of the Company’s common stock. The conversion rate and conversion price will be subject to customary adjustments upon the occurrence of certain events, including a reverse stock split. The Company may redeem for cash all or any portion of the 2031 Notes, at the Company’s option, on or after November 6, 2028 and on or before the 31st scheduled trading day immediately preceding the maturity date, if the last reported sale price of the Company’s common stock has been at least 130% of the conversion price then in effect for at least 20 trading days at a redemption price equal to 100% of the principal amount of the 2031 Notes to be redeemed, plus accrued and unpaid interest up to the day before the redemption date. The holders may require the Company to repurchase the 2031 Notes on November 1, 2029 or upon the occurrence of certain fundamental change transactions at a redemption price equal to 100% of the principal amount of the 2031 Notes redeemed, plus accrued and unpaid interest up to the day before the redemption date.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Holders of the 2031 Notes may convert all or a portion of their 2031 Notes at their option prior to August 1, 2031, in multiples of $1,000 principal amounts, only under the following circumstances: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during any calendar quarter commencing after the quarter ended on March 31, 2026 (and only during such calendar quarter), if the Company’s common stock price exceeds 130% of the conversion price for at least 20 trading days during the 30 consecutive trading days at the end of the prior calendar quarter;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upon the occurrence of specified corporate events; or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if the Company calls any or all 2031 Notes for redemption, at any time prior to the close of business on the scheduled trading day immediately preceding the redemption date, but only with respect to the notes called for redemption.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or after August 1, 2031, the 2031 Notes are convertible at any time until the close of business on the second scheduled trading day immediately preceding the maturity date. Holders of the 2031 Notes who convert the 2031 Notes in connection with a make-whole fundamental change, as defined in the indenture governing the 2031 Notes, or in connection with a redemption may be entitled to an increase in the conversion rate.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2031 Notes were not eligible for conversion as of December 31, 2025. No sinking fund is provided for the 2031 Notes, which means that the Company is not required to redeem or retire them periodically. As of December 31, 2025, the Company was in compliance with applicable covenants under the indentures governing the 2031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Ayar Prepaid Forward Transactions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pricing of the 2030 Notes, Ayar entered into a privately negotiated prepaid forward transaction with the Forward Counterparty, pursuant to which Ayar will purchase approximately $430.0 million of the Company’s common stock with delivery expected to occur on or about the maturity date for the 2030 Notes, subject to the ability of the Forward Counterparty to elect to settle all or a portion of the prepaid forward transaction early.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pricing of the 2031 Notes, Ayar entered into a privately negotiated prepaid forward transaction with the Forward Counterparty, pursuant to which Ayar will purchase approximately $636.7 million of the Company’s common stock with delivery expected to occur on or about the maturity date for the 2031 Notes, subject to the ability of the Forward Counterparty to elect to settle all or a portion of the prepaid forward transaction early.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is not a party to the prepaid forward transactions. In connection with Ayar agreeing to enter into and fund the prepaid forward transactions, the Company has agreed to pay a periodic cash fee to Ayar, which shall initially accrue at a rate of 0.5% per annum on the amount of prepaid forward transactions and be recalculated to reflect any early settlement of the prepaid forward transactions. The periodic fee incurred associated with the prepaid forward transactions was not material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SIDF Loan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February 27, 2022, Lucid LLC entered into the SIDF Loan Agreement with SIDF, a related party of the PIF, which is an affiliate of Ayar. Under the SIDF Loan Agreement, SIDF has committed to provide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$93.3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the Company or any of its other subsidiaries.</w:t>
      </w:r>
    </w:p>
    <w:p>
      <w:pPr>
        <w:pStyle w:val="TextBody"/>
        <w:bidi w:val="0"/>
        <w:spacing w:lineRule="auto" w:line="288" w:before="240" w:after="283"/>
        <w:jc w:val="left"/>
        <w:rPr/>
      </w:pPr>
      <w:r>
        <w:rPr>
          <w:rFonts w:ascii="Times New Roman;serif" w:hAnsi="Times New Roman;serif"/>
          <w:b w:val="false"/>
          <w:color w:val="000000"/>
          <w:sz w:val="20"/>
        </w:rPr>
        <w:t xml:space="preserve">SIDF Loans will not bear interest. Instead, Lucid LLC will be required to pay SIDF service fees, consisting of follow-up and technical evaluation fees, ranging, in aggregate, from SAR 415 million (approximately $110.7 million) to SAR 1.77 billion (approximately $472.0 million), over the term of the SIDF Loans. SIDF Loans will be secured by security interests in the </w:t>
      </w:r>
      <w:r>
        <w:rPr>
          <w:rFonts w:ascii="Times New Roman;serif" w:hAnsi="Times New Roman;serif"/>
          <w:b w:val="false"/>
          <w:color w:val="242424"/>
          <w:sz w:val="20"/>
          <w:shd w:fill="FFFFFF" w:val="clear"/>
        </w:rPr>
        <w:t>equipment, machines and assets funded thereby.</w:t>
      </w:r>
    </w:p>
    <w:p>
      <w:pPr>
        <w:pStyle w:val="TextBody"/>
        <w:bidi w:val="0"/>
        <w:spacing w:lineRule="auto" w:line="288" w:before="240" w:after="283"/>
        <w:jc w:val="left"/>
        <w:rPr/>
      </w:pPr>
      <w:r>
        <w:rPr>
          <w:rFonts w:ascii="Times New Roman;serif" w:hAnsi="Times New Roman;serif"/>
          <w:b w:val="false"/>
          <w:color w:val="000000"/>
          <w:sz w:val="20"/>
        </w:rPr>
        <w:t xml:space="preserve">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KAEC, and drawdowns under the SIDF Loan Agreement are subject to certain conditions precedent.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 and 2024</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no</w:t>
      </w:r>
      <w:r>
        <w:rPr>
          <w:color w:val="000000"/>
          <w:shd w:fill="FFFFFF" w:val="clear"/>
        </w:rPr>
        <w:t xml:space="preserve"> </w:t>
      </w:r>
      <w:r>
        <w:rPr>
          <w:rFonts w:ascii="Times New Roman;serif" w:hAnsi="Times New Roman;serif"/>
          <w:b w:val="false"/>
          <w:color w:val="000000"/>
          <w:sz w:val="20"/>
          <w:shd w:fill="FFFFFF" w:val="clear"/>
        </w:rPr>
        <w:t xml:space="preserve">amount </w:t>
      </w:r>
      <w:r>
        <w:rPr>
          <w:rFonts w:ascii="Times New Roman;serif" w:hAnsi="Times New Roman;serif"/>
          <w:b w:val="false"/>
          <w:color w:val="242424"/>
          <w:sz w:val="20"/>
          <w:shd w:fill="FFFFFF" w:val="clear"/>
        </w:rPr>
        <w:t>was outstanding under the SIDF Loan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242424"/>
          <w:sz w:val="20"/>
          <w:shd w:fill="FFFFFF" w:val="clear"/>
        </w:rPr>
      </w:pPr>
      <w:r>
        <w:rPr>
          <w:rFonts w:ascii="Times New Roman;serif" w:hAnsi="Times New Roman;serif"/>
          <w:b/>
          <w:i/>
          <w:color w:val="242424"/>
          <w:sz w:val="20"/>
          <w:shd w:fill="FFFFFF" w:val="clear"/>
        </w:rPr>
        <w:t>GIB Facility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April 29, 2022, Lucid LLC entered into the GIB Facility Agreement with GIB, maturing on February 28, 2025. GIB is a related party of the PIF, which is an affiliate of Ayar. The GIB Facility Agreement provided for two committed revolving credit facilities in an aggregate principal amount of SAR 1.0 billion (approximately $266.1 million). On March 12, 2023, Lucid LLC entered into the 2023 Amended GIB Facility Agreement to combine the two committed revolving credit facilities into a committed SAR 1.0 billion (approximately $266.1 million) 2023 GIB Credit Facility which may be used for general corporate purposes. Loans under the 2023 Amended GIB Facility Agreement had a maturity of no more than 12 months and bore interest at a rate of 1.40% per annum over SAIBOR (based on the term of borrowing) and associated fees. Under the 2023 Amended GIB Facility Agreement, the Company was required to pay a quarterly commitment fee of 0.15% per annum based on the unutilized portion of the 2023 GIB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February 24, 2025, Lucid LLC entered into the 2025 GIB Credit Facility maturing on February 24, 2028 to increase the credit facility committed amount from SAR 1.0 billion (approximately $266.1 million) to SAR 1.9 billion (approximately $506.6 million). Loans under the 2025 GIB Credit Facility may be used for general corporate purposes, have a maturity of no more than 12 months, and bear interest at a rate of 1.40% per annum over SAIBOR (based on the term of borrowing) and associated fees. The Company is required to pay a quarterly commitment fee of 0.25% per annum based on the unutilized portion of the 2025 GIB Credit Facility. Commitments under the 2025 GIB Credit Facility will terminate, and all amounts then outstanding thereunder would become payable, on the maturity date of the 2025 GIB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commitment fees for the years ended December 31, 2025, 2024, and 2023 were not material. The 2025 GIB Credit Facility contains certain conditions precedent to drawdowns, representations and warranties and covenants of Lucid LLC and events of default.</w:t>
      </w:r>
    </w:p>
    <w:p>
      <w:pPr>
        <w:pStyle w:val="TextBody"/>
        <w:bidi w:val="0"/>
        <w:spacing w:lineRule="auto" w:line="288" w:before="240" w:after="283"/>
        <w:jc w:val="left"/>
        <w:rPr/>
      </w:pPr>
      <w:r>
        <w:rPr>
          <w:rFonts w:ascii="Times New Roman;serif" w:hAnsi="Times New Roman;serif"/>
          <w:b w:val="false"/>
          <w:color w:val="000000"/>
          <w:sz w:val="20"/>
        </w:rPr>
        <w:t>As of December 31, 2025 and 2024, the Company had outstanding borrowings of SAR 1,755.0 million (approximately $468.0 million) and SAR 475.0 million (approximately $126.4 million), respectively. The outstanding borrowings were recorded within current portion of debt in the consolidated balance sheets. The weighted average interest rate on the outstanding borrowings was 6.44%</w:t>
      </w:r>
      <w:r>
        <w:rPr>
          <w:color w:val="B6B6B6"/>
        </w:rPr>
        <w:t xml:space="preserve"> </w:t>
      </w:r>
      <w:r>
        <w:rPr>
          <w:rFonts w:ascii="Times New Roman;serif" w:hAnsi="Times New Roman;serif"/>
          <w:b w:val="false"/>
          <w:color w:val="000000"/>
          <w:sz w:val="20"/>
        </w:rPr>
        <w:t>and 7.04% as of December 31, 2025 and 2024, respectively. As of December 31, 2025 and 2024, availability under the GIB credit facility was SAR 143.5 million (approximately $38.3 million) and SAR 523.2 million (approximately $139.2 million), respectively, after giving effect to the outstanding letters of credit. The Company recorded interest expense of SAR 66.9 million (approximately $17.8 million), SAR 18.4 million (approximately $4.9 million), and SAR 8.1 million (approximately $2.2 million) during the years ended December 31, 2025, 2024, and 2023, respectively. As of December 31, 2025 and 2024, the Company was in compliance with applicable covenants under the GIB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ABL Credit Facility</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2022, the Company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In June 2024, the Company amended the ABL Credit Facility to update the Canadian reference rate. Availability under the ABL Credit Facility is subject to the value of eligible assets in the borrowing base and is reduced by outstanding loan borrowings and issuances of letters of credit which bear customary letter of credit fees. Subject to certain terms and conditions, the Company may request one or more increases in the amount of credit commitments under the ABL Credit Facility in an aggregate amount up to the sum of $500.0 million plus certain other amounts. The Company is required to pay a quarterly commitment fee of 0.25% per annum based on the unutilized portion of the ABL Credit Facility.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ABL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the Company’s option following satisfaction of certain pre-conditions, may be replaced with a springing, minimum fixed charge coverage ratio financial covenant, in each case on terms set forth in the credit agreement governing the ABL Credit Facility. As of December 31, 2025 and 2024, the Company was in compliance with applicable covenants under the ABL Credit Facility.</w:t>
      </w:r>
    </w:p>
    <w:p>
      <w:pPr>
        <w:pStyle w:val="TextBody"/>
        <w:bidi w:val="0"/>
        <w:spacing w:lineRule="auto" w:line="288" w:before="240" w:after="283"/>
        <w:jc w:val="left"/>
        <w:rPr/>
      </w:pPr>
      <w:r>
        <w:rPr>
          <w:rFonts w:ascii="Times New Roman;serif" w:hAnsi="Times New Roman;serif"/>
          <w:b w:val="false"/>
          <w:color w:val="000000"/>
          <w:sz w:val="20"/>
        </w:rPr>
        <w:t>As of December 31, 2025 and 2024, the Company had no outstanding borrowings under the ABL Credit Facility. Outstanding letters of credit under the ABL Credit Facility were $104.1 million and $56.9 million as of December 31, 2025 and 2024, respectively. Availability under the ABL Credit Facility was $596.0 million (including $199.2 million cash and cash equivalents) and $354.9 million (including $191.1 million cash and cash equivalents) as of December 31, 2025 and 2024, respectively, after giving effect to the borrowing base and the outstanding letters of credit. The Company incurred issuance costs of $6.3 million to obtain the ABL Credit Facility, which was capitalized within other noncurrent assets in the consolidated balance sheets and amortized over the facility term using the straight-line method. Commitment fee and amortization of the deferred issuance costs were $3.6 million</w:t>
      </w:r>
      <w:r>
        <w:rPr>
          <w:color w:val="B6B6B6"/>
        </w:rPr>
        <w:t xml:space="preserve"> </w:t>
      </w:r>
      <w:r>
        <w:rPr>
          <w:rFonts w:ascii="Times New Roman;serif" w:hAnsi="Times New Roman;serif"/>
          <w:b w:val="false"/>
          <w:color w:val="000000"/>
          <w:sz w:val="20"/>
        </w:rPr>
        <w:t>for the year ended December 31, 2025 and $3.7 million for the years ended December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2024, the Company entered into the DDTL Credit Facility with Ayar, that may be used for working capital and general corporate purposes. The DDTL Credit Facility provides for a delayed draw term loan credit facility in an aggregate principal amount of $750.0 million and has a stated maturity date of August 4, 2029. Borrowings under the DDTL Credit Facility bear interest at the applicable interest rates specified in the credit agreement governing the 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2025, the Company increased the aggregate principal amount of the DDTL Credit Facility from $750.0 million to $1.98 billion. The Company is required to pay a quarterly undrawn fee of 0.50% per annum based on the unutilized portion of the 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DDTL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sale and leaseback transactions or consummate mergers and other fundamental changes. The DDTL Credit Facility also includes a minimum liquidity covenant. As of December 31, 2025 and 2024, the Company was in compliance with applicable covenants under the DDTL Credit Facility.</w:t>
      </w:r>
    </w:p>
    <w:p>
      <w:pPr>
        <w:pStyle w:val="TextBody"/>
        <w:bidi w:val="0"/>
        <w:spacing w:lineRule="auto" w:line="288" w:before="240" w:after="283"/>
        <w:jc w:val="left"/>
        <w:rPr/>
      </w:pPr>
      <w:r>
        <w:rPr>
          <w:rFonts w:ascii="Times New Roman;serif" w:hAnsi="Times New Roman;serif"/>
          <w:b w:val="false"/>
          <w:color w:val="000000"/>
          <w:sz w:val="20"/>
        </w:rPr>
        <w:t>As of December 31, 2025 and 2024, the Company had no outstanding borrowings under the DDTL Credit Facility. The Company incurred issuance costs of $6.2 million to obtain the DDTL Credit Facility during the year ended December 31, 2024, which was capitalized within other noncurrent assets in the consolidated balance sheet and amortized over the facility term using the straight-line method. The Company incurred issuance costs of $9.2 million to increase the aggregate delayed draw term commitment of the DDTL Credit Facility during the year ended December 31, 2025, which was capitalized within other noncurrent assets in the consolidated balance sheet and amortized over the remaining term of the facility using the straight-line method. Commitment fee and amortization of the deferred issuance costs were $6.4 million</w:t>
      </w:r>
      <w:r>
        <w:rPr>
          <w:color w:val="B6B6B6"/>
        </w:rPr>
        <w:t xml:space="preserve"> </w:t>
      </w:r>
      <w:r>
        <w:rPr>
          <w:rFonts w:ascii="Times New Roman;serif" w:hAnsi="Times New Roman;serif"/>
          <w:b w:val="false"/>
          <w:color w:val="000000"/>
          <w:sz w:val="20"/>
        </w:rPr>
        <w:t>and $2.1 million for the years ended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7 - COMMON STOCK WARRANT LIABILITY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July 23, 2021, in connection with the Merger, the Company effectively issued 44,350,000 Private Placement Warrants. Following the Reverse Stock Split, every ten Private Placement Warrants may be exercised to purchase one share of the Company’s common stock for an aggregate exercise price of $115.00. The Private Placement Warrants were initially recorded as long-term liabilities in the consolidated balance sheets at a fair value of $812.0 million, and were remeasured to a fair value of $19.5 million as of December 31, 2024. The Private Placement Warrants remained unexercised and were remeasured to a fair value of nil as of December 31, 2025. The Company recognized gains of $19.5 million, $34.2 million, and $86.9 million for the years ended December 31, 2025, 2024, and 2023, respectively, in the consolidated statements of operations and comprehensive loss.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the Private Placement Warrants that is not subject to the contingent forfeiture provisions was estimated using a Black-Scholes option pricing model, and was as follows:</w:t>
      </w:r>
    </w:p>
    <w:p>
      <w:pPr>
        <w:pStyle w:val="TextBody"/>
        <w:bidi w:val="0"/>
        <w:spacing w:before="0" w:after="0"/>
        <w:jc w:val="both"/>
        <w:rPr/>
      </w:pPr>
      <w:r>
        <w:rPr/>
      </w:r>
    </w:p>
    <w:tbl>
      <w:tblPr>
        <w:tblW w:w="9306" w:type="dxa"/>
        <w:jc w:val="left"/>
        <w:tblInd w:w="0" w:type="dxa"/>
        <w:tblLayout w:type="fixed"/>
        <w:tblCellMar>
          <w:top w:w="28" w:type="dxa"/>
          <w:left w:w="28" w:type="dxa"/>
          <w:bottom w:w="28" w:type="dxa"/>
          <w:right w:w="28" w:type="dxa"/>
        </w:tblCellMar>
      </w:tblPr>
      <w:tblGrid>
        <w:gridCol w:w="2031"/>
        <w:gridCol w:w="1786"/>
        <w:gridCol w:w="1792"/>
        <w:gridCol w:w="109"/>
        <w:gridCol w:w="109"/>
        <w:gridCol w:w="109"/>
        <w:gridCol w:w="381"/>
        <w:gridCol w:w="922"/>
        <w:gridCol w:w="196"/>
        <w:gridCol w:w="109"/>
        <w:gridCol w:w="109"/>
        <w:gridCol w:w="109"/>
        <w:gridCol w:w="372"/>
        <w:gridCol w:w="901"/>
        <w:gridCol w:w="271"/>
      </w:tblGrid>
      <w:tr>
        <w:trPr/>
        <w:tc>
          <w:tcPr>
            <w:tcW w:w="203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Private Placement Warrants per share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Assumptions used in the Black-Scholes option pricing model take into account the contract terms as well as the quoted price of the Company’s common stock in an active market. The volatility is based on the Company’s historical volatility. The expected life is based on the remaining contractual term of the warrants, and the risk-free interest rate is based on the implied yield available on U.S. Treasury securities with a maturity equivalent to the warrants’ expected life. The level 3 fair value inputs used in the Black-Scholes option pricing models were as follows:</w:t>
      </w:r>
    </w:p>
    <w:tbl>
      <w:tblPr>
        <w:tblW w:w="5784" w:type="dxa"/>
        <w:jc w:val="left"/>
        <w:tblInd w:w="0" w:type="dxa"/>
        <w:tblLayout w:type="fixed"/>
        <w:tblCellMar>
          <w:top w:w="28" w:type="dxa"/>
          <w:left w:w="28" w:type="dxa"/>
          <w:bottom w:w="28" w:type="dxa"/>
          <w:right w:w="28" w:type="dxa"/>
        </w:tblCellMar>
      </w:tblPr>
      <w:tblGrid>
        <w:gridCol w:w="756"/>
        <w:gridCol w:w="662"/>
        <w:gridCol w:w="667"/>
        <w:gridCol w:w="109"/>
        <w:gridCol w:w="109"/>
        <w:gridCol w:w="109"/>
        <w:gridCol w:w="334"/>
        <w:gridCol w:w="334"/>
        <w:gridCol w:w="832"/>
        <w:gridCol w:w="109"/>
        <w:gridCol w:w="109"/>
        <w:gridCol w:w="109"/>
        <w:gridCol w:w="314"/>
        <w:gridCol w:w="314"/>
        <w:gridCol w:w="917"/>
      </w:tblGrid>
      <w:tr>
        <w:trPr/>
        <w:tc>
          <w:tcPr>
            <w:tcW w:w="75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8 – REDEEMABLE CONVERTIBLE PREFERRED STOCK</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2024, the Company entered into the Series A Subscription Agreement with Ayar. Pursuant to the Series A Subscription Agreement, Ayar agreed to purchase from the Company 100,000 shares of the Series A Redeemable Convertible Preferred Stock for an aggregate purchase price of $1.0 billion in a private placement. Subsequently, in March 2024, the Company issued the shares to Ayar pursuant to the Series A Subscription Agreement and received aggregate gross proceeds of $1.0 billion.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2024, the Company entered into the Series B Subscription Agreement with Ayar. Pursuant to the Series B Subscription Agreement, Ayar agreed to purchase from the Company 75,000 shares of the Series B Redeemable Convertible Preferred Stock for an aggregate purchase price of $750.0 million in a private placement. Subsequently, in August 2024, the Company issued the shares to Ayar pursuant to the Series B Subscription Agreement and received aggregate gross proceeds of $750.0 million.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of the Series A Redeemable Convertible Preferred Stock and the Series B Redeemable Convertible Preferred Stock were issued pursuant to the Certificate of Designations. Pursuant to the Series A Subscription Agreement and the Series B Subscription Agreement, Ayar has agreed, with certain exceptions, that without prior written consent of the Company, it will not sell or transfer the Redeemable Convertible Preferred Stock for the twelve months after the date of the closing of the respective private placement. </w:t>
      </w:r>
    </w:p>
    <w:p>
      <w:pPr>
        <w:pStyle w:val="TextBody"/>
        <w:bidi w:val="0"/>
        <w:spacing w:lineRule="auto" w:line="268" w:before="240" w:after="283"/>
        <w:jc w:val="left"/>
        <w:rPr/>
      </w:pPr>
      <w:r>
        <w:rPr>
          <w:rFonts w:ascii="Times New Roman;serif" w:hAnsi="Times New Roman;serif"/>
          <w:b/>
          <w:i/>
          <w:color w:val="000000"/>
          <w:sz w:val="20"/>
        </w:rPr>
        <w:t>Dividends:</w:t>
      </w:r>
      <w:r>
        <w:rPr>
          <w:color w:val="000000"/>
        </w:rPr>
        <w:t xml:space="preserve"> </w:t>
      </w:r>
      <w:r>
        <w:rPr>
          <w:rFonts w:ascii="Times New Roman;serif" w:hAnsi="Times New Roman;serif"/>
          <w:b w:val="false"/>
          <w:color w:val="000000"/>
          <w:sz w:val="20"/>
        </w:rPr>
        <w:t xml:space="preserve">The Redeemable Convertible Preferred Stock ranks senior to the common stock with respect to dividends and distributions of assets upon the Company’s liquidation, dissolution or winding up. The Redeemable Convertible Preferred Stock has an initial value of $10,000 per share (the “Initial Value” and the Initial Value plus compounded and accrued dividends, the “Accrued Value”). Dividends on the Redeemable Convertible Preferred Stock are payable in the form of compounded cumulative dividends upon each share of the Redeemable Convertible Preferred Stock (paid-in-kind). Dividends accrue daily on the Initial Value (as increased for any compounded dividends previously compounded thereon) of each share of the Redeemable Convertible Preferred Stock at a rate of 9% per annum and compound on the basis of quarterly dividend payment dates on each March 31, June 30, September 30 and December 31 of each year, commencing June 30, 2024 for the Series A Redeemable Convertible Preferred Stock and September 30, 2024 for the Series B Redeemable Convertible Preferred Stock.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Liquidation Preference:</w:t>
      </w:r>
      <w:r>
        <w:rPr>
          <w:color w:val="000000"/>
        </w:rPr>
        <w:t xml:space="preserve"> </w:t>
      </w:r>
      <w:r>
        <w:rPr>
          <w:rFonts w:ascii="Times New Roman;serif" w:hAnsi="Times New Roman;serif"/>
          <w:b w:val="false"/>
          <w:color w:val="000000"/>
          <w:sz w:val="20"/>
        </w:rPr>
        <w:t>Upon a liquidation, dissolution or winding up of the Company, each holder of shares of the Redeemable Convertible Preferred Stock (“Holder”) will be entitled to receive, with respect to each share of then-outstanding Redeemable Convertible Preferred Stock, out of the assets of the Company available for distribution to its stockholders an amount in cash equal to the greater of (a) an amount per share of the Redeemable Convertible Preferred Stock as of the date of such liquidation, dissolution or winding up equal to (i) the per share Accrued Value as of the relevant date multiplied by (ii) the relevant percentage (the product of (i) and (ii), the “Minimum Consideration”); and (b) the amount that such Holder would have received with respect to such share of the Redeemable Convertible Preferred Stock if all shares of the Redeemable Convertible Preferred Stock had been converted at their Accrued Value into shares of common stock on the business day immediately prior to the date of such liquidation, dissolution or winding up. As of December 31, 2025 and 2024, the liquidation preference of the Series A Redeemable Convertible Preferred Stock was $1,350.4 million and</w:t>
      </w:r>
      <w:r>
        <w:rPr>
          <w:color w:val="929292"/>
        </w:rPr>
        <w:t xml:space="preserve"> </w:t>
      </w:r>
      <w:r>
        <w:rPr>
          <w:rFonts w:ascii="Times New Roman;serif" w:hAnsi="Times New Roman;serif"/>
          <w:b w:val="false"/>
          <w:color w:val="000000"/>
          <w:sz w:val="20"/>
        </w:rPr>
        <w:t xml:space="preserve">$1,138.8 million, respectively. As of December 31, 2025 and 2024, the liquidation preference of the Series B Redeemable Convertible Preferred Stock was $949.2 million and $800.4 million, respectively.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 xml:space="preserve">Voting Rights: </w:t>
      </w:r>
      <w:r>
        <w:rPr>
          <w:rFonts w:ascii="Times New Roman;serif" w:hAnsi="Times New Roman;serif"/>
          <w:b w:val="false"/>
          <w:color w:val="000000"/>
          <w:sz w:val="20"/>
        </w:rPr>
        <w:t>Each Holder is entitled to the number of votes equal to the number of whole shares of common stock into which the aggregate shares of the Redeemable Convertible Preferred Stock held by such Holder are convertible on the record date for determining stockholders entitled to vote on any matter presented to the stockholders of the Company for their action or consideration at any meeting of stockholders and on which matter holders of the common stock shall be entitled to vote. Holders are entitled to notice of any meeting of stockholders and, except as otherwise provided in the Certificate of Designations or otherwise required by law, to vote together as a single class with the holders of the common stock and any other class or series of stock entitled to vote thereon. The voting power of Holders is subject to a voting cap per share equal to the quotient of the $10,000 Initial Value and the minimum price ($27.70 for the Series A Redeemable Convertible Preferred Stock and $31.20 for the Series B Redeemable Convertible Preferred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long as at least 10% of the aggregate number of shares issued on the respective initial issue date remain outstanding, and subject to certain other conditions, Holders are entitled to a separate class vote with respect to, among other things, amendments to the Company’s organizational documents that have an adverse effect on the Redeemable Convertible Preferred Stock, authorizations or issuances by the Company of capital stock of the Company that ranks senior or equal to the Redeemable Convertible Preferred Stock with respect to dividends or distributions on liquidation or the terms of which provide for cash dividends (other than the common stock), winding-up and dissolution, and decreases in the number of authorized shares of the Redeemable Convertible Preferred Stock. The Company also agreed that as long as Ayar owns at least 50% of the shares issued on the respective initial issue date, the Company will comply with certain debt incurrence covenants in its Credit Agreement, dated as of June 9, 2022, by and among the Company, as the Borrower Representative, the other Borrowers party thereto from time-to-time, the Lenders and Issuing Banks from time-to-time party thereto and Bank of America, N.A., as Administrative Agent, as amended, which agreement may be waived with the sole consent of Ayar.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Conversion:</w:t>
      </w:r>
      <w:r>
        <w:rPr>
          <w:color w:val="000000"/>
        </w:rPr>
        <w:t xml:space="preserve"> </w:t>
      </w:r>
      <w:r>
        <w:rPr>
          <w:rFonts w:ascii="Times New Roman;serif" w:hAnsi="Times New Roman;serif"/>
          <w:b w:val="false"/>
          <w:color w:val="000000"/>
          <w:sz w:val="20"/>
        </w:rPr>
        <w:t xml:space="preserve">Each share of the Redeemable Convertible Preferred Stock is convertible, at the option of the respective Holder, from time-to-time after the initial issue date, and without the payment of additional consideration by the Holder, (a) at any time that the closing price per share of the common stock on the trading day immediately preceding the date on which the Holder delivers the relevant notice of conversion is at least $55.00 (subject to certain adjustments), unless the Company otherwise consents to such conversion in its sole discretion, or (b) in all events during certain specified periods relating to a fundamental change or optional redemption by the Company, into such number of fully paid and non-assessable shares of common stock as is determined by dividing (i) the applicable Accrued Value as of the conversion date by (ii) the applicable conversion price in effect as of such conversion date, which shall initially be $35.9520 for the Series A Redeemable Convertible Preferred Stock and $43.7990 for the Series B Redeemable Convertible Preferred Stock, subject to customary anti-dilution adjustments, including in the event of any stock split, stock dividend, recapitalization or similar events (the “Conversion Price”).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 xml:space="preserve">Mandatory Conversion: </w:t>
      </w:r>
      <w:r>
        <w:rPr>
          <w:rFonts w:ascii="Times New Roman;serif" w:hAnsi="Times New Roman;serif"/>
          <w:b w:val="false"/>
          <w:color w:val="000000"/>
          <w:sz w:val="20"/>
        </w:rPr>
        <w:t>On or after the third anniversary of the initial issue date, if at any time (i) the daily VWAP of the common stock has been at least 200% of the Conversion Price for at least twenty (20) trading days (whether or not consecutive) during any thirty (30) consecutive trading days (including the last day of such period) and (ii) certain common stock liquidity conditions are satisfied, the Company will have the right, exercisable at its election within fifteen (15) business days following completion of the applicable thirty (30) trading day period, to cause all or any portion of the Redeemable Convertible Preferred Stock to convert into a number of fully paid and non-assessable shares of common stock, as determined by dividing (i) the applicable Accrued Value as of the conversion date by (ii) the Conversion Price in effect as of such conversion date. The Company will be required to pay an additional amount per share of the Redeemable Convertible Preferred Stock payable in cash, shares of common stock valued based on a five-day average daily VWAP or a combination thereof in respect of such conversion equal to the greater of (x) the difference between (i) the Minimum Consideration and (ii) the value of the shares of common stock delivered upon mandatory conversion thereof and (y) zero.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 xml:space="preserve">Fundamental Change: </w:t>
      </w:r>
      <w:r>
        <w:rPr>
          <w:rFonts w:ascii="Times New Roman;serif" w:hAnsi="Times New Roman;serif"/>
          <w:b w:val="false"/>
          <w:color w:val="000000"/>
          <w:sz w:val="20"/>
        </w:rPr>
        <w:t xml:space="preserve">Upon a fundamental change, the Holders will be entitled, on the fundamental change repurchase date specified by the Company, to receive an amount equal to the greater of (a) the Minimum Consideration and (b) an amount equal to the value that such Holder would have received if it had converted its shares of the Redeemable Convertible Preferred Stock into shares of common stock on the business day immediately before the fundamental change repurchase date. The fundamental change repurchase price may be paid in cash, shares of common stock (or other securities to be received by a holder of common stock in such fundamental change) valued based on a five-day average daily VWAP (with the number of shares of common stock rounded up to the nearest whole share), or a combination thereof, at the Company’s election. The Company may not elect to deliver shares of its common stock (or other securities to be received by a holder of common stock in such fundamental change) in partial or full satisfaction of the fundamental change repurchase price, if certain common stock liquidity conditions are not satisfied.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 xml:space="preserve">Optional Redemption: </w:t>
      </w:r>
      <w:r>
        <w:rPr>
          <w:rFonts w:ascii="Times New Roman;serif" w:hAnsi="Times New Roman;serif"/>
          <w:b w:val="false"/>
          <w:color w:val="000000"/>
          <w:sz w:val="20"/>
        </w:rPr>
        <w:t>On or after the fifth anniversary of the initial issue date, the Company may redeem all or any portion of the Redeemable Convertible Preferred Stock at a redemption price per share equal to the greater of (a) the Minimum Consideration and (b) an amount equal to the value (calculated based on a twenty (20)-day average daily VWAP) of the number of shares of common stock if it had converted its shares of the Redeemable Convertible Preferred Stock into shares of common stock as of the redemption date. Such redemption price may be paid in cash, shares of common stock valued based on a twenty (20)-day average daily VWAP, or a combination thereof, at the Company’s election. The Company may not pay any portion of such redemption price in shares of common stock if the common stock liquidity conditions are not satisfied.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While the Redeemable Convertible Preferred Stock is callable after five years at the Company’s option, the Redeemable Convertible Preferred Stock is considered redeemable at the option of Ayar and was classified as mezzanine equity, because it is the majority shareholder of the Company. The Company recorded the Series A Redeemable Convertible Preferred Stock initially at its issuance price, net of issuance costs of $2.4 million and net of the initial value of the bifurcated derivative liability of $497.1 million. The Company also recorded the Series B Redeemable Convertible Preferred Stock initially at its issuance price, net of issuance costs of $0.6 million and net of the initial value of the bifurcated derivative liability of $297.7 million.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accretes the Redeemable Convertible Preferred Stock to its redemption value, which is greater of (a) the Minimum Consideration and (b) an amount equal to the value that such Holder would have received if it had converted its shares of the Redeemable Convertible Preferred Stock into shares of common stock as of the Redemption Date. In certain circumstances, the redemption price may vary based on changes in stock price, in which case the Company recognizes changes in the redemption value immediately as they occur and adjust the carrying value of the security to equal the then current maximum redemption value at the end of each reporting period. The Company recorded accretion of $609.6 million and $229.5 million related to the Series A Redeemable Convertible Preferred Stock during the years ended December 31, 2025 and 2024, respectively. The Company recorded accretion of $374.0 million and $118.1 million related to the Series B Redeemable Convertible Preferred Stock during the years ended December 31, 2025 and 2024, respectively. Accretion of the Redeemable Convertible Preferred Stock was reflected as adjustments to additional paid-in capital in the consolidated balance sheets as of December 31, 2025 and 2024. The carrying value of the Series A Redeemable Convertible Preferred Stock was $1,339.6 million and $730.0 million as of December 31, 2025 and 2024, respectively. The carrying value of the Series B Redeemable Convertible Preferred Stock was $943.8 million and $569.8 million as of December 31, 2025 and 2024, respectively.</w:t>
      </w:r>
    </w:p>
    <w:p>
      <w:pPr>
        <w:pStyle w:val="TextBody"/>
        <w:bidi w:val="0"/>
        <w:spacing w:lineRule="auto" w:line="268" w:before="240" w:after="283"/>
        <w:jc w:val="left"/>
        <w:rPr/>
      </w:pPr>
      <w:r>
        <w:rPr>
          <w:rFonts w:ascii="Times New Roman;serif" w:hAnsi="Times New Roman;serif"/>
          <w:b w:val="false"/>
          <w:color w:val="000000"/>
          <w:sz w:val="20"/>
        </w:rPr>
        <w:t>The Company assessed the above features to determine whether any features are required to be bifurcated and separately accounted for as an embedded feature. The Company concluded that the conversion features, inclusive of all settlement outcomes where the pay-off is indexed to the if-converted value, meets all the requirements to be separately accounted for as a bifurcated derivative. As a result, the Company bifurcated the Redeemable Convertible Preferred Stock between (i) the host contracts which are accounted for within mezzanine equity as described above, and (ii) the bifurcated derivative liabilities related to the conversion features. The proceeds from issuance were first allocated to the fair value of the bifurcated derivatives with the residual being allocated to the host contracts. The bifurcated derivatives are remeasured to fair value at each reporting period with changes in fair value recorded in the consolidated statement of operations and comprehensi</w:t>
      </w:r>
      <w:r>
        <w:rPr>
          <w:rFonts w:ascii="Times New Roman;serif" w:hAnsi="Times New Roman;serif"/>
          <w:b w:val="false"/>
          <w:color w:val="000000"/>
          <w:sz w:val="20"/>
          <w:shd w:fill="FFFFFF" w:val="clear"/>
        </w:rPr>
        <w:t>ve loss</w:t>
      </w:r>
      <w:r>
        <w:rPr>
          <w:rFonts w:ascii="Times New Roman;serif" w:hAnsi="Times New Roman;serif"/>
          <w:b w:val="false"/>
          <w:color w:val="000000"/>
          <w:sz w:val="20"/>
        </w:rPr>
        <w:t xml:space="preserve">. </w:t>
      </w:r>
    </w:p>
    <w:p>
      <w:pPr>
        <w:pStyle w:val="TextBody"/>
        <w:bidi w:val="0"/>
        <w:spacing w:lineRule="auto" w:line="268" w:before="240" w:after="283"/>
        <w:jc w:val="left"/>
        <w:rPr/>
      </w:pPr>
      <w:r>
        <w:rPr>
          <w:rFonts w:ascii="Times New Roman;serif" w:hAnsi="Times New Roman;serif"/>
          <w:b w:val="false"/>
          <w:color w:val="000000"/>
          <w:sz w:val="20"/>
        </w:rPr>
        <w:t>As of December 31, 2025 and 2024, the Company remeasured the derivative liabilities for the Redeemable Convertible Preferred Stock to fair value of $16.2 million and $639.4 million, comprising of $10.8 million and $408.8 million related to Series A Redeemable Convertible Preferred Stock and $5.4 million and $230.6 million related to Series B Redeemable Convertible Preferred Stock, respectively. The Company recognized gains of $623.2 million and $155.4 million</w:t>
      </w:r>
      <w:r>
        <w:rPr>
          <w:color w:val="929292"/>
        </w:rPr>
        <w:t xml:space="preserve"> </w:t>
      </w:r>
      <w:r>
        <w:rPr>
          <w:rFonts w:ascii="Times New Roman;serif" w:hAnsi="Times New Roman;serif"/>
          <w:b w:val="false"/>
          <w:color w:val="000000"/>
          <w:sz w:val="20"/>
        </w:rPr>
        <w:t>for the years ended December 31, 2025 and 2024, respectively, in change in fair value of derivative liabilities associated with redeemable convertible preferred stock (related party) in the consolidated statements of operations and comprehensive loss.</w:t>
      </w:r>
    </w:p>
    <w:p>
      <w:pPr>
        <w:pStyle w:val="TextBody"/>
        <w:bidi w:val="0"/>
        <w:spacing w:lineRule="auto" w:line="268" w:before="240" w:after="283"/>
        <w:jc w:val="left"/>
        <w:rPr/>
      </w:pPr>
      <w:r>
        <w:rPr>
          <w:rFonts w:ascii="Times New Roman;serif" w:hAnsi="Times New Roman;serif"/>
          <w:b w:val="false"/>
          <w:color w:val="000000"/>
          <w:sz w:val="20"/>
          <w:shd w:fill="FFFFFF" w:val="clear"/>
        </w:rPr>
        <w:t>The Company estimated the fair value of the derivative liabilities using a binomial lattice model with the volatility, credit spread, and term</w:t>
      </w:r>
      <w:r>
        <w:rPr>
          <w:color w:val="000000"/>
        </w:rPr>
        <w:t xml:space="preserve"> </w:t>
      </w:r>
      <w:r>
        <w:rPr>
          <w:rFonts w:ascii="Times New Roman;serif" w:hAnsi="Times New Roman;serif"/>
          <w:b w:val="false"/>
          <w:color w:val="000000"/>
          <w:sz w:val="20"/>
          <w:shd w:fill="FFFFFF" w:val="clear"/>
        </w:rPr>
        <w:t>as significant unobservable inputs. Assumptions used in the valuation also take into account the contractual terms as well as the quoted price of the Company’s common stock in an active</w:t>
      </w:r>
      <w:r>
        <w:rPr>
          <w:color w:val="000000"/>
        </w:rPr>
        <w:t xml:space="preserve"> </w:t>
      </w:r>
      <w:r>
        <w:rPr>
          <w:rFonts w:ascii="Times New Roman;serif" w:hAnsi="Times New Roman;serif"/>
          <w:b w:val="false"/>
          <w:color w:val="000000"/>
          <w:sz w:val="20"/>
        </w:rPr>
        <w:t xml:space="preserve">market. Significant changes in any of those inputs in isolation would result in significant changes to the fair value measurement.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The level 3 fair value inputs</w:t>
      </w:r>
      <w:r>
        <w:rPr>
          <w:color w:val="000000"/>
        </w:rPr>
        <w:t xml:space="preserve"> </w:t>
      </w:r>
      <w:r>
        <w:rPr>
          <w:rFonts w:ascii="Times New Roman;serif" w:hAnsi="Times New Roman;serif"/>
          <w:b w:val="false"/>
          <w:color w:val="000000"/>
          <w:sz w:val="20"/>
        </w:rPr>
        <w:t xml:space="preserve">used in the valuation of the derivative liabilities associated with the Redeemable Convertible Preferred Stock were as follows: </w:t>
      </w:r>
    </w:p>
    <w:tbl>
      <w:tblPr>
        <w:tblW w:w="8804" w:type="dxa"/>
        <w:jc w:val="left"/>
        <w:tblInd w:w="0" w:type="dxa"/>
        <w:tblLayout w:type="fixed"/>
        <w:tblCellMar>
          <w:top w:w="28" w:type="dxa"/>
          <w:left w:w="28" w:type="dxa"/>
          <w:bottom w:w="28" w:type="dxa"/>
          <w:right w:w="28" w:type="dxa"/>
        </w:tblCellMar>
      </w:tblPr>
      <w:tblGrid>
        <w:gridCol w:w="484"/>
        <w:gridCol w:w="424"/>
        <w:gridCol w:w="427"/>
        <w:gridCol w:w="109"/>
        <w:gridCol w:w="109"/>
        <w:gridCol w:w="109"/>
        <w:gridCol w:w="294"/>
        <w:gridCol w:w="858"/>
        <w:gridCol w:w="377"/>
        <w:gridCol w:w="109"/>
        <w:gridCol w:w="109"/>
        <w:gridCol w:w="109"/>
        <w:gridCol w:w="294"/>
        <w:gridCol w:w="858"/>
        <w:gridCol w:w="377"/>
        <w:gridCol w:w="109"/>
        <w:gridCol w:w="109"/>
        <w:gridCol w:w="109"/>
        <w:gridCol w:w="294"/>
        <w:gridCol w:w="858"/>
        <w:gridCol w:w="377"/>
        <w:gridCol w:w="109"/>
        <w:gridCol w:w="109"/>
        <w:gridCol w:w="109"/>
        <w:gridCol w:w="290"/>
        <w:gridCol w:w="849"/>
        <w:gridCol w:w="435"/>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Series A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Series B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Derivative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Series A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Series B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Derivative Liability</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9 – STOCKHOLDERS’ EQUITY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authorized the issuance of 10,000,000 shares of undesignated preferred stock with a par value of $0.0001 per share with rights and preferences, including voting rights, designated from time-to-time by the Board of Directors. As of December 31, 2025 and 2024, there were 100,000 and 75,000 issued and outstanding shares of Series A Redeemable Convertible Preferred Stock and Series B Redeemable Convertible Preferred Stock, respectively.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May 31, 2023, the Company entered into the 2023 Underwriting Agreement with the Underwriter, under which the Underwriter agreed to purchase 17,354,495 shares of the Company’s common stock at a price per share of $68.30, for aggregate net proceeds to the Company of $1.2 billion. In June 2023, the Company issued the shares to the Underwriter pursuant to the 2023 Underwriting Agreement and received aggregate net proceeds of $1.2 billion after deducting issuance costs of $1.1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May 31, 2023, the Company entered into the 2023 Subscription Agreement with Ayar, pursuant to which Ayar agreed to purchase from the Company 26,569,370 shares of the Company’s common stock at a price per share of $68.30 in a private placement for aggregate net proceeds to the Company of $1.8 billion. In June 2023, the Company issued the shares to Ayar pursuant to the 2023 Subscription Agreement and received aggregate net proceeds of $1.8 billion after deducting issuance costs of $2.0 million.</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16, 2024, the Company entered into the 2024 Underwriting Agreement with the Underwriter, under which the Underwriter agreed to purchase 26,244,694 shares of the Company’s common stock. The Company also granted the Underwriter an Overallotment Option to purchase additional shares. On October 17, 2024, the Underwriter exercised the Overallotment Option to purchase an additional 1,503,759 shares. On October 18, 2024, the Company completed the public offering pursuant to the 2024 Underwriting Agreement at a price per share of $25.91, and received aggregate net proceeds of $718.4 million after deducting issuance costs of $0.6 million.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On October 16, 2024, the Company entered into the 2024 Subscription Agreement with Ayar, pursuant to which Ayar agreed to purchase from the Company 37,471,793 shares of the Company’s common stock. In addition, given the Underwriter’s exercise of the Overallotment Option, Ayar agreed to purchase an additional 2,147,045 shares of the Company’s common stock. As of October 31, 2024, the Company consummated the private placement of shares to Ayar pursuant to the 2024 Subscription Agreement at a price per share of $25.91, for aggregate net proceeds of $1,025.7 million after deducting issuance costs of $0.8 million.</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On July 16, 2025, the Company entered into the VPA with Uber and the 2025 Subscription Agreement with SMB, a subsidiary of Uber. Under the VPA, Uber and its designated fleet operators have agreed to purchase a minimum commitment of 20,000 (the “Minimum Quantity Guarantee”) Lucid Gravity vehicles that have been modified to include certain autonomous driving hardware and other features (the “Lucid Gravity Plus vehicles”). Under the 2025 Subscription Agreement, the Company agreed to issue and SMB agreed to purchase, in a private placement, the Company’s common stock equal to (i) $300.0 million in cash divided by (ii) an amount equal to the arithmetic average of the daily volume-weighted average price of the common stock over a period of 30 consecutive trading days ending on, and including, July 15, 2025. In September 2025, the Company and SMB entered into an amendment to the 2025 Subscription Agreement to reflect the adjustments made to the number of placement shares and purchase price per placement share therein due to the Reverse Stock Split. The Company also consummated the private placement of shares to SMB and issued 13,715,121 shares at a price per share of $21.87, for aggregate net proceeds of $299.7 million after deducting issuance costs of $0.3 million in September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of common stock sold to SMB pursuant to the 2025 Subscription Agreement were sold based upon reliance on the exemption from registration provided in Section 4(a)(2) of the Securities Act. SMB may not transfer the shares of common stock acquired under the 2025 Subscription Agreement for a period of 18-months after the closing of the private placement. </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Issuance costs incurred were recorded as a reduction of the gross proceeds received from the equity offerings within additional paid-in capital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Treasury Stock</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2021, the Company repurchased an aggregate of 85,782 shares of its common stock, including 71,274 shares from certain employees and 14,508 shares from board of directors of the Company’s predecessor, Atieva, Inc. at $241.50 per share. No common stock was repurchased during the years ended December 31, 2025 and 2024.</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Common Stock Reserved for Issuance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common stock reserved for future issuances as of December 31, 2025 was as follows:</w:t>
      </w:r>
    </w:p>
    <w:tbl>
      <w:tblPr>
        <w:tblW w:w="8378" w:type="dxa"/>
        <w:jc w:val="left"/>
        <w:tblInd w:w="0" w:type="dxa"/>
        <w:tblLayout w:type="fixed"/>
        <w:tblCellMar>
          <w:top w:w="28" w:type="dxa"/>
          <w:left w:w="28" w:type="dxa"/>
          <w:bottom w:w="28" w:type="dxa"/>
          <w:right w:w="28" w:type="dxa"/>
        </w:tblCellMar>
      </w:tblPr>
      <w:tblGrid>
        <w:gridCol w:w="2434"/>
        <w:gridCol w:w="2139"/>
        <w:gridCol w:w="2147"/>
        <w:gridCol w:w="592"/>
        <w:gridCol w:w="594"/>
        <w:gridCol w:w="472"/>
      </w:tblGrid>
      <w:tr>
        <w:trPr/>
        <w:tc>
          <w:tcPr>
            <w:tcW w:w="2434"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 to purchase common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4,435,000 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2,030,874 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19,983,583 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grants under equity plans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3,431,856 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2026 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372,950 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2030 Notes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36,666,630 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2031 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46,846,313 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Series A redeemable convertible preferred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32,526,595 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Series B redeemable convertible preferred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19,358,849 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common stock reserved</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165,652,650 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10 – STOCK-BASED AWARDS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Lucid 2021 Incentive Plan and ESPP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July 2021, the Company’s Board of Directors adopted and the stockholders approved the 2021 Incentive Plan (the “2021 Incentive Plan”), which includes an ESPP as an addendum. The 2021 Incentive Plan replaced the 2021 Plan. The 2021 Incentive Plan provides for the grant of restricted shares, non-qualified stock options, incentive stock options, unrestricted shares, stock appreciation rights, restricted stock units and cash awards. Shares of common stock underlying awards that are forfeited or cancelled generally are returned to the pool of shares available for issuance under the 2021 Incentive Plan.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had 3,431,856 shares of common stock available for issuance under the 2021 Incentive Plan, including the ESPP, as of December 31,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outstanding stock options generally expire between 7 years to 10 years from the date of grant and are exercisable when the options vest. In general, incentive stock options and non-statutory options vest over four years, the majority of which vest at a rate of 25% on the first anniversary of the grant date, with the remainder vesting ratably each month over the next three years. A summary of stock option activity for the year ended December 31, 2025 was as follows:</w:t>
      </w:r>
    </w:p>
    <w:tbl>
      <w:tblPr>
        <w:tblW w:w="10205" w:type="dxa"/>
        <w:jc w:val="left"/>
        <w:tblInd w:w="0" w:type="dxa"/>
        <w:tblLayout w:type="fixed"/>
        <w:tblCellMar>
          <w:top w:w="28" w:type="dxa"/>
          <w:left w:w="28" w:type="dxa"/>
          <w:bottom w:w="28" w:type="dxa"/>
          <w:right w:w="28" w:type="dxa"/>
        </w:tblCellMar>
      </w:tblPr>
      <w:tblGrid>
        <w:gridCol w:w="981"/>
        <w:gridCol w:w="862"/>
        <w:gridCol w:w="864"/>
        <w:gridCol w:w="499"/>
        <w:gridCol w:w="486"/>
        <w:gridCol w:w="346"/>
        <w:gridCol w:w="109"/>
        <w:gridCol w:w="109"/>
        <w:gridCol w:w="109"/>
        <w:gridCol w:w="363"/>
        <w:gridCol w:w="1062"/>
        <w:gridCol w:w="187"/>
        <w:gridCol w:w="109"/>
        <w:gridCol w:w="109"/>
        <w:gridCol w:w="109"/>
        <w:gridCol w:w="802"/>
        <w:gridCol w:w="802"/>
        <w:gridCol w:w="803"/>
        <w:gridCol w:w="109"/>
        <w:gridCol w:w="109"/>
        <w:gridCol w:w="109"/>
        <w:gridCol w:w="225"/>
        <w:gridCol w:w="770"/>
        <w:gridCol w:w="172"/>
      </w:tblGrid>
      <w:tr>
        <w:trPr/>
        <w:tc>
          <w:tcPr>
            <w:tcW w:w="98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8"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Outstanding Options</w:t>
            </w:r>
          </w:p>
        </w:tc>
      </w:tr>
      <w:tr>
        <w:trPr/>
        <w:tc>
          <w:tcPr>
            <w:tcW w:w="2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 xml:space="preserve">Intrinsic Value </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2,689,410 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48,886 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(561,891)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Options canceled</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(96,645)</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71.62 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2,030,874 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2,918 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vested and exercisable as of December 31, 2025</w:t>
            </w:r>
          </w:p>
        </w:tc>
        <w:tc>
          <w:tcPr>
            <w:tcW w:w="98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1,936,956 </w:t>
            </w:r>
          </w:p>
        </w:tc>
        <w:tc>
          <w:tcPr>
            <w:tcW w:w="3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2,918 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Aggregate intrinsic value represents the difference between the exercise price of the options and the fair value of common shares. The aggregate intrinsic value of options exercised was $9.3 million, $8.4 million and $50.1 million for the years ended December 31, 2025, 2024, and 2023,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total fair value of stock options granted during the years ended December 31, 2024 and 2023 was $0.4 million and $17.4 million, respectively, which is recognized over the respective vesting periods. No stock options were granted during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total fair value of stock options vested during the years ended December 31, 2025, 2024, and 2023, was $2.7 million, $4.9 million, and $5.4 million, respectively.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estimates the fair value of the options utilizing the Black-Scholes option pricing model, which is dependent upon several variables, including expected option term, expected volatility of the Company’s share price over the expected term, expected risk-free interest rate over the expected option term, and expected dividend yield rate over the expected option term, and actual forfeiture rates. A summary of the weighted-average assumptions the Company utilized to record compensation expense for stock options granted during the years ended December 31, 2024 and 2023 was as follows:</w:t>
      </w:r>
    </w:p>
    <w:tbl>
      <w:tblPr>
        <w:tblW w:w="4021" w:type="dxa"/>
        <w:jc w:val="left"/>
        <w:tblInd w:w="0" w:type="dxa"/>
        <w:tblLayout w:type="fixed"/>
        <w:tblCellMar>
          <w:top w:w="28" w:type="dxa"/>
          <w:left w:w="28" w:type="dxa"/>
          <w:bottom w:w="28" w:type="dxa"/>
          <w:right w:w="28" w:type="dxa"/>
        </w:tblCellMar>
      </w:tblPr>
      <w:tblGrid>
        <w:gridCol w:w="756"/>
        <w:gridCol w:w="662"/>
        <w:gridCol w:w="667"/>
        <w:gridCol w:w="255"/>
        <w:gridCol w:w="256"/>
        <w:gridCol w:w="271"/>
        <w:gridCol w:w="109"/>
        <w:gridCol w:w="109"/>
        <w:gridCol w:w="109"/>
        <w:gridCol w:w="255"/>
        <w:gridCol w:w="256"/>
        <w:gridCol w:w="316"/>
      </w:tblGrid>
      <w:tr>
        <w:trPr/>
        <w:tc>
          <w:tcPr>
            <w:tcW w:w="75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pPr>
      <w:r>
        <w:rPr>
          <w:rFonts w:ascii="Times New Roman;serif" w:hAnsi="Times New Roman;serif"/>
          <w:b w:val="false"/>
          <w:color w:val="000000"/>
          <w:sz w:val="20"/>
        </w:rPr>
        <w:t>As of December 31, 2025, unrecognized stock-based compensation cost related to outstanding unvested stock options that are expected to vest was $2.9 million and</w:t>
      </w:r>
      <w:r>
        <w:rPr>
          <w:color w:val="242424"/>
        </w:rPr>
        <w:t xml:space="preserve"> </w:t>
      </w:r>
      <w:r>
        <w:rPr>
          <w:rFonts w:ascii="Times New Roman;serif" w:hAnsi="Times New Roman;serif"/>
          <w:b w:val="false"/>
          <w:color w:val="242424"/>
          <w:sz w:val="20"/>
        </w:rPr>
        <w:t xml:space="preserve">expected to be recognized over a weighted-average period of </w:t>
      </w:r>
      <w:r>
        <w:rPr>
          <w:rFonts w:ascii="Times New Roman;serif" w:hAnsi="Times New Roman;serif"/>
          <w:b w:val="false"/>
          <w:color w:val="000000"/>
          <w:sz w:val="20"/>
        </w:rPr>
        <w:t>1.6</w:t>
      </w:r>
      <w:r>
        <w:rPr>
          <w:color w:val="242424"/>
        </w:rPr>
        <w:t xml:space="preserve"> </w:t>
      </w:r>
      <w:r>
        <w:rPr>
          <w:rFonts w:ascii="Times New Roman;serif" w:hAnsi="Times New Roman;serif"/>
          <w:b w:val="false"/>
          <w:color w:val="242424"/>
          <w:sz w:val="20"/>
        </w:rPr>
        <w:t>years.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RSUs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RSUs activity for the year ended December 31, 2025 was as follows:</w:t>
      </w:r>
    </w:p>
    <w:tbl>
      <w:tblPr>
        <w:tblW w:w="10205" w:type="dxa"/>
        <w:jc w:val="left"/>
        <w:tblInd w:w="0" w:type="dxa"/>
        <w:tblLayout w:type="fixed"/>
        <w:tblCellMar>
          <w:top w:w="28" w:type="dxa"/>
          <w:left w:w="28" w:type="dxa"/>
          <w:bottom w:w="28" w:type="dxa"/>
          <w:right w:w="28" w:type="dxa"/>
        </w:tblCellMar>
      </w:tblPr>
      <w:tblGrid>
        <w:gridCol w:w="760"/>
        <w:gridCol w:w="668"/>
        <w:gridCol w:w="670"/>
        <w:gridCol w:w="541"/>
        <w:gridCol w:w="540"/>
        <w:gridCol w:w="411"/>
        <w:gridCol w:w="109"/>
        <w:gridCol w:w="109"/>
        <w:gridCol w:w="109"/>
        <w:gridCol w:w="605"/>
        <w:gridCol w:w="605"/>
        <w:gridCol w:w="606"/>
        <w:gridCol w:w="109"/>
        <w:gridCol w:w="109"/>
        <w:gridCol w:w="109"/>
        <w:gridCol w:w="540"/>
        <w:gridCol w:w="541"/>
        <w:gridCol w:w="275"/>
        <w:gridCol w:w="109"/>
        <w:gridCol w:w="109"/>
        <w:gridCol w:w="109"/>
        <w:gridCol w:w="528"/>
        <w:gridCol w:w="1542"/>
        <w:gridCol w:w="392"/>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Stock Units</w:t>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Time-Based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Performance-Based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Grant-Date Fair Value</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8,796,901 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1,599,646 </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10,396,547 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19,055,275 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2,213,724 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21,268,999 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(8,359,840)</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(707,510)</w:t>
            </w:r>
          </w:p>
        </w:tc>
        <w:tc>
          <w:tcPr>
            <w:tcW w:w="6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(9,067,350)</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(2,154,479)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(460,134)</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(2,614,613)</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17,337,857 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2,645,726 </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19,983,583 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Time-based RSUs granted prior to the closing of Merger are subject to both performance-based and service-based vesting conditions. The performance condition was satisfied upon the closing of the Merger, and the service condition will be met generally over four years. The Company granted 1,383,475 shares of the time-based RSUs to the former CEO that would vest in sixteen equal quarterly installments, beginning on December 5, 2021, and were subject to continuous employment. The service condition for 25% of the Company’s non-CEO RSUs granted prior to the closing of Merger was satisfied 375 days after the closing. The remaining RSUs would be satisfied in equal quarterly installments thereafter, subject to continuous employment. The Company recognized compensation expense for these time-based RSUs on a graded vesting schedule over the requisite vesting period. Fair value of these time-based RSUs was measured using the fair value of the Company’s common stock on the date of the grant, as based on the market price of Churchill’s stock adjusted for the expected exchange ratio at the time, and discounted for lack of marketability. For the years ended December 31, 2025, 2024, and 2023, the Company withheld approximately 143,138, 190,574, and 186,729 shares, respectively, of common stock by net settlement to meet the related tax withholding requirements related to the former CEO’s time-based RSUs. In February 2025, the Company announced the former CEO’s resignation and transition. In connection with this transition, the Company recorded a reversal of $41.6 million related to previously recognized stock-based compensation expenses for his unvested time-based RSUs. As of December 31, 2025, there were no unrecognized stock-based compensation expenses related to the time-based RSUs.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Time-based RSUs granted subsequent to the closing of Merger are only subject to service-based vesting conditions and the compensation expense is recognized on a straight-line basis over the requisite service period. The fair value of these time-based RSUs granted after the closing of the Merger was measured using the fair value of the Company’s common stock on the date of the grant.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unrecognized stock-based compensation cost related to outstanding unvested time-based RSUs that are expected to vest was $423.3 million, which is expected to be recognized over a weighted-average period of 2.0 years. The total fair value of time-based RSUs vested during the years ended December 31, 2025, 2024, and 2023 was $146.7 million, $140.8 million, and $121.1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In 2021, the Company granted performance-based RSUs to the former CEO and they were subject to performance and market conditions. The performance condition was satisfied upon the closing of the Merger. The market conditions would be satisfied and vest in five tranches based on the achievement of market capitalization goals applicable to each tranche over a six-month period subject to the former CEO’s continuous employment through the applicable vesting date. Any performance-based RSUs granted to our former CEO that had not vested within five years after the closing will be forfeited. The fair value of these performance-based RSUs was measured on the grant date, March 27, 2021, using a Monte Carlo simulation model, with the following assumptions:</w:t>
      </w:r>
    </w:p>
    <w:tbl>
      <w:tblPr>
        <w:tblW w:w="3227" w:type="dxa"/>
        <w:jc w:val="left"/>
        <w:tblInd w:w="0" w:type="dxa"/>
        <w:tblLayout w:type="fixed"/>
        <w:tblCellMar>
          <w:top w:w="28" w:type="dxa"/>
          <w:left w:w="28" w:type="dxa"/>
          <w:bottom w:w="28" w:type="dxa"/>
          <w:right w:w="28" w:type="dxa"/>
        </w:tblCellMar>
      </w:tblPr>
      <w:tblGrid>
        <w:gridCol w:w="870"/>
        <w:gridCol w:w="762"/>
        <w:gridCol w:w="768"/>
        <w:gridCol w:w="255"/>
        <w:gridCol w:w="256"/>
        <w:gridCol w:w="316"/>
      </w:tblGrid>
      <w:tr>
        <w:trPr/>
        <w:tc>
          <w:tcPr>
            <w:tcW w:w="87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volatility</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compensation expense using a graded vesting attribution method over the derived service period for the former CEO’s performance-based awards. Stock-based compensation expense was recognized when the relevant performance condition was considered probable of achievement for the performance-based award. During the year ended December 31, 2022, the market condition was met for the performance-based awards of the former CEO for four of the five tranches and certified by the Board of Directors, representing an aggregate of 1,393,428 performance RSUs. The unamortized expense of $8.2 million as of December 31, 2022 for the fifth tranche, representing 209,014 RSUs, was fully recognized during the year ended December 31, 2023. There were no performance-based RSUs vested for our former CEO for the years ended December 31, 2025, 2024, and 2023.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granted performance-based RSUs to certain employees and they are subject to (i) corporate performance conditions and individual performance and (ii) a service condition which will be met generally over 3 years. The number of awards granted represents 100% of the target goal. Under the terms of the awards, the recipient may earn between 0% to 150% of the original number of grants based on actual achievement of corporate performance goals and individual performance. Stock-based compensation expense is recognized when the relevant performance condition is considered probable of achievement for the performance-based award. During the years ended December 31, 2025, 2024, and 2023, the Company recorded stock-based compensation expenses of $22.8 million, $26.1 million, and $7.9 million, respectively, related to these performance-based RSUs. The total fair value of these performance-based RSUs vested during the years ended December 31, 2025, 2024, and 2023 was $13.9 million, $5.3 million, and nil, respectively. As of December 31, 2025, the unamortized expense for the performance-based RSUs was $22.8 million, which will be recognized over a weighted-average period of 1.2 years primarily contingent upon realization of the corporate performance conditions.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ESPP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ESPP authorizes the issuance of shares of common stock pursuant to purchase rights granted to employees. The plan provides for 24-month offering periods beginning in December and June of each year, and each offering period will consist of four six-month purchase periods. The purchase price for each share purchased during an offering period will be the lesser of 85% of the fair market value of the share on the purchase date or 85% of the fair market value of the share on the offering date.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the market value of our common stock on the purchase date is lower than the market value at the beginning of the offering period, the ongoing offering terminates immediately following the purchase of ESPP shares on the purchase date and participants in the terminated offering are automatically enrolled in the new offering resulting in a reset of the offering price and a modification charge to be recognized over the new offering period. There was one ESPP reset during the year ended December 31, 2025, and two ESPP resets during the years ended December 31, 2024 and 2023, which resulted in modification charges of $14.3 million, $17.8 million, and $23.2 million, respectively, which are being recognized until the new offering period ending in November 2027.</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issued 1,559,456, 897,646, and 474,887 shares at a weighted-average price of $14.63, $21.40, and $50.19 for the years ended December 31, 2025, 2024, and 2023, respectively. As of December 31, 2025, unrecognized stock-based compensation cost related to the ESPP was $31.4 million, which is expected to be recognized over a weighted-average period of 1.9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employee and nonemployee stock-based compensation expense for the years ended December 31, 2025, 2024, and 2023, was classified in the consolidated statements of operations and comprehensive loss as follows (in thousands):</w:t>
      </w:r>
    </w:p>
    <w:tbl>
      <w:tblPr>
        <w:tblW w:w="7091" w:type="dxa"/>
        <w:jc w:val="left"/>
        <w:tblInd w:w="0" w:type="dxa"/>
        <w:tblLayout w:type="fixed"/>
        <w:tblCellMar>
          <w:top w:w="28" w:type="dxa"/>
          <w:left w:w="28" w:type="dxa"/>
          <w:bottom w:w="28" w:type="dxa"/>
          <w:right w:w="28" w:type="dxa"/>
        </w:tblCellMar>
      </w:tblPr>
      <w:tblGrid>
        <w:gridCol w:w="1068"/>
        <w:gridCol w:w="941"/>
        <w:gridCol w:w="945"/>
        <w:gridCol w:w="211"/>
        <w:gridCol w:w="826"/>
        <w:gridCol w:w="109"/>
        <w:gridCol w:w="109"/>
        <w:gridCol w:w="109"/>
        <w:gridCol w:w="109"/>
        <w:gridCol w:w="211"/>
        <w:gridCol w:w="826"/>
        <w:gridCol w:w="109"/>
        <w:gridCol w:w="109"/>
        <w:gridCol w:w="109"/>
        <w:gridCol w:w="109"/>
        <w:gridCol w:w="211"/>
        <w:gridCol w:w="826"/>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capitalized stock-based compensation expenses of $47.4 million and $45.7 million for the years ended December 31, 2025 and 2024, respectively, primarily as part of the cost of inventory.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11 – LEASES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various non-cancellable operating and finance lease agreements for certain of the Company’s offices, manufacturing and warehouse facilities, retail and service locations, equipment and vehicles, worldwide. The Company has determined if an arrangement is a lease, or contains a lease, including embedded leases, at inception and records the leases in the Company’s financial statements upon lease commencement, which is the date when the underlying asset is made available for use by the lessor.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Lease expense for operating lease payments is recognized on a straight-line basis over the lease term. Our assessed lease terms may include options to extend or terminate the lease when it is reasonably certain that the Company will exercise that option. Certain operating leases provide for annual increases to lease payments based on an index or rate. The Company estimates the annual increase in lease payments based on the index or rate at the lease commencement date. Differences between the estimated lease payment and actual payment are expensed as incurred. Lease expense for finance lease payments is recognized as amortization expense of the finance lease ROU asset and interest expense on the finance lease liability over the lease term.</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In August 2022, the Company entered into a four-year agreement (“Lease Agreement”) to lease land in Casa Grande, Arizona adjacent to our manufacturing facility. The Company classifies this lease as a finance lease because the Lease Agreement contains a purchase option which the Company is reasonably certain to exercise. As of December 31, 2025 and 2024, assets associated with the finance lease were $79.3 million. As of December 31, 2025 and 2024, liabilities associated with the finance lease were $79.4 million and $80.0 million, respectively.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Contemporaneously with the execution of the Lease Agreement, the Company entered into a sale agreement, pursuant to which the Company sold certain parcels of land for $31.7 million to the lessor and leased back these parcels of land under the Lease Agreement. The sale of the land and subsequent lease did not result in change in the transfer of control of the land; therefore, the sale-leaseback transaction is accounted for as a failed sale and leaseback financing obligation. The Company recorded $31.7 million of sales proceeds received as a financial liability within other current liabilities in the consolidated balance sheet as of December 31, 2025 and within other long-term liabilities in the consolidated balance sheet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balances for the operating and finance leases where the Company is the lessee are presented as follows within the Company’s consolidated balance sheets (in thousands):</w:t>
      </w:r>
    </w:p>
    <w:tbl>
      <w:tblPr>
        <w:tblW w:w="6518" w:type="dxa"/>
        <w:jc w:val="left"/>
        <w:tblInd w:w="0" w:type="dxa"/>
        <w:tblLayout w:type="fixed"/>
        <w:tblCellMar>
          <w:top w:w="28" w:type="dxa"/>
          <w:left w:w="28" w:type="dxa"/>
          <w:bottom w:w="28" w:type="dxa"/>
          <w:right w:w="28" w:type="dxa"/>
        </w:tblCellMar>
      </w:tblPr>
      <w:tblGrid>
        <w:gridCol w:w="1398"/>
        <w:gridCol w:w="1225"/>
        <w:gridCol w:w="1231"/>
        <w:gridCol w:w="211"/>
        <w:gridCol w:w="826"/>
        <w:gridCol w:w="109"/>
        <w:gridCol w:w="109"/>
        <w:gridCol w:w="109"/>
        <w:gridCol w:w="109"/>
        <w:gridCol w:w="211"/>
        <w:gridCol w:w="826"/>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Property, plant and equipment, net</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finance lease liabilities</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As of December 31, 2025, the Company recorded $95.3 million of finance lease assets and $98.9 million of finance lease liabilities related to certain facility leases assumed in connection with the assets acquisition from Nikola Corporation.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 within the Company’s consolidated statements of operations and comprehensive loss (in thousands):</w:t>
      </w:r>
    </w:p>
    <w:tbl>
      <w:tblPr>
        <w:tblW w:w="6296" w:type="dxa"/>
        <w:jc w:val="left"/>
        <w:tblInd w:w="0" w:type="dxa"/>
        <w:tblLayout w:type="fixed"/>
        <w:tblCellMar>
          <w:top w:w="28" w:type="dxa"/>
          <w:left w:w="28" w:type="dxa"/>
          <w:bottom w:w="28" w:type="dxa"/>
          <w:right w:w="28" w:type="dxa"/>
        </w:tblCellMar>
      </w:tblPr>
      <w:tblGrid>
        <w:gridCol w:w="896"/>
        <w:gridCol w:w="786"/>
        <w:gridCol w:w="792"/>
        <w:gridCol w:w="211"/>
        <w:gridCol w:w="721"/>
        <w:gridCol w:w="109"/>
        <w:gridCol w:w="109"/>
        <w:gridCol w:w="109"/>
        <w:gridCol w:w="109"/>
        <w:gridCol w:w="211"/>
        <w:gridCol w:w="721"/>
        <w:gridCol w:w="109"/>
        <w:gridCol w:w="109"/>
        <w:gridCol w:w="109"/>
        <w:gridCol w:w="109"/>
        <w:gridCol w:w="211"/>
        <w:gridCol w:w="721"/>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expense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leased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Excluded short-term leases, which were not material.</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Other information related to leases where the Company is the lessee was as follows:</w:t>
      </w:r>
    </w:p>
    <w:tbl>
      <w:tblPr>
        <w:tblW w:w="7267" w:type="dxa"/>
        <w:jc w:val="left"/>
        <w:tblInd w:w="0" w:type="dxa"/>
        <w:tblLayout w:type="fixed"/>
        <w:tblCellMar>
          <w:top w:w="28" w:type="dxa"/>
          <w:left w:w="28" w:type="dxa"/>
          <w:bottom w:w="28" w:type="dxa"/>
          <w:right w:w="28" w:type="dxa"/>
        </w:tblCellMar>
      </w:tblPr>
      <w:tblGrid>
        <w:gridCol w:w="1603"/>
        <w:gridCol w:w="1408"/>
        <w:gridCol w:w="1413"/>
        <w:gridCol w:w="308"/>
        <w:gridCol w:w="308"/>
        <w:gridCol w:w="607"/>
        <w:gridCol w:w="109"/>
        <w:gridCol w:w="109"/>
        <w:gridCol w:w="109"/>
        <w:gridCol w:w="308"/>
        <w:gridCol w:w="308"/>
        <w:gridCol w:w="677"/>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 (in years):</w:t>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where the Company is the lessee was as follows (in thousands):</w:t>
      </w:r>
    </w:p>
    <w:tbl>
      <w:tblPr>
        <w:tblW w:w="9987" w:type="dxa"/>
        <w:jc w:val="left"/>
        <w:tblInd w:w="0" w:type="dxa"/>
        <w:tblLayout w:type="fixed"/>
        <w:tblCellMar>
          <w:top w:w="28" w:type="dxa"/>
          <w:left w:w="28" w:type="dxa"/>
          <w:bottom w:w="28" w:type="dxa"/>
          <w:right w:w="28" w:type="dxa"/>
        </w:tblCellMar>
      </w:tblPr>
      <w:tblGrid>
        <w:gridCol w:w="2196"/>
        <w:gridCol w:w="1927"/>
        <w:gridCol w:w="1937"/>
        <w:gridCol w:w="211"/>
        <w:gridCol w:w="826"/>
        <w:gridCol w:w="109"/>
        <w:gridCol w:w="109"/>
        <w:gridCol w:w="109"/>
        <w:gridCol w:w="109"/>
        <w:gridCol w:w="211"/>
        <w:gridCol w:w="721"/>
        <w:gridCol w:w="109"/>
        <w:gridCol w:w="109"/>
        <w:gridCol w:w="109"/>
        <w:gridCol w:w="109"/>
        <w:gridCol w:w="211"/>
        <w:gridCol w:w="721"/>
        <w:gridCol w:w="154"/>
      </w:tblGrid>
      <w:tr>
        <w:trPr/>
        <w:tc>
          <w:tcPr>
            <w:tcW w:w="219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 (interest payments)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assets obtained in exchange for new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assets obtained in exchange for new finance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maturities of the Company’s operating and finance lease liabilities (excluding short-term leases) were as follows (in thousands):</w:t>
      </w:r>
    </w:p>
    <w:tbl>
      <w:tblPr>
        <w:tblW w:w="6176" w:type="dxa"/>
        <w:jc w:val="left"/>
        <w:tblInd w:w="0" w:type="dxa"/>
        <w:tblLayout w:type="fixed"/>
        <w:tblCellMar>
          <w:top w:w="28" w:type="dxa"/>
          <w:left w:w="28" w:type="dxa"/>
          <w:bottom w:w="28" w:type="dxa"/>
          <w:right w:w="28" w:type="dxa"/>
        </w:tblCellMar>
      </w:tblPr>
      <w:tblGrid>
        <w:gridCol w:w="1177"/>
        <w:gridCol w:w="1032"/>
        <w:gridCol w:w="1046"/>
        <w:gridCol w:w="251"/>
        <w:gridCol w:w="984"/>
        <w:gridCol w:w="129"/>
        <w:gridCol w:w="109"/>
        <w:gridCol w:w="109"/>
        <w:gridCol w:w="109"/>
        <w:gridCol w:w="218"/>
        <w:gridCol w:w="853"/>
        <w:gridCol w:w="159"/>
      </w:tblGrid>
      <w:tr>
        <w:trPr/>
        <w:tc>
          <w:tcPr>
            <w:tcW w:w="117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92,938 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94,939 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391,196 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315,345 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(126,564)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obligations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289,605 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188,781 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 of lease obligations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225,434 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104,559 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entered into additional leases for facilities that have not yet commenced with undiscounted future lease payments of $27.8 million. The leases are expected to commence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12 - COMMITMENTS AND CONTINGENCIES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$0.9 billion and $1.0 billion in commitments related to AMP-1 and AMP-2 plant and equipment, respectively. These commitments represent future expected payments on open purchase orders entered into as of December 31, 2025 and 2024.</w:t>
      </w:r>
    </w:p>
    <w:p>
      <w:pPr>
        <w:pStyle w:val="TextBody"/>
        <w:bidi w:val="0"/>
        <w:spacing w:lineRule="auto" w:line="288" w:before="240" w:after="283"/>
        <w:jc w:val="left"/>
        <w:rPr/>
      </w:pPr>
      <w:r>
        <w:rPr>
          <w:rFonts w:ascii="Times New Roman;serif" w:hAnsi="Times New Roman;serif"/>
          <w:b w:val="false"/>
          <w:color w:val="000000"/>
          <w:sz w:val="22"/>
        </w:rPr>
        <w:t>T</w:t>
      </w:r>
      <w:r>
        <w:rPr>
          <w:rFonts w:ascii="Times New Roman;serif" w:hAnsi="Times New Roman;serif"/>
          <w:b w:val="false"/>
          <w:color w:val="000000"/>
          <w:sz w:val="20"/>
        </w:rPr>
        <w:t>he Company’s non-cancellable long-term commitments primarily related to certain inventory component purchases. As of December 31, 2025, pursuant to the terms of agreements the Company entered into in connection with the supply of lithium-ion battery cells, the Company had remaining minimum purchase commitments of an aggregate of approximately $2.56 billion, calculated using the current base prices, which could vary period-to-period primarily as a result of changes in raw material indexes. The estimated future payments having a remaining term in excess of one year as of December 31, 2025 were as follows (in thousands):</w:t>
      </w:r>
    </w:p>
    <w:tbl>
      <w:tblPr>
        <w:tblW w:w="3606" w:type="dxa"/>
        <w:jc w:val="left"/>
        <w:tblInd w:w="0" w:type="dxa"/>
        <w:tblLayout w:type="fixed"/>
        <w:tblCellMar>
          <w:top w:w="28" w:type="dxa"/>
          <w:left w:w="28" w:type="dxa"/>
          <w:bottom w:w="28" w:type="dxa"/>
          <w:right w:w="28" w:type="dxa"/>
        </w:tblCellMar>
      </w:tblPr>
      <w:tblGrid>
        <w:gridCol w:w="821"/>
        <w:gridCol w:w="720"/>
        <w:gridCol w:w="724"/>
        <w:gridCol w:w="211"/>
        <w:gridCol w:w="976"/>
        <w:gridCol w:w="154"/>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Years ended December 31,</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Minimum</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Commitment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2,626,674 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From time-to-time, the Company may become subject to legal proceedings, claims and litigation arising in the ordinary course of business. Some of these claims, lawsuits and other proceedings may involve highly complex issues that are subject to substantial uncertainties, and could result in damages, fines, penalties, non-monetary sanctions or relief.</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April 1, 2022, and May 31, 2022, two alleged shareholders filed putative class actions under the federal securities laws in the United States District Court for the Northern District of California against the Company and certain officers of the Company relating to alleged statements, updated projections and guidance provided from late 2021 to early 2022. The two matters were consolidated as In re Lucid Group, Inc. Securities Litigation. The consolidated complaint named the Company and the Company’s former chief executive officer and former chief financial officer as defendants, and generally alleged that defendants purportedly made false or misleading statements regarding delivery and revenue projections and related matters between November 15, 2021, and August 3, 2022. Defendants filed a motion to dismiss on February 23, 2023. On August 8, 2024, the Court granted in part and denied in part the motion to dismiss. On September 20, 2024, Plaintiffs filed an amended consolidated complaint, which named the Company and its former chief executive officer as defendants. Defendants filed a motion to dismiss the Amended Consolidated Complaint, in part, on December 6, 2024. On May 22, 2025, the court issued a ruling granting in part and denying in part the defendants’ motion to dismiss. On July 10, 2025, the court issued a Case Management Scheduling Order. On July 25, 2025, Defendants filed an Answer to Plaintiffs’ Amended Compliant. The parties are currently engaged in discovery in this litigation.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Nine purported shareholders have filed derivative cases in various courts putatively on behalf of the Company against certain of the Company’s current and former directors based on allegations similar to those in the In re Lucid Group, Inc. Securities Litigation action. These cases raise claims such as a breach of fiduciary duty, unjust enrichment, waste of corporate assets, and aiding and abetting a breach of fiduciary duty. On July 11, 2022, a derivative case raising such claims was filed in the Superior Court of California, Alameda County, and is currently stayed. Between September 2024 and December 2024, three other derivative lawsuits were filed in the Delaware Court of Chancery raising similar claims. Two were consolidated into a single action. On January 29, 2025, February 7, 2025 and August 6, 2025, three other derivative lawsuits were filed in the Northern District of California also raising similar claims. The court has granted the parties stipulation to consolidate and stay the cases. Between February 28, 2025, and March 7, 2025, two other derivative lawsuits raising similar claims were also filed in the United States District Court for the District of Delaware. They were consolidated into a single action and are currently stayed.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registered and applied for trademarks in an effort to protect our brand and goodwill with customers, competitors or other third parties have previously opposed, currently oppose, and may continue to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or be unable to submit specimens of use by the applicable deadline to perfect such trademark rights.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At this time, the Company does not consider any such claims, lawsuits or proceedings that are currently pending, individually or in the aggregate, including the matters referenced above, to be material to the Company’s business or likely to result in a material adverse effect on its future operating results, financial condition or cash flows should such proceedings be resolved unfavorably.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Indemnification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provide indemnification of varying scope and terms to customers, vendors, investors, directors, officers, and certain key employees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utilities infrastructure and other agreements that require securitization. The indemnification obligations were $130.9 million and $72.6 million as of December 31, 2025 and 2024, respectively, for which no liabilities are recorded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13 - INCOME TAXES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loss before provision for (benefit from) income taxes for the years ended December 31, 2025, 2024, and 2023, were as follows (in thousands): </w:t>
      </w:r>
    </w:p>
    <w:tbl>
      <w:tblPr>
        <w:tblW w:w="9221" w:type="dxa"/>
        <w:jc w:val="left"/>
        <w:tblInd w:w="0" w:type="dxa"/>
        <w:tblLayout w:type="fixed"/>
        <w:tblCellMar>
          <w:top w:w="28" w:type="dxa"/>
          <w:left w:w="28" w:type="dxa"/>
          <w:bottom w:w="28" w:type="dxa"/>
          <w:right w:w="28" w:type="dxa"/>
        </w:tblCellMar>
      </w:tblPr>
      <w:tblGrid>
        <w:gridCol w:w="1597"/>
        <w:gridCol w:w="1401"/>
        <w:gridCol w:w="1411"/>
        <w:gridCol w:w="211"/>
        <w:gridCol w:w="1051"/>
        <w:gridCol w:w="109"/>
        <w:gridCol w:w="109"/>
        <w:gridCol w:w="109"/>
        <w:gridCol w:w="109"/>
        <w:gridCol w:w="211"/>
        <w:gridCol w:w="1051"/>
        <w:gridCol w:w="109"/>
        <w:gridCol w:w="109"/>
        <w:gridCol w:w="109"/>
        <w:gridCol w:w="109"/>
        <w:gridCol w:w="211"/>
        <w:gridCol w:w="1051"/>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subject to domestic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(2,693,686)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(2,699,739)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(2,825,820)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subject to foreign income taxes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provision for (benefit from)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(2,700,384)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(2,712,743)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(2,827,394)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recorded provision for (benefit from) income taxes in connection with its domestic, state, and foreign subsidiaries for the years ended December 31, 2025, 2024, and 2023, respectively, as follows (in thousands):</w:t>
      </w:r>
    </w:p>
    <w:tbl>
      <w:tblPr>
        <w:tblW w:w="7496" w:type="dxa"/>
        <w:jc w:val="left"/>
        <w:tblInd w:w="0" w:type="dxa"/>
        <w:tblLayout w:type="fixed"/>
        <w:tblCellMar>
          <w:top w:w="28" w:type="dxa"/>
          <w:left w:w="28" w:type="dxa"/>
          <w:bottom w:w="28" w:type="dxa"/>
          <w:right w:w="28" w:type="dxa"/>
        </w:tblCellMar>
      </w:tblPr>
      <w:tblGrid>
        <w:gridCol w:w="1416"/>
        <w:gridCol w:w="1243"/>
        <w:gridCol w:w="1255"/>
        <w:gridCol w:w="211"/>
        <w:gridCol w:w="691"/>
        <w:gridCol w:w="109"/>
        <w:gridCol w:w="109"/>
        <w:gridCol w:w="109"/>
        <w:gridCol w:w="109"/>
        <w:gridCol w:w="211"/>
        <w:gridCol w:w="616"/>
        <w:gridCol w:w="109"/>
        <w:gridCol w:w="109"/>
        <w:gridCol w:w="109"/>
        <w:gridCol w:w="109"/>
        <w:gridCol w:w="211"/>
        <w:gridCol w:w="616"/>
        <w:gridCol w:w="154"/>
      </w:tblGrid>
      <w:tr>
        <w:trPr/>
        <w:tc>
          <w:tcPr>
            <w:tcW w:w="141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w:t>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deferred tax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provision for (benefit from) income taxes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reconciliation of taxes at the federal statutory rate to our provision for (benefit from) income taxes for the year ended December 31, 2025 in accordance with the guidance in ASU 2023-09 was as follows (in thousands, except percent data):</w:t>
      </w:r>
    </w:p>
    <w:tbl>
      <w:tblPr>
        <w:tblW w:w="7264" w:type="dxa"/>
        <w:jc w:val="left"/>
        <w:tblInd w:w="0" w:type="dxa"/>
        <w:tblLayout w:type="fixed"/>
        <w:tblCellMar>
          <w:top w:w="28" w:type="dxa"/>
          <w:left w:w="28" w:type="dxa"/>
          <w:bottom w:w="28" w:type="dxa"/>
          <w:right w:w="28" w:type="dxa"/>
        </w:tblCellMar>
      </w:tblPr>
      <w:tblGrid>
        <w:gridCol w:w="1588"/>
        <w:gridCol w:w="1401"/>
        <w:gridCol w:w="1406"/>
        <w:gridCol w:w="456"/>
        <w:gridCol w:w="478"/>
        <w:gridCol w:w="422"/>
        <w:gridCol w:w="235"/>
        <w:gridCol w:w="235"/>
        <w:gridCol w:w="235"/>
        <w:gridCol w:w="235"/>
        <w:gridCol w:w="235"/>
        <w:gridCol w:w="338"/>
      </w:tblGrid>
      <w:tr>
        <w:trPr/>
        <w:tc>
          <w:tcPr>
            <w:tcW w:w="1588"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(567,080)</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State income taxes, net of federal income tax effect</w:t>
            </w:r>
            <w:r>
              <w:rPr>
                <w:rFonts w:ascii="Times New Roman;serif" w:hAnsi="Times New Roman;serif"/>
                <w:b w:val="false"/>
                <w:color w:val="000000"/>
                <w:sz w:val="13"/>
              </w:rPr>
              <w:t>(1)</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(45,625)</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717,016</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 effects of stock-based compensation</w:t>
            </w:r>
            <w:r>
              <w:rPr>
                <w:rFonts w:ascii="Times New Roman;serif" w:hAnsi="Times New Roman;serif"/>
                <w:b w:val="false"/>
                <w:color w:val="000000"/>
                <w:sz w:val="13"/>
              </w:rPr>
              <w:t>(2)</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32,859</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liability fair value adjustment</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(130,926)</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nontaxable or nondeductible items</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(10,765)</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r>
    </w:tbl>
    <w:p>
      <w:pPr>
        <w:pStyle w:val="TextBody"/>
        <w:bidi w:val="0"/>
        <w:spacing w:lineRule="auto" w:line="288" w:before="240" w:after="283"/>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State income taxes in Florida and Pennsylvania made up the majority (greater than 50 percent) of the tax effect in this category.</w:t>
      </w:r>
    </w:p>
    <w:p>
      <w:pPr>
        <w:pStyle w:val="TextBody"/>
        <w:bidi w:val="0"/>
        <w:spacing w:lineRule="auto" w:line="288"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U.S. stock-based compensation includes nondeductible costs, windfall and shortfall tax benefits, and executive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reconciliation of taxes at the federal statutory rate to our provision for income taxes for the years ended December 31, 2024 and 2023 in accordance with the guidance prior to the adoption of ASU 2023-09 was as follows:</w:t>
      </w:r>
    </w:p>
    <w:tbl>
      <w:tblPr>
        <w:tblW w:w="5363" w:type="dxa"/>
        <w:jc w:val="left"/>
        <w:tblInd w:w="0" w:type="dxa"/>
        <w:tblLayout w:type="fixed"/>
        <w:tblCellMar>
          <w:top w:w="28" w:type="dxa"/>
          <w:left w:w="28" w:type="dxa"/>
          <w:bottom w:w="28" w:type="dxa"/>
          <w:right w:w="28" w:type="dxa"/>
        </w:tblCellMar>
      </w:tblPr>
      <w:tblGrid>
        <w:gridCol w:w="1203"/>
        <w:gridCol w:w="1061"/>
        <w:gridCol w:w="1065"/>
        <w:gridCol w:w="216"/>
        <w:gridCol w:w="216"/>
        <w:gridCol w:w="216"/>
        <w:gridCol w:w="216"/>
        <w:gridCol w:w="216"/>
        <w:gridCol w:w="216"/>
        <w:gridCol w:w="216"/>
        <w:gridCol w:w="216"/>
        <w:gridCol w:w="306"/>
      </w:tblGrid>
      <w:tr>
        <w:trPr/>
        <w:tc>
          <w:tcPr>
            <w:tcW w:w="120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6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expenses</w:t>
            </w:r>
          </w:p>
        </w:tc>
        <w:tc>
          <w:tcPr>
            <w:tcW w:w="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64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amount of provision for (benefit from) income taxes differs from the expected benefit due to the impact of the U.S. valuation allowance, as well as income taxes associated with foreign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reflect the net tax effects of temporary differences between the carrying amounts of assets and liabilities for financial reporting purposes and the amounts used for income tax purposes. Significant components of the Company’s deferred taxes as of December 31, 2025 and 2024, were as follows (in thousands):</w:t>
      </w:r>
    </w:p>
    <w:tbl>
      <w:tblPr>
        <w:tblW w:w="7779" w:type="dxa"/>
        <w:jc w:val="left"/>
        <w:tblInd w:w="0" w:type="dxa"/>
        <w:tblLayout w:type="fixed"/>
        <w:tblCellMar>
          <w:top w:w="28" w:type="dxa"/>
          <w:left w:w="28" w:type="dxa"/>
          <w:bottom w:w="28" w:type="dxa"/>
          <w:right w:w="28" w:type="dxa"/>
        </w:tblCellMar>
      </w:tblPr>
      <w:tblGrid>
        <w:gridCol w:w="1741"/>
        <w:gridCol w:w="1532"/>
        <w:gridCol w:w="1542"/>
        <w:gridCol w:w="211"/>
        <w:gridCol w:w="976"/>
        <w:gridCol w:w="109"/>
        <w:gridCol w:w="109"/>
        <w:gridCol w:w="109"/>
        <w:gridCol w:w="109"/>
        <w:gridCol w:w="211"/>
        <w:gridCol w:w="976"/>
        <w:gridCol w:w="154"/>
      </w:tblGrid>
      <w:tr>
        <w:trPr/>
        <w:tc>
          <w:tcPr>
            <w:tcW w:w="1741"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 carryforwards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research and development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reserves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3,087,857 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(2,904,865)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 net of valuation allowance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accounting method change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(liabilities), net of valuation allowance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does not anticipate foreign earnings would be subject to U.S. taxation upon repatriation. However, distributions of unremitted foreign earnings may be subject to foreign withholding taxes. Accordingly, provisions have not been made on the Company’s basis differences in investments that primarily result from earnings in foreign subsidiaries which are indefinitely reinvested. If recorded, the deferred tax liability associated with indefinitely reinvested basis differences would be immaterial to the financial statements.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valuation allowance is recognized if, based on the weight of available evidence, it is more likely than not that some portion or all of the deferred tax asset will not be realized in a particular tax jurisdiction. All available evidence, both positive and negative, is considered to determine whether, based on the weight of that evidence, a valuation allowance is needed for some portion or all of a deferred tax asset. Judgment must be used in considering the relative impact of negative and positive evidence. Based on the weight of the available evidence, which includes the Company’s historical operating losses, lack of taxable income, and the accumulated deficit, as of December 31, 2025 and 2024, the Company provided a full valuation allowance against its U.S. and state deferred tax assets. The valuation allowance for deferred tax assets was $3,877.6 million and $2,904.9 million, as of December 31, 2025 and 2024, respectively. The valuation allowance on the Company’s net deferred taxes increased by $972.7 million and $767.0 million during the years ended December 31,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federal, state, and foreign net operating loss carryforwards of $10,833.3 million, $7,797.6 million, and $44.3 million, respectively, as of December 31, 2025, which will begin to expire at various dates beginning in 2027. The Company also had federal and state tax research and development tax credit carryforwards of $205.4 million and $162.5 million, respectively. The federal research and development tax credit carryforwards will expire at various dates beginning in 2036, if not utilized. The state research and development tax credit carryforwards do not have an expiration date.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Internal Revenue Code of 1986, as amended, imposes restrictions on the utilization of net operating losses and certain credits in the event of an “ownership change” of a corporation. Accordingly, a company’s ability to use net operating losses and certain credits may be limited as prescribed under Internal Revenue Code Section 382, which provide for limitations on net operating losses carryforwards and certain built in losses following ownership changes, and Section 383, which provides for special limitations on certain excess credits, etc. (collectively, “IRC Section 382”). Utilization of the carryforwards may be subject to substantial annual limitation due to the ownership change limitations provided by the IRC Section 382 and similar state provisions, resulting in a reduction in the gross deferral tax assets before considering the valuation allowance. The Company has completed a formal Section 382 study of our equity transactions through December 31, 2020. The study determined that the Company experienced an “ownership change” in 2016, and the Company will not be able to utilize $12.0 million of our U.S. federal net operating loss and $3.0 million of U.S. federal research and development tax credit carryforwards.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OBBBA was signed into law, introducing significant changes to the U.S. federal income tax code. The OBBBA included provisions that allow for the immediate expensing of domestic research and development expenses and certain capital expenditures, as well as other changes related to the U.S. taxation of profits derived from foreign operations. The Company is electing to fully amortize its previously capitalized domestic research and development expenses in the current year. Due to the Company’s full valuation allowance on its U.S. deferred tax assets, the net tax impact of the legislation is immaterial.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Income Tax Payments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paid income taxes (net of refunds received) of $4.5 million during the year ended December 31, 2025, which were primarily related to Netherlands and Kingdom of Saudi Arabia.</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Uncertain Tax Positions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unrecognized tax benefits for the years ended December 31, 2025, 2024, and 2023 (in thousands):</w:t>
      </w:r>
    </w:p>
    <w:tbl>
      <w:tblPr>
        <w:tblW w:w="8096" w:type="dxa"/>
        <w:jc w:val="left"/>
        <w:tblInd w:w="0" w:type="dxa"/>
        <w:tblLayout w:type="fixed"/>
        <w:tblCellMar>
          <w:top w:w="28" w:type="dxa"/>
          <w:left w:w="28" w:type="dxa"/>
          <w:bottom w:w="28" w:type="dxa"/>
          <w:right w:w="28" w:type="dxa"/>
        </w:tblCellMar>
      </w:tblPr>
      <w:tblGrid>
        <w:gridCol w:w="1473"/>
        <w:gridCol w:w="1292"/>
        <w:gridCol w:w="1299"/>
        <w:gridCol w:w="211"/>
        <w:gridCol w:w="721"/>
        <w:gridCol w:w="109"/>
        <w:gridCol w:w="109"/>
        <w:gridCol w:w="109"/>
        <w:gridCol w:w="109"/>
        <w:gridCol w:w="211"/>
        <w:gridCol w:w="826"/>
        <w:gridCol w:w="109"/>
        <w:gridCol w:w="109"/>
        <w:gridCol w:w="109"/>
        <w:gridCol w:w="109"/>
        <w:gridCol w:w="211"/>
        <w:gridCol w:w="826"/>
        <w:gridCol w:w="154"/>
      </w:tblGrid>
      <w:tr>
        <w:trPr/>
        <w:tc>
          <w:tcPr>
            <w:tcW w:w="147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tax benefits—beginning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increases—prior-period tax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decreases—prior-period tax 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increases—current-period tax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decrease—current-period tax 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Statute lapse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tax benefits—end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2024 and 2023, the total amount of unrecognized tax benefits was $55.4 million, $38.5 million, and $140.8 million, respectively, of which $0.9 million, $0.9 million, and $1.1 million, if recognized for respective periods, would favorably impact the Company's effective tax rate.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Related to the unrecognized tax benefits above, the interest expense and penalty expense recognized as part of provision for (benefit from) income taxes in the consolidated statements of operations and comprehensive loss for the years ended December 31, 2025, 2024, and 2023 were not material. As of December 31, 2025 and 2024, the Company recorded immaterial liability for interest expense and penalties, which was included within other long-term liabilities in the consolidated balance sheets.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files U.S., state, and foreign income tax returns with varying statutes of limitations. The federal, state, and foreign returns statutes of limitations remains open for all years. There are currently no income tax audits underway by U.S., state, or foreign tax authorities.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14 - NET LOSS PER SHARE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 attributable to common stockholders are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961"/>
        <w:gridCol w:w="1700"/>
        <w:gridCol w:w="1735"/>
        <w:gridCol w:w="211"/>
        <w:gridCol w:w="1049"/>
        <w:gridCol w:w="109"/>
        <w:gridCol w:w="109"/>
        <w:gridCol w:w="109"/>
        <w:gridCol w:w="109"/>
        <w:gridCol w:w="211"/>
        <w:gridCol w:w="1049"/>
        <w:gridCol w:w="109"/>
        <w:gridCol w:w="109"/>
        <w:gridCol w:w="109"/>
        <w:gridCol w:w="109"/>
        <w:gridCol w:w="211"/>
        <w:gridCol w:w="1049"/>
        <w:gridCol w:w="157"/>
      </w:tblGrid>
      <w:tr>
        <w:trPr/>
        <w:tc>
          <w:tcPr>
            <w:tcW w:w="1961"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(2,698,051)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(2,713,942)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(2,828,420)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redeemable convertible preferred stock (related party)</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basic</w:t>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(3,061,552)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(2,828,420)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2026 Notes</w:t>
            </w:r>
          </w:p>
        </w:tc>
        <w:tc>
          <w:tcPr>
            <w:tcW w:w="12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(3,789,155)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(3,061,552)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(2,828,420)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shares outstanding, basic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311,680,046 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244,517,654 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208,177,262 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2026 Notes, using if-converted method</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diluted</w:t>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313,400,136 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244,517,654 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208,177,262 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per share:</w:t>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outstanding shares of potentially dilutive securities were excluded from the computation of diluted net loss per share attributable to common stockholders because including them would have had an anti-dilutive effect:</w:t>
      </w:r>
    </w:p>
    <w:tbl>
      <w:tblPr>
        <w:tblW w:w="10205" w:type="dxa"/>
        <w:jc w:val="left"/>
        <w:tblInd w:w="0" w:type="dxa"/>
        <w:tblLayout w:type="fixed"/>
        <w:tblCellMar>
          <w:top w:w="28" w:type="dxa"/>
          <w:left w:w="28" w:type="dxa"/>
          <w:bottom w:w="28" w:type="dxa"/>
          <w:right w:w="28" w:type="dxa"/>
        </w:tblCellMar>
      </w:tblPr>
      <w:tblGrid>
        <w:gridCol w:w="2071"/>
        <w:gridCol w:w="1797"/>
        <w:gridCol w:w="1809"/>
        <w:gridCol w:w="592"/>
        <w:gridCol w:w="594"/>
        <w:gridCol w:w="156"/>
        <w:gridCol w:w="109"/>
        <w:gridCol w:w="109"/>
        <w:gridCol w:w="109"/>
        <w:gridCol w:w="540"/>
        <w:gridCol w:w="541"/>
        <w:gridCol w:w="156"/>
        <w:gridCol w:w="109"/>
        <w:gridCol w:w="109"/>
        <w:gridCol w:w="109"/>
        <w:gridCol w:w="540"/>
        <w:gridCol w:w="541"/>
        <w:gridCol w:w="214"/>
      </w:tblGrid>
      <w:tr>
        <w:trPr/>
        <w:tc>
          <w:tcPr>
            <w:tcW w:w="2071"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5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Excluded Securities</w:t>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 to purchase common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4,435,000 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4,435,000 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4,435,000 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to purchase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2,030,874 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2,689,410 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3,291,114 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18,245,165 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9,698,594 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5,712,466 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5,580,286 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2,542,538 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1,411,193 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2026 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3,673,819 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3,673,819 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2030 Notes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36,666,630 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2031 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46,846,313 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Series A redeemable convertible preferred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32,526,595 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29,756,739 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Series B redeemable convertible preferred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19,358,849 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17,710,314 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166,062,662 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70,506,414 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18,523,592 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Capped Call Transactions were also excluded from the computation of diluted net loss per share as they would be anti-dilutive. The 1,738,417, 697,953, and 688,091 shares of common stock equivalents subject to RSUs were excluded from the anti-dilutive table above as the underlying shares remain contingently issuable since the market or corporate and individual performance conditions have not been satisfied as of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15 - EMPLOYEE BENEFIT PLAN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matching contribution expense under the Company’s 401(k) Plan was not material for the years ended December 31, 2025 and 2024, and nil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16 -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February 2022, the Company entered into a lease agreement with KAEC, a related party of the PIF, which is an affiliate of Ayar, for its first international manufacturing plant in Saudi Arabia. The lease has an initial term of 25 years expiring in 2047. The right-of-use asset related to this lease was $4.0 million and $4.2 million as of December 31, 2025 and 2024, respectively. The lease liability was $6.5 million and $6.1 million as of December 31, 2025 and 2024, respectively. The right-of-use asset and lease liability were recorded in right-of-use assets and other long-term liabilities in the consolidated balance sheets, respectively. The lease expense recorded for the years ended December 31, 2025, 2024, and 2023 was immaterial.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July 2023, the Company entered into a lease agreement with King Abdullah Financial District Development and Management Company, a subsidiary of the PIF, which is an affiliate of Ayar, for its corporate office in Saudi Arabia. The lease has an initial term of six years expiring in 2029. The right-of-use asset related to this lease was $1.7 million and $2.0 million as of December 31, 2025 and 2024, respectively. The lease liability was $2.4 million as of December 31, 2025 and 2024, respectively. The right-of-use asset and lease liability were recorded in right-of-use assets and primarily in other long-term liabilities in the consolidated balance sheets, respectively. The lease expense recorded for the years ended December 31, 2025, 2024, and 2023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SIDF Loan Agreement</w:t>
      </w:r>
    </w:p>
    <w:p>
      <w:pPr>
        <w:pStyle w:val="TextBody"/>
        <w:bidi w:val="0"/>
        <w:spacing w:lineRule="auto" w:line="288" w:before="240" w:after="283"/>
        <w:jc w:val="left"/>
        <w:rPr/>
      </w:pPr>
      <w:r>
        <w:rPr>
          <w:rFonts w:ascii="Times New Roman;serif" w:hAnsi="Times New Roman;serif"/>
          <w:b w:val="false"/>
          <w:color w:val="000000"/>
          <w:sz w:val="20"/>
        </w:rPr>
        <w:t>In February 2022, Lucid LLC entered into the SIDF Loan Agreement with the SIDF, a related party of the PIF, which is an affiliate of Ayar. Under the SIDF Loan Agreement, SIDF has committed to provide the SIDF Loans to Lucid LLC in an aggregate principal amount of up to SAR 5.19 billion (approximately $1.4 billion); provided that SIDF may reduce the availability of SIDF Loans under the facility in certain circumstances.</w:t>
      </w:r>
      <w:r>
        <w:rPr>
          <w:color w:val="000000"/>
          <w:shd w:fill="FFFFFF" w:val="clear"/>
        </w:rPr>
        <w:t xml:space="preserve"> </w:t>
      </w:r>
      <w:r>
        <w:rPr>
          <w:rFonts w:ascii="Times New Roman;serif" w:hAnsi="Times New Roman;serif"/>
          <w:b w:val="false"/>
          <w:color w:val="000000"/>
          <w:sz w:val="20"/>
        </w:rPr>
        <w:t>See Note 6 “Debt”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MISA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February 2022, Lucid LLC entered into agreements with MISA, a related party of the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agreements, MISA has the right to require Lucid LLC to transfer the ownership of AMP-2 to MISA, at the fair market value thereof, reduced by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CBU operations at AMP-2 at the latest.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2023, the Company received support of SAR 366 million (approximately $97.5 million) in cash, of which $62.5 million was recorded as deferred liability within other long-term liabilities and $35.0 million was recorded as a deduction in calculating the carrying amount of the related assets in the consolidated balance sheet as of December 31, 2023. As of December 31, 2024, the Company recorded $97.5 million as a deduction in calculating the carrying amount of the related assets in the consolidated balance sheet. During the year ended December 31, 2025, there were no further deductions to the carrying value of the related assets in the consolidated balance sheet. There were no unfulfilled conditions and contingencies attached to the payments received.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rFonts w:ascii="Times New Roman;serif" w:hAnsi="Times New Roman;serif"/>
          <w:b/>
          <w:i/>
          <w:color w:val="242424"/>
          <w:sz w:val="20"/>
          <w:shd w:fill="FFFFFF" w:val="clear"/>
        </w:rPr>
      </w:pPr>
      <w:r>
        <w:rPr>
          <w:rFonts w:ascii="Times New Roman;serif" w:hAnsi="Times New Roman;serif"/>
          <w:b/>
          <w:i/>
          <w:color w:val="242424"/>
          <w:sz w:val="20"/>
          <w:shd w:fill="FFFFFF" w:val="clear"/>
        </w:rPr>
        <w:t>GIB Facility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2022, Lucid LLC entered into the GIB Facility Agreement with GIB. GIB is a related party of the PIF, which is an affiliate of Ayar. The GIB Facility Agreement provided for two committed revolving credit facilities in an aggregate principal amount of SAR 1.0 billion (approximately $266.1 million).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2023, Lucid LLC entered into the 2023 Amended GIB Facility Agreement to combine the two committed revolving credit facilities into a committed SAR 1.0 billion (approximately $266.1 million) 2023 GIB Credit Facility which may be used for general corporate purposes.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February 2025, Lucid LLC entered into the 2025 GIB Credit Facility maturing on February 24, 2028 to increase the credit facility committed amount from SAR 1.0 billion (approximately $266.1 million) to SAR 1.9 billion (approximately $506.6 million). Loans under the 2025 GIB Credit Facility may be used for general corporate purposes. See Note 6 “Debt”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Construction Service Contract </w:t>
      </w:r>
    </w:p>
    <w:p>
      <w:pPr>
        <w:pStyle w:val="TextBody"/>
        <w:bidi w:val="0"/>
        <w:spacing w:lineRule="auto" w:line="288" w:before="240" w:after="283"/>
        <w:jc w:val="left"/>
        <w:rPr/>
      </w:pPr>
      <w:r>
        <w:rPr>
          <w:rFonts w:ascii="Times New Roman;serif" w:hAnsi="Times New Roman;serif"/>
          <w:b w:val="false"/>
          <w:color w:val="000000"/>
          <w:sz w:val="20"/>
        </w:rPr>
        <w:t xml:space="preserve">Lucid LLC entered into agreements with Al Bawani Company Limited (“Al Bawani”), an </w:t>
      </w:r>
      <w:r>
        <w:rPr>
          <w:rFonts w:ascii="Times New Roman;serif" w:hAnsi="Times New Roman;serif"/>
          <w:b w:val="false"/>
          <w:color w:val="000000"/>
          <w:sz w:val="20"/>
          <w:shd w:fill="FFFFFF" w:val="clear"/>
        </w:rPr>
        <w:t xml:space="preserve">affiliate of the </w:t>
      </w:r>
      <w:r>
        <w:rPr>
          <w:rFonts w:ascii="Times New Roman;serif" w:hAnsi="Times New Roman;serif"/>
          <w:b w:val="false"/>
          <w:color w:val="000000"/>
          <w:sz w:val="20"/>
        </w:rPr>
        <w:t xml:space="preserve">PIF, which is an affiliate of Ayar, for certain design and construction services in connection with the development of AMP-2. The capital expenditures incurred to date under these agreements were SAR 2,147.8 million (approximately $572.7 million) and SAR 865.2 million (approximately $230.3 million) as of December 31, 2025 and 2024, respectively. Amounts due to Al Bawani under these agreements was SAR 306.0 million (approximately $81.6 million) as of December 31, 2025 and was recorded within other current liabilities in the consolidated balance sheet. Net advance payments made to Al Bawani under these agreements was SAR 129.6 million (approximately $34.5 million) as of December 31, 2024, and was recorded within other current assets in the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Subscription Agreements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May 2023, the Company entered into the 2023 Subscription Agreement with Ayar, pursuant to which Ayar agreed to purchase from the Company 26,569,370 shares of common stock at a price per share of $68.30 in a private placement for aggregate net proceeds of $1.8 billion. In June 2023, the Company issued the shares to Ayar pursuant to the 2023 Subscription Agreement and received aggregate net proceeds of $1.8 billion after deducting issuance costs of $2.0 million. See Note 9 “Stockholders’ Equity”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2024, the Company entered into the Series A Subscription Agreement with Ayar, pursuant to which Ayar agreed to purchase from the Company 100,000 shares of its Series A Redeemable Convertible Preferred Stock for an aggregate purchase price of $1.0 billion in a private placement. Subsequently, in March 2024, the Company issued the shares to Ayar pursuant to the Series A Subscription Agreement and received aggregate net proceeds of $997.6 million after deducting issuance cost of $2.4 million. In August 2024, the Company entered into the Series B Subscription Agreement with Ayar, pursuant to which Ayar agreed to purchase from the Company 75,000 shares of its Series B Redeemable Convertible Preferred Stock for an aggregate purchase price of $750.0 million in a private placement. Subsequently, in August 2024, the Company issued the shares to Ayar pursuant to the Series B Subscription Agreement and received aggregate net proceeds of $749.4 million after deducting issuance costs of $0.6 million. See Note 8 “Redeemable Convertible Preferred Stock” for more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October 2024, the Company entered into the 2024 Subscription Agreement, pursuant to which Ayar agreed to purchase from the Company 37,471,793 shares of common stock in a private placement. In addition, Ayar agreed to purchase an additional 2,147,045 shares of common stock. As of October 31, 2024, the Company consummated the private placement of shares to Ayar pursuant to the 2024 Subscription Agreement, at a price per share of $25.91, for aggregate net proceeds of $1,025.7 million after deducting issuance costs of $0.8 million. See Note 9 “Stockholders’ Equity”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Common stock acquired by Ayar under the 2023 Subscription Agreement, 2024 Subscription Agreement, the Redeemable Convertible Preferred Stock acquired by Ayar under the Series A Subscription Agreement and the Series B Subscription Agreement, and the common stock issuable upon conversion thereof are subject to the Investor Rights Agreement, which governs the registration for resale of such common stock and the Redeemable Convertible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Human Resources Development Fund (“HRDF”) Joint Cooperation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2023 and July 2025, Lucid LLC entered into joint cooperation agreements with HRDF, a related party of the PIF, which is an affiliate of Ayar. Pursuant to the agreements, Lucid LLC will train and develop local personnel in Saudi Arabia, and HRDF agreed to reimburse the Company training related costs in aggregate maximum amounts of SAR 29.3 million (approximately $7.8 million) and SAR 24.7 million (approximately $6.6 million), respectively.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received payments of SAR 10.9 million (approximately $2.9 million), SAR 10.9 million (approximately $2.9 million), and SAR 8.8 million (approximately $2.3 million) in cash during the years ended December 31, 2025, 2024, and 2023, respectively. The deferred liability was nil as of December 31, 2025 and 2024, and the Company recorded the remaining deferred liability balance as a deduction to operating expenses in the consolidated statement of operations and comprehensive loss. The deduction recorded to operating expenses in the consolidated statement of operations and comprehensive loss was not material for the years ended December 31, 2025,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 Purchase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2023, Lucid LLC entered into the EV Purchase Agreement with the Government of Saudi Arabia, a related party of the PIF, which is an affiliate of Ayar, as represented by the Ministry of Finance. The EV Purchase Agreement supersedes the letter of undertaking that Lucid LLC entered into in April 2022. Pursuant to the terms of the EV Purchase Agreement,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any vehicles that Lucid LLC fails to deliver within six months from the date of the applicable purchase order. The Purchaser also has sole and absolute discretion to decide whether to exercise the option to purchase the additional 50,000 vehicles.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net vehicle sales amount of SAR 540.2 million (approximately $144.0 million), SAR 654.6 million (approximately $174.2 million), and SAR 163.9 million (approximately $43.7 million) during the years ended December 31, 2025, 2024, and 2023, respectively. The deferred revenue from the vehicle sales was primarily related to OTA and was recorded within other current liabilities and other long-term liabilities in the consolidated balance sheets. As of December 31, 2025 and 2024, the deferred revenue balance was not material. The Company recorded amounts due from the Purchaser of SAR 452.1 million (approximately $120.5 million) and SAR 217.6 million (approximately $57.9 million) in accounts receivable, net in the consolidated balance sheets as of December 31, 2025 and 2024, respectively. See “Vehicle Sales without Residual Value Guarantee” section under Note 2 “Summary of Significant Accounting Policies” for the revenue recognition policies.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Implementation Agreement with Aston Martin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June 2023, the Company entered into the Implementation Agreement with Aston Martin, a related party of the PIF, which is an affiliate of Ayar, under which the Company and Aston Martin have established a long-term strategic technology and supply arrangement. On November 6, 2023, in connection with the commencement of the Strategic Technology Arrangement, the Company received technology access fees in 28,352,273 ordinary shares of Aston Martin and the first cash installment of $33.0 million. These shares were initially measured at a fair value of $73.2 million. As of December 31, 2025 and 2024, the Company remeasured the shares and recorded fair values of $24.3 million and $37.8 million within long-term investments in the consolidated balance sheets, respectively. The Company will receive the remaining cash payments of $99 million phased over a period of three years. Aston Martin has also committed to an effective minimum spend with the Company on powertrain components of $225 million. In connection with the Strategic Technology Arrangement, the Company will also receive an aggregate of $10 million for integration service fees phased over a period of three years, of which the Company received $5.8 million from inception through December 31, 2025. As of December 31, 2025, the Company recorded accounts receivable of $2.8 million. There were immaterial accounts receivable as of December 31, 2024. The Company accounts for technology access, integration service, and supply arrangement as a single performance obligation and recognizes revenue related to technology access and integration service based on estimated units of delivery under the supply arrangement. As of December 31, 2025 and 2024, the Company recorded $114.8 million and $112.7 million as deferred revenue primarily within other long-term liabilities in the consolidated balance sheets,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2024, the Company entered into a $750.0 million five year DDTL Credit Facility with Ayar, which may be used for working capital and general corporate purposes. In November 2025, the Company increased the aggregate principal amount of the DDTL Credit Facility from $750.0 million to $1.98 billion. See Note 6 “Debt”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Time Deposit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purchases time deposits with GIB from time-to-time. GIB is a related party of the PIF, which is an affiliate of Ayar. As of December 31, 2025 and 2024, the Company recorded time deposit balance of $50.0 million and $15.0 million within short-term investments, and nil and $20.0 million within long-term investments in the consolidated balance sheets, respectively. See Note 5 “Fair Value Measurements and Financial Instruments”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Ayar Prepaid Forward Transactions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pricing of the 2030 Notes, Ayar entered into a privately negotiated prepaid forward transaction with the Forward Counterparty, pursuant to which Ayar will purchase approximately $430.0 million of the Company’s common stock with delivery expected to occur on or about the maturity date for the 2030 Notes, subject to the ability of the Forward Counterparty to elect to settle all or a portion of the prepaid forward transaction early. The periodic fee incurred associated with the prepaid forward transaction was not material for the year ended December 31, 2025. See Note 6 “Debt”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pricing of the 2031 Notes, Ayar entered into a privately negotiated prepaid forward transaction with the Forward Counterparty, pursuant to which Ayar will purchase approximately $636.7 million of the Company’s common stock with delivery expected to occur on or about the maturity date for the 2031 Notes, subject to the ability of the Forward Counterparty to elect to settle all or a portion of the prepaid forward transaction early. The periodic fee incurred associated with the prepaid forward transaction was not material for the year ended December 31, 2025. See Note 6 “Debt”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17 - SEGMENT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operates in one reportable segment, as the CODM reviews financial information presented on a consolidated basis for purposes of making operating decisions, allocating resources, and evaluating financial performance. The Company’s CODM is its Chief Executive Officer. The Company derives segment revenue primarily from the sale of EVs to customers, and the Company’s reported measure of the segment’s profit or loss is the consolidated net loss reported in the consolidated statements of operations and comprehensive loss. The CODM uses the consolidated net loss for monitoring actual results to assess the Company’s financial performance. The Company’s CODM does not evaluate its reportable segment using asset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disaggregation of the Company’s revenue by geographic area based on the sales location where the sales originated was as follows (in thousands):</w:t>
      </w:r>
    </w:p>
    <w:tbl>
      <w:tblPr>
        <w:tblW w:w="5952" w:type="dxa"/>
        <w:jc w:val="left"/>
        <w:tblInd w:w="0" w:type="dxa"/>
        <w:tblLayout w:type="fixed"/>
        <w:tblCellMar>
          <w:top w:w="28" w:type="dxa"/>
          <w:left w:w="28" w:type="dxa"/>
          <w:bottom w:w="28" w:type="dxa"/>
          <w:right w:w="28" w:type="dxa"/>
        </w:tblCellMar>
      </w:tblPr>
      <w:tblGrid>
        <w:gridCol w:w="602"/>
        <w:gridCol w:w="530"/>
        <w:gridCol w:w="533"/>
        <w:gridCol w:w="211"/>
        <w:gridCol w:w="976"/>
        <w:gridCol w:w="109"/>
        <w:gridCol w:w="109"/>
        <w:gridCol w:w="109"/>
        <w:gridCol w:w="109"/>
        <w:gridCol w:w="211"/>
        <w:gridCol w:w="826"/>
        <w:gridCol w:w="109"/>
        <w:gridCol w:w="109"/>
        <w:gridCol w:w="109"/>
        <w:gridCol w:w="109"/>
        <w:gridCol w:w="211"/>
        <w:gridCol w:w="826"/>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North America</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Middle East</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1,353,790 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807,832 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595,271 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United States revenue was $1,142.4 million, $587.3 million, and $511.3 million for the years ended December 31, 2025, 2024, and 2023, respectively.</w:t>
      </w:r>
    </w:p>
    <w:p>
      <w:pPr>
        <w:pStyle w:val="TextBody"/>
        <w:bidi w:val="0"/>
        <w:spacing w:lineRule="auto" w:line="288"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Kingdom of Saudi Arabia revenue was $161.8 million and $191.1 million for the years ended December 31, 2025 and 2024. Middle East represented revenue from Kingdom of Saudi Arabia for the year ended December 31, 2023.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included information about reported segment revenue, segment profit or loss, and significant segment expenses (in thousands): </w:t>
      </w:r>
    </w:p>
    <w:tbl>
      <w:tblPr>
        <w:tblW w:w="10205" w:type="dxa"/>
        <w:jc w:val="left"/>
        <w:tblInd w:w="0" w:type="dxa"/>
        <w:tblLayout w:type="fixed"/>
        <w:tblCellMar>
          <w:top w:w="28" w:type="dxa"/>
          <w:left w:w="28" w:type="dxa"/>
          <w:bottom w:w="28" w:type="dxa"/>
          <w:right w:w="28" w:type="dxa"/>
        </w:tblCellMar>
      </w:tblPr>
      <w:tblGrid>
        <w:gridCol w:w="2083"/>
        <w:gridCol w:w="1688"/>
        <w:gridCol w:w="1708"/>
        <w:gridCol w:w="211"/>
        <w:gridCol w:w="1021"/>
        <w:gridCol w:w="109"/>
        <w:gridCol w:w="109"/>
        <w:gridCol w:w="109"/>
        <w:gridCol w:w="109"/>
        <w:gridCol w:w="211"/>
        <w:gridCol w:w="1021"/>
        <w:gridCol w:w="109"/>
        <w:gridCol w:w="109"/>
        <w:gridCol w:w="109"/>
        <w:gridCol w:w="109"/>
        <w:gridCol w:w="211"/>
        <w:gridCol w:w="1021"/>
        <w:gridCol w:w="158"/>
      </w:tblGrid>
      <w:tr>
        <w:trPr/>
        <w:tc>
          <w:tcPr>
            <w:tcW w:w="2083"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595,271 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Less: </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 excluding LCNRV and provision for warranty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(935,118)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 LCNRV</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(926,898)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 provision for warranty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(937,012)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(797,235)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 liability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equity securities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liabilities associated with redeemable convertible preferred stock (related party)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net loss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(2,698,051)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(2,713,942)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(2,828,420)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(2,698,051)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(2,713,942)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(2,828,420)</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expenses were $451.2 million, $295.3 million, and $233.5 million for the years ended December 31, 2025, 2024, and 2023, respectively.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long-lived assets by geographic area were as follows (in thousands): </w:t>
      </w:r>
    </w:p>
    <w:tbl>
      <w:tblPr>
        <w:tblW w:w="4929" w:type="dxa"/>
        <w:jc w:val="left"/>
        <w:tblInd w:w="0" w:type="dxa"/>
        <w:tblLayout w:type="fixed"/>
        <w:tblCellMar>
          <w:top w:w="28" w:type="dxa"/>
          <w:left w:w="28" w:type="dxa"/>
          <w:bottom w:w="28" w:type="dxa"/>
          <w:right w:w="28" w:type="dxa"/>
        </w:tblCellMar>
      </w:tblPr>
      <w:tblGrid>
        <w:gridCol w:w="713"/>
        <w:gridCol w:w="624"/>
        <w:gridCol w:w="628"/>
        <w:gridCol w:w="211"/>
        <w:gridCol w:w="976"/>
        <w:gridCol w:w="109"/>
        <w:gridCol w:w="109"/>
        <w:gridCol w:w="109"/>
        <w:gridCol w:w="109"/>
        <w:gridCol w:w="211"/>
        <w:gridCol w:w="976"/>
        <w:gridCol w:w="154"/>
      </w:tblGrid>
      <w:tr>
        <w:trPr/>
        <w:tc>
          <w:tcPr>
            <w:tcW w:w="7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3,487,142 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3,474,498 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Kingdom of Saudi Arabia long-lived assets balance was $658.6 million as of December 31, 2025. No individual foreign country had more than 10% of the total long-lived assets balance as of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18 – SUBSEQUENT EVENT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preparation of the consolidated financial statements for the year ended December 31, 2025, the Company evaluated subsequent event and concluded there were no subsequent event that required recognition in the consolidated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20, 2026, the Company announced a reduction of its current U.S. workforce that intended to align with its long-term operating goals as it focuses on the start of production of its Midsize platform, expansion into the robotaxi market and development of ADAS technologies, as well as the sale and distribution of its current models in existing and new geographies. The Company expects to substantially complete the Plan by the end of the second quarter of 2026, subject to local law and consultation requirements. As a result of the Plan, the Company expects to incur total restructuring charges of approximately $40 million to $42 million, primarily related to severance payments, employee benefits, and employee transition.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principal executive officer and principal financial officer, evaluated the effectiveness of the design and operation of our disclosure controls and procedures (as defined in Rules 13a-15(e) and 15d-15(e) under the Exchange Act) as of the end of the period covered by this Annual Report on Form 10-K.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their evaluation, our principal executive officer and principal financial officer concluded that as of December 31, 2025, our disclosure controls and procedures are designed to, and are effective to, provide reasonable assurance that the information we are required to disclose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U.S. GAAP.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management, under the supervision of our principal executive officer and principal financial officer, conducted an evaluation of the effectiveness of our internal control over financial reporting based on the framework in Internal Control—Integrated Framework (2013), issued by the Committee of Sponsoring Organizations of the Treadway Commission. Based on this evaluation, management concluded that our internal control over financial reporting was effective as of December 31, 2025, to provide reasonable assurance regarding the reliability of our financial reporting and the preparation of consolidated financial statements for external reporting purposes in accordance with U.S. GAAP.</w:t>
      </w:r>
    </w:p>
    <w:p>
      <w:pPr>
        <w:pStyle w:val="TextBody"/>
        <w:bidi w:val="0"/>
        <w:spacing w:lineRule="auto" w:line="288" w:before="240" w:after="283"/>
        <w:jc w:val="left"/>
        <w:rPr/>
      </w:pPr>
      <w:r>
        <w:rPr>
          <w:rFonts w:ascii="Times New Roman;serif" w:hAnsi="Times New Roman;serif"/>
          <w:b w:val="false"/>
          <w:color w:val="000000"/>
          <w:sz w:val="20"/>
        </w:rPr>
        <w:t xml:space="preserve">The effectiveness of our internal control over financial reporting as of December 31, 2025 has been audited by </w:t>
      </w:r>
      <w:r>
        <w:rPr>
          <w:rFonts w:ascii="Times New Roman;serif" w:hAnsi="Times New Roman;serif"/>
          <w:b w:val="false"/>
          <w:color w:val="000000"/>
          <w:sz w:val="19"/>
        </w:rPr>
        <w:t>KPMG LLP</w:t>
      </w:r>
      <w:r>
        <w:rPr>
          <w:rFonts w:ascii="Times New Roman;serif" w:hAnsi="Times New Roman;serif"/>
          <w:b w:val="false"/>
          <w:color w:val="000000"/>
          <w:sz w:val="20"/>
        </w:rPr>
        <w:t>, an independent registered public accounting firm, as stated in their report, which is included in Item 8 of Part II of this Annual Report on Form 10-K.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 13a-15(f) and 15d-15(f) under the Exchange Act) that occurred during the fiscal quarter ended December 31, 2025, that has materially affected, or is reasonably likely to materially affect, our internal control over financial reporting.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adopted, modified or terminated a Rule 10b5-1 trading arrangement or a non-Rule 10b5-1 trading arrangement during the quarter ended December 31, 2025, as such terms are defined under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Item 10.</w:t>
      </w:r>
      <w:r>
        <w:rPr>
          <w:color w:val="000000"/>
        </w:rPr>
        <w:t xml:space="preserve"> </w:t>
      </w:r>
      <w:r>
        <w:rPr>
          <w:rFonts w:ascii="Times New Roman;serif" w:hAnsi="Times New Roman;serif"/>
          <w:b/>
          <w:color w:val="000000"/>
          <w:sz w:val="20"/>
        </w:rPr>
        <w:t xml:space="preserve">Directors, Executive Officers and Corporate Governance.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Certain information required by this Item will be included in the Company’s Proxy Statement to be filed with the SEC within 120 days after December 31, 2025 in connection with the solicitation of proxies for the Company’s 2026 annual meeting of stockholders, and is incorporated herein by reference.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is committed to promoting high standards of ethical business conduct and compliance with applicable laws, rules and regulations. As part of this commitment, we have adopted an Insider Trading Policy that we believe is reasonably designed to promote compliance with insider trading laws, rules and regulations, and any listing standards applicable to the Company. Under this policy, directors, officers and other employees and contractors of the Company and its subsidiaries and other persons who may have access to material nonpublic information are prohibited from engaging in certain transactions relating to Company securities. The foregoing summary of the Insider Trading Policy does not purport to be complete and is qualified in its entirety by reference to the full text of the Insider Trading Policy attached as Exhibit 19.1 to our annual report on Form 10-K for the year ended December 31, 2024, filed with the SEC on February 25,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Company’s Proxy Statement to be filed with the SEC within 120 days after December 31, 2025,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Item 12.</w:t>
      </w:r>
      <w:r>
        <w:rPr>
          <w:color w:val="000000"/>
        </w:rPr>
        <w:t xml:space="preserve"> </w:t>
      </w:r>
      <w:r>
        <w:rPr>
          <w:rFonts w:ascii="Times New Roman;serif" w:hAnsi="Times New Roman;serif"/>
          <w:b/>
          <w:color w:val="000000"/>
          <w:sz w:val="20"/>
        </w:rPr>
        <w:t xml:space="preserve">Security Ownership of Certain Beneficial Owners and Management and Related Stockholder Matters.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Company’s Proxy Statement to be filed with the SEC within 120 days after December 31, 2025,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Item 13.</w:t>
      </w:r>
      <w:r>
        <w:rPr>
          <w:color w:val="000000"/>
        </w:rPr>
        <w:t xml:space="preserve"> </w:t>
      </w:r>
      <w:r>
        <w:rPr>
          <w:rFonts w:ascii="Times New Roman;serif" w:hAnsi="Times New Roman;serif"/>
          <w:b/>
          <w:color w:val="000000"/>
          <w:sz w:val="20"/>
        </w:rPr>
        <w:t xml:space="preserve">Certain Relationships and Related Transactions, and Director Independence.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Company’s Proxy Statement to be filed with the SEC within 120 days after December 31, 2025,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Item 14.</w:t>
      </w:r>
      <w:r>
        <w:rPr>
          <w:color w:val="000000"/>
        </w:rPr>
        <w:t xml:space="preserve"> </w:t>
      </w:r>
      <w:r>
        <w:rPr>
          <w:rFonts w:ascii="Times New Roman;serif" w:hAnsi="Times New Roman;serif"/>
          <w:b/>
          <w:color w:val="000000"/>
          <w:sz w:val="20"/>
        </w:rPr>
        <w:t xml:space="preserve">Principal Accountant Fees and Services.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Company’s Proxy Statement to be filed with the SEC within 120 days after December 31, 2025,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15.</w:t>
      </w:r>
      <w:r>
        <w:rPr>
          <w:color w:val="000000"/>
        </w:rPr>
        <w:t xml:space="preserve"> </w:t>
      </w:r>
      <w:r>
        <w:rPr>
          <w:rFonts w:ascii="Times New Roman;serif" w:hAnsi="Times New Roman;serif"/>
          <w:b/>
          <w:color w:val="000000"/>
          <w:sz w:val="20"/>
        </w:rPr>
        <w:t>Exhibits and Financial Statement Schedules.</w:t>
      </w:r>
    </w:p>
    <w:tbl>
      <w:tblPr>
        <w:tblW w:w="10205" w:type="dxa"/>
        <w:jc w:val="left"/>
        <w:tblInd w:w="0" w:type="dxa"/>
        <w:tblLayout w:type="fixed"/>
        <w:tblCellMar>
          <w:top w:w="28" w:type="dxa"/>
          <w:left w:w="28" w:type="dxa"/>
          <w:bottom w:w="28" w:type="dxa"/>
          <w:right w:w="28" w:type="dxa"/>
        </w:tblCellMar>
      </w:tblPr>
      <w:tblGrid>
        <w:gridCol w:w="147"/>
        <w:gridCol w:w="129"/>
        <w:gridCol w:w="129"/>
        <w:gridCol w:w="2951"/>
        <w:gridCol w:w="2826"/>
        <w:gridCol w:w="4023"/>
      </w:tblGrid>
      <w:tr>
        <w:trPr/>
        <w:tc>
          <w:tcPr>
            <w:tcW w:w="1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4023" w:type="dxa"/>
            <w:tcBorders/>
            <w:vAlign w:val="center"/>
          </w:tcPr>
          <w:p>
            <w:pPr>
              <w:pStyle w:val="TableContents"/>
              <w:bidi w:val="0"/>
              <w:spacing w:before="0" w:after="283"/>
              <w:jc w:val="left"/>
              <w:rPr>
                <w:sz w:val="4"/>
                <w:szCs w:val="4"/>
              </w:rPr>
            </w:pPr>
            <w:r>
              <w:rPr>
                <w:sz w:val="4"/>
                <w:szCs w:val="4"/>
              </w:rPr>
            </w:r>
          </w:p>
        </w:tc>
      </w:tr>
      <w:tr>
        <w:trPr/>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(a)(1)</w:t>
            </w:r>
          </w:p>
        </w:tc>
        <w:tc>
          <w:tcPr>
            <w:tcW w:w="9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financial statements filed as part of this Annual Report are listed in Item 8 of this Annual Report.</w:t>
            </w:r>
          </w:p>
        </w:tc>
      </w:tr>
      <w:tr>
        <w:trPr/>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(a)(2)</w:t>
            </w:r>
          </w:p>
        </w:tc>
        <w:tc>
          <w:tcPr>
            <w:tcW w:w="9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financial statement schedules are required to be filed as part of this Annual Report because all such schedules have been omitted. Such omission has been made on the basis that information is provided in the financial statements, or in the related notes thereto, in Item 8 of this Annual Report or is not required to be filed as the information is not applicable.</w:t>
            </w:r>
          </w:p>
        </w:tc>
      </w:tr>
      <w:tr>
        <w:trPr/>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(a)(3)</w:t>
            </w:r>
          </w:p>
        </w:tc>
        <w:tc>
          <w:tcPr>
            <w:tcW w:w="9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exhibits listed on the Exhibit Index to this Annual Report are incorporated herein by reference.</w:t>
            </w:r>
          </w:p>
        </w:tc>
      </w:tr>
    </w:tbl>
    <w:p>
      <w:pPr>
        <w:pStyle w:val="TextBody"/>
        <w:bidi w:val="0"/>
        <w:spacing w:before="0" w:after="0"/>
        <w:jc w:val="both"/>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11"/>
        <w:gridCol w:w="1685"/>
        <w:gridCol w:w="1690"/>
        <w:gridCol w:w="172"/>
        <w:gridCol w:w="172"/>
        <w:gridCol w:w="174"/>
        <w:gridCol w:w="259"/>
        <w:gridCol w:w="259"/>
        <w:gridCol w:w="260"/>
        <w:gridCol w:w="423"/>
        <w:gridCol w:w="362"/>
        <w:gridCol w:w="281"/>
        <w:gridCol w:w="230"/>
        <w:gridCol w:w="230"/>
        <w:gridCol w:w="231"/>
        <w:gridCol w:w="242"/>
        <w:gridCol w:w="242"/>
        <w:gridCol w:w="349"/>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w:t>
              <w:br/>
              <w:t>Number</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Filing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Date</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w:t>
              <w:br/>
              <w:t>Herewith</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 xml:space="preserve">Agreement and Plan of Merger, dated as of February 22, 2021, by and among Churchill Capital Corp IV, Air Merger Sub, Inc., and Atieva, Inc. </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26, 2021</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Third Amended and Restated Certificate of Incorporation</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April 25,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Certificate of Amendment to the Third Amended and Restated Certificate of Incorporation, dated August 29, 2025</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 2025</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8"/>
                  <w:u w:val="single"/>
                </w:rPr>
                <w:t>Second Amended and Restated Bylaws</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8"/>
                  <w:u w:val="single"/>
                </w:rPr>
                <w:t xml:space="preserve">Specimen Class A Common Stock Certificate of Lucid Group, Inc. </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26, 2021</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8"/>
                  <w:u w:val="single"/>
                </w:rPr>
                <w:t>Specimen Warrant Certificate</w:t>
              </w:r>
            </w:hyperlink>
            <w:r>
              <w:rPr>
                <w:color w:val="000000"/>
              </w:rPr>
              <w:t xml:space="preserve"> </w:t>
            </w:r>
            <w:r>
              <w:rPr>
                <w:rFonts w:ascii="Times New Roman;serif" w:hAnsi="Times New Roman;serif"/>
                <w:b w:val="false"/>
                <w:color w:val="000000"/>
                <w:sz w:val="18"/>
              </w:rPr>
              <w:t>(included as Exhibit A to Exhibit 4.2 herewith)</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4, 2020</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
              <w:r>
                <w:rPr>
                  <w:rStyle w:val="InternetLink"/>
                  <w:rFonts w:ascii="Times New Roman;serif" w:hAnsi="Times New Roman;serif"/>
                  <w:b w:val="false"/>
                  <w:color w:val="000080"/>
                  <w:sz w:val="18"/>
                  <w:u w:val="single"/>
                </w:rPr>
                <w:t xml:space="preserve">Warrant Agreement, dated July 29, 2020, between Continental Stock Transfer &amp; </w:t>
              </w:r>
            </w:hyperlink>
            <w:hyperlink r:id="rId10">
              <w:r>
                <w:rPr>
                  <w:rStyle w:val="InternetLink"/>
                  <w:rFonts w:ascii="Times New Roman;serif" w:hAnsi="Times New Roman;serif"/>
                  <w:b w:val="false"/>
                  <w:color w:val="000080"/>
                  <w:sz w:val="18"/>
                  <w:u w:val="single"/>
                </w:rPr>
                <w:t>Trust Company and Churchill Capital Corp IV</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4, 2020</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
              <w:r>
                <w:rPr>
                  <w:rStyle w:val="InternetLink"/>
                  <w:rFonts w:ascii="Times New Roman;serif" w:hAnsi="Times New Roman;serif"/>
                  <w:b w:val="false"/>
                  <w:color w:val="000080"/>
                  <w:sz w:val="18"/>
                  <w:u w:val="single"/>
                </w:rPr>
                <w:t xml:space="preserve">Indenture, dated as of December 14, 2021, between Lucid Group, Inc. and U.S. </w:t>
              </w:r>
            </w:hyperlink>
            <w:hyperlink r:id="rId12">
              <w:r>
                <w:rPr>
                  <w:rStyle w:val="InternetLink"/>
                  <w:rFonts w:ascii="Times New Roman;serif" w:hAnsi="Times New Roman;serif"/>
                  <w:b w:val="false"/>
                  <w:color w:val="000080"/>
                  <w:sz w:val="18"/>
                  <w:u w:val="single"/>
                </w:rPr>
                <w:t>Bank National Association, as trustee</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14, 2021</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18"/>
                  <w:u w:val="single"/>
                </w:rPr>
                <w:t>Indenture, dated as of April 8, 2025, between Lucid Group, Inc. and U.S. Bank Trust Company, National Association, as trustee.</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8, 2025</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18"/>
                  <w:u w:val="single"/>
                </w:rPr>
                <w:t>Indenture, dated as of November 17, 2025, between Lucid Group, Inc. and U.S. Bank Trust Company, National Association, as trustee.</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17, 2025</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18"/>
                  <w:u w:val="single"/>
                </w:rPr>
                <w:t>Form of certificate representing the 1.25% Convertible Senior Notes due 2026</w:t>
              </w:r>
            </w:hyperlink>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(included as Exhibit A to Exhibit 4.5 herewith)</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14, 2021</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18"/>
                  <w:u w:val="single"/>
                </w:rPr>
                <w:t>Certificate of Designations of Series A Convertible Preferred Stock of Lucid Group, Inc.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29, 2024</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18"/>
                  <w:u w:val="single"/>
                </w:rPr>
                <w:t>Certificate of Designations of Series B Convertible Preferred Stock of Lucid Group, Inc.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19, 2024</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5form10-kxex410.htm">
              <w:r>
                <w:rPr>
                  <w:rStyle w:val="InternetLink"/>
                  <w:rFonts w:ascii="Times New Roman;serif" w:hAnsi="Times New Roman;serif"/>
                  <w:b w:val="false"/>
                  <w:color w:val="0000FF"/>
                  <w:sz w:val="18"/>
                  <w:u w:val="single"/>
                </w:rPr>
                <w:t>Description of Registrant’s Securities</w:t>
              </w:r>
            </w:hyperlink>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18"/>
                  <w:u w:val="single"/>
                </w:rPr>
                <w:t>Form of Indemnification Agreement</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S-4/A</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333-254543</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14, 2021</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10.22</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18"/>
                  <w:u w:val="single"/>
                </w:rPr>
                <w:t>Lucid Group, Inc. 2021. Performance Bonus Plan</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26, 2021</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10.25</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18"/>
                  <w:u w:val="single"/>
                </w:rPr>
                <w:t xml:space="preserve">Lucid Group, Inc. 2021 Executive Severance Benefit Plan and Summary Plan Description </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26, 2021</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10.26</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18"/>
                  <w:u w:val="single"/>
                </w:rPr>
                <w:t xml:space="preserve">Form of Participation Agreement under the Lucid Group, Inc. 2021 Executive Severance Benefit Plan </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26, 2021</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10.27</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18"/>
                  <w:u w:val="single"/>
                </w:rPr>
                <w:t>Lucid Group, Inc. Amended and Restated 2021 Stock Incentive Plan (including the Lucid Group, Inc. 2021 Employee Stock Purchase Plan, attached thereto)</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S-8</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333-279973</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June 5, 2024</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99.1</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18"/>
                  <w:u w:val="single"/>
                </w:rPr>
                <w:t>Form of Stock Option Agreement under the Second Amended and Restated 2021 Stock Incentive Plan</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7,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18"/>
                  <w:u w:val="single"/>
                </w:rPr>
                <w:t>Form of PSU Agreement under the Second Amended and Restated 2021 Stock Incentive Plan</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November 7,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18"/>
                  <w:u w:val="single"/>
                </w:rPr>
                <w:t>Form of RSU Agreement under the Second Amended and Restated 2021 Stock Incentive Plan</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7,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18"/>
                  <w:u w:val="single"/>
                </w:rPr>
                <w:t>Investor Rights Agreement, dated as of February 22, 2021, by and among Churchill Capital Corp IV, Ayar Third Investment Company, Churchill Sponsor IV LLC and the other parties named therein</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23, 2021</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8"/>
        <w:gridCol w:w="174"/>
        <w:gridCol w:w="176"/>
        <w:gridCol w:w="109"/>
        <w:gridCol w:w="109"/>
        <w:gridCol w:w="109"/>
        <w:gridCol w:w="2128"/>
        <w:gridCol w:w="2073"/>
        <w:gridCol w:w="2079"/>
        <w:gridCol w:w="141"/>
        <w:gridCol w:w="127"/>
        <w:gridCol w:w="127"/>
        <w:gridCol w:w="287"/>
        <w:gridCol w:w="221"/>
        <w:gridCol w:w="223"/>
        <w:gridCol w:w="344"/>
        <w:gridCol w:w="344"/>
        <w:gridCol w:w="345"/>
        <w:gridCol w:w="169"/>
        <w:gridCol w:w="169"/>
        <w:gridCol w:w="173"/>
        <w:gridCol w:w="109"/>
        <w:gridCol w:w="109"/>
        <w:gridCol w:w="162"/>
      </w:tblGrid>
      <w:tr>
        <w:trPr/>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18"/>
                  <w:u w:val="single"/>
                </w:rPr>
                <w:t xml:space="preserve">Amendment No. 1 to the Investor Rights Agreement, dated November 8, 2022, between Lucid Group, Inc., Ayar Third Investment Company and the other parties thereto </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November 8, 2022</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18"/>
                  <w:u w:val="single"/>
                </w:rPr>
                <w:t>Amendment No. 2 to the Investor Rights Agreement, dated May 31, 2023, between Lucid Group, Inc., Ayar Third Investment Company and the other parties thereto</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5, 2023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18"/>
                  <w:u w:val="single"/>
                </w:rPr>
                <w:t>Amendment No. 3 to the Investor Rights Agreement, dated March 29, 2024, between Lucid Group, Inc., Ayar Third Investment Company and the other parties thereto</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29, 2024</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18"/>
                  <w:u w:val="single"/>
                </w:rPr>
                <w:t>Amendment No. 4 to the Investor Rights Agreement, dated August 16, 2024, between Lucid Group, Inc., Ayar Third Investment Company and the other parties thereto</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19, 2024</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18"/>
                  <w:u w:val="single"/>
                </w:rPr>
                <w:t>Amendment No. 5 to the Investor Rights Agreement, dated October 16, 2024, between Lucid Group, Inc., Ayar Third Investment Company and the other parties thereto</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February 25, 2025</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10.14</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18"/>
                  <w:u w:val="single"/>
                </w:rPr>
                <w:t>Amendment No. 6 to the Investor Rights Agreement, dated November 11, 2025, between Lucid Group, Inc. and Ayar Third Investment Company.</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17, 2025</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18"/>
                  <w:u w:val="single"/>
                </w:rPr>
                <w:t>Form of Subscription Agreement</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23,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18"/>
                  <w:u w:val="single"/>
                </w:rPr>
                <w:t>Amended and Restated Sponsor Agreement, dated as of February 22, 2021, by and among Churchill Capital Corp IV, Churchill Sponsor IV LLC, and Michael Klein, Lee Jay Taragin, Glenn R. August, William J. Bynum, Bonnie Jonas, Mark Klein, Malcom S. McDermid and Karen G. Mills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23,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18"/>
                  <w:u w:val="single"/>
                </w:rPr>
                <w:t>Promissory Note, dated as of February 22, 2021, by and between Churchill Capital Corp IV and Churchill Sponsor IV LLC</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23,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18"/>
                  <w:u w:val="single"/>
                </w:rPr>
                <w:t>Form of Option Agreement under the Lucid Group, Inc. 2021 Stock Incentive Plan</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S-4</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333-254543</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22,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18"/>
                  <w:u w:val="single"/>
                </w:rPr>
                <w:t>Form of RSU Agreement under the Lucid Group, Inc. 2021 Stock Incentive Plan</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S-4</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333-254543</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22,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18"/>
                  <w:u w:val="single"/>
                </w:rPr>
                <w:t>Atieva, Inc. 2014 Share Plan, as amended January 11, 2021</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S-4</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333-254543</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22,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10.10</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18"/>
                  <w:u w:val="single"/>
                </w:rPr>
                <w:t>Form of Amended and Restated Notice of Share Option Grant under the Atieva, Inc. 2014 Share Plan</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S-4</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333-254543</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22,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18"/>
                  <w:u w:val="single"/>
                </w:rPr>
                <w:t>Atieva, Inc. 2021 Stock Incentive Plan, as amended February 22, 2021</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S-4</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333-254543</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22,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18"/>
                  <w:u w:val="single"/>
                </w:rPr>
                <w:t>Form of Stock Option Agreement under the Atieva, Inc. 2021 Stock Incentive Plan</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S-4</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333-254543</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22,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2">
              <w:r>
                <w:rPr>
                  <w:rStyle w:val="InternetLink"/>
                  <w:rFonts w:ascii="Times New Roman;serif" w:hAnsi="Times New Roman;serif"/>
                  <w:b w:val="false"/>
                  <w:color w:val="0000FF"/>
                  <w:sz w:val="18"/>
                  <w:u w:val="single"/>
                </w:rPr>
                <w:t xml:space="preserve">Form of RSU Agreement under the Atieva, Inc. 2021 Stock Incentive Plan </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S-4</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333-254543</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22,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10.14</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3">
              <w:r>
                <w:rPr>
                  <w:rStyle w:val="InternetLink"/>
                  <w:rFonts w:ascii="Times New Roman;serif" w:hAnsi="Times New Roman;serif"/>
                  <w:b w:val="false"/>
                  <w:color w:val="0000FF"/>
                  <w:sz w:val="18"/>
                  <w:u w:val="single"/>
                </w:rPr>
                <w:t>Form of RSU Agreement under the Atieva, Inc. 2021 Stock Incentive Plan (for Rule 144 Affiliates)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S-4</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333-254543</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22,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10.15</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18"/>
                  <w:u w:val="single"/>
                </w:rPr>
                <w:t>Atieva USA, Inc. Severance Benefit Plan</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S-4</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333-254543</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22,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10.16</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18"/>
                  <w:u w:val="single"/>
                </w:rPr>
                <w:t>Notice of Restricted Stock Unit Grant, dated March 27, 2021</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S-4/A</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333-254543</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14,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10.24</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18"/>
                  <w:u w:val="single"/>
                </w:rPr>
                <w:t>Offer of Employment to Gagan Dhingra, dated October 29, 2021</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28, 2022</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10.27</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18"/>
                  <w:u w:val="single"/>
                </w:rPr>
                <w:t>Offer of Promotion to Gagan Dhingra, dated January 27, 2025</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25, 2025</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10.36</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18"/>
                  <w:u w:val="single"/>
                </w:rPr>
                <w:t>Offer of Employment to Marc Winterhoff, dated November 7, 2023</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February 27, 2024</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10.31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18"/>
                  <w:u w:val="single"/>
                </w:rPr>
                <w:t>Offer of Promotion to Marc Winterhoff, dated February 21, 2025</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6, 2025</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18"/>
                  <w:u w:val="single"/>
                </w:rPr>
                <w:t>Offer of Employment to Taoufiq Boussaid, dated November 15, 2024</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25, 2025</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10.35</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FF"/>
                  <w:sz w:val="18"/>
                  <w:u w:val="single"/>
                </w:rPr>
                <w:t>Amendment to Offer of Employment to Taoufiq Boussaid, dated January 20, 2026</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23, 2026</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80"/>
                  <w:sz w:val="18"/>
                  <w:u w:val="single"/>
                </w:rPr>
                <w:t>Transition Agreement between Lucid Group, Inc. and Peter Rawlinson</w:t>
              </w:r>
            </w:hyperlink>
            <w:hyperlink r:id="rId53">
              <w:r>
                <w:rPr>
                  <w:rStyle w:val="InternetLink"/>
                  <w:rFonts w:ascii="Times New Roman;serif" w:hAnsi="Times New Roman;serif"/>
                  <w:b w:val="false"/>
                  <w:color w:val="000080"/>
                  <w:sz w:val="18"/>
                  <w:u w:val="single"/>
                </w:rPr>
                <w:t xml:space="preserve">, dated </w:t>
              </w:r>
            </w:hyperlink>
            <w:hyperlink r:id="rId54">
              <w:r>
                <w:rPr>
                  <w:rStyle w:val="InternetLink"/>
                  <w:rFonts w:ascii="Times New Roman;serif" w:hAnsi="Times New Roman;serif"/>
                  <w:b w:val="false"/>
                  <w:color w:val="000080"/>
                  <w:sz w:val="18"/>
                  <w:u w:val="single"/>
                </w:rPr>
                <w:t>February 21</w:t>
              </w:r>
            </w:hyperlink>
            <w:hyperlink r:id="rId55">
              <w:r>
                <w:rPr>
                  <w:rStyle w:val="InternetLink"/>
                  <w:rFonts w:ascii="Times New Roman;serif" w:hAnsi="Times New Roman;serif"/>
                  <w:b w:val="false"/>
                  <w:color w:val="000080"/>
                  <w:sz w:val="18"/>
                  <w:u w:val="single"/>
                </w:rPr>
                <w:t>, 2025</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6, 2025</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18"/>
                  <w:u w:val="single"/>
                </w:rPr>
                <w:t>Loan Agreement, dated as of February 27, 2022, between Lucid LLC and Saudi Industrial Development Fund (English version only)</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5, 2022</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7"/>
        <w:gridCol w:w="182"/>
        <w:gridCol w:w="184"/>
        <w:gridCol w:w="109"/>
        <w:gridCol w:w="109"/>
        <w:gridCol w:w="109"/>
        <w:gridCol w:w="2217"/>
        <w:gridCol w:w="2075"/>
        <w:gridCol w:w="2081"/>
        <w:gridCol w:w="127"/>
        <w:gridCol w:w="127"/>
        <w:gridCol w:w="128"/>
        <w:gridCol w:w="214"/>
        <w:gridCol w:w="214"/>
        <w:gridCol w:w="216"/>
        <w:gridCol w:w="424"/>
        <w:gridCol w:w="353"/>
        <w:gridCol w:w="238"/>
        <w:gridCol w:w="169"/>
        <w:gridCol w:w="169"/>
        <w:gridCol w:w="173"/>
        <w:gridCol w:w="109"/>
        <w:gridCol w:w="109"/>
        <w:gridCol w:w="162"/>
      </w:tblGrid>
      <w:tr>
        <w:trPr/>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FF"/>
                  <w:sz w:val="18"/>
                  <w:u w:val="single"/>
                </w:rPr>
                <w:t>Side Letter to Loan Agreement, dated as of February 27, 2022, between Lucid LLC and Saudi Industrial Development Fund (English version only)</w:t>
              </w:r>
            </w:hyperlink>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5, 2022</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FF"/>
                  <w:sz w:val="18"/>
                  <w:u w:val="single"/>
                </w:rPr>
                <w:t>Letter of Undertaking, dated as of April 20, 2022, between Lucid LLC and Ministry of Finance of the Kingdom of Saudi Arabia (English version only)</w:t>
              </w:r>
            </w:hyperlink>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5, 2022</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FF"/>
                  <w:sz w:val="18"/>
                  <w:u w:val="single"/>
                </w:rPr>
                <w:t>Credit Agreement, dated as of June 9, 2022, by and among Lucid Group, Inc., as the Borrower Representative, the other Borrowers party thereto from time to time, the Lenders and Issuing Banks from time to time party thereto and Bank of America, N.A., as Administrative Agent</w:t>
              </w:r>
            </w:hyperlink>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15, 2022</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erif" w:hAnsi="Times New Roman;serif"/>
                  <w:b w:val="false"/>
                  <w:color w:val="0000FF"/>
                  <w:sz w:val="18"/>
                  <w:u w:val="single"/>
                </w:rPr>
                <w:t>Amendment No. 1 to Credit Agreement, dated as of June 7, 2024, between Lucid Group, Inc., as the Borrower Representative, and Bank of America, N.A., as Administrative Agent</w:t>
              </w:r>
            </w:hyperlink>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5, 2024</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FF"/>
                  <w:sz w:val="18"/>
                  <w:u w:val="single"/>
                </w:rPr>
                <w:t>Credit Agreement, dated as of August 4, 2024, between Lucid Group, Inc. and Ayar Third Investment Company, as the sole lender and Administrative Agent</w:t>
              </w:r>
            </w:hyperlink>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5, 2024</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erif" w:hAnsi="Times New Roman;serif"/>
                  <w:b w:val="false"/>
                  <w:color w:val="0000FF"/>
                  <w:sz w:val="18"/>
                  <w:u w:val="single"/>
                </w:rPr>
                <w:t>Amendment No. 1 to Credit Agreement, dated November 4, 2025, among Lucid Group, Inc., and Ayar Third Investment Company, as the sole lender and administrative agent</w:t>
              </w:r>
            </w:hyperlink>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5, 2025</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erif" w:hAnsi="Times New Roman;serif"/>
                  <w:b w:val="false"/>
                  <w:color w:val="0000FF"/>
                  <w:sz w:val="18"/>
                  <w:u w:val="single"/>
                </w:rPr>
                <w:t>Facilities Letter, entered into as of April 29, 2022, between Lucid LLC and Gulf International Bank Saudi Arabia (English version only)</w:t>
              </w:r>
            </w:hyperlink>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3, 2022</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erif" w:hAnsi="Times New Roman;serif"/>
                  <w:b w:val="false"/>
                  <w:color w:val="000080"/>
                  <w:sz w:val="18"/>
                  <w:u w:val="single"/>
                </w:rPr>
                <w:t>Amendment to the Credit Facility Agreement</w:t>
              </w:r>
            </w:hyperlink>
            <w:hyperlink r:id="rId65">
              <w:r>
                <w:rPr>
                  <w:rStyle w:val="InternetLink"/>
                  <w:rFonts w:ascii="Times New Roman;serif" w:hAnsi="Times New Roman;serif"/>
                  <w:b w:val="false"/>
                  <w:color w:val="000080"/>
                  <w:sz w:val="18"/>
                  <w:u w:val="single"/>
                </w:rPr>
                <w:t xml:space="preserve">, entered into </w:t>
              </w:r>
            </w:hyperlink>
            <w:hyperlink r:id="rId66">
              <w:r>
                <w:rPr>
                  <w:rStyle w:val="InternetLink"/>
                  <w:rFonts w:ascii="Times New Roman;serif" w:hAnsi="Times New Roman;serif"/>
                  <w:b w:val="false"/>
                  <w:color w:val="000080"/>
                  <w:sz w:val="18"/>
                  <w:u w:val="single"/>
                </w:rPr>
                <w:t xml:space="preserve">on </w:t>
              </w:r>
            </w:hyperlink>
            <w:hyperlink r:id="rId67">
              <w:r>
                <w:rPr>
                  <w:rStyle w:val="InternetLink"/>
                  <w:rFonts w:ascii="Times New Roman;serif" w:hAnsi="Times New Roman;serif"/>
                  <w:b w:val="false"/>
                  <w:color w:val="000080"/>
                  <w:sz w:val="18"/>
                  <w:u w:val="single"/>
                </w:rPr>
                <w:t>February 2</w:t>
              </w:r>
            </w:hyperlink>
            <w:hyperlink r:id="rId68">
              <w:r>
                <w:rPr>
                  <w:rStyle w:val="InternetLink"/>
                  <w:rFonts w:ascii="Times New Roman;serif" w:hAnsi="Times New Roman;serif"/>
                  <w:b w:val="false"/>
                  <w:color w:val="000080"/>
                  <w:sz w:val="18"/>
                  <w:u w:val="single"/>
                </w:rPr>
                <w:t>4</w:t>
              </w:r>
            </w:hyperlink>
            <w:hyperlink r:id="rId69">
              <w:r>
                <w:rPr>
                  <w:rStyle w:val="InternetLink"/>
                  <w:rFonts w:ascii="Times New Roman;serif" w:hAnsi="Times New Roman;serif"/>
                  <w:b w:val="false"/>
                  <w:color w:val="000080"/>
                  <w:sz w:val="18"/>
                  <w:u w:val="single"/>
                </w:rPr>
                <w:t xml:space="preserve">, </w:t>
              </w:r>
            </w:hyperlink>
            <w:hyperlink r:id="rId70">
              <w:r>
                <w:rPr>
                  <w:rStyle w:val="InternetLink"/>
                  <w:rFonts w:ascii="Times New Roman;serif" w:hAnsi="Times New Roman;serif"/>
                  <w:b w:val="false"/>
                  <w:color w:val="000080"/>
                  <w:sz w:val="18"/>
                  <w:u w:val="single"/>
                </w:rPr>
                <w:t>202</w:t>
              </w:r>
            </w:hyperlink>
            <w:hyperlink r:id="rId71">
              <w:r>
                <w:rPr>
                  <w:rStyle w:val="InternetLink"/>
                  <w:rFonts w:ascii="Times New Roman;serif" w:hAnsi="Times New Roman;serif"/>
                  <w:b w:val="false"/>
                  <w:color w:val="000080"/>
                  <w:sz w:val="18"/>
                  <w:u w:val="single"/>
                </w:rPr>
                <w:t>5</w:t>
              </w:r>
            </w:hyperlink>
            <w:hyperlink r:id="rId72">
              <w:r>
                <w:rPr>
                  <w:rStyle w:val="InternetLink"/>
                  <w:rFonts w:ascii="Times New Roman;serif" w:hAnsi="Times New Roman;serif"/>
                  <w:b w:val="false"/>
                  <w:color w:val="000080"/>
                  <w:sz w:val="18"/>
                  <w:u w:val="single"/>
                </w:rPr>
                <w:t xml:space="preserve"> between Lucid LLC and Gulf International Bank Saudi Arabia (English version only)</w:t>
              </w:r>
            </w:hyperlink>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May 6, 2025</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erif" w:hAnsi="Times New Roman;serif"/>
                  <w:b w:val="false"/>
                  <w:color w:val="000080"/>
                  <w:sz w:val="18"/>
                  <w:u w:val="single"/>
                </w:rPr>
                <w:t xml:space="preserve">Amendment to the Credit Facility Agreement, entered into on </w:t>
              </w:r>
            </w:hyperlink>
            <w:hyperlink r:id="rId74">
              <w:r>
                <w:rPr>
                  <w:rStyle w:val="InternetLink"/>
                  <w:rFonts w:ascii="Times New Roman;serif" w:hAnsi="Times New Roman;serif"/>
                  <w:b w:val="false"/>
                  <w:color w:val="000080"/>
                  <w:sz w:val="18"/>
                  <w:u w:val="single"/>
                </w:rPr>
                <w:t>March</w:t>
              </w:r>
            </w:hyperlink>
            <w:hyperlink r:id="rId75">
              <w:r>
                <w:rPr>
                  <w:rStyle w:val="InternetLink"/>
                  <w:rFonts w:ascii="Times New Roman;serif" w:hAnsi="Times New Roman;serif"/>
                  <w:b w:val="false"/>
                  <w:color w:val="000080"/>
                  <w:sz w:val="18"/>
                  <w:u w:val="single"/>
                </w:rPr>
                <w:t xml:space="preserve"> </w:t>
              </w:r>
            </w:hyperlink>
            <w:hyperlink r:id="rId76">
              <w:r>
                <w:rPr>
                  <w:rStyle w:val="InternetLink"/>
                  <w:rFonts w:ascii="Times New Roman;serif" w:hAnsi="Times New Roman;serif"/>
                  <w:b w:val="false"/>
                  <w:color w:val="000080"/>
                  <w:sz w:val="18"/>
                  <w:u w:val="single"/>
                </w:rPr>
                <w:t>12</w:t>
              </w:r>
            </w:hyperlink>
            <w:hyperlink r:id="rId77">
              <w:r>
                <w:rPr>
                  <w:rStyle w:val="InternetLink"/>
                  <w:rFonts w:ascii="Times New Roman;serif" w:hAnsi="Times New Roman;serif"/>
                  <w:b w:val="false"/>
                  <w:color w:val="000080"/>
                  <w:sz w:val="18"/>
                  <w:u w:val="single"/>
                </w:rPr>
                <w:t>, 202</w:t>
              </w:r>
            </w:hyperlink>
            <w:hyperlink r:id="rId78">
              <w:r>
                <w:rPr>
                  <w:rStyle w:val="InternetLink"/>
                  <w:rFonts w:ascii="Times New Roman;serif" w:hAnsi="Times New Roman;serif"/>
                  <w:b w:val="false"/>
                  <w:color w:val="000080"/>
                  <w:sz w:val="18"/>
                  <w:u w:val="single"/>
                </w:rPr>
                <w:t>3</w:t>
              </w:r>
            </w:hyperlink>
            <w:hyperlink r:id="rId79">
              <w:r>
                <w:rPr>
                  <w:rStyle w:val="InternetLink"/>
                  <w:rFonts w:ascii="Times New Roman;serif" w:hAnsi="Times New Roman;serif"/>
                  <w:b w:val="false"/>
                  <w:color w:val="000080"/>
                  <w:sz w:val="18"/>
                  <w:u w:val="single"/>
                </w:rPr>
                <w:t xml:space="preserve"> between Lucid LLC and Gulf International Bank Saudi Arabia (English version only)</w:t>
              </w:r>
            </w:hyperlink>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May 8, 2023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Times New Roman;serif" w:hAnsi="Times New Roman;serif"/>
                  <w:b w:val="false"/>
                  <w:color w:val="0000FF"/>
                  <w:sz w:val="18"/>
                  <w:u w:val="single"/>
                </w:rPr>
                <w:t>Lease and Option to Purchase between Pinal County, as landlord, and Lucid USA, Inc., as tenant, dated August 10, 2022</w:t>
              </w:r>
            </w:hyperlink>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8, 2022</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Times New Roman;serif" w:hAnsi="Times New Roman;serif"/>
                  <w:b w:val="false"/>
                  <w:color w:val="0000FF"/>
                  <w:sz w:val="18"/>
                  <w:u w:val="single"/>
                </w:rPr>
                <w:t>Subscription Agreement, dated March 24, 2024, between Lucid Group, Inc. and Ayar Third Investment Company</w:t>
              </w:r>
            </w:hyperlink>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25, 2024</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Times New Roman;serif" w:hAnsi="Times New Roman;serif"/>
                  <w:b w:val="false"/>
                  <w:color w:val="0000FF"/>
                  <w:sz w:val="18"/>
                  <w:u w:val="single"/>
                </w:rPr>
                <w:t>Subscription Agreement, dated August 4, 2024, between Lucid Group, Inc. and Ayar Third Investment Company</w:t>
              </w:r>
            </w:hyperlink>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5, 2024</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3">
              <w:r>
                <w:rPr>
                  <w:rStyle w:val="InternetLink"/>
                  <w:rFonts w:ascii="Times New Roman;serif" w:hAnsi="Times New Roman;serif"/>
                  <w:b w:val="false"/>
                  <w:color w:val="0000FF"/>
                  <w:sz w:val="18"/>
                  <w:u w:val="single"/>
                </w:rPr>
                <w:t>Implementation Agreement, dated June 26, 2023, by and among Lucid Group, Inc., Atieva, Inc., Lucid Group Technologies, LLC, Aston Martin Lagonda Global Holdings plc and Aston Martin Lagonda Limited</w:t>
              </w:r>
            </w:hyperlink>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7, 2023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4">
              <w:r>
                <w:rPr>
                  <w:rStyle w:val="InternetLink"/>
                  <w:rFonts w:ascii="Times New Roman;serif" w:hAnsi="Times New Roman;serif"/>
                  <w:b w:val="false"/>
                  <w:color w:val="0000FF"/>
                  <w:sz w:val="18"/>
                  <w:u w:val="single"/>
                </w:rPr>
                <w:t>Electric Vehicle Purchase Agreement, dated August 7, 2023, between the Government of the Kingdom of Saudi Arabia (as Represented by the Ministry of Finance) and Lucid LLC.</w:t>
              </w:r>
            </w:hyperlink>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7, 2023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Times New Roman;serif" w:hAnsi="Times New Roman;serif"/>
                  <w:b w:val="false"/>
                  <w:color w:val="0000FF"/>
                  <w:sz w:val="18"/>
                  <w:u w:val="single"/>
                </w:rPr>
                <w:t>Interim Supply Agreement, dated June 26, 2023, by and among Lucid Group Technologies, LLC, Atieva, Inc., and Aston Martin Lagonda Limited.</w:t>
              </w:r>
            </w:hyperlink>
          </w:p>
        </w:tc>
        <w:tc>
          <w:tcPr>
            <w:tcW w:w="3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February 27, 2024</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10.49</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6">
              <w:r>
                <w:rPr>
                  <w:rStyle w:val="InternetLink"/>
                  <w:rFonts w:ascii="Times New Roman;serif" w:hAnsi="Times New Roman;serif"/>
                  <w:b w:val="false"/>
                  <w:color w:val="0000FF"/>
                  <w:sz w:val="18"/>
                  <w:u w:val="single"/>
                </w:rPr>
                <w:t>Form of Capped Call Confirmation.</w:t>
              </w:r>
            </w:hyperlink>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8, 2025</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Times New Roman;serif" w:hAnsi="Times New Roman;serif"/>
                  <w:b w:val="false"/>
                  <w:color w:val="0000FF"/>
                  <w:sz w:val="18"/>
                  <w:u w:val="single"/>
                </w:rPr>
                <w:t>Vehicle Production Agreement, dated July 16, 2025, by and between Lucid Group, Inc. and Uber Technologies, Inc.</w:t>
              </w:r>
            </w:hyperlink>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17, 2025</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8">
              <w:r>
                <w:rPr>
                  <w:rStyle w:val="InternetLink"/>
                  <w:rFonts w:ascii="Times New Roman;serif" w:hAnsi="Times New Roman;serif"/>
                  <w:b w:val="false"/>
                  <w:color w:val="0000FF"/>
                  <w:sz w:val="18"/>
                  <w:u w:val="single"/>
                </w:rPr>
                <w:t>Subscription Agreement, dated July 16, 2025, by and between Lucid Group, Inc. and SMB Holding Corporation.</w:t>
              </w:r>
            </w:hyperlink>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17, 2025</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9">
              <w:r>
                <w:rPr>
                  <w:rStyle w:val="InternetLink"/>
                  <w:rFonts w:ascii="Times New Roman;serif" w:hAnsi="Times New Roman;serif"/>
                  <w:b w:val="false"/>
                  <w:color w:val="0000FF"/>
                  <w:sz w:val="18"/>
                  <w:u w:val="single"/>
                </w:rPr>
                <w:t>First Amendment to Subscription Agreement, dated September 2, 2025, by and between Lucid Group, Inc. and SMB Holding Corporation</w:t>
              </w:r>
            </w:hyperlink>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5, 2025</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0">
              <w:r>
                <w:rPr>
                  <w:rStyle w:val="InternetLink"/>
                  <w:rFonts w:ascii="Times New Roman;serif" w:hAnsi="Times New Roman;serif"/>
                  <w:b w:val="false"/>
                  <w:color w:val="0000FF"/>
                  <w:sz w:val="18"/>
                  <w:u w:val="single"/>
                </w:rPr>
                <w:t>Lucid Group, Inc. Insider Trading Policy</w:t>
              </w:r>
            </w:hyperlink>
          </w:p>
        </w:tc>
        <w:tc>
          <w:tcPr>
            <w:tcW w:w="3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25, 2025</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19.1</w:t>
            </w:r>
          </w:p>
        </w:tc>
        <w:tc>
          <w:tcPr>
            <w:tcW w:w="380"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5form10-kxex211.htm">
              <w:r>
                <w:rPr>
                  <w:rStyle w:val="InternetLink"/>
                  <w:rFonts w:ascii="Times New Roman;serif" w:hAnsi="Times New Roman;serif"/>
                  <w:b w:val="false"/>
                  <w:color w:val="0000FF"/>
                  <w:sz w:val="18"/>
                  <w:u w:val="single"/>
                </w:rPr>
                <w:t>List of Significant Subsidiaries of Lucid Group, Inc.</w:t>
              </w:r>
            </w:hyperlink>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5form10-kxex231.htm">
              <w:r>
                <w:rPr>
                  <w:rStyle w:val="InternetLink"/>
                  <w:rFonts w:ascii="Times New Roman;serif" w:hAnsi="Times New Roman;serif"/>
                  <w:b w:val="false"/>
                  <w:color w:val="0000FF"/>
                  <w:sz w:val="18"/>
                  <w:u w:val="single"/>
                </w:rPr>
                <w:t>Consent of Independent Registered Public Accounting Firm (KPMG LLP).</w:t>
              </w:r>
            </w:hyperlink>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5form10-kxex311.htm">
              <w:r>
                <w:rPr>
                  <w:rStyle w:val="InternetLink"/>
                  <w:rFonts w:ascii="Times New Roman;serif" w:hAnsi="Times New Roman;serif"/>
                  <w:b w:val="false"/>
                  <w:color w:val="0000FF"/>
                  <w:sz w:val="18"/>
                  <w:u w:val="single"/>
                </w:rPr>
                <w:t>Certification of Principal Executive Officer Required Under Rule 13a-14(a) and 15d-14(a) of the Securities Exchange Act of 1934, as amended</w:t>
              </w:r>
            </w:hyperlink>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5form10-kxex312.htm">
              <w:r>
                <w:rPr>
                  <w:rStyle w:val="InternetLink"/>
                  <w:rFonts w:ascii="Times New Roman;serif" w:hAnsi="Times New Roman;serif"/>
                  <w:b w:val="false"/>
                  <w:color w:val="0000FF"/>
                  <w:sz w:val="18"/>
                  <w:u w:val="single"/>
                </w:rPr>
                <w:t>Certification of Principal Financial Officer Required Under Rule 13a-14(a) and 15d-14(a) of the Securities Exchange Act of 1934, as amended</w:t>
              </w:r>
            </w:hyperlink>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5form10-kxex321.htm">
              <w:r>
                <w:rPr>
                  <w:rStyle w:val="InternetLink"/>
                  <w:rFonts w:ascii="Times New Roman;serif" w:hAnsi="Times New Roman;serif"/>
                  <w:b w:val="false"/>
                  <w:color w:val="0000FF"/>
                  <w:sz w:val="18"/>
                  <w:u w:val="single"/>
                </w:rPr>
                <w:t>Certification of Chief Executive Officer pursuant to 18 U.S.C. Section 1350, as adopted pursuant to Section 906 of the Sarbanes-Oxley Act of 2002</w:t>
              </w:r>
            </w:hyperlink>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5form10-kxex322.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Sarbanes-Oxley Act of 2002</w:t>
              </w:r>
            </w:hyperlink>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1">
              <w:r>
                <w:rPr>
                  <w:rStyle w:val="InternetLink"/>
                  <w:rFonts w:ascii="Times New Roman;serif" w:hAnsi="Times New Roman;serif"/>
                  <w:b w:val="false"/>
                  <w:color w:val="0000FF"/>
                  <w:sz w:val="18"/>
                  <w:u w:val="single"/>
                </w:rPr>
                <w:t>Lucid Group, Inc. Compensation Recoupment Policy</w:t>
              </w:r>
            </w:hyperlink>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February 27, 2024</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97.1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4"/>
        <w:gridCol w:w="202"/>
        <w:gridCol w:w="204"/>
        <w:gridCol w:w="109"/>
        <w:gridCol w:w="109"/>
        <w:gridCol w:w="109"/>
        <w:gridCol w:w="2547"/>
        <w:gridCol w:w="2490"/>
        <w:gridCol w:w="2499"/>
        <w:gridCol w:w="109"/>
        <w:gridCol w:w="109"/>
        <w:gridCol w:w="109"/>
        <w:gridCol w:w="109"/>
        <w:gridCol w:w="109"/>
        <w:gridCol w:w="109"/>
        <w:gridCol w:w="109"/>
        <w:gridCol w:w="109"/>
        <w:gridCol w:w="109"/>
        <w:gridCol w:w="109"/>
        <w:gridCol w:w="109"/>
        <w:gridCol w:w="109"/>
        <w:gridCol w:w="109"/>
        <w:gridCol w:w="109"/>
        <w:gridCol w:w="156"/>
      </w:tblGrid>
      <w:tr>
        <w:trPr/>
        <w:tc>
          <w:tcPr>
            <w:tcW w:w="25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Schema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Labels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bl>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w:t>
      </w:r>
    </w:p>
    <w:p>
      <w:pPr>
        <w:pStyle w:val="TextBody"/>
        <w:bidi w:val="0"/>
        <w:spacing w:lineRule="auto" w:line="288" w:before="60" w:after="283"/>
        <w:ind w:left="0" w:right="0" w:hanging="720"/>
        <w:jc w:val="left"/>
        <w:rPr/>
      </w:pPr>
      <w:r>
        <w:rPr>
          <w:rFonts w:ascii="Times New Roman;serif" w:hAnsi="Times New Roman;serif"/>
          <w:b w:val="false"/>
          <w:color w:val="000000"/>
          <w:sz w:val="20"/>
        </w:rPr>
        <w:t>#    </w:t>
      </w:r>
      <w:r>
        <w:rPr>
          <w:rFonts w:ascii="Times New Roman;serif" w:hAnsi="Times New Roman;serif"/>
          <w:b w:val="false"/>
          <w:color w:val="000000"/>
          <w:sz w:val="20"/>
          <w:shd w:fill="FFFFFF" w:val="clear"/>
        </w:rPr>
        <w:t>Portions of this exhibit have been redacted in compliance with Regulation S-K Item 601(b)(10)(iv).</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Schedules have been redacted in accordance with Item 601(a)(5)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018" w:type="dxa"/>
        <w:jc w:val="left"/>
        <w:tblInd w:w="0" w:type="dxa"/>
        <w:tblLayout w:type="fixed"/>
        <w:tblCellMar>
          <w:top w:w="28" w:type="dxa"/>
          <w:left w:w="28" w:type="dxa"/>
          <w:bottom w:w="28" w:type="dxa"/>
          <w:right w:w="28" w:type="dxa"/>
        </w:tblCellMar>
      </w:tblPr>
      <w:tblGrid>
        <w:gridCol w:w="754"/>
        <w:gridCol w:w="664"/>
        <w:gridCol w:w="667"/>
        <w:gridCol w:w="308"/>
        <w:gridCol w:w="308"/>
        <w:gridCol w:w="308"/>
        <w:gridCol w:w="587"/>
        <w:gridCol w:w="587"/>
        <w:gridCol w:w="835"/>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LUCID GROUP,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9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Taoufiq Boussaid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Taoufiq Boussaid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7559"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1483"/>
        <w:gridCol w:w="1483"/>
        <w:gridCol w:w="210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Marc Winterhoff</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 Winterhoff</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 (Principal Executive Officer)</w:t>
            </w:r>
          </w:p>
        </w:tc>
      </w:tr>
    </w:tbl>
    <w:tbl>
      <w:tblPr>
        <w:tblW w:w="6808"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1265"/>
        <w:gridCol w:w="1265"/>
        <w:gridCol w:w="1789"/>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Taoufiq Boussaid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Taoufiq Boussaid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w:t>
            </w:r>
          </w:p>
        </w:tc>
      </w:tr>
    </w:tbl>
    <w:tbl>
      <w:tblPr>
        <w:tblW w:w="5023" w:type="dxa"/>
        <w:jc w:val="left"/>
        <w:tblInd w:w="0" w:type="dxa"/>
        <w:tblLayout w:type="fixed"/>
        <w:tblCellMar>
          <w:top w:w="28" w:type="dxa"/>
          <w:left w:w="28" w:type="dxa"/>
          <w:bottom w:w="28" w:type="dxa"/>
          <w:right w:w="28" w:type="dxa"/>
        </w:tblCellMar>
      </w:tblPr>
      <w:tblGrid>
        <w:gridCol w:w="754"/>
        <w:gridCol w:w="664"/>
        <w:gridCol w:w="667"/>
        <w:gridCol w:w="149"/>
        <w:gridCol w:w="149"/>
        <w:gridCol w:w="151"/>
        <w:gridCol w:w="727"/>
        <w:gridCol w:w="727"/>
        <w:gridCol w:w="1035"/>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Gagan Dhingra</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Gagan Dhingra</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tbl>
      <w:tblPr>
        <w:tblW w:w="4334" w:type="dxa"/>
        <w:jc w:val="left"/>
        <w:tblInd w:w="0" w:type="dxa"/>
        <w:tblLayout w:type="fixed"/>
        <w:tblCellMar>
          <w:top w:w="28" w:type="dxa"/>
          <w:left w:w="28" w:type="dxa"/>
          <w:bottom w:w="28" w:type="dxa"/>
          <w:right w:w="28" w:type="dxa"/>
        </w:tblCellMar>
      </w:tblPr>
      <w:tblGrid>
        <w:gridCol w:w="754"/>
        <w:gridCol w:w="664"/>
        <w:gridCol w:w="667"/>
        <w:gridCol w:w="149"/>
        <w:gridCol w:w="149"/>
        <w:gridCol w:w="151"/>
        <w:gridCol w:w="527"/>
        <w:gridCol w:w="527"/>
        <w:gridCol w:w="746"/>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Turqi Alnowaiser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Turqi Alnowaiser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bl>
    <w:tbl>
      <w:tblPr>
        <w:tblW w:w="4199" w:type="dxa"/>
        <w:jc w:val="left"/>
        <w:tblInd w:w="0" w:type="dxa"/>
        <w:tblLayout w:type="fixed"/>
        <w:tblCellMar>
          <w:top w:w="28" w:type="dxa"/>
          <w:left w:w="28" w:type="dxa"/>
          <w:bottom w:w="28" w:type="dxa"/>
          <w:right w:w="28" w:type="dxa"/>
        </w:tblCellMar>
      </w:tblPr>
      <w:tblGrid>
        <w:gridCol w:w="754"/>
        <w:gridCol w:w="664"/>
        <w:gridCol w:w="667"/>
        <w:gridCol w:w="149"/>
        <w:gridCol w:w="149"/>
        <w:gridCol w:w="151"/>
        <w:gridCol w:w="486"/>
        <w:gridCol w:w="486"/>
        <w:gridCol w:w="693"/>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Douglas Grimm</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Douglas Grimm</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bl>
    <w:tbl>
      <w:tblPr>
        <w:tblW w:w="4258" w:type="dxa"/>
        <w:jc w:val="left"/>
        <w:tblInd w:w="0" w:type="dxa"/>
        <w:tblLayout w:type="fixed"/>
        <w:tblCellMar>
          <w:top w:w="28" w:type="dxa"/>
          <w:left w:w="28" w:type="dxa"/>
          <w:bottom w:w="28" w:type="dxa"/>
          <w:right w:w="28" w:type="dxa"/>
        </w:tblCellMar>
      </w:tblPr>
      <w:tblGrid>
        <w:gridCol w:w="754"/>
        <w:gridCol w:w="664"/>
        <w:gridCol w:w="667"/>
        <w:gridCol w:w="149"/>
        <w:gridCol w:w="149"/>
        <w:gridCol w:w="151"/>
        <w:gridCol w:w="505"/>
        <w:gridCol w:w="505"/>
        <w:gridCol w:w="71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Lisa M. Lambert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Lisa M. Lambert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bl>
    <w:tbl>
      <w:tblPr>
        <w:tblW w:w="4168" w:type="dxa"/>
        <w:jc w:val="left"/>
        <w:tblInd w:w="0" w:type="dxa"/>
        <w:tblLayout w:type="fixed"/>
        <w:tblCellMar>
          <w:top w:w="28" w:type="dxa"/>
          <w:left w:w="28" w:type="dxa"/>
          <w:bottom w:w="28" w:type="dxa"/>
          <w:right w:w="28" w:type="dxa"/>
        </w:tblCellMar>
      </w:tblPr>
      <w:tblGrid>
        <w:gridCol w:w="754"/>
        <w:gridCol w:w="664"/>
        <w:gridCol w:w="667"/>
        <w:gridCol w:w="149"/>
        <w:gridCol w:w="149"/>
        <w:gridCol w:w="151"/>
        <w:gridCol w:w="478"/>
        <w:gridCol w:w="478"/>
        <w:gridCol w:w="678"/>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Liveris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Liveris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bl>
    <w:tbl>
      <w:tblPr>
        <w:tblW w:w="4978" w:type="dxa"/>
        <w:jc w:val="left"/>
        <w:tblInd w:w="0" w:type="dxa"/>
        <w:tblLayout w:type="fixed"/>
        <w:tblCellMar>
          <w:top w:w="28" w:type="dxa"/>
          <w:left w:w="28" w:type="dxa"/>
          <w:bottom w:w="28" w:type="dxa"/>
          <w:right w:w="28" w:type="dxa"/>
        </w:tblCellMar>
      </w:tblPr>
      <w:tblGrid>
        <w:gridCol w:w="754"/>
        <w:gridCol w:w="664"/>
        <w:gridCol w:w="667"/>
        <w:gridCol w:w="149"/>
        <w:gridCol w:w="149"/>
        <w:gridCol w:w="151"/>
        <w:gridCol w:w="716"/>
        <w:gridCol w:w="716"/>
        <w:gridCol w:w="101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Nichelle Maynard-Elliott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Nichelle Maynard-Elliott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bl>
    <w:tbl>
      <w:tblPr>
        <w:tblW w:w="3928" w:type="dxa"/>
        <w:jc w:val="left"/>
        <w:tblInd w:w="0" w:type="dxa"/>
        <w:tblLayout w:type="fixed"/>
        <w:tblCellMar>
          <w:top w:w="28" w:type="dxa"/>
          <w:left w:w="28" w:type="dxa"/>
          <w:bottom w:w="28" w:type="dxa"/>
          <w:right w:w="28" w:type="dxa"/>
        </w:tblCellMar>
      </w:tblPr>
      <w:tblGrid>
        <w:gridCol w:w="754"/>
        <w:gridCol w:w="664"/>
        <w:gridCol w:w="667"/>
        <w:gridCol w:w="149"/>
        <w:gridCol w:w="149"/>
        <w:gridCol w:w="151"/>
        <w:gridCol w:w="407"/>
        <w:gridCol w:w="407"/>
        <w:gridCol w:w="580"/>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Chabi Nouri</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Chabi Nouri</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before="0" w:after="0"/>
        <w:jc w:val="left"/>
        <w:rPr/>
      </w:pPr>
      <w:r>
        <w:rPr/>
      </w:r>
    </w:p>
    <w:tbl>
      <w:tblPr>
        <w:tblW w:w="3928" w:type="dxa"/>
        <w:jc w:val="left"/>
        <w:tblInd w:w="0" w:type="dxa"/>
        <w:tblLayout w:type="fixed"/>
        <w:tblCellMar>
          <w:top w:w="28" w:type="dxa"/>
          <w:left w:w="28" w:type="dxa"/>
          <w:bottom w:w="28" w:type="dxa"/>
          <w:right w:w="28" w:type="dxa"/>
        </w:tblCellMar>
      </w:tblPr>
      <w:tblGrid>
        <w:gridCol w:w="754"/>
        <w:gridCol w:w="664"/>
        <w:gridCol w:w="667"/>
        <w:gridCol w:w="149"/>
        <w:gridCol w:w="149"/>
        <w:gridCol w:w="151"/>
        <w:gridCol w:w="407"/>
        <w:gridCol w:w="407"/>
        <w:gridCol w:w="580"/>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Ori Winitzer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Ori Winitzer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bl>
    <w:tbl>
      <w:tblPr>
        <w:tblW w:w="4079" w:type="dxa"/>
        <w:jc w:val="left"/>
        <w:tblInd w:w="0" w:type="dxa"/>
        <w:tblLayout w:type="fixed"/>
        <w:tblCellMar>
          <w:top w:w="28" w:type="dxa"/>
          <w:left w:w="28" w:type="dxa"/>
          <w:bottom w:w="28" w:type="dxa"/>
          <w:right w:w="28" w:type="dxa"/>
        </w:tblCellMar>
      </w:tblPr>
      <w:tblGrid>
        <w:gridCol w:w="754"/>
        <w:gridCol w:w="664"/>
        <w:gridCol w:w="667"/>
        <w:gridCol w:w="149"/>
        <w:gridCol w:w="149"/>
        <w:gridCol w:w="151"/>
        <w:gridCol w:w="452"/>
        <w:gridCol w:w="452"/>
        <w:gridCol w:w="64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Janet S. Wong</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Janet S. Wong</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4.10</w:t>
      </w:r>
    </w:p>
    <w:p>
      <w:pPr>
        <w:pStyle w:val="TextBody"/>
        <w:bidi w:val="0"/>
        <w:spacing w:before="0" w:after="0"/>
        <w:ind w:left="0" w:right="0" w:firstLine="400"/>
        <w:jc w:val="right"/>
        <w:rPr/>
      </w:pPr>
      <w:r>
        <w:rPr/>
      </w:r>
    </w:p>
    <w:p>
      <w:pPr>
        <w:pStyle w:val="TextBody"/>
        <w:bidi w:val="0"/>
        <w:spacing w:before="0" w:after="0"/>
        <w:ind w:left="0" w:right="0" w:firstLine="400"/>
        <w:jc w:val="right"/>
        <w:rPr/>
      </w:pPr>
      <w:r>
        <w:rPr/>
      </w:r>
    </w:p>
    <w:p>
      <w:pPr>
        <w:pStyle w:val="TextBody"/>
        <w:bidi w:val="0"/>
        <w:spacing w:lineRule="auto" w:line="288" w:before="0" w:after="0"/>
        <w:ind w:left="0" w:right="0" w:firstLine="400"/>
        <w:jc w:val="center"/>
        <w:rPr>
          <w:rFonts w:ascii="Times New Roman;serif" w:hAnsi="Times New Roman;serif"/>
          <w:b/>
          <w:color w:val="000000"/>
          <w:sz w:val="20"/>
        </w:rPr>
      </w:pPr>
      <w:r>
        <w:rPr>
          <w:rFonts w:ascii="Times New Roman;serif" w:hAnsi="Times New Roman;serif"/>
          <w:b/>
          <w:color w:val="000000"/>
          <w:sz w:val="20"/>
        </w:rPr>
        <w:t>DESCRIPTION OF SECURITIES REGISTERED PURSUANT TO SECTION 12 OF THE SECURITIES EXCHANGE ACT OF 1934</w:t>
      </w:r>
    </w:p>
    <w:p>
      <w:pPr>
        <w:pStyle w:val="TextBody"/>
        <w:bidi w:val="0"/>
        <w:spacing w:lineRule="auto" w:line="288" w:before="0" w:after="0"/>
        <w:ind w:left="0" w:right="0" w:firstLine="400"/>
        <w:jc w:val="center"/>
        <w:rPr>
          <w:rFonts w:ascii="Times New Roman;serif" w:hAnsi="Times New Roman;serif"/>
          <w:b/>
          <w:color w:val="000000"/>
          <w:sz w:val="20"/>
        </w:rPr>
      </w:pPr>
      <w:r>
        <w:rPr>
          <w:rFonts w:ascii="Times New Roman;serif" w:hAnsi="Times New Roman;serif"/>
          <w:b/>
          <w:color w:val="000000"/>
          <w:sz w:val="20"/>
        </w:rPr>
        <w:t>AS OF DECEMBER 31, 2025</w:t>
      </w:r>
    </w:p>
    <w:p>
      <w:pPr>
        <w:pStyle w:val="TextBody"/>
        <w:bidi w:val="0"/>
        <w:spacing w:before="0" w:after="240"/>
        <w:jc w:val="center"/>
        <w:rPr/>
      </w:pPr>
      <w:r>
        <w:rPr/>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As of December 31, 2025, our only class of securities registered under Section 12 of the Securities Exchange Act of 1934, as amended, was our common stock, par value of $0.0001 per share. The following is a summary of the material terms of our common stock, and provisions of our current certificate of incorporation and current bylaws. The following summary of the material terms of our common stock is not intended to be a complete summary of the rights and preferences of such securities and is qualified in its entirety by our current certificate of incorporation and our current bylaws. The full texts of our current certificate of incorporation and our current bylaws are filed as exhibits to this Annual Report. For a complete description of the rights and preferences of our securities, we urge you to read our current certificate of incorporation, our current bylaws and the applicable provisions of Delaware law.</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Authorized and Outstanding Stock</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current certificate of incorporation authorizes the issuance of shares of our capital stock, each with a par value of $0.0001, consisting of (a) 1,500,000,000 shares of common stock and (b) 10,000,000 shares of preferred stock. The outstanding shares of common stock are duly authorized, validly issued, fully paid and non-assessable.</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current certificate of incorporation provides that shares of preferred stock may be issued from time to time in one or more series. The Board is authorized to fix the voting rights, if any, designations, powers, preferences, the relative, participating, optional or other special rights and any qualifications, limitations and restrictions thereof, applicable to the shares of each series. The Board is able to, without stockholder approval, issue preferred stock with voting and other rights that could adversely affect the voting power and other rights of the holders of the common stock and could have anti-takeover effects. The ability of the Board to issue preferred stock without stockholder approval could have the effect of delaying, deferring or preventing a change of control of us or the removal of existing management. </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Voting Power</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Except as otherwise required by law or as otherwise provided in any certificate of designation for any series of preferred stock, under our current certificate of incorporation, the holders of common stock will possess all voting power for the election of directors and all other matters requiring stockholder action and will be entitled to one vote per share on matters to be voted on by stockholders. The holders of our common stock will at all times vote together as one class on all matters submitted to a vote of the common stock under our current certificate of incorporation.</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Dividends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Subject to limitations contained in the Delaware General Corporation Law (“DGCL”) and our current certificate of incorporation, under our current bylaws, the Board may declare and pay dividends upon the shares of our common stock, which dividends may be paid either in cash, in property or in shares of our common stock.</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not paid any cash dividends on our common stock to date and do not intend to pay cash dividends. The payment of cash dividends in the future will be dependent upon our revenues and earnings, if any, capital requirements, the terms of any outstanding indebtedness and general financial condition. The payment of any cash dividends will be within the discretion of the Board at such time. In addition, the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Liquidation, Dissolution and Winding Up</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event of the voluntary or involuntary liquidation, dissolution, or winding-up of the Company, the holders of our common stock will be entitled to receive all the remaining assets of the Company available for distribution to stockholders, ratably in proportion to the number of shares of common stock held by them, after the rights of creditors of the Company and the holders of any outstanding shares of preferred stock have been satisfied.</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Preemptive or Other Rights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holders of our common stock do not have preemptive or other subscription rights and there is no sinking fund or redemption provisions applicable to our common stock.</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Annual Stockholder Meetings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current certificate of incorporation and our current bylaws provide that annual stockholder meetings will be held at a date, time and place, if any, as exclusively selected by the Board. To the extent permitted under applicable law, we may conduct meetings by remote communications.</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Effects of Our Current Certificate of Incorporation, Our Current Bylaws and Certain Provisions of Delaware Law</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current certificate of incorporation, our current bylaws and the DGCL contain provisions, which are summarized in the following paragraphs, that are intended to enhance the likelihood of continuity and stability in the composition of the Board. These provisions are intended to avoid costly takeover battles, reduce our vulnerability to a hostile change of control and enhance the ability of the Board to maximize stockholder value in connection with any unsolicited offer to acquire us. 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our common stock held by stockholders.</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Authorized but Unissued Capital Stock</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our common stock. Additional shares that may be used in the future may be used for a variety of corporate purposes, including future public offerings, to raise additional capital or to facilitate acquisitions.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Board may generally issue one or more series of preferred shares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One of the effects of the existence of authorized and unissued and unreserved common stock or preferred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Business Combinations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prior to such time, the Board approved either the business combination or the transaction that resulted in the stockholder becoming an interested stockholder;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upon consummation of the transaction that resulted in the stockholder becoming an interested stockholder, the interested stockholder owned at least 85% of voting stock outstanding at the time the transaction commenced, excluding certain shares;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at or subsequent to that time, the business combination is approved by our Board and by the affirmative vote of holders of at least two-thirds of the votes of our outstanding voting stock that is not owned by the interested stockholder.</w:t>
      </w:r>
    </w:p>
    <w:p>
      <w:pPr>
        <w:pStyle w:val="TextBody"/>
        <w:bidi w:val="0"/>
        <w:spacing w:before="0" w:after="0"/>
        <w:jc w:val="left"/>
        <w:rPr/>
      </w:pPr>
      <w:r>
        <w:rPr/>
      </w:r>
    </w:p>
    <w:p>
      <w:pPr>
        <w:pStyle w:val="TextBody"/>
        <w:bidi w:val="0"/>
        <w:spacing w:lineRule="auto" w:line="288" w:before="12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This provision also may have the effect of preventing changes in our Board and may make it more difficult to accomplish transactions that stockholders may otherwise deem to be in their best interests.</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Removal of Directors; Vacancies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director may be removed from office by the stockholders, with or without cause, by the affirmative vote of the holders of a majority of the total voting power of all outstanding securities of the Company generally entitled to vote in the election of directors, voting together as a single class. Pursuant to the Investor Rights Agreement, Ayar has the exclusive right to (i) remove its nominees from the Board, and we are required to take all necessary action to cause the removal of any such nominee at the request of Ayar and (ii) designate directors for election or appointment, as applicable, to the Board to fill vacancies created by reason of death, removal or resignation of its nominees to the Board, and we are required to take all necessary action to nominate or cause the Board to appoint, as applicable, replacement directors designated by Ayar to fill any such vacancies created pursuant to clause (i) or (ii) above as promptly as practicable after such designation (and in any event prior to the next meeting or action of the Board or applicable committee). In addition, our current certificate of incorporation provides that, without limiting the rights of any party to the Investor Rights Agreement, vacancies on the Board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until such director’s successor shall have been duly elected and qualified or until such director’s earlier death, resignation, or removal. Our current certificate of incorporation provides that, subject to the Investor Rights Agreement, the number of directors constituting the Board can be fixed exclusively by one or more resolutions adopted from time to time solely by the affirmative vote of a majority of the Board.</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 Cumulative Voting</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Delaware law, the right to vote cumulatively does not exist unless the certificate of incorporation specifically authorizes cumulative voting. Our current certificate of incorporation does not authorize cumulative voting. Therefore, stockholders holding a majority in voting power of the shares of our stock entitled to vote generally in the election of directors will be able to elect all of our directors.</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Special Stockholder Meetings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current certificate of incorporation provides that special meetings of the stockholders may be called only by the Board acting pursuant to a resolution adopted by a majority of the Board. Our current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Requirements for Advance Notification of Director Nominations and Stockholder Proposals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current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of our stockholders, a stockholder will have to comply with advance notice requirements and provide us with certain information. Generally, to be timely, a stockholder’s notice must be received by our secretary not less than 90 calendar days nor more than 120 calendar days prior to the first anniversary date of the immediately preceding annual meeting of stockholders. Our current bylaws also specify requirements as to the form and content of a stockholder’s notice. Our current bylaws allow the chairperson of the meeting at a meeting of the stockholders to adopt rules and regulations for the conduct of meetings, which may have the effect of precluding the conduct of certain business at a meeting if the rules and regulations are not followed. These provisions may also deter, delay or discourage a potential acquirer from conducting a solicitation of proxies to elect the acquirer’s own slate of directors or otherwise attempting to influence or obtain control of the Company.</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Stockholder Action by Written Consent</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current certificate of incorporation provides otherwise. Our current certificate of incorporation precludes stockholder action by written consent at any time when Ayar and its permitted transferees beneficially own, in the aggregate, less than 50% in voting power of the stock of the Company entitled to vote generally in the election of directors, other than certain rights that holders of our preferred stock may have to act by written consent.</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Dissenters’ Rights of Appraisal and Payment</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DGCL, with certain exceptions, our stockholders will have appraisal rights in connection with a merger or consolidation. Pursuant to the DGCL, stockholders who properly request and perfect appraisal rights in connection with such merger or consolidation will have the right to receive payment of the fair value of their shares as determined by the Delaware Court of Chancery.</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Stockholders’ Derivative Actions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DGCL, any of our stockholders may bring an action in our name to procure a judgment in our favor, also known as a derivative action, provided that the stockholder bringing the action is a holder of our shares at the time of the incident to which the action relates or such stockholder’s stock thereafter devolved by operation of law.</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Exclusive Forum</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current bylaws provide that unless the Company consents in writing to the selection of an alternative forum, the sole and exclusive forum for (i) any derivative action or proceeding brought on behalf of the Company, (ii) any action asserting a claim of breach of a fiduciary duty owed by any director or officer or other employee of the Company to the Company or the Company’s stockholders, (iii) any action asserting a claim against the Company or any director or officer or other employee of the Company arising pursuant to any provision of Delaware law or our current certificate of incorporation or our current bylaws (in each case, as they may be amended from time to time), or (iv) any action asserting a claim against the Company or any director or officer or other employee of the Company governed by the internal affairs doctrine shall be a state court located within the State of Delaware (or, if no state court located within the State of Delaware has jurisdiction, the federal district court for the District of Delaware), in all cases subject to the court’s having personal jurisdiction over the indispensable parties named as defendants. These provisions do not apply to claims arising under the Securities Act, the Exchange Act, or other federal securities laws for which there is exclusive federal or concurrent federal and state jurisdiction. Unless the Company consents in writing to the selection of an alternative forum, the federal district courts of the United States of America shall be the exclusive forum for the resolution of any complaint asserting a cause of action arising under the Securities Act. Any person or entity purchasing or otherwise acquiring any interest in shares of capital stock of the Company shall be deemed to have notice of and consented to the forum provisions in our current bylaws. However, it is possible that a court could find our forum selection provisions to be inapplicable or unenforceable.</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Limitation on Liability and Indemnification of Directors and Officers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Section 145 of the DGCL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current certificate of incorporation provides that we must indemnify and advance expenses to our directors and officers to the full extent authorized by the DGCL.</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 status or service as officers or directors, to the fullest extent permitted by law. We intend to enter into indemnification agreements with any new directors and executive officers, and certain other officers, in the future.</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maintains and expect to maintain standard policies of insurance that provide coverage (1) to its directors and officers against loss rising from claims made by reason of breach of duty or other wrongful act and (2) to the Company with respect to indemnification payments that the Company may make to such directors and officers.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believes that these provisions, the insurance and the indemnity agreements are necessary to attract and retain talented and experienced officers and directors.</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Our Transfer Agent and Warrant Agent</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transfer agent for our common stock and warrant agent for our warrants is Equiniti Trust Company. We have agreed to indemnify Equiniti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tbl>
      <w:tblPr>
        <w:tblW w:w="5276" w:type="dxa"/>
        <w:jc w:val="left"/>
        <w:tblInd w:w="0" w:type="dxa"/>
        <w:tblLayout w:type="fixed"/>
        <w:tblCellMar>
          <w:top w:w="28" w:type="dxa"/>
          <w:left w:w="28" w:type="dxa"/>
          <w:bottom w:w="28" w:type="dxa"/>
          <w:right w:w="28" w:type="dxa"/>
        </w:tblCellMar>
      </w:tblPr>
      <w:tblGrid>
        <w:gridCol w:w="697"/>
        <w:gridCol w:w="611"/>
        <w:gridCol w:w="611"/>
        <w:gridCol w:w="379"/>
        <w:gridCol w:w="379"/>
        <w:gridCol w:w="379"/>
        <w:gridCol w:w="642"/>
        <w:gridCol w:w="642"/>
        <w:gridCol w:w="936"/>
      </w:tblGrid>
      <w:tr>
        <w:trPr/>
        <w:tc>
          <w:tcPr>
            <w:tcW w:w="69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52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LIST OF SIGNIFICANT SUBSIDIARIES</w:t>
            </w:r>
          </w:p>
        </w:tc>
      </w:tr>
      <w:tr>
        <w:trPr/>
        <w:tc>
          <w:tcPr>
            <w:tcW w:w="5276"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Jurisdiction</w:t>
            </w:r>
          </w:p>
        </w:tc>
      </w:tr>
      <w:tr>
        <w:trPr/>
        <w:tc>
          <w:tcPr>
            <w:tcW w:w="19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Atieva, Inc.</w:t>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Lucid USA, Inc. </w:t>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Lucid Group USA, Inc</w:t>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Lucid LLC</w:t>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Kingdom of Saudi Arabia</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statements (Nos. 333-267147, 333-271722, 333-275372, and 333-282677) on Form S-3 and registration statements (Nos. 333-259794, 333-265734, 333-271725, 333-279973, and 333-287846) on Form S-8 of our reports dated February 24, 2026, with respect to the consolidated financial statements of Lucid Group, Inc. and the effectiveness of internal control over financial reporting.</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Santa Clara, California </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February 24,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24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Marc Winterhoff,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Lucid Group, Inc.;</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111"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789"/>
        <w:gridCol w:w="789"/>
        <w:gridCol w:w="112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Marc Winterhoff</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 Winterhoff</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24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Taoufiq Boussaid,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Lucid Group, Inc.;</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826"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707"/>
        <w:gridCol w:w="707"/>
        <w:gridCol w:w="1000"/>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Taoufiq Boussaid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Taoufiq Boussaid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 (FURNISHED HEREWITH)</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 Marc Winterhoff, Interim Chief Executive Officer of Lucid Group,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Annual Report on Form 10-K of the Company for the year ended December 31, 2025 (the “Report”) fully complies with the requirements of Section 13(a) or 15(d), as applicable, of the Securities Exchange Act of 1934;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b.The information contained in the Report fairly presents, in all material respects, the financial condition and results of operations of the Company at the dates and for the periods indicated.</w:t>
      </w:r>
    </w:p>
    <w:p>
      <w:pPr>
        <w:pStyle w:val="TextBody"/>
        <w:bidi w:val="0"/>
        <w:spacing w:before="240" w:after="283"/>
        <w:ind w:left="0" w:right="0" w:firstLine="540"/>
        <w:jc w:val="both"/>
        <w:rPr/>
      </w:pPr>
      <w:r>
        <w:rPr/>
      </w:r>
    </w:p>
    <w:tbl>
      <w:tblPr>
        <w:tblW w:w="5111"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789"/>
        <w:gridCol w:w="789"/>
        <w:gridCol w:w="112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Marc Winterhoff</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 Winterhoff</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 (FURNISHED HEREWITH)</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 Taoufiq Boussaid, Chief Financial Officer of Lucid Group,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Annual Report on Form 10-K of the Company for the year ended December 31, 2025 (the “Report”) fully complies with the requirements of Section 13(a) or 15(d), as applicable, of the Securities Exchange Act of 1934;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b.The information contained in the Report fairly presents, in all material respects, the financial condition and results of operations of the Company at the dates and for the periods indicated.</w:t>
      </w:r>
    </w:p>
    <w:p>
      <w:pPr>
        <w:pStyle w:val="TextBody"/>
        <w:bidi w:val="0"/>
        <w:spacing w:before="240" w:after="283"/>
        <w:ind w:left="0" w:right="0" w:firstLine="540"/>
        <w:jc w:val="both"/>
        <w:rPr/>
      </w:pPr>
      <w:r>
        <w:rPr/>
      </w:r>
    </w:p>
    <w:tbl>
      <w:tblPr>
        <w:tblW w:w="4826"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707"/>
        <w:gridCol w:w="707"/>
        <w:gridCol w:w="1000"/>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Taoufiq Boussaid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Taoufiq Boussaid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11210/000110465921026357/tm217491d2_ex2-1.htm" TargetMode="External"/><Relationship Id="rId4" Type="http://schemas.openxmlformats.org/officeDocument/2006/relationships/hyperlink" Target="https://www.sec.gov/Archives/edgar/data/1811210/000110465923049685/tm2313633d1_ex3-1.htm" TargetMode="External"/><Relationship Id="rId5" Type="http://schemas.openxmlformats.org/officeDocument/2006/relationships/hyperlink" Target="https://www.sec.gov/Archives/edgar/data/1811210/000181121025000022/q3fy25form8-kxex31.htm" TargetMode="External"/><Relationship Id="rId6" Type="http://schemas.openxmlformats.org/officeDocument/2006/relationships/hyperlink" Target="https://www.sec.gov/Archives/edgar/data/1811210/000110465923028423/tm238322d1_ex3-2.htm" TargetMode="External"/><Relationship Id="rId7" Type="http://schemas.openxmlformats.org/officeDocument/2006/relationships/hyperlink" Target="https://www.sec.gov/Archives/edgar/data/0001811210/000110465921095842/tm2120294d5_ex4-1.htm" TargetMode="External"/><Relationship Id="rId8" Type="http://schemas.openxmlformats.org/officeDocument/2006/relationships/hyperlink" Target="https://www.sec.gov/Archives/edgar/data/1811210/000110465920090379/tm2026266d1_ex4-1.htm" TargetMode="External"/><Relationship Id="rId9" Type="http://schemas.openxmlformats.org/officeDocument/2006/relationships/hyperlink" Target="https://www.sec.gov/Archives/edgar/data/1811210/000110465920090379/tm2026266d1_ex4-1.htm" TargetMode="External"/><Relationship Id="rId10" Type="http://schemas.openxmlformats.org/officeDocument/2006/relationships/hyperlink" Target="https://www.sec.gov/Archives/edgar/data/1811210/000110465920090379/tm2026266d1_ex4-1.htm" TargetMode="External"/><Relationship Id="rId11" Type="http://schemas.openxmlformats.org/officeDocument/2006/relationships/hyperlink" Target="https://www.sec.gov/Archives/edgar/data/0001811210/000110465921149586/tm2134520d8_ex4-1.htm" TargetMode="External"/><Relationship Id="rId12" Type="http://schemas.openxmlformats.org/officeDocument/2006/relationships/hyperlink" Target="https://www.sec.gov/Archives/edgar/data/0001811210/000110465921149586/tm2134520d8_ex4-1.htm" TargetMode="External"/><Relationship Id="rId13" Type="http://schemas.openxmlformats.org/officeDocument/2006/relationships/hyperlink" Target="https://www.sec.gov/Archives/edgar/data/1811210/000110465925033017/tm2511638d2_ex4-1.htm" TargetMode="External"/><Relationship Id="rId14" Type="http://schemas.openxmlformats.org/officeDocument/2006/relationships/hyperlink" Target="https://www.sec.gov/Archives/edgar/data/1811210/000162828025052593/ex41-convertiblenotesdue20.htm" TargetMode="External"/><Relationship Id="rId15" Type="http://schemas.openxmlformats.org/officeDocument/2006/relationships/hyperlink" Target="https://www.sec.gov/Archives/edgar/data/0001811210/000110465921149586/tm2134520d8_ex4-1.htm" TargetMode="External"/><Relationship Id="rId16" Type="http://schemas.openxmlformats.org/officeDocument/2006/relationships/hyperlink" Target="https://www.sec.gov/Archives/edgar/data/1811210/000110465924041218/tm2410184d1_ex3-1.htm" TargetMode="External"/><Relationship Id="rId17" Type="http://schemas.openxmlformats.org/officeDocument/2006/relationships/hyperlink" Target="https://www.sec.gov/Archives/edgar/data/1811210/000162828024037638/form8-kxex31.htm" TargetMode="External"/><Relationship Id="rId18" Type="http://schemas.openxmlformats.org/officeDocument/2006/relationships/hyperlink" Target="https://www.sec.gov/Archives/edgar/data/0001811210/000110465921067006/tm219359d5_ex10-22.htm" TargetMode="External"/><Relationship Id="rId19" Type="http://schemas.openxmlformats.org/officeDocument/2006/relationships/hyperlink" Target="https://www.sec.gov/Archives/edgar/data/0001811210/000110465921095842/tm2120294d5_ex10-25.htm" TargetMode="External"/><Relationship Id="rId20" Type="http://schemas.openxmlformats.org/officeDocument/2006/relationships/hyperlink" Target="https://www.sec.gov/Archives/edgar/data/0001811210/000110465921095842/tm2120294d5_ex10-26.htm" TargetMode="External"/><Relationship Id="rId21" Type="http://schemas.openxmlformats.org/officeDocument/2006/relationships/hyperlink" Target="https://www.sec.gov/Archives/edgar/data/0001811210/000110465921095842/tm2120294d5_ex10-27.htm" TargetMode="External"/><Relationship Id="rId22" Type="http://schemas.openxmlformats.org/officeDocument/2006/relationships/hyperlink" Target="https://www.sec.gov/Archives/edgar/data/1811210/000110465924068726/tm2416226d1_ex99-1.htm" TargetMode="External"/><Relationship Id="rId23" Type="http://schemas.openxmlformats.org/officeDocument/2006/relationships/hyperlink" Target="https://www.sec.gov/Archives/edgar/data/1811210/000162828023037354/q3fy2310q-ex102.htm" TargetMode="External"/><Relationship Id="rId24" Type="http://schemas.openxmlformats.org/officeDocument/2006/relationships/hyperlink" Target="https://www.sec.gov/Archives/edgar/data/1811210/000162828023037354/q3fy2310q-ex103.htm" TargetMode="External"/><Relationship Id="rId25" Type="http://schemas.openxmlformats.org/officeDocument/2006/relationships/hyperlink" Target="https://www.sec.gov/Archives/edgar/data/1811210/000162828023037354/q3fy2310q-ex104.htm" TargetMode="External"/><Relationship Id="rId26" Type="http://schemas.openxmlformats.org/officeDocument/2006/relationships/hyperlink" Target="https://www.sec.gov/Archives/edgar/data/1811210/000110465921026357/tm217491d2_ex10-1.htm" TargetMode="External"/><Relationship Id="rId27" Type="http://schemas.openxmlformats.org/officeDocument/2006/relationships/hyperlink" Target="https://www.sec.gov/Archives/edgar/data/1811210/000110465922115976/tm2229867d2_ex10-2.htm" TargetMode="External"/><Relationship Id="rId28" Type="http://schemas.openxmlformats.org/officeDocument/2006/relationships/hyperlink" Target="https://www.sec.gov/Archives/edgar/data/1811210/000110465923068017/tm2317789d1_ex10-2.htm" TargetMode="External"/><Relationship Id="rId29" Type="http://schemas.openxmlformats.org/officeDocument/2006/relationships/hyperlink" Target="https://www.sec.gov/Archives/edgar/data/1811210/000110465924041218/tm2410184d1_ex10-1.htm" TargetMode="External"/><Relationship Id="rId30" Type="http://schemas.openxmlformats.org/officeDocument/2006/relationships/hyperlink" Target="https://www.sec.gov/Archives/edgar/data/1811210/000162828024037638/form8-kxex101.htm" TargetMode="External"/><Relationship Id="rId31" Type="http://schemas.openxmlformats.org/officeDocument/2006/relationships/hyperlink" Target="https://www.sec.gov/Archives/edgar/data/1811210/000162828025007725/fy24form10k-ex1014.htm" TargetMode="External"/><Relationship Id="rId32" Type="http://schemas.openxmlformats.org/officeDocument/2006/relationships/hyperlink" Target="https://www.sec.gov/Archives/edgar/data/1811210/000162828025052593/ex101-amendmentno6totheinv.htm" TargetMode="External"/><Relationship Id="rId33" Type="http://schemas.openxmlformats.org/officeDocument/2006/relationships/hyperlink" Target="https://www.sec.gov/Archives/edgar/data/1811210/000110465921026357/tm217491d2_ex10-2.htm" TargetMode="External"/><Relationship Id="rId34" Type="http://schemas.openxmlformats.org/officeDocument/2006/relationships/hyperlink" Target="https://www.sec.gov/Archives/edgar/data/1811210/000110465921026357/tm217491d2_ex10-3.htm" TargetMode="External"/><Relationship Id="rId35" Type="http://schemas.openxmlformats.org/officeDocument/2006/relationships/hyperlink" Target="https://www.sec.gov/Archives/edgar/data/1811210/000110465921026357/tm217491d2_ex10-4.htm" TargetMode="External"/><Relationship Id="rId36" Type="http://schemas.openxmlformats.org/officeDocument/2006/relationships/hyperlink" Target="https://www.sec.gov/Archives/edgar/data/1811210/000110465921039318/tm219359d2_ex10-6.htm" TargetMode="External"/><Relationship Id="rId37" Type="http://schemas.openxmlformats.org/officeDocument/2006/relationships/hyperlink" Target="https://www.sec.gov/Archives/edgar/data/1811210/000110465921039318/tm219359d2_ex10-7.htm" TargetMode="External"/><Relationship Id="rId38" Type="http://schemas.openxmlformats.org/officeDocument/2006/relationships/hyperlink" Target="https://www.sec.gov/Archives/edgar/data/1811210/000110465921039318/tm219359d2_ex10-10.htm" TargetMode="External"/><Relationship Id="rId39" Type="http://schemas.openxmlformats.org/officeDocument/2006/relationships/hyperlink" Target="https://www.sec.gov/Archives/edgar/data/1811210/000110465921039318/tm219359d2_ex10-11.htm" TargetMode="External"/><Relationship Id="rId40" Type="http://schemas.openxmlformats.org/officeDocument/2006/relationships/hyperlink" Target="https://www.sec.gov/Archives/edgar/data/1811210/000110465921039318/tm219359d2_ex10-12.htm" TargetMode="External"/><Relationship Id="rId41" Type="http://schemas.openxmlformats.org/officeDocument/2006/relationships/hyperlink" Target="https://www.sec.gov/Archives/edgar/data/1811210/000110465921039318/tm219359d2_ex10-13.htm" TargetMode="External"/><Relationship Id="rId42" Type="http://schemas.openxmlformats.org/officeDocument/2006/relationships/hyperlink" Target="https://www.sec.gov/Archives/edgar/data/1811210/000110465921039318/tm219359d2_ex10-14.htm" TargetMode="External"/><Relationship Id="rId43" Type="http://schemas.openxmlformats.org/officeDocument/2006/relationships/hyperlink" Target="https://www.sec.gov/Archives/edgar/data/1811210/000110465921039318/tm219359d2_ex10-15.htm" TargetMode="External"/><Relationship Id="rId44" Type="http://schemas.openxmlformats.org/officeDocument/2006/relationships/hyperlink" Target="https://www.sec.gov/Archives/edgar/data/1811210/000110465921039318/tm219359d2_ex10-16.htm" TargetMode="External"/><Relationship Id="rId45" Type="http://schemas.openxmlformats.org/officeDocument/2006/relationships/hyperlink" Target="https://www.sec.gov/Archives/edgar/data/1811210/000110465921067006/tm219359d5_ex10-24.htm" TargetMode="External"/><Relationship Id="rId46" Type="http://schemas.openxmlformats.org/officeDocument/2006/relationships/hyperlink" Target="https://www.sec.gov/Archives/edgar/data/1811210/000162828022004253/fy21-ex1027dhingra_gaganxo.htm" TargetMode="External"/><Relationship Id="rId47" Type="http://schemas.openxmlformats.org/officeDocument/2006/relationships/hyperlink" Target="https://www.sec.gov/Archives/edgar/data/1811210/000162828025007725/fy24form10k-ex1036.htm" TargetMode="External"/><Relationship Id="rId48" Type="http://schemas.openxmlformats.org/officeDocument/2006/relationships/hyperlink" Target="https://www.sec.gov/Archives/edgar/data/1811210/000162828024007209/fy2310k-ex1031.htm" TargetMode="External"/><Relationship Id="rId49" Type="http://schemas.openxmlformats.org/officeDocument/2006/relationships/hyperlink" Target="https://www.sec.gov/Archives/edgar/data/1811210/000162828025022685/q1fy2510q-ex103.htm" TargetMode="External"/><Relationship Id="rId50" Type="http://schemas.openxmlformats.org/officeDocument/2006/relationships/hyperlink" Target="https://www.sec.gov/Archives/edgar/data/1811210/000162828025007725/fy24form10k-ex1035.htm" TargetMode="External"/><Relationship Id="rId51" Type="http://schemas.openxmlformats.org/officeDocument/2006/relationships/hyperlink" Target="https://www.sec.gov/Archives/edgar/data/1811210/000162828026003278/ex101-offerletteramendment.htm" TargetMode="External"/><Relationship Id="rId52" Type="http://schemas.openxmlformats.org/officeDocument/2006/relationships/hyperlink" Target="https://www.sec.gov/Archives/edgar/data/1811210/000162828025022685/q1fy2510q-ex102.htm" TargetMode="External"/><Relationship Id="rId53" Type="http://schemas.openxmlformats.org/officeDocument/2006/relationships/hyperlink" Target="https://www.sec.gov/Archives/edgar/data/1811210/000162828025022685/q1fy2510q-ex102.htm" TargetMode="External"/><Relationship Id="rId54" Type="http://schemas.openxmlformats.org/officeDocument/2006/relationships/hyperlink" Target="https://www.sec.gov/Archives/edgar/data/1811210/000162828025022685/q1fy2510q-ex102.htm" TargetMode="External"/><Relationship Id="rId55" Type="http://schemas.openxmlformats.org/officeDocument/2006/relationships/hyperlink" Target="https://www.sec.gov/Archives/edgar/data/1811210/000162828025022685/q1fy2510q-ex102.htm" TargetMode="External"/><Relationship Id="rId56" Type="http://schemas.openxmlformats.org/officeDocument/2006/relationships/hyperlink" Target="https://www.sec.gov/Archives/edgar/data/1811210/000162828022012681/q12210q-ex101.htm" TargetMode="External"/><Relationship Id="rId57" Type="http://schemas.openxmlformats.org/officeDocument/2006/relationships/hyperlink" Target="https://www.sec.gov/Archives/edgar/data/1811210/000162828022012681/q12210q-ex102.htm" TargetMode="External"/><Relationship Id="rId58" Type="http://schemas.openxmlformats.org/officeDocument/2006/relationships/hyperlink" Target="https://www.sec.gov/Archives/edgar/data/1811210/000162828022012681/q12210q-ex103.htm" TargetMode="External"/><Relationship Id="rId59" Type="http://schemas.openxmlformats.org/officeDocument/2006/relationships/hyperlink" Target="https://www.sec.gov/Archives/edgar/data/1811210/000110465922071262/tm2218210d4_ex10-1.htm" TargetMode="External"/><Relationship Id="rId60" Type="http://schemas.openxmlformats.org/officeDocument/2006/relationships/hyperlink" Target="https://www.sec.gov/Archives/edgar/data/1811210/000162828024034730/q2fy2410q-ex102.htm" TargetMode="External"/><Relationship Id="rId61" Type="http://schemas.openxmlformats.org/officeDocument/2006/relationships/hyperlink" Target="https://www.sec.gov/Archives/edgar/data/1811210/000162828024034724/q2fy24form8-kxex102.htm" TargetMode="External"/><Relationship Id="rId62" Type="http://schemas.openxmlformats.org/officeDocument/2006/relationships/hyperlink" Target="https://www.sec.gov/Archives/edgar/data/1811210/000162828025049553/q3fy258k-ex101.htm" TargetMode="External"/><Relationship Id="rId63" Type="http://schemas.openxmlformats.org/officeDocument/2006/relationships/hyperlink" Target="https://www.sec.gov/Archives/edgar/data/1811210/000162828022020609/q22210q-ex102.htm" TargetMode="External"/><Relationship Id="rId64" Type="http://schemas.openxmlformats.org/officeDocument/2006/relationships/hyperlink" Target="https://www.sec.gov/Archives/edgar/data/1811210/000162828025022685/q1fy2510q-ex101.htm" TargetMode="External"/><Relationship Id="rId65" Type="http://schemas.openxmlformats.org/officeDocument/2006/relationships/hyperlink" Target="https://www.sec.gov/Archives/edgar/data/1811210/000162828025022685/q1fy2510q-ex101.htm" TargetMode="External"/><Relationship Id="rId66" Type="http://schemas.openxmlformats.org/officeDocument/2006/relationships/hyperlink" Target="https://www.sec.gov/Archives/edgar/data/1811210/000162828025022685/q1fy2510q-ex101.htm" TargetMode="External"/><Relationship Id="rId67" Type="http://schemas.openxmlformats.org/officeDocument/2006/relationships/hyperlink" Target="https://www.sec.gov/Archives/edgar/data/1811210/000162828025022685/q1fy2510q-ex101.htm" TargetMode="External"/><Relationship Id="rId68" Type="http://schemas.openxmlformats.org/officeDocument/2006/relationships/hyperlink" Target="https://www.sec.gov/Archives/edgar/data/1811210/000162828025022685/q1fy2510q-ex101.htm" TargetMode="External"/><Relationship Id="rId69" Type="http://schemas.openxmlformats.org/officeDocument/2006/relationships/hyperlink" Target="https://www.sec.gov/Archives/edgar/data/1811210/000162828025022685/q1fy2510q-ex101.htm" TargetMode="External"/><Relationship Id="rId70" Type="http://schemas.openxmlformats.org/officeDocument/2006/relationships/hyperlink" Target="https://www.sec.gov/Archives/edgar/data/1811210/000162828025022685/q1fy2510q-ex101.htm" TargetMode="External"/><Relationship Id="rId71" Type="http://schemas.openxmlformats.org/officeDocument/2006/relationships/hyperlink" Target="https://www.sec.gov/Archives/edgar/data/1811210/000162828025022685/q1fy2510q-ex101.htm" TargetMode="External"/><Relationship Id="rId72" Type="http://schemas.openxmlformats.org/officeDocument/2006/relationships/hyperlink" Target="https://www.sec.gov/Archives/edgar/data/1811210/000162828025022685/q1fy2510q-ex101.htm" TargetMode="External"/><Relationship Id="rId73" Type="http://schemas.openxmlformats.org/officeDocument/2006/relationships/hyperlink" Target="https://www.sec.gov/Archives/edgar/data/1811210/000162828023016405/q1fy2310q-ex101.htm" TargetMode="External"/><Relationship Id="rId74" Type="http://schemas.openxmlformats.org/officeDocument/2006/relationships/hyperlink" Target="https://www.sec.gov/Archives/edgar/data/1811210/000162828023016405/q1fy2310q-ex101.htm" TargetMode="External"/><Relationship Id="rId75" Type="http://schemas.openxmlformats.org/officeDocument/2006/relationships/hyperlink" Target="https://www.sec.gov/Archives/edgar/data/1811210/000162828023016405/q1fy2310q-ex101.htm" TargetMode="External"/><Relationship Id="rId76" Type="http://schemas.openxmlformats.org/officeDocument/2006/relationships/hyperlink" Target="https://www.sec.gov/Archives/edgar/data/1811210/000162828023016405/q1fy2310q-ex101.htm" TargetMode="External"/><Relationship Id="rId77" Type="http://schemas.openxmlformats.org/officeDocument/2006/relationships/hyperlink" Target="https://www.sec.gov/Archives/edgar/data/1811210/000162828023016405/q1fy2310q-ex101.htm" TargetMode="External"/><Relationship Id="rId78" Type="http://schemas.openxmlformats.org/officeDocument/2006/relationships/hyperlink" Target="https://www.sec.gov/Archives/edgar/data/1811210/000162828023016405/q1fy2310q-ex101.htm" TargetMode="External"/><Relationship Id="rId79" Type="http://schemas.openxmlformats.org/officeDocument/2006/relationships/hyperlink" Target="https://www.sec.gov/Archives/edgar/data/1811210/000162828023016405/q1fy2310q-ex101.htm" TargetMode="External"/><Relationship Id="rId80" Type="http://schemas.openxmlformats.org/officeDocument/2006/relationships/hyperlink" Target="https://www.sec.gov/Archives/edgar/data/1811210/000162828022028925/q32210q-ex101.htm" TargetMode="External"/><Relationship Id="rId81" Type="http://schemas.openxmlformats.org/officeDocument/2006/relationships/hyperlink" Target="https://www.sec.gov/Archives/edgar/data/1811210/000110465924038177/tm249613d1_ex10-1.htm" TargetMode="External"/><Relationship Id="rId82" Type="http://schemas.openxmlformats.org/officeDocument/2006/relationships/hyperlink" Target="https://www.sec.gov/Archives/edgar/data/1811210/000162828024034724/q2fy24form8-kxex101.htm" TargetMode="External"/><Relationship Id="rId83" Type="http://schemas.openxmlformats.org/officeDocument/2006/relationships/hyperlink" Target="https://www.sec.gov/Archives/edgar/data/1811210/000162828023027785/q2fy2310q-ex104.htm" TargetMode="External"/><Relationship Id="rId84" Type="http://schemas.openxmlformats.org/officeDocument/2006/relationships/hyperlink" Target="https://www.sec.gov/Archives/edgar/data/1811210/000162828023037354/q3fy2310q-ex101.htm" TargetMode="External"/><Relationship Id="rId85" Type="http://schemas.openxmlformats.org/officeDocument/2006/relationships/hyperlink" Target="https://www.sec.gov/Archives/edgar/data/1811210/000162828024007209/fy2310k-ex1049.htm" TargetMode="External"/><Relationship Id="rId86" Type="http://schemas.openxmlformats.org/officeDocument/2006/relationships/hyperlink" Target="https://www.sec.gov/Archives/edgar/data/1811210/000110465925033017/tm2511638d2_ex10-1.htm" TargetMode="External"/><Relationship Id="rId87" Type="http://schemas.openxmlformats.org/officeDocument/2006/relationships/hyperlink" Target="https://www.sec.gov/Archives/edgar/data/1811210/000110465925068552/tm2520956d2_ex10-1.htm" TargetMode="External"/><Relationship Id="rId88" Type="http://schemas.openxmlformats.org/officeDocument/2006/relationships/hyperlink" Target="https://www.sec.gov/Archives/edgar/data/1811210/000110465925068552/tm2520956d2_ex10-2.htm" TargetMode="External"/><Relationship Id="rId89" Type="http://schemas.openxmlformats.org/officeDocument/2006/relationships/hyperlink" Target="https://www.sec.gov/Archives/edgar/data/1811210/000162828025049571/q3fy2510q-ex103.htm" TargetMode="External"/><Relationship Id="rId90" Type="http://schemas.openxmlformats.org/officeDocument/2006/relationships/hyperlink" Target="https://www.sec.gov/Archives/edgar/data/1811210/000162828025007725/fy24form10k-ex191.htm" TargetMode="External"/><Relationship Id="rId91" Type="http://schemas.openxmlformats.org/officeDocument/2006/relationships/hyperlink" Target="https://www.sec.gov/Archives/edgar/data/1811210/000162828024007209/fy2310k-ex971.htm" TargetMode="External"/><Relationship Id="rId92" Type="http://schemas.openxmlformats.org/officeDocument/2006/relationships/fontTable" Target="fontTable.xml"/><Relationship Id="rId9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115960</Words>
  <Characters>653158</Characters>
  <CharactersWithSpaces>765957</CharactersWithSpaces>
  <Paragraphs>5087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