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6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-234950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19050</wp:posOffset>
            </wp:positionV>
            <wp:extent cx="7047230" cy="5210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21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House Sherry Ann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4"/>
        </w:trPr>
        <w:tc>
          <w:tcPr>
            <w:tcW w:w="2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LUCID GROUP, INC.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7373 GATEWAY BOULEVARD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22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3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94560</w:t>
            </w:r>
          </w:p>
        </w:tc>
      </w:tr>
      <w:tr>
        <w:trPr>
          <w:trHeight w:val="461"/>
        </w:trPr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Lucid Group,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LCID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09/10/2023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2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408,663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1,094,967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26,742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5.84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1,068,225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408,663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8.26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09/10/2023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408,663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09/10/2030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408,663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440"/>
        <w:spacing w:after="0" w:line="243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("RSUs") vest over four years, with 1/8th vesting on the grant date and the remainder of the RSUs to vest 1/16th on each March 5, June 5, September 5, and December 5 annually thereafter.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that have been withheld by the Issuer to satisfy tax withholding and remittance obligations in connection with the vesting of RSUs reported on this Form 4.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will vest over four years, with 5/48th to vest on the first monthly anniversary of the grant date and the remainder to vest 1/48th on each monthly anniversary thereafter.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Benjamin Uy, as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09/12/2023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430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Sherry House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9067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7288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2023-09-12T20:30:52Z</dcterms:created>
  <dcterms:modified xsi:type="dcterms:W3CDTF">2023-09-12T20:30:52Z</dcterms:modified>
</cp:coreProperties>
</file>