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 was made available by Lucid Motors on Twitter on March 15, 2021:</w:t>
      </w:r>
    </w:p>
    <w:p>
      <w:pPr>
        <w:spacing w:after="0" w:line="200" w:lineRule="exact"/>
        <w:rPr>
          <w:sz w:val="24"/>
          <w:szCs w:val="24"/>
          <w:color w:val="auto"/>
        </w:rPr>
      </w:pPr>
    </w:p>
    <w:p>
      <w:pPr>
        <w:spacing w:after="0" w:line="237" w:lineRule="exact"/>
        <w:rPr>
          <w:sz w:val="24"/>
          <w:szCs w:val="24"/>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Twitter</w:t>
      </w:r>
      <w:r>
        <w:rPr>
          <w:rFonts w:ascii="Arial" w:cs="Arial" w:eastAsia="Arial" w:hAnsi="Arial"/>
          <w:sz w:val="18"/>
          <w:szCs w:val="18"/>
          <w:color w:val="auto"/>
        </w:rPr>
        <w:t>: CEO Peter Rawlinson speaks with @JimCramer on @MadMoneyonCNBC to discuss #LucidMotors’ progress and how the announcement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merge with CCIV bolsters our mission. Tune in tomorrow. #LucidAir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more information and important disclaimers: lucidmotors.com/investors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4712335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151765</wp:posOffset>
            </wp:positionV>
            <wp:extent cx="2151380" cy="3960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1380" cy="396049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2021-03-16T07:41:37Z</dcterms:created>
  <dcterms:modified xsi:type="dcterms:W3CDTF">2021-03-16T07:41:37Z</dcterms:modified>
</cp:coreProperties>
</file>