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-229870</wp:posOffset>
            </wp:positionV>
            <wp:extent cx="128270" cy="128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5231130</wp:posOffset>
            </wp:positionH>
            <wp:positionV relativeFrom="paragraph">
              <wp:posOffset>-612775</wp:posOffset>
            </wp:positionV>
            <wp:extent cx="57150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-612775</wp:posOffset>
            </wp:positionV>
            <wp:extent cx="57150" cy="6261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6996430" cy="5890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589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40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Rawlinson Peter Dore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LUCID GROUP, INC.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Lucid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LCID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12/14/2021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3" w:right="700" w:firstLine="3"/>
        <w:spacing w:after="0" w:line="233" w:lineRule="auto"/>
        <w:tabs>
          <w:tab w:leader="none" w:pos="13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CEO &amp; Chief Technology Officer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NEWARK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94560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12/14/2021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261,756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0.18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30,013,289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12/14/2021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125,000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0.37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30,138,289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12/15/2021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21,000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0.37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30,159,289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left="22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261,756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261,756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0.18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12/14/2021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8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07/23/2021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05/02/2023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3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left="22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125,000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125,000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0.37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12/14/2021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8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07/23/2021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04/16/2025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3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4,270,416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left="222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0"/>
              </w:rPr>
              <w:t>21,000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21,000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0.37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12/15/2021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07/23/2021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04/16/2025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3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4,249,416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-2680335</wp:posOffset>
            </wp:positionV>
            <wp:extent cx="28575" cy="26854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685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the reporting person's cash exercise of a stock option.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Jonathan Butler, as attorney- 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12/16/2021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17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Peter Rawlinson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130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-79375</wp:posOffset>
            </wp:positionV>
            <wp:extent cx="4743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60" w:hanging="1"/>
        <w:spacing w:after="0" w:line="32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3374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2021-12-16T19:35:12Z</dcterms:created>
  <dcterms:modified xsi:type="dcterms:W3CDTF">2021-12-16T19:35:12Z</dcterms:modified>
</cp:coreProperties>
</file>