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June 30, 2020</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3940" w:type="dxa"/>
        <w:tblCellMar>
          <w:top w:w="0" w:type="dxa"/>
          <w:left w:w="0" w:type="dxa"/>
          <w:bottom w:w="0" w:type="dxa"/>
          <w:right w:w="0" w:type="dxa"/>
        </w:tblCellMar>
      </w:tblPr>
      <w:tr>
        <w:trPr>
          <w:trHeight w:val="238"/>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3"/>
              </w:rPr>
              <w:t>to</w:t>
            </w:r>
          </w:p>
        </w:tc>
      </w:tr>
      <w:tr>
        <w:trPr>
          <w:trHeight w:val="392"/>
        </w:trPr>
        <w:tc>
          <w:tcPr>
            <w:tcW w:w="30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001-39408</w:t>
            </w:r>
          </w:p>
        </w:tc>
        <w:tc>
          <w:tcPr>
            <w:tcW w:w="300" w:type="dxa"/>
            <w:vAlign w:val="bottom"/>
          </w:tcPr>
          <w:p>
            <w:pPr>
              <w:spacing w:after="0"/>
              <w:rPr>
                <w:sz w:val="24"/>
                <w:szCs w:val="24"/>
                <w:color w:val="auto"/>
              </w:rPr>
            </w:pPr>
          </w:p>
        </w:tc>
      </w:tr>
      <w:tr>
        <w:trPr>
          <w:trHeight w:val="20"/>
        </w:trPr>
        <w:tc>
          <w:tcPr>
            <w:tcW w:w="2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CHURCHILL CAPITAL CORP IV</w:t>
      </w:r>
    </w:p>
    <w:p>
      <w:pPr>
        <w:spacing w:after="0" w:line="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Borders>
              <w:bottom w:val="single" w:sz="8" w:color="auto"/>
            </w:tcBorders>
            <w:gridSpan w:val="3"/>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center"/>
              <w:ind w:right="1810"/>
              <w:spacing w:after="0"/>
              <w:rPr>
                <w:sz w:val="20"/>
                <w:szCs w:val="20"/>
                <w:color w:val="auto"/>
              </w:rPr>
            </w:pPr>
            <w:r>
              <w:rPr>
                <w:rFonts w:ascii="Times New Roman" w:cs="Times New Roman" w:eastAsia="Times New Roman" w:hAnsi="Times New Roman"/>
                <w:sz w:val="18"/>
                <w:szCs w:val="18"/>
                <w:b w:val="1"/>
                <w:bCs w:val="1"/>
                <w:color w:val="auto"/>
                <w:w w:val="98"/>
              </w:rPr>
              <w:t>85-0891392</w:t>
            </w:r>
          </w:p>
        </w:tc>
      </w:tr>
      <w:tr>
        <w:trPr>
          <w:trHeight w:val="191"/>
        </w:trPr>
        <w:tc>
          <w:tcPr>
            <w:tcW w:w="4180" w:type="dxa"/>
            <w:vAlign w:val="bottom"/>
            <w:gridSpan w:val="3"/>
          </w:tcPr>
          <w:p>
            <w:pPr>
              <w:jc w:val="center"/>
              <w:ind w:left="125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0" w:type="dxa"/>
            <w:vAlign w:val="bottom"/>
          </w:tcPr>
          <w:p>
            <w:pPr>
              <w:jc w:val="center"/>
              <w:ind w:right="1810"/>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180" w:type="dxa"/>
            <w:vAlign w:val="bottom"/>
            <w:gridSpan w:val="3"/>
          </w:tcPr>
          <w:p>
            <w:pPr>
              <w:jc w:val="center"/>
              <w:ind w:left="12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60" w:type="dxa"/>
            <w:vAlign w:val="bottom"/>
            <w:gridSpan w:val="4"/>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6"/>
              </w:rPr>
              <w:t>640 Fifth Avenue, 12</w:t>
            </w:r>
            <w:r>
              <w:rPr>
                <w:rFonts w:ascii="Times New Roman" w:cs="Times New Roman" w:eastAsia="Times New Roman" w:hAnsi="Times New Roman"/>
                <w:sz w:val="29"/>
                <w:szCs w:val="29"/>
                <w:b w:val="1"/>
                <w:bCs w:val="1"/>
                <w:color w:val="auto"/>
                <w:w w:val="96"/>
                <w:vertAlign w:val="superscript"/>
              </w:rPr>
              <w:t>th</w:t>
            </w:r>
            <w:r>
              <w:rPr>
                <w:rFonts w:ascii="Times New Roman" w:cs="Times New Roman" w:eastAsia="Times New Roman" w:hAnsi="Times New Roman"/>
                <w:sz w:val="18"/>
                <w:szCs w:val="18"/>
                <w:b w:val="1"/>
                <w:bCs w:val="1"/>
                <w:color w:val="auto"/>
                <w:w w:val="96"/>
              </w:rPr>
              <w:t xml:space="preserve"> Floor</w:t>
            </w:r>
          </w:p>
        </w:tc>
        <w:tc>
          <w:tcPr>
            <w:tcW w:w="3600" w:type="dxa"/>
            <w:vAlign w:val="bottom"/>
          </w:tcPr>
          <w:p>
            <w:pPr>
              <w:spacing w:after="0"/>
              <w:rPr>
                <w:sz w:val="24"/>
                <w:szCs w:val="24"/>
                <w:color w:val="auto"/>
              </w:rPr>
            </w:pPr>
          </w:p>
        </w:tc>
      </w:tr>
      <w:tr>
        <w:trPr>
          <w:trHeight w:val="220"/>
        </w:trPr>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60" w:type="dxa"/>
            <w:vAlign w:val="bottom"/>
            <w:gridSpan w:val="4"/>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8"/>
              </w:rPr>
              <w:t>New York, NY 10019</w:t>
            </w:r>
          </w:p>
        </w:tc>
        <w:tc>
          <w:tcPr>
            <w:tcW w:w="3600" w:type="dxa"/>
            <w:vAlign w:val="bottom"/>
          </w:tcPr>
          <w:p>
            <w:pPr>
              <w:spacing w:after="0"/>
              <w:rPr>
                <w:sz w:val="19"/>
                <w:szCs w:val="19"/>
                <w:color w:val="auto"/>
              </w:rPr>
            </w:pPr>
          </w:p>
        </w:tc>
      </w:t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6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0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(212) 380-7500</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6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color w:val="auto"/>
              </w:rPr>
              <w:t>(Issuer’s telephone number)</w:t>
            </w:r>
          </w:p>
        </w:tc>
        <w:tc>
          <w:tcPr>
            <w:tcW w:w="3600" w:type="dxa"/>
            <w:vAlign w:val="bottom"/>
          </w:tcPr>
          <w:p>
            <w:pPr>
              <w:spacing w:after="0"/>
              <w:rPr>
                <w:sz w:val="20"/>
                <w:szCs w:val="20"/>
                <w:color w:val="auto"/>
              </w:rPr>
            </w:pPr>
          </w:p>
        </w:tc>
      </w:tr>
      <w:tr>
        <w:trPr>
          <w:trHeight w:val="432"/>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18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460" w:type="dxa"/>
            <w:vAlign w:val="bottom"/>
            <w:gridSpan w:val="4"/>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Units, each consisting of one share of Class A</w:t>
            </w:r>
          </w:p>
        </w:tc>
        <w:tc>
          <w:tcPr>
            <w:tcW w:w="2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3260" w:type="dxa"/>
            <w:vAlign w:val="bottom"/>
            <w:tcBorders>
              <w:top w:val="single" w:sz="8" w:color="auto"/>
            </w:tcBorders>
            <w:gridSpan w:val="3"/>
          </w:tcPr>
          <w:p>
            <w:pPr>
              <w:jc w:val="center"/>
              <w:ind w:right="360"/>
              <w:spacing w:after="0" w:line="191" w:lineRule="exact"/>
              <w:rPr>
                <w:sz w:val="20"/>
                <w:szCs w:val="20"/>
                <w:color w:val="auto"/>
              </w:rPr>
            </w:pPr>
            <w:r>
              <w:rPr>
                <w:rFonts w:ascii="Times New Roman" w:cs="Times New Roman" w:eastAsia="Times New Roman" w:hAnsi="Times New Roman"/>
                <w:sz w:val="18"/>
                <w:szCs w:val="18"/>
                <w:color w:val="auto"/>
                <w:w w:val="95"/>
              </w:rPr>
              <w:t>CCIV.U</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418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9"/>
              </w:rPr>
              <w:t>common stock, $0.0001 par value, and one-fifth</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418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rPr>
              <w:t>of one warrant</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418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9"/>
              </w:rPr>
              <w:t>Shares of Class A common stock</w:t>
            </w:r>
          </w:p>
        </w:tc>
        <w:tc>
          <w:tcPr>
            <w:tcW w:w="3460" w:type="dxa"/>
            <w:vAlign w:val="bottom"/>
            <w:gridSpan w:val="4"/>
          </w:tcPr>
          <w:p>
            <w:pPr>
              <w:jc w:val="center"/>
              <w:ind w:right="540"/>
              <w:spacing w:after="0"/>
              <w:rPr>
                <w:sz w:val="20"/>
                <w:szCs w:val="20"/>
                <w:color w:val="auto"/>
              </w:rPr>
            </w:pPr>
            <w:r>
              <w:rPr>
                <w:rFonts w:ascii="Times New Roman" w:cs="Times New Roman" w:eastAsia="Times New Roman" w:hAnsi="Times New Roman"/>
                <w:sz w:val="18"/>
                <w:szCs w:val="18"/>
                <w:color w:val="auto"/>
              </w:rPr>
              <w:t>CCIV</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418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rPr>
              <w:t>Warrants included as part of the units</w:t>
            </w:r>
          </w:p>
        </w:tc>
        <w:tc>
          <w:tcPr>
            <w:tcW w:w="3460" w:type="dxa"/>
            <w:vAlign w:val="bottom"/>
            <w:gridSpan w:val="4"/>
          </w:tcPr>
          <w:p>
            <w:pPr>
              <w:jc w:val="center"/>
              <w:ind w:right="540"/>
              <w:spacing w:after="0"/>
              <w:rPr>
                <w:sz w:val="20"/>
                <w:szCs w:val="20"/>
                <w:color w:val="auto"/>
              </w:rPr>
            </w:pPr>
            <w:r>
              <w:rPr>
                <w:rFonts w:ascii="Times New Roman" w:cs="Times New Roman" w:eastAsia="Times New Roman" w:hAnsi="Times New Roman"/>
                <w:sz w:val="18"/>
                <w:szCs w:val="18"/>
                <w:color w:val="auto"/>
              </w:rPr>
              <w:t>CCIV WS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Check whether the issuer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480" w:type="dxa"/>
            <w:vAlign w:val="bottom"/>
          </w:tcPr>
          <w:p>
            <w:pPr>
              <w:ind w:left="156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480" w:type="dxa"/>
            <w:vAlign w:val="bottom"/>
          </w:tcPr>
          <w:p>
            <w:pPr>
              <w:ind w:left="156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1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September 11, 2020, there were 207,000,000 shares of Class A common stock, par value $0.0001 per share, and 51,750,000 shares of Class B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5" w:right="339" w:bottom="1086"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12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CHURCHILL CAPITAL CORP IV</w:t>
            </w:r>
          </w:p>
        </w:tc>
        <w:tc>
          <w:tcPr>
            <w:tcW w:w="1120" w:type="dxa"/>
            <w:vAlign w:val="bottom"/>
          </w:tcPr>
          <w:p>
            <w:pPr>
              <w:spacing w:after="0"/>
              <w:rPr>
                <w:sz w:val="20"/>
                <w:szCs w:val="20"/>
                <w:color w:val="auto"/>
              </w:rPr>
            </w:pPr>
          </w:p>
        </w:tc>
      </w:tr>
      <w:tr>
        <w:trPr>
          <w:trHeight w:val="410"/>
        </w:trPr>
        <w:tc>
          <w:tcPr>
            <w:tcW w:w="1012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FORM 10-Q FOR THE QUARTER ENDED JUNE 30, 2020</w:t>
            </w:r>
          </w:p>
        </w:tc>
        <w:tc>
          <w:tcPr>
            <w:tcW w:w="1120" w:type="dxa"/>
            <w:vAlign w:val="bottom"/>
          </w:tcPr>
          <w:p>
            <w:pPr>
              <w:spacing w:after="0"/>
              <w:rPr>
                <w:sz w:val="24"/>
                <w:szCs w:val="24"/>
                <w:color w:val="auto"/>
              </w:rPr>
            </w:pPr>
          </w:p>
        </w:tc>
      </w:tr>
      <w:tr>
        <w:trPr>
          <w:trHeight w:val="238"/>
        </w:trPr>
        <w:tc>
          <w:tcPr>
            <w:tcW w:w="1012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120" w:type="dxa"/>
            <w:vAlign w:val="bottom"/>
          </w:tcPr>
          <w:p>
            <w:pPr>
              <w:spacing w:after="0"/>
              <w:rPr>
                <w:sz w:val="20"/>
                <w:szCs w:val="20"/>
                <w:color w:val="auto"/>
              </w:rPr>
            </w:pPr>
          </w:p>
        </w:tc>
      </w:tr>
      <w:tr>
        <w:trPr>
          <w:trHeight w:val="432"/>
        </w:trPr>
        <w:tc>
          <w:tcPr>
            <w:tcW w:w="101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9"/>
        </w:trPr>
        <w:tc>
          <w:tcPr>
            <w:tcW w:w="1012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Part I. Financial Information</w:t>
              </w:r>
            </w:hyperlink>
          </w:p>
        </w:tc>
        <w:tc>
          <w:tcPr>
            <w:tcW w:w="1120" w:type="dxa"/>
            <w:vAlign w:val="bottom"/>
            <w:shd w:val="clear" w:color="auto" w:fill="CCEEFF"/>
          </w:tcPr>
          <w:p>
            <w:pPr>
              <w:spacing w:after="0"/>
              <w:rPr>
                <w:sz w:val="18"/>
                <w:szCs w:val="18"/>
                <w:color w:val="auto"/>
              </w:rPr>
            </w:pPr>
          </w:p>
        </w:tc>
      </w:tr>
      <w:tr>
        <w:trPr>
          <w:trHeight w:val="216"/>
        </w:trPr>
        <w:tc>
          <w:tcPr>
            <w:tcW w:w="10120" w:type="dxa"/>
            <w:vAlign w:val="bottom"/>
          </w:tcPr>
          <w:p>
            <w:pPr>
              <w:ind w:left="18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Item 1. Financial Statements</w:t>
              </w:r>
            </w:hyperlink>
          </w:p>
        </w:tc>
        <w:tc>
          <w:tcPr>
            <w:tcW w:w="1120" w:type="dxa"/>
            <w:vAlign w:val="bottom"/>
          </w:tcPr>
          <w:p>
            <w:pPr>
              <w:spacing w:after="0"/>
              <w:rPr>
                <w:sz w:val="18"/>
                <w:szCs w:val="18"/>
                <w:color w:val="auto"/>
              </w:rPr>
            </w:pPr>
          </w:p>
        </w:tc>
      </w:tr>
      <w:tr>
        <w:trPr>
          <w:trHeight w:val="216"/>
        </w:trPr>
        <w:tc>
          <w:tcPr>
            <w:tcW w:w="10120" w:type="dxa"/>
            <w:vAlign w:val="bottom"/>
            <w:shd w:val="clear" w:color="auto" w:fill="CCEEFF"/>
          </w:tcPr>
          <w:p>
            <w:pPr>
              <w:ind w:left="3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Condensed Balance Sheet</w:t>
              </w:r>
            </w:hyperlink>
          </w:p>
        </w:tc>
        <w:tc>
          <w:tcPr>
            <w:tcW w:w="1120" w:type="dxa"/>
            <w:vAlign w:val="bottom"/>
            <w:shd w:val="clear" w:color="auto" w:fill="CCEEFF"/>
          </w:tcPr>
          <w:p>
            <w:pPr>
              <w:jc w:val="center"/>
              <w:spacing w:after="0"/>
              <w:rPr>
                <w:rFonts w:ascii="Times New Roman" w:cs="Times New Roman" w:eastAsia="Times New Roman" w:hAnsi="Times New Roman"/>
                <w:sz w:val="18"/>
                <w:szCs w:val="18"/>
                <w:u w:val="single" w:color="auto"/>
                <w:color w:val="0000EE"/>
                <w:w w:val="88"/>
              </w:rPr>
            </w:pPr>
            <w:hyperlink w:anchor="page3">
              <w:r>
                <w:rPr>
                  <w:rFonts w:ascii="Times New Roman" w:cs="Times New Roman" w:eastAsia="Times New Roman" w:hAnsi="Times New Roman"/>
                  <w:sz w:val="18"/>
                  <w:szCs w:val="18"/>
                  <w:u w:val="single" w:color="auto"/>
                  <w:color w:val="0000EE"/>
                  <w:w w:val="88"/>
                </w:rPr>
                <w:t>1</w:t>
              </w:r>
            </w:hyperlink>
          </w:p>
        </w:tc>
      </w:tr>
      <w:tr>
        <w:trPr>
          <w:trHeight w:val="216"/>
        </w:trPr>
        <w:tc>
          <w:tcPr>
            <w:tcW w:w="10120" w:type="dxa"/>
            <w:vAlign w:val="bottom"/>
          </w:tcPr>
          <w:p>
            <w:pPr>
              <w:ind w:left="34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Condensed Statement of Operations</w:t>
              </w:r>
            </w:hyperlink>
          </w:p>
        </w:tc>
        <w:tc>
          <w:tcPr>
            <w:tcW w:w="1120" w:type="dxa"/>
            <w:vAlign w:val="bottom"/>
          </w:tcPr>
          <w:p>
            <w:pPr>
              <w:jc w:val="center"/>
              <w:spacing w:after="0"/>
              <w:rPr>
                <w:rFonts w:ascii="Times New Roman" w:cs="Times New Roman" w:eastAsia="Times New Roman" w:hAnsi="Times New Roman"/>
                <w:sz w:val="18"/>
                <w:szCs w:val="18"/>
                <w:u w:val="single" w:color="auto"/>
                <w:color w:val="0000EE"/>
                <w:w w:val="88"/>
              </w:rPr>
            </w:pPr>
            <w:hyperlink w:anchor="page4">
              <w:r>
                <w:rPr>
                  <w:rFonts w:ascii="Times New Roman" w:cs="Times New Roman" w:eastAsia="Times New Roman" w:hAnsi="Times New Roman"/>
                  <w:sz w:val="18"/>
                  <w:szCs w:val="18"/>
                  <w:u w:val="single" w:color="auto"/>
                  <w:color w:val="0000EE"/>
                  <w:w w:val="88"/>
                </w:rPr>
                <w:t>2</w:t>
              </w:r>
            </w:hyperlink>
          </w:p>
        </w:tc>
      </w:tr>
      <w:tr>
        <w:trPr>
          <w:trHeight w:val="216"/>
        </w:trPr>
        <w:tc>
          <w:tcPr>
            <w:tcW w:w="10120" w:type="dxa"/>
            <w:vAlign w:val="bottom"/>
            <w:shd w:val="clear" w:color="auto" w:fill="CCEEFF"/>
          </w:tcPr>
          <w:p>
            <w:pPr>
              <w:ind w:left="34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Condensed Statement of Changes in Stockholder’s Equity</w:t>
              </w:r>
            </w:hyperlink>
          </w:p>
        </w:tc>
        <w:tc>
          <w:tcPr>
            <w:tcW w:w="1120" w:type="dxa"/>
            <w:vAlign w:val="bottom"/>
            <w:shd w:val="clear" w:color="auto" w:fill="CCEEFF"/>
          </w:tcPr>
          <w:p>
            <w:pPr>
              <w:jc w:val="center"/>
              <w:spacing w:after="0"/>
              <w:rPr>
                <w:rFonts w:ascii="Times New Roman" w:cs="Times New Roman" w:eastAsia="Times New Roman" w:hAnsi="Times New Roman"/>
                <w:sz w:val="18"/>
                <w:szCs w:val="18"/>
                <w:u w:val="single" w:color="auto"/>
                <w:color w:val="0000EE"/>
                <w:w w:val="88"/>
              </w:rPr>
            </w:pPr>
            <w:hyperlink w:anchor="page5">
              <w:r>
                <w:rPr>
                  <w:rFonts w:ascii="Times New Roman" w:cs="Times New Roman" w:eastAsia="Times New Roman" w:hAnsi="Times New Roman"/>
                  <w:sz w:val="18"/>
                  <w:szCs w:val="18"/>
                  <w:u w:val="single" w:color="auto"/>
                  <w:color w:val="0000EE"/>
                  <w:w w:val="88"/>
                </w:rPr>
                <w:t>3</w:t>
              </w:r>
            </w:hyperlink>
          </w:p>
        </w:tc>
      </w:tr>
      <w:tr>
        <w:trPr>
          <w:trHeight w:val="216"/>
        </w:trPr>
        <w:tc>
          <w:tcPr>
            <w:tcW w:w="10120" w:type="dxa"/>
            <w:vAlign w:val="bottom"/>
          </w:tcPr>
          <w:p>
            <w:pPr>
              <w:ind w:left="34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Condensed Statement of Cash Flows</w:t>
              </w:r>
            </w:hyperlink>
          </w:p>
        </w:tc>
        <w:tc>
          <w:tcPr>
            <w:tcW w:w="1120" w:type="dxa"/>
            <w:vAlign w:val="bottom"/>
          </w:tcPr>
          <w:p>
            <w:pPr>
              <w:jc w:val="center"/>
              <w:spacing w:after="0"/>
              <w:rPr>
                <w:rFonts w:ascii="Times New Roman" w:cs="Times New Roman" w:eastAsia="Times New Roman" w:hAnsi="Times New Roman"/>
                <w:sz w:val="18"/>
                <w:szCs w:val="18"/>
                <w:u w:val="single" w:color="auto"/>
                <w:color w:val="0000EE"/>
                <w:w w:val="88"/>
              </w:rPr>
            </w:pPr>
            <w:hyperlink w:anchor="page6">
              <w:r>
                <w:rPr>
                  <w:rFonts w:ascii="Times New Roman" w:cs="Times New Roman" w:eastAsia="Times New Roman" w:hAnsi="Times New Roman"/>
                  <w:sz w:val="18"/>
                  <w:szCs w:val="18"/>
                  <w:u w:val="single" w:color="auto"/>
                  <w:color w:val="0000EE"/>
                  <w:w w:val="88"/>
                </w:rPr>
                <w:t>4</w:t>
              </w:r>
            </w:hyperlink>
          </w:p>
        </w:tc>
      </w:tr>
      <w:tr>
        <w:trPr>
          <w:trHeight w:val="216"/>
        </w:trPr>
        <w:tc>
          <w:tcPr>
            <w:tcW w:w="10120" w:type="dxa"/>
            <w:vAlign w:val="bottom"/>
            <w:shd w:val="clear" w:color="auto" w:fill="CCEEFF"/>
          </w:tcPr>
          <w:p>
            <w:pPr>
              <w:ind w:left="34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Notes to Unaudited Condensed Financial Statements</w:t>
              </w:r>
            </w:hyperlink>
          </w:p>
        </w:tc>
        <w:tc>
          <w:tcPr>
            <w:tcW w:w="1120" w:type="dxa"/>
            <w:vAlign w:val="bottom"/>
            <w:shd w:val="clear" w:color="auto" w:fill="CCEEFF"/>
          </w:tcPr>
          <w:p>
            <w:pPr>
              <w:jc w:val="center"/>
              <w:spacing w:after="0"/>
              <w:rPr>
                <w:rFonts w:ascii="Times New Roman" w:cs="Times New Roman" w:eastAsia="Times New Roman" w:hAnsi="Times New Roman"/>
                <w:sz w:val="18"/>
                <w:szCs w:val="18"/>
                <w:u w:val="single" w:color="auto"/>
                <w:color w:val="0000EE"/>
                <w:w w:val="88"/>
              </w:rPr>
            </w:pPr>
            <w:hyperlink w:anchor="page7">
              <w:r>
                <w:rPr>
                  <w:rFonts w:ascii="Times New Roman" w:cs="Times New Roman" w:eastAsia="Times New Roman" w:hAnsi="Times New Roman"/>
                  <w:sz w:val="18"/>
                  <w:szCs w:val="18"/>
                  <w:u w:val="single" w:color="auto"/>
                  <w:color w:val="0000EE"/>
                  <w:w w:val="88"/>
                </w:rPr>
                <w:t>5</w:t>
              </w:r>
            </w:hyperlink>
          </w:p>
        </w:tc>
      </w:tr>
      <w:tr>
        <w:trPr>
          <w:trHeight w:val="216"/>
        </w:trPr>
        <w:tc>
          <w:tcPr>
            <w:tcW w:w="10120" w:type="dxa"/>
            <w:vAlign w:val="bottom"/>
          </w:tcPr>
          <w:p>
            <w:pPr>
              <w:ind w:left="180"/>
              <w:spacing w:after="0"/>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Item 2. Management’s Discussion and Analysis of Financial Condition and Results of Operations</w:t>
              </w:r>
            </w:hyperlink>
          </w:p>
        </w:tc>
        <w:tc>
          <w:tcPr>
            <w:tcW w:w="112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16">
              <w:r>
                <w:rPr>
                  <w:rFonts w:ascii="Times New Roman" w:cs="Times New Roman" w:eastAsia="Times New Roman" w:hAnsi="Times New Roman"/>
                  <w:sz w:val="18"/>
                  <w:szCs w:val="18"/>
                  <w:u w:val="single" w:color="auto"/>
                  <w:color w:val="0000EE"/>
                  <w:w w:val="99"/>
                </w:rPr>
                <w:t>13</w:t>
              </w:r>
            </w:hyperlink>
          </w:p>
        </w:tc>
      </w:tr>
      <w:tr>
        <w:trPr>
          <w:trHeight w:val="216"/>
        </w:trPr>
        <w:tc>
          <w:tcPr>
            <w:tcW w:w="10120" w:type="dxa"/>
            <w:vAlign w:val="bottom"/>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Item 3. Quantitative and Qualitative Disclosures Regarding Market Risk</w:t>
              </w:r>
            </w:hyperlink>
          </w:p>
        </w:tc>
        <w:tc>
          <w:tcPr>
            <w:tcW w:w="1120" w:type="dxa"/>
            <w:vAlign w:val="bottom"/>
            <w:shd w:val="clear" w:color="auto" w:fill="CCEEFF"/>
          </w:tcPr>
          <w:p>
            <w:pPr>
              <w:jc w:val="center"/>
              <w:spacing w:after="0"/>
              <w:rPr>
                <w:rFonts w:ascii="Times New Roman" w:cs="Times New Roman" w:eastAsia="Times New Roman" w:hAnsi="Times New Roman"/>
                <w:sz w:val="18"/>
                <w:szCs w:val="18"/>
                <w:u w:val="single" w:color="auto"/>
                <w:color w:val="0000EE"/>
                <w:w w:val="99"/>
              </w:rPr>
            </w:pPr>
            <w:hyperlink w:anchor="page18">
              <w:r>
                <w:rPr>
                  <w:rFonts w:ascii="Times New Roman" w:cs="Times New Roman" w:eastAsia="Times New Roman" w:hAnsi="Times New Roman"/>
                  <w:sz w:val="18"/>
                  <w:szCs w:val="18"/>
                  <w:u w:val="single" w:color="auto"/>
                  <w:color w:val="0000EE"/>
                  <w:w w:val="99"/>
                </w:rPr>
                <w:t>15</w:t>
              </w:r>
            </w:hyperlink>
          </w:p>
        </w:tc>
      </w:tr>
      <w:tr>
        <w:trPr>
          <w:trHeight w:val="216"/>
        </w:trPr>
        <w:tc>
          <w:tcPr>
            <w:tcW w:w="10120" w:type="dxa"/>
            <w:vAlign w:val="bottom"/>
          </w:tcPr>
          <w:p>
            <w:pPr>
              <w:ind w:left="180"/>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Item 4. Controls and Procedures</w:t>
              </w:r>
            </w:hyperlink>
          </w:p>
        </w:tc>
        <w:tc>
          <w:tcPr>
            <w:tcW w:w="112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18">
              <w:r>
                <w:rPr>
                  <w:rFonts w:ascii="Times New Roman" w:cs="Times New Roman" w:eastAsia="Times New Roman" w:hAnsi="Times New Roman"/>
                  <w:sz w:val="18"/>
                  <w:szCs w:val="18"/>
                  <w:u w:val="single" w:color="auto"/>
                  <w:color w:val="0000EE"/>
                  <w:w w:val="99"/>
                </w:rPr>
                <w:t>15</w:t>
              </w:r>
            </w:hyperlink>
          </w:p>
        </w:tc>
      </w:tr>
      <w:tr>
        <w:trPr>
          <w:trHeight w:val="216"/>
        </w:trPr>
        <w:tc>
          <w:tcPr>
            <w:tcW w:w="1012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Part II. Other Information</w:t>
              </w:r>
            </w:hyperlink>
          </w:p>
        </w:tc>
        <w:tc>
          <w:tcPr>
            <w:tcW w:w="1120" w:type="dxa"/>
            <w:vAlign w:val="bottom"/>
            <w:shd w:val="clear" w:color="auto" w:fill="CCEEFF"/>
          </w:tcPr>
          <w:p>
            <w:pPr>
              <w:spacing w:after="0"/>
              <w:rPr>
                <w:sz w:val="18"/>
                <w:szCs w:val="18"/>
                <w:color w:val="auto"/>
              </w:rPr>
            </w:pPr>
          </w:p>
        </w:tc>
      </w:tr>
      <w:tr>
        <w:trPr>
          <w:trHeight w:val="216"/>
        </w:trPr>
        <w:tc>
          <w:tcPr>
            <w:tcW w:w="10120" w:type="dxa"/>
            <w:vAlign w:val="bottom"/>
          </w:tcPr>
          <w:p>
            <w:pPr>
              <w:ind w:left="180"/>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Item 1. Legal Proceedings</w:t>
              </w:r>
            </w:hyperlink>
          </w:p>
        </w:tc>
        <w:tc>
          <w:tcPr>
            <w:tcW w:w="112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19">
              <w:r>
                <w:rPr>
                  <w:rFonts w:ascii="Times New Roman" w:cs="Times New Roman" w:eastAsia="Times New Roman" w:hAnsi="Times New Roman"/>
                  <w:sz w:val="18"/>
                  <w:szCs w:val="18"/>
                  <w:u w:val="single" w:color="auto"/>
                  <w:color w:val="0000EE"/>
                  <w:w w:val="99"/>
                </w:rPr>
                <w:t>16</w:t>
              </w:r>
            </w:hyperlink>
          </w:p>
        </w:tc>
      </w:tr>
      <w:tr>
        <w:trPr>
          <w:trHeight w:val="216"/>
        </w:trPr>
        <w:tc>
          <w:tcPr>
            <w:tcW w:w="10120" w:type="dxa"/>
            <w:vAlign w:val="bottom"/>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Item 1A. Risk Factors</w:t>
              </w:r>
            </w:hyperlink>
          </w:p>
        </w:tc>
        <w:tc>
          <w:tcPr>
            <w:tcW w:w="1120" w:type="dxa"/>
            <w:vAlign w:val="bottom"/>
            <w:shd w:val="clear" w:color="auto" w:fill="CCEEFF"/>
          </w:tcPr>
          <w:p>
            <w:pPr>
              <w:jc w:val="center"/>
              <w:spacing w:after="0"/>
              <w:rPr>
                <w:rFonts w:ascii="Times New Roman" w:cs="Times New Roman" w:eastAsia="Times New Roman" w:hAnsi="Times New Roman"/>
                <w:sz w:val="18"/>
                <w:szCs w:val="18"/>
                <w:u w:val="single" w:color="auto"/>
                <w:color w:val="0000EE"/>
                <w:w w:val="99"/>
              </w:rPr>
            </w:pPr>
            <w:hyperlink w:anchor="page19">
              <w:r>
                <w:rPr>
                  <w:rFonts w:ascii="Times New Roman" w:cs="Times New Roman" w:eastAsia="Times New Roman" w:hAnsi="Times New Roman"/>
                  <w:sz w:val="18"/>
                  <w:szCs w:val="18"/>
                  <w:u w:val="single" w:color="auto"/>
                  <w:color w:val="0000EE"/>
                  <w:w w:val="99"/>
                </w:rPr>
                <w:t>16</w:t>
              </w:r>
            </w:hyperlink>
          </w:p>
        </w:tc>
      </w:tr>
      <w:tr>
        <w:trPr>
          <w:trHeight w:val="216"/>
        </w:trPr>
        <w:tc>
          <w:tcPr>
            <w:tcW w:w="10120" w:type="dxa"/>
            <w:vAlign w:val="bottom"/>
          </w:tcPr>
          <w:p>
            <w:pPr>
              <w:ind w:left="180"/>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Item 2. Unregistered Sales of Equity Securities and Use of Proceeds</w:t>
              </w:r>
            </w:hyperlink>
          </w:p>
        </w:tc>
        <w:tc>
          <w:tcPr>
            <w:tcW w:w="112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19">
              <w:r>
                <w:rPr>
                  <w:rFonts w:ascii="Times New Roman" w:cs="Times New Roman" w:eastAsia="Times New Roman" w:hAnsi="Times New Roman"/>
                  <w:sz w:val="18"/>
                  <w:szCs w:val="18"/>
                  <w:u w:val="single" w:color="auto"/>
                  <w:color w:val="0000EE"/>
                  <w:w w:val="99"/>
                </w:rPr>
                <w:t>16</w:t>
              </w:r>
            </w:hyperlink>
          </w:p>
        </w:tc>
      </w:tr>
      <w:tr>
        <w:trPr>
          <w:trHeight w:val="216"/>
        </w:trPr>
        <w:tc>
          <w:tcPr>
            <w:tcW w:w="10120" w:type="dxa"/>
            <w:vAlign w:val="bottom"/>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Item 3. Defaults Upon Senior Securities</w:t>
              </w:r>
            </w:hyperlink>
          </w:p>
        </w:tc>
        <w:tc>
          <w:tcPr>
            <w:tcW w:w="1120" w:type="dxa"/>
            <w:vAlign w:val="bottom"/>
            <w:shd w:val="clear" w:color="auto" w:fill="CCEEFF"/>
          </w:tcPr>
          <w:p>
            <w:pPr>
              <w:jc w:val="center"/>
              <w:spacing w:after="0"/>
              <w:rPr>
                <w:rFonts w:ascii="Times New Roman" w:cs="Times New Roman" w:eastAsia="Times New Roman" w:hAnsi="Times New Roman"/>
                <w:sz w:val="18"/>
                <w:szCs w:val="18"/>
                <w:u w:val="single" w:color="auto"/>
                <w:color w:val="0000EE"/>
                <w:w w:val="99"/>
              </w:rPr>
            </w:pPr>
            <w:hyperlink w:anchor="page20">
              <w:r>
                <w:rPr>
                  <w:rFonts w:ascii="Times New Roman" w:cs="Times New Roman" w:eastAsia="Times New Roman" w:hAnsi="Times New Roman"/>
                  <w:sz w:val="18"/>
                  <w:szCs w:val="18"/>
                  <w:u w:val="single" w:color="auto"/>
                  <w:color w:val="0000EE"/>
                  <w:w w:val="99"/>
                </w:rPr>
                <w:t>17</w:t>
              </w:r>
            </w:hyperlink>
          </w:p>
        </w:tc>
      </w:tr>
      <w:tr>
        <w:trPr>
          <w:trHeight w:val="216"/>
        </w:trPr>
        <w:tc>
          <w:tcPr>
            <w:tcW w:w="10120" w:type="dxa"/>
            <w:vAlign w:val="bottom"/>
          </w:tcPr>
          <w:p>
            <w:pPr>
              <w:ind w:left="180"/>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Item 4. Mine Safety Disclosures</w:t>
              </w:r>
            </w:hyperlink>
          </w:p>
        </w:tc>
        <w:tc>
          <w:tcPr>
            <w:tcW w:w="112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20">
              <w:r>
                <w:rPr>
                  <w:rFonts w:ascii="Times New Roman" w:cs="Times New Roman" w:eastAsia="Times New Roman" w:hAnsi="Times New Roman"/>
                  <w:sz w:val="18"/>
                  <w:szCs w:val="18"/>
                  <w:u w:val="single" w:color="auto"/>
                  <w:color w:val="0000EE"/>
                  <w:w w:val="99"/>
                </w:rPr>
                <w:t>17</w:t>
              </w:r>
            </w:hyperlink>
          </w:p>
        </w:tc>
      </w:tr>
      <w:tr>
        <w:trPr>
          <w:trHeight w:val="216"/>
        </w:trPr>
        <w:tc>
          <w:tcPr>
            <w:tcW w:w="10120" w:type="dxa"/>
            <w:vAlign w:val="bottom"/>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Item 5. Other Information</w:t>
              </w:r>
            </w:hyperlink>
          </w:p>
        </w:tc>
        <w:tc>
          <w:tcPr>
            <w:tcW w:w="1120" w:type="dxa"/>
            <w:vAlign w:val="bottom"/>
            <w:shd w:val="clear" w:color="auto" w:fill="CCEEFF"/>
          </w:tcPr>
          <w:p>
            <w:pPr>
              <w:jc w:val="center"/>
              <w:spacing w:after="0"/>
              <w:rPr>
                <w:rFonts w:ascii="Times New Roman" w:cs="Times New Roman" w:eastAsia="Times New Roman" w:hAnsi="Times New Roman"/>
                <w:sz w:val="18"/>
                <w:szCs w:val="18"/>
                <w:u w:val="single" w:color="auto"/>
                <w:color w:val="0000EE"/>
                <w:w w:val="99"/>
              </w:rPr>
            </w:pPr>
            <w:hyperlink w:anchor="page20">
              <w:r>
                <w:rPr>
                  <w:rFonts w:ascii="Times New Roman" w:cs="Times New Roman" w:eastAsia="Times New Roman" w:hAnsi="Times New Roman"/>
                  <w:sz w:val="18"/>
                  <w:szCs w:val="18"/>
                  <w:u w:val="single" w:color="auto"/>
                  <w:color w:val="0000EE"/>
                  <w:w w:val="99"/>
                </w:rPr>
                <w:t>17</w:t>
              </w:r>
            </w:hyperlink>
          </w:p>
        </w:tc>
      </w:tr>
      <w:tr>
        <w:trPr>
          <w:trHeight w:val="216"/>
        </w:trPr>
        <w:tc>
          <w:tcPr>
            <w:tcW w:w="10120" w:type="dxa"/>
            <w:vAlign w:val="bottom"/>
          </w:tcPr>
          <w:p>
            <w:pPr>
              <w:ind w:left="180"/>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Item 6. Exhibits</w:t>
              </w:r>
            </w:hyperlink>
          </w:p>
        </w:tc>
        <w:tc>
          <w:tcPr>
            <w:tcW w:w="112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20">
              <w:r>
                <w:rPr>
                  <w:rFonts w:ascii="Times New Roman" w:cs="Times New Roman" w:eastAsia="Times New Roman" w:hAnsi="Times New Roman"/>
                  <w:sz w:val="18"/>
                  <w:szCs w:val="18"/>
                  <w:u w:val="single" w:color="auto"/>
                  <w:color w:val="0000EE"/>
                  <w:w w:val="99"/>
                </w:rPr>
                <w:t>17</w:t>
              </w:r>
            </w:hyperlink>
          </w:p>
        </w:tc>
      </w:tr>
      <w:tr>
        <w:trPr>
          <w:trHeight w:val="216"/>
        </w:trPr>
        <w:tc>
          <w:tcPr>
            <w:tcW w:w="1012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Part III. Signatures</w:t>
              </w:r>
            </w:hyperlink>
          </w:p>
        </w:tc>
        <w:tc>
          <w:tcPr>
            <w:tcW w:w="1120" w:type="dxa"/>
            <w:vAlign w:val="bottom"/>
            <w:shd w:val="clear" w:color="auto" w:fill="CCEEFF"/>
          </w:tcPr>
          <w:p>
            <w:pPr>
              <w:jc w:val="center"/>
              <w:spacing w:after="0"/>
              <w:rPr>
                <w:rFonts w:ascii="Times New Roman" w:cs="Times New Roman" w:eastAsia="Times New Roman" w:hAnsi="Times New Roman"/>
                <w:sz w:val="18"/>
                <w:szCs w:val="18"/>
                <w:u w:val="single" w:color="auto"/>
                <w:color w:val="0000EE"/>
                <w:w w:val="99"/>
              </w:rPr>
            </w:pPr>
            <w:hyperlink w:anchor="page22">
              <w:r>
                <w:rPr>
                  <w:rFonts w:ascii="Times New Roman" w:cs="Times New Roman" w:eastAsia="Times New Roman" w:hAnsi="Times New Roman"/>
                  <w:sz w:val="18"/>
                  <w:szCs w:val="18"/>
                  <w:u w:val="single" w:color="auto"/>
                  <w:color w:val="0000EE"/>
                  <w:w w:val="99"/>
                </w:rPr>
                <w:t>19</w:t>
              </w:r>
            </w:hyperlink>
          </w:p>
        </w:tc>
      </w:tr>
      <w:tr>
        <w:trPr>
          <w:trHeight w:val="675"/>
        </w:trPr>
        <w:tc>
          <w:tcPr>
            <w:tcW w:w="10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9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Interim Financial Statements.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990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CHURCHILL CAPITAL CORP IV</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9900" w:type="dxa"/>
            <w:vAlign w:val="bottom"/>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w w:val="99"/>
              </w:rPr>
              <w:t>CONDENSED BALANCE SHEET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900" w:type="dxa"/>
            <w:vAlign w:val="bottom"/>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w w:val="99"/>
              </w:rPr>
              <w:t>JUNE 30, 2020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990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9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 – Cash</w:t>
            </w:r>
          </w:p>
        </w:tc>
        <w:tc>
          <w:tcPr>
            <w:tcW w:w="38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172,100</w:t>
            </w:r>
          </w:p>
        </w:tc>
        <w:tc>
          <w:tcPr>
            <w:tcW w:w="80" w:type="dxa"/>
            <w:vAlign w:val="bottom"/>
          </w:tcPr>
          <w:p>
            <w:pPr>
              <w:spacing w:after="0"/>
              <w:rPr>
                <w:sz w:val="18"/>
                <w:szCs w:val="18"/>
                <w:color w:val="auto"/>
              </w:rPr>
            </w:pPr>
          </w:p>
        </w:tc>
      </w:tr>
      <w:tr>
        <w:trPr>
          <w:trHeight w:val="229"/>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210,900</w:t>
            </w:r>
          </w:p>
        </w:tc>
        <w:tc>
          <w:tcPr>
            <w:tcW w:w="80" w:type="dxa"/>
            <w:vAlign w:val="bottom"/>
            <w:shd w:val="clear" w:color="auto" w:fill="CCEEFF"/>
          </w:tcPr>
          <w:p>
            <w:pPr>
              <w:spacing w:after="0"/>
              <w:rPr>
                <w:sz w:val="19"/>
                <w:szCs w:val="19"/>
                <w:color w:val="auto"/>
              </w:rPr>
            </w:pPr>
          </w:p>
        </w:tc>
      </w:tr>
      <w:tr>
        <w:trPr>
          <w:trHeight w:val="263"/>
        </w:trPr>
        <w:tc>
          <w:tcPr>
            <w:tcW w:w="9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383,000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9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8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8"/>
                <w:szCs w:val="18"/>
                <w:color w:val="auto"/>
              </w:rPr>
            </w:pPr>
          </w:p>
        </w:tc>
      </w:tr>
      <w:tr>
        <w:trPr>
          <w:trHeight w:val="216"/>
        </w:trPr>
        <w:tc>
          <w:tcPr>
            <w:tcW w:w="9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offering costs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58,000</w:t>
            </w:r>
          </w:p>
        </w:tc>
      </w:tr>
      <w:tr>
        <w:trPr>
          <w:trHeight w:val="230"/>
        </w:trPr>
        <w:tc>
          <w:tcPr>
            <w:tcW w:w="9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Promissory note – related party</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19"/>
                <w:szCs w:val="19"/>
                <w:color w:val="auto"/>
              </w:rPr>
            </w:pPr>
          </w:p>
        </w:tc>
      </w:tr>
      <w:tr>
        <w:trPr>
          <w:trHeight w:val="209"/>
        </w:trPr>
        <w:tc>
          <w:tcPr>
            <w:tcW w:w="9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9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and outstanding</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 $0.0001 par value; 240,000,000 shares authorized; none issued and outstanding</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99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Class B common stock, $0.0001 par value; 60,000,000 shares authorized; 51,750,000 shares issued and outstanding </w:t>
            </w:r>
            <w:r>
              <w:rPr>
                <w:rFonts w:ascii="Times New Roman" w:cs="Times New Roman" w:eastAsia="Times New Roman" w:hAnsi="Times New Roman"/>
                <w:sz w:val="29"/>
                <w:szCs w:val="29"/>
                <w:color w:val="auto"/>
                <w:vertAlign w:val="superscript"/>
              </w:rPr>
              <w:t>(1)</w:t>
            </w: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5,175</w:t>
            </w:r>
          </w:p>
        </w:tc>
        <w:tc>
          <w:tcPr>
            <w:tcW w:w="80" w:type="dxa"/>
            <w:vAlign w:val="bottom"/>
          </w:tcPr>
          <w:p>
            <w:pPr>
              <w:spacing w:after="0"/>
              <w:rPr>
                <w:sz w:val="22"/>
                <w:szCs w:val="22"/>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19,825</w:t>
            </w:r>
          </w:p>
        </w:tc>
      </w:tr>
      <w:tr>
        <w:trPr>
          <w:trHeight w:val="230"/>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209"/>
        </w:trPr>
        <w:tc>
          <w:tcPr>
            <w:tcW w:w="9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24,000</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23"/>
        </w:trPr>
        <w:tc>
          <w:tcPr>
            <w:tcW w:w="9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an aggregate of 6,750,000 shares that were subject to forfeiture to the extent that the underwriters’ over-allotment was not exercised in full (see Note 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CHURCHILL CAPITAL CORP IV</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PERIOD FROM APRIL 30, 2020 (INCEPTION) THROUGH JUNE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costs</w:t>
            </w:r>
          </w:p>
        </w:tc>
        <w:tc>
          <w:tcPr>
            <w:tcW w:w="3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1,000</w:t>
            </w:r>
          </w:p>
        </w:tc>
      </w:tr>
      <w:tr>
        <w:trPr>
          <w:trHeight w:val="263"/>
        </w:trPr>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8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7"/>
        </w:trPr>
        <w:tc>
          <w:tcPr>
            <w:tcW w:w="706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706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 xml:space="preserve">Weighted average shares outstanding, basic and diluted </w:t>
            </w:r>
            <w:r>
              <w:rPr>
                <w:rFonts w:ascii="Times New Roman" w:cs="Times New Roman" w:eastAsia="Times New Roman" w:hAnsi="Times New Roman"/>
                <w:sz w:val="28"/>
                <w:szCs w:val="28"/>
                <w:color w:val="auto"/>
                <w:vertAlign w:val="superscript"/>
              </w:rPr>
              <w:t>(1)</w:t>
            </w:r>
          </w:p>
        </w:tc>
        <w:tc>
          <w:tcPr>
            <w:tcW w:w="2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45,000,000</w:t>
            </w:r>
          </w:p>
        </w:tc>
      </w:tr>
      <w:tr>
        <w:trPr>
          <w:trHeight w:val="197"/>
        </w:trPr>
        <w:tc>
          <w:tcPr>
            <w:tcW w:w="70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and diluted net loss per common share</w:t>
            </w:r>
          </w:p>
        </w:tc>
        <w:tc>
          <w:tcPr>
            <w:tcW w:w="28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7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an aggregate of 6,750,000 shares that were subject to forfeiture to the extent that the underwriters’ over-allotment was not exercised in full (see Note 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CHURCHILL CAPITAL CORP IV</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 OF CHANGES IN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PERIOD FROM APRIL 30, 2020 (INCEPTION) THROUGH JUNE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2820" w:type="dxa"/>
            <w:vAlign w:val="bottom"/>
            <w:gridSpan w:val="5"/>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Common Stock </w:t>
            </w:r>
            <w:r>
              <w:rPr>
                <w:rFonts w:ascii="Times New Roman" w:cs="Times New Roman" w:eastAsia="Times New Roman" w:hAnsi="Times New Roman"/>
                <w:sz w:val="29"/>
                <w:szCs w:val="29"/>
                <w:b w:val="1"/>
                <w:bCs w:val="1"/>
                <w:color w:val="auto"/>
                <w:vertAlign w:val="superscript"/>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8"/>
        </w:trPr>
        <w:tc>
          <w:tcPr>
            <w:tcW w:w="4080" w:type="dxa"/>
            <w:vAlign w:val="bottom"/>
          </w:tcPr>
          <w:p>
            <w:pPr>
              <w:spacing w:after="0"/>
              <w:rPr>
                <w:sz w:val="20"/>
                <w:szCs w:val="20"/>
                <w:color w:val="auto"/>
              </w:rPr>
            </w:pPr>
          </w:p>
        </w:tc>
        <w:tc>
          <w:tcPr>
            <w:tcW w:w="282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Paid</w:t>
            </w:r>
          </w:p>
        </w:tc>
        <w:tc>
          <w:tcPr>
            <w:tcW w:w="10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80" w:type="dxa"/>
            <w:vAlign w:val="bottom"/>
          </w:tcPr>
          <w:p>
            <w:pPr>
              <w:spacing w:after="0"/>
              <w:rPr>
                <w:sz w:val="20"/>
                <w:szCs w:val="20"/>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1480" w:type="dxa"/>
            <w:vAlign w:val="bottom"/>
            <w:tcBorders>
              <w:top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 Capital</w:t>
            </w:r>
          </w:p>
        </w:tc>
        <w:tc>
          <w:tcPr>
            <w:tcW w:w="100" w:type="dxa"/>
            <w:vAlign w:val="bottom"/>
          </w:tcPr>
          <w:p>
            <w:pPr>
              <w:spacing w:after="0"/>
              <w:rPr>
                <w:sz w:val="19"/>
                <w:szCs w:val="19"/>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April 30, 2020 (inception)</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Issuance of Class B common stock to Sponsor </w:t>
            </w:r>
            <w:r>
              <w:rPr>
                <w:rFonts w:ascii="Times New Roman" w:cs="Times New Roman" w:eastAsia="Times New Roman" w:hAnsi="Times New Roman"/>
                <w:sz w:val="29"/>
                <w:szCs w:val="29"/>
                <w:color w:val="auto"/>
                <w:vertAlign w:val="superscript"/>
              </w:rPr>
              <w:t>(1)</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51,750,000</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19,825</w:t>
            </w:r>
          </w:p>
        </w:tc>
        <w:tc>
          <w:tcPr>
            <w:tcW w:w="1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9"/>
        </w:trPr>
        <w:tc>
          <w:tcPr>
            <w:tcW w:w="40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June 30, 2020</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51,750,000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24,000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an aggregate of 6,750,000 shares that were subject to forfeiture to the extent that the underwriters’ over-allotment was not exercised in full (see Note 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CHURCHILL CAPITAL CORP IV</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PERIOD FROM APRIL 30, 2020 (INCEPTION) THROUGH JUNE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9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r>
      <w:tr>
        <w:trPr>
          <w:trHeight w:val="209"/>
        </w:trPr>
        <w:tc>
          <w:tcPr>
            <w:tcW w:w="99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9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to Sponsor</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tcPr>
          <w:p>
            <w:pPr>
              <w:spacing w:after="0"/>
              <w:rPr>
                <w:sz w:val="19"/>
                <w:szCs w:val="19"/>
                <w:color w:val="auto"/>
              </w:rPr>
            </w:pPr>
          </w:p>
        </w:tc>
      </w:tr>
      <w:tr>
        <w:trPr>
          <w:trHeight w:val="229"/>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promissory note – related party</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spacing w:after="0"/>
              <w:rPr>
                <w:sz w:val="19"/>
                <w:szCs w:val="19"/>
                <w:color w:val="auto"/>
              </w:rPr>
            </w:pPr>
          </w:p>
        </w:tc>
      </w:tr>
      <w:tr>
        <w:trPr>
          <w:trHeight w:val="230"/>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Payment of offering costs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(152,900)</w:t>
            </w:r>
          </w:p>
        </w:tc>
      </w:tr>
      <w:tr>
        <w:trPr>
          <w:trHeight w:val="229"/>
        </w:trPr>
        <w:tc>
          <w:tcPr>
            <w:tcW w:w="9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172,100</w:t>
            </w:r>
          </w:p>
        </w:tc>
        <w:tc>
          <w:tcPr>
            <w:tcW w:w="80" w:type="dxa"/>
            <w:vAlign w:val="bottom"/>
            <w:shd w:val="clear" w:color="auto" w:fill="CCEEFF"/>
          </w:tcPr>
          <w:p>
            <w:pPr>
              <w:spacing w:after="0"/>
              <w:rPr>
                <w:sz w:val="19"/>
                <w:szCs w:val="19"/>
                <w:color w:val="auto"/>
              </w:rPr>
            </w:pPr>
          </w:p>
        </w:tc>
      </w:tr>
      <w:tr>
        <w:trPr>
          <w:trHeight w:val="210"/>
        </w:trPr>
        <w:tc>
          <w:tcPr>
            <w:tcW w:w="9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172,100</w:t>
            </w:r>
          </w:p>
        </w:tc>
        <w:tc>
          <w:tcPr>
            <w:tcW w:w="80" w:type="dxa"/>
            <w:vAlign w:val="bottom"/>
            <w:shd w:val="clear" w:color="auto" w:fill="CCEEFF"/>
          </w:tcPr>
          <w:p>
            <w:pPr>
              <w:spacing w:after="0"/>
              <w:rPr>
                <w:sz w:val="18"/>
                <w:szCs w:val="18"/>
                <w:color w:val="auto"/>
              </w:rPr>
            </w:pPr>
          </w:p>
        </w:tc>
      </w:tr>
      <w:tr>
        <w:trPr>
          <w:trHeight w:val="229"/>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Cash — Beginning</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Ending</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172,100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9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 included in accrued offering costs</w:t>
            </w:r>
          </w:p>
        </w:tc>
        <w:tc>
          <w:tcPr>
            <w:tcW w:w="340" w:type="dxa"/>
            <w:vAlign w:val="bottom"/>
            <w:tcBorders>
              <w:bottom w:val="single" w:sz="8" w:color="auto"/>
            </w:tcBorders>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58,000</w:t>
            </w:r>
          </w:p>
        </w:tc>
        <w:tc>
          <w:tcPr>
            <w:tcW w:w="80" w:type="dxa"/>
            <w:vAlign w:val="bottom"/>
          </w:tcPr>
          <w:p>
            <w:pPr>
              <w:spacing w:after="0"/>
              <w:rPr>
                <w:sz w:val="21"/>
                <w:szCs w:val="21"/>
                <w:color w:val="auto"/>
              </w:rPr>
            </w:pPr>
          </w:p>
        </w:tc>
      </w:tr>
      <w:tr>
        <w:trPr>
          <w:trHeight w:val="20"/>
        </w:trPr>
        <w:tc>
          <w:tcPr>
            <w:tcW w:w="9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CHURCHILL CAPITAL CORP IV</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JUNE 30, 2020</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Churchill Capital Corp IV (formerly known as Annetta Acquisition Corp) (the “Company”) was incorporated in Delaware on April 30, 2020. The Company was formed for the purpose of effecting a merger, capital stock exchange, asset acquisition, stock purchase, reorganization or similar business combination with one or more businesses (the “Business Combination”).</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an early stage and emerging growth company and, as such, the Company is subject to all of the risks associated with early stage and emerging growth companies.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June 30, 2020, the Company had not commenced any operations. All activity for the period from April 30, 2020 (inception) through June 30, 2020 relates to the Company’s formation and the initial public offering (“Initial Public Offering”), which is described below. The Company will not generate any operating revenues until after the completion of its initial Business Combination, at the earliest. The Company will generate non-operating income in the form of interest income from the proceeds derived from the Initial Public Offering.</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registration statements for the Company’s Initial Public Offering were declared effective on July 29, 2020. On August 3, 2020, the Company consummated the Initial Public Offering of 207,000,000 units (the “Units” and, with respect to the shares of Class A common stock included in the Units sold, the “Public Shares”), which includes the full exercise by the underwriters of the over-allotment option to purchase an additional 27,000,000 Units, at $10.00 per Unit, generating gross proceeds of $2,070,000,000, which is described in Note 3.</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sale of 42,850,000 warrants (the “Private Placement Warrants”) at a price of $1.00 per Private Placement Warrant in a private placement to Churchill Sponsor IV LLC, (the “Sponsor”), generating gross proceeds of $42,850,000 which is described in Note 4.</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Transaction costs amounted to $109,714,885, consisting of $36,403,600 of underwriting fees, $72,450,000 of deferred underwriting fees and $861,285 of other offering costs. In addition, at August 3, 2020, cash of $5,587,115 was held outside of the Trust Account (as defined below) and is available for working capital purposes.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Following the closing of the Initial Public Offering on August 3, 2020, an amount of $2,070,000,000 ($10.00 per Unit) from the net proceeds of the sale of the Units in the Initial Public Offering and the sale of the Private Placement Warrants was placed in a trust account (the “Trust Account”) located in the United States and invested only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the conditions of Rule 2a-7 of the Investment Company Act, as determined by the Company, until the earlier of: (i) the completion of a Business Combination or (ii) the distribution of the Trust Account, as described below, except that interest earned on the Trust Account can be released to the Company to fund working capital requirements, subject to an annual limit of $1,000,000 and/or to pay its tax obligations.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There is no assurance that the Company will be able to complete a Business Combination successfully. The Company’s initial Business Combination must be with one or more target businesses that together have a fair market value equal to at least 80% of the balance in the Trust Account (excluding taxes payable on interest income earned from the Trust Account and the deferred underwriting commissions) at the time of the agreement to enter into the initial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$10.00 per Public Share, plus any pro rata interest, net of amounts withdrawn for working capital requirements, subject to an annual limit of $1,000,000 and/or to pay its taxes (“permitted withdrawals”)). The per-share amount to be distributed to public stockholders who redeem their Public Shares will not be reduced by the deferred underwriting commissions the Company will pay to the underwriters (as discussed in Note 6). There will be no redemption rights upon the completion of a Business Combination with respect to the Company’s warrants.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CHURCHILL CAPITAL CORP IV</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JUNE 30, 2020</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will proceed with a Business Combination if the Company has net tangible assets of at least $5,000,001 upon such consummation of a Business Combination and, if the Company seeks stockholder approval, a majority of the shares voted are voted in favor of the Business Combination. If a stockholder vote is not required by law or stock exchange requirements and the Company does not decide to hold a stockholder vote for business or other legal reasons, the Company will, pursuant to its Amended and Restated Certificate of Incorporation (the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If the Company seeks stockholder approval in connection with a Business Combination, the Company’s Sponsor and its permitted transferees will agree to vote their Founder Shares (as defined in Note 5) and any Public Shares purchased during or after the Initial Public Offering in favor of approving a Business Combination. Additionally, each public stockholder may elect to redeem their Public Shares irrespective of whether they vote for or against the proposed transaction.</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Sponsor has agreed (a) to waive its redemption rights with respect to its Founder Shares and Public Shares held by it in connection with the completion of a Business Combination, (b) to waive its rights to liquidating distributions from the Trust Account with respect to its Founder Shares if the Company fails to consummate a Business Combination within the Combination Window (as defined below) and (c) 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with the opportunity to redeem their shares in conjunction with any such amendment.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Company is unable to complete a Business Combination by August 3, 2022 (or November 3, 2022 if the Company has an executed letter of intent, agreement in principle or definitive agreement for a Business Combination by August 3, 2022) (the “Combination Window”), the Company will</w:t>
      </w:r>
    </w:p>
    <w:p>
      <w:pPr>
        <w:jc w:val="both"/>
        <w:ind w:firstLine="8"/>
        <w:spacing w:after="0" w:line="251" w:lineRule="auto"/>
        <w:tabs>
          <w:tab w:leader="none" w:pos="2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(net of permitted withdrawals and up to $100,000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Window.</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Sponsor has agreed to waive its right to liquidating distributions from the Trust Account with respect to the Founder Shares if the Company fails to complete a Business Combination within the Combination Window. However, if the Sponsor acquires Public Shares in or after the Initial Public Offering, such Public Shares will be entitled to liquidating distributions from the Trust Account if the Company fails to complete a Business Combination within the Combination Window. The underwriters have agreed to waive their rights to their deferred underwriting commission (see Note 6) held in the Trust Account in the event the Company does not complete a Business Combination within the Combination Window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order to protect the amounts held in the Trust Account, the Sponsor has agreed to be liable to the Company if and to the extent any claims by a third party (other than the Company’s independent registered public accounting firm) for services rendered or products sold to the Company, or a prospective target business with which the Company has entered into a written letter of intent, confidentiality or similar agreement, reduce the amount of funds in the Trust Account to below (i) $10.00 per Public Share or (ii) the amount per Public Share held in the Trust Account as of the liquidation of the Trust Account, if less than $10.00 per Public Share due to reductions in the value of the trust assets, in each case net of permitted withdrawals. This liability will not apply with respect to any claims by a third party who executed a waiver of any and all rights to seek access to the Trust Account or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CHURCHILL CAPITAL CORP IV</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JUNE 30, 2020</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10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Company’s prospectus for its Initial Public Offering as filed with the SEC on July 31, 2020, as well as the Company’s Current Reports on Form 8-K, as filed with the SEC on August 4, 2020 and August 10, 2020. The interim results for the period from April 30, 2020 (inception) through June 30, 2020 are not necessarily indicative of the results to be expected for period ended December 31, 2020 or for any future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the condensed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CHURCHILL CAPITAL CORP IV</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JUNE 30, 2020</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Cash equivalents consist of mutual funds. The Company did not have any cash equivalents as of June 30,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Offering costs consist of legal, accounting, underwriting fees and other costs incurred through the balance sheet date that are directly related to the Initial Public Offering. Offering costs amounting to $109,714,885 were charged to stockholders’ equity upon the completion of the Initial Public Offering. As of June 30, 2020, there was $58,000 of offering costs accrued in the accompanying condensed balance sheets (see Note 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June 30,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provision for income taxes was deemed to be de minimis for the period from April 30, 2020 (inception) through June 30, 2020.</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March 27, 2020, President Trump signed the Coronavirus Aid, Relief, and Economic Security “CARES” Act into law. The CARES Act includes several significant business tax provisions that, among other things, would eliminate the taxable income limit for certain net operating losses (“NOL) and allow businesses to carry back NOLs arising in 2018, 2019 and 2020 to the five prior years, suspend the excess business loss rules, accelerate refunds of previously generated corporate alternative minimum tax credits, generally loosen the business interest limitation under IRC section 163(j) from 30 percent to 50 percent among other technical corrections included in the Tax Cuts and Jobs Act tax provisions. The Company does not believe that the CARES Act will have a significant impact on Company's financial position or statement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Common Share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loss per share is computed by dividing net loss by the weighted average number of shares of common stock outstanding during the period, excluding shares of common stock subject to forfeiture. Weighted average shares were reduced for the effect of an aggregate of 6,750,000 shares of common stock that were subject to forfeiture if the over-allotment option was not exercised by the underwriters (see Note 5). As of June 30, 2020, the Company did not have any dilutive securities and other contracts that could, potentially, be exercised or converted into shares of common stock and then share in the earnings of the Company. As a result, diluted loss per share is the same as basic loss per share for the period presented.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ASC Topic 820, “Fair Value Measurement,” approximates the carrying amounts represented in the condensed balance sheet, primarily due to their short-term nature.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Standards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standards, if currently adopted, would have a material effect on the Company’s condensed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PUBLIC OFFERING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Pursuant to the Initial Public Offering, the Company sold 207,000,000 Units, which includes the full exercise by the underwriters of their option to purchase an additional 27,000,000 Units, at $10.00 per Unit. Each Unit consists of one share of Class A common stock and one-fifth of one redeemable warrant (“Public Warrant”). Each whole Public Warrant entitles the holder to purchase one share of Class A common stock at a price of $11.50 per share, subject to adjustment (see Note 7). The Units sold in the Initial Public Offering comprise an aggregate of 207,000,000 shares of Class A common stock and 41,400,000 Public Warrants.</w:t>
      </w:r>
    </w:p>
    <w:p>
      <w:pPr>
        <w:sectPr>
          <w:pgSz w:w="11900" w:h="16838" w:orient="portrait"/>
          <w:cols w:equalWidth="0" w:num="1">
            <w:col w:w="11240"/>
          </w:cols>
          <w:pgMar w:left="320" w:top="900" w:right="339" w:bottom="1"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 w:name="page12"/>
    <w:bookmarkEnd w:id="1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CHURCHILL CAPITAL CORP IV</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JUNE 30, 2020</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Sponsor purchased an aggregate of 42,850,000 Private Placement Warrants at a price of $1.00 per Private Placement Warrant, for an aggregate purchase price of $42,850,000. Each Private Placement Warrant is exercisable to purchase one share of Class A common stock at a price of $11.50 per share. The proceeds from the Private Placement Warrants were added to the proceeds from the Initial Public Offering held in the Trust Account. If the Company does not complete a Business Combination within the Combination Window, the proceeds of the sale of the Private Placement Warrants will be used to fund the redemption of the Public Shares (subject to the requirements of applicable law) and the Private Placement Warrants will expire worthless. There will be no redemption rights or liquidating distributions from the Trust Account with respect to the Private Placement Warrants.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May 22, 2020, the Sponsor purchased 21,562,500 shares of the Company’s Class B common stock for an aggregate price of $25,000 (the “Founder Shares”). On July 14, 2020, the Company effected a stock dividend of one-third of a share of Class B common stock for each outstanding share of Class B common stock, on July 27, 2020, the Company effected a stock dividend of 0.50 to 1 share of Class B common stock for each outstanding share of Class B common stock and on July 30, 2020, the Company effected a stock dividend of 0.20 to 1 share of Class B common stock for each outstanding share of Class B common stock, resulting in 51,750,000 shares of Class B common stock being issued and outstanding. All share and per-share amounts have been retroactively restated to reflect the stock dividends. The Founder Shares included an aggregate of up to 6,750,000 shares subject to forfeiture to the extent that the underwriters’ over-allotment option was not exercised in full or in part, so that the Sponsor would own, on an as-converted basis, 20% of the Company’s issued and outstanding shares after the Initial Public Offering (assuming the Sponsor did not purchase any Public Shares in the Initial Public Offering). As a result of the underwriters’ election to fully exercise their over-allotment option, 6,750,000 Founder Shares are no longer subject to forfeiture.</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Sponsor has agreed, subject to limited exceptions, not to transfer, assign or sell any of its Founder Shares until the earlier to occur of: (A) one year after the completion of a Business Combination or (B) the date on which the Company completes a liquidation, merger, stock exchange, reorganization or similar transaction after a Business Combination that results in all of the Company’s stockholders having the right to exchange their shares of common stock for cash, securities or other property. Notwithstanding the foregoing, if the closing price of the Class A common stock equals or exceeds $12.00 per share (as adjusted for stock splits, stock dividends, reorganizations, recapitalizations and the like) for any 20 trading days within any 30-trading day period commencing at least 150 days after a Business Combination, the Founder Shares will be released from the lock-up.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 — Related Party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13, 2020, the Sponsor agreed to loan the Company an aggregate of up to $600,000 to cover expenses related to the Initial Public Offering pursuant to a promissory note (the “Promissory Note”). The Promissory Note was non-interest bearing and payable on the earlier of December 31, 2021 or the completion of the Initial Public Offering. At June 30, 2020, there was $300,000 outstanding under the Promissory Note. The borrowings outstanding under the note in the amount of $550,000 were repaid upon the consummation of the Initial Public Offering on August 3,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Support Agreement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entered into an agreement whereby, commencing on July 30, 2020 through the earlier of the Company’s consummation of a Business Combination and its liquidation, the Company will pay an affiliate of the Sponsor a total of $50,000 per month for office space, administrative and support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Advisory Fee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may engage M. Klein and Company, LLC, an affiliate of the Sponsor, or another affiliate of the Sponsor, as its lead financial advisor in connection with a Business Combination and may pay such affiliate a customary financial advisory fee in an amount that constitutes a market standard financial advisory fee for comparable transactions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CHURCHILL CAPITAL CORP IV</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JUNE 30, 2020</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order to finance transaction costs in connection with a Business Combination, the Sponsor, an affiliate of the Sponsor, or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$1,500,000 of such Working Capital Loans may be convertible into warrants at a price of $1.00 per warrant. The warrants would be identical to the Private Placement Warrants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a registration rights agreement entered into on July 29, 2020, the holders of the Founder Shares, Private Placement Warrants and warrants that may be issued upon conversion of Working Capital Loans (and any shares of Class A common stock issuable upon the exercise of the Private Placement Warrants or warrants that may be issued upon conversion of Working Capital Loans and upon conversion of the Founder Shares) will be entitled to registration rights requiring the Company to register such securities for resale (in the case of the Founder Shares, only after conversion to Class A common stock).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The Company will bear the expenses incurred in connection with the filing of any such registration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underwriters are entitled to a deferred fee of $0.35 per Unit, or $72,450,000 in the aggregate. The deferred fee will be waived by the underwriters in the event that the Company does not complete a Business Combination, subject to the terms of the underwriting agreement. The underwriters waived the upfront underwriting discount on 19,982,000 Units, resulting in a reduction of the upfront underwriting discount of $3,996,400. In addition, the underwriters reimbursed the Company an aggregate of $1,000,000 for costs incurred in connection with the Initial Public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STOCKHOLDERS’ EQUITY</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 The Company is authorized to issue 1,000,000 shares of preferred stock with a par value of $0.0001 per share with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designations, voting and other rights and preferences as may be determined from time to time by the Company’s board of directors. At June 30, 2020, there were no shares of preferred stock issued or outstanding.</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Common Stock </w:t>
      </w:r>
      <w:r>
        <w:rPr>
          <w:rFonts w:ascii="Times New Roman" w:cs="Times New Roman" w:eastAsia="Times New Roman" w:hAnsi="Times New Roman"/>
          <w:sz w:val="18"/>
          <w:szCs w:val="18"/>
          <w:color w:val="auto"/>
        </w:rPr>
        <w:t>— On July 30, 2020, the Company amended its Amended and Restated Certificate of Incorporation such that the Company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authorized to issue 400,000,000 shares of Class A common stock with a par value of $0.0001 per share. Holders of Class A common stock are entitled to one vote for each share. At June 30, 2020, there were no shares of Class A common stock issued or outstanding.</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Common Stock </w:t>
      </w:r>
      <w:r>
        <w:rPr>
          <w:rFonts w:ascii="Times New Roman" w:cs="Times New Roman" w:eastAsia="Times New Roman" w:hAnsi="Times New Roman"/>
          <w:sz w:val="18"/>
          <w:szCs w:val="18"/>
          <w:color w:val="auto"/>
        </w:rPr>
        <w:t>— On July 30, 2020, the Company amended its Amended and Restated Certificate of Incorporation such that the Company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authorized to issue 100,000,000 shares of Class B common stock with a par value of $0.0001 per share. Holders of Class B common stock are entitled to one vote for each share. At June 30, 2020, there were 51,750,000 shares of Class B common stock issued and outstanding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Holders of Class B common stock will have the right to elect all of the Company’s directors prior to a Business Combination. Holders of Class A common stock and Class B common stock will vote together as a single class on all other matters submitted to a vote of stockholders except as required by law.</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shares of Class B common stock will automatically convert into shares of Class A common stock at the time of a Business Combination on a one-for-one basis, subject to adjustment. In the case that additional shares of Class A common stock, or equity-linked securities, are issued or deemed issued in excess of the amounts offered in the Initial Public Offering and related to the closing of a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20% of the sum of the total number of all shares of common stock outstanding upon the completion of the Initial Public Offering plus all shares of Class A common stock and equity-linked securities issued or deemed issued in connection with a Business Combination (excluding any shares or equity-linked securities issued, or to be issued, to any seller in a Business Combination in consideration for such seller’s interest in the Business Combination target, any private placement-equivalent warrants issued, or to be issued, to any seller in a Business Combination.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906" w:gutter="0" w:footer="0" w:header="0"/>
        </w:sectPr>
      </w:pPr>
    </w:p>
    <w:bookmarkStart w:id="13" w:name="page14"/>
    <w:bookmarkEnd w:id="1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CHURCHILL CAPITAL CORP IV</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JUNE 30, 2020</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Warrants </w:t>
      </w:r>
      <w:r>
        <w:rPr>
          <w:rFonts w:ascii="Times New Roman" w:cs="Times New Roman" w:eastAsia="Times New Roman" w:hAnsi="Times New Roman"/>
          <w:sz w:val="18"/>
          <w:szCs w:val="18"/>
          <w:color w:val="auto"/>
        </w:rPr>
        <w:t>— Public Warrants may only be exercised for a whole number of shares. No fractional warrants will be issued upon separation of the Units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only whole warrants will trade. The Public Warrants will become exercisable on the later of (a) 30 days after the completion of a Business Combination or (b) 12 months from the closing of the Initial Public Offering. The Public Warrants will expire five years after the completion of a Business Combination or earlier upon redemption or liquidation.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covering the issuance of the shares of Class A common issuable upon exercise of the warrants is then effective and a current prospectus relating to those shares of Class A common stock is available, subject to the Company satisfying its obligations with respect to registration. No warrant will be exercisable for cash or on a cashless basis, and the Company will not be obligated to issue any shares to holders seeking to exercise their warrants, unless the issuance of the shares upon such exercise is registered or qualified under the securities laws of the state of the exercising holder, or an exemption from registration is available.</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has agreed that as soon as practicable, but in no event later than 15 business days after the closing of a Business Combination, the Company will use its best efforts to file with the SEC, and within 60 business days following a Business Combination to have declared effective, a registration statement covering the issuance of the shares of Class A common stock issuable upon exercise of the warrants and to maintain a current prospectus relating to those shares of Class A common stock until the warrants expire or are redeemed. Notwithstanding the above, if the Class A common stock is at the time of any exercise of a warrant not listed on a national securities exchange such that it satisfies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but will use its reasonable best efforts to qualify the shares under applicable blue sky laws to the extent an exemption is not available.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warrants become exercisable, the Company may redeem the Public Warrants:</w:t>
      </w:r>
    </w:p>
    <w:p>
      <w:pPr>
        <w:spacing w:after="0" w:line="225" w:lineRule="exact"/>
        <w:rPr>
          <w:sz w:val="20"/>
          <w:szCs w:val="20"/>
          <w:color w:val="auto"/>
        </w:rPr>
      </w:pPr>
    </w:p>
    <w:p>
      <w:pPr>
        <w:ind w:left="680" w:hanging="335"/>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or the 30-day redemption period, to each warrant holder; and</w:t>
      </w:r>
    </w:p>
    <w:p>
      <w:pPr>
        <w:spacing w:after="0" w:line="9" w:lineRule="exact"/>
        <w:rPr>
          <w:rFonts w:ascii="Times New Roman" w:cs="Times New Roman" w:eastAsia="Times New Roman" w:hAnsi="Times New Roman"/>
          <w:sz w:val="18"/>
          <w:szCs w:val="18"/>
          <w:color w:val="auto"/>
        </w:rPr>
      </w:pPr>
    </w:p>
    <w:p>
      <w:pPr>
        <w:ind w:left="680" w:right="20" w:hanging="335"/>
        <w:spacing w:after="0" w:line="260"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Company’s Class A common stock equals or exceeds $18.00 per share for any 20 trading days within a 30-trading day period ending on the third trading day prior to the date on which we send the notice of redemption to the warrant holders.</w:t>
      </w:r>
    </w:p>
    <w:p>
      <w:pPr>
        <w:spacing w:after="0" w:line="1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warrants will not be adjusted for issuance of Class A common stock at a price below its exercise price. Additionally, in no event will the Company be required to net cash settle the warrants. If the Company is unable to complete a Business Combination within the Combination Window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underlying the Units sold in the Initial Public Offering, except that the Private Placement Warrants and the Class A common stock issuable upon the exercise of the Placement Warrants will not be transferable, assignable or salable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CHURCHILL CAPITAL CORP IV</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JUNE 30, 2020</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SUBSEQUENT EVENTS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condensed financial statements were issued. Other than as described in these financial statements, the Company did not identify any subsequent events that would have required adjustment or disclosure in the condensed financial statements.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References in this report (the “Quarterly Report”) to “we,” “us” or the “Company” refer to Churchill Capital Corp IV. References to our “management” or our “management team” refer to our officers and directors, and references to the “Sponsor” refer to Churchill Sponsor IV LLC. The following discussion and analysis of the Company’s financial condition and results of operations should be read in conjunction with the financial statements and the notes thereto contained elsewhere in this Quarterly Report. Certain information contained in the discussion and analysis set forth below includes forward-looking statements that involve risks and uncertainties.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Quarterly Report includes “forward-looking statements” within the meaning of Section 27A of the Securities Act and Section 21E of the Exchange Act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this Quarterly Report and the Risk Factors section of the Registration Statements on Form S-1 (Registration No. 333-239856 and 333-240179) filed with the SEC.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 blank check company formed under the laws of the State of Delaware for the purpose of effecting a merger, capital stock exchange, asset acquisition, stock purchase, reorganization or other similar business combination with one or more businesses. We intend to effectuate our Business Combination using cash from the proceeds of the Initial Public Offering and the sale of the Private Placement Warrants, our capital stock, debt or a combination of cash, stock and debt.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issuance of additional shares of our stock in a Business Combination:</w:t>
      </w:r>
    </w:p>
    <w:p>
      <w:pPr>
        <w:spacing w:after="0" w:line="252" w:lineRule="exact"/>
        <w:rPr>
          <w:sz w:val="20"/>
          <w:szCs w:val="20"/>
          <w:color w:val="auto"/>
        </w:rPr>
      </w:pPr>
    </w:p>
    <w:p>
      <w:pPr>
        <w:ind w:left="1020" w:hanging="337"/>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 of investors, which dilution would increase if the anti-dilution provisions in the Class B common stock resulted in the issuance of Class A shares on a greater than one-to-one basis upon conversion of the Class B common stock;</w:t>
      </w:r>
    </w:p>
    <w:p>
      <w:pPr>
        <w:spacing w:after="0" w:line="1" w:lineRule="exact"/>
        <w:rPr>
          <w:rFonts w:ascii="Times New Roman" w:cs="Times New Roman" w:eastAsia="Times New Roman" w:hAnsi="Times New Roman"/>
          <w:sz w:val="18"/>
          <w:szCs w:val="18"/>
          <w:color w:val="auto"/>
        </w:rPr>
      </w:pPr>
    </w:p>
    <w:p>
      <w:pPr>
        <w:ind w:left="1020" w:hanging="337"/>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common stock if preferred stock is issued with rights senior to those afforded our common stock;</w:t>
      </w:r>
    </w:p>
    <w:p>
      <w:pPr>
        <w:spacing w:after="0" w:line="63" w:lineRule="exact"/>
        <w:rPr>
          <w:rFonts w:ascii="Times New Roman" w:cs="Times New Roman" w:eastAsia="Times New Roman" w:hAnsi="Times New Roman"/>
          <w:sz w:val="18"/>
          <w:szCs w:val="18"/>
          <w:color w:val="auto"/>
        </w:rPr>
      </w:pPr>
    </w:p>
    <w:p>
      <w:pPr>
        <w:ind w:left="1020" w:hanging="337"/>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of control if a substantial number of shares of our common stock are issued, which may affect, among other things, our ability to use our net operating loss carry forwards, if any, and could result in the resignation or removal of our present officers and directors;</w:t>
      </w:r>
    </w:p>
    <w:p>
      <w:pPr>
        <w:spacing w:after="0" w:line="1" w:lineRule="exact"/>
        <w:rPr>
          <w:rFonts w:ascii="Times New Roman" w:cs="Times New Roman" w:eastAsia="Times New Roman" w:hAnsi="Times New Roman"/>
          <w:sz w:val="18"/>
          <w:szCs w:val="18"/>
          <w:color w:val="auto"/>
        </w:rPr>
      </w:pPr>
    </w:p>
    <w:p>
      <w:pPr>
        <w:ind w:left="1020" w:hanging="337"/>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the effect of delaying or preventing a change of control of us by diluting the stock ownership or voting rights of a person seeking to obtain control of us; and</w:t>
      </w:r>
    </w:p>
    <w:p>
      <w:pPr>
        <w:spacing w:after="0" w:line="1" w:lineRule="exact"/>
        <w:rPr>
          <w:rFonts w:ascii="Times New Roman" w:cs="Times New Roman" w:eastAsia="Times New Roman" w:hAnsi="Times New Roman"/>
          <w:sz w:val="18"/>
          <w:szCs w:val="18"/>
          <w:color w:val="auto"/>
        </w:rPr>
      </w:pPr>
    </w:p>
    <w:p>
      <w:pPr>
        <w:ind w:left="1020" w:hanging="337"/>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Class A common stock and/or warrants.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Similarly, if we issue debt securities or otherwise incur significant indebtedness, it could result in:</w:t>
      </w:r>
    </w:p>
    <w:p>
      <w:pPr>
        <w:spacing w:after="0" w:line="225" w:lineRule="exact"/>
        <w:rPr>
          <w:sz w:val="20"/>
          <w:szCs w:val="20"/>
          <w:color w:val="auto"/>
        </w:rPr>
      </w:pPr>
    </w:p>
    <w:p>
      <w:pPr>
        <w:ind w:left="1020" w:hanging="337"/>
        <w:spacing w:after="0" w:line="26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and foreclosure on our assets if our operating revenues after an initial business combination are insufficient to repay our debt obligations;</w:t>
      </w:r>
    </w:p>
    <w:p>
      <w:pPr>
        <w:ind w:left="1020" w:hanging="337"/>
        <w:spacing w:after="0" w:line="250"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ind w:left="1020" w:hanging="337"/>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immediate payment of all principal and accrued interest, if any, if the debt is payable on demand;</w:t>
      </w:r>
    </w:p>
    <w:p>
      <w:pPr>
        <w:spacing w:after="0" w:line="9" w:lineRule="exact"/>
        <w:rPr>
          <w:rFonts w:ascii="Times New Roman" w:cs="Times New Roman" w:eastAsia="Times New Roman" w:hAnsi="Times New Roman"/>
          <w:sz w:val="18"/>
          <w:szCs w:val="18"/>
          <w:color w:val="auto"/>
        </w:rPr>
      </w:pPr>
    </w:p>
    <w:p>
      <w:pPr>
        <w:ind w:left="1020" w:right="20" w:hanging="337"/>
        <w:spacing w:after="0" w:line="250"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necessary additional financing if the debt contains covenants restricting our ability to obtain such financing while the debt is outstanding;</w:t>
      </w:r>
    </w:p>
    <w:p>
      <w:pPr>
        <w:ind w:left="1020" w:hanging="337"/>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pay dividends on our common stock;</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6" w:name="page17"/>
    <w:bookmarkEnd w:id="16"/>
    <w:p>
      <w:pPr>
        <w:ind w:left="1020" w:hanging="337"/>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 substantial portion of our cash flow to pay principal and interest on our debt, which will reduce the funds available for dividends on our common stock if declared, expenses, capital expenditures, acquisitions and other general corporate purposes;</w:t>
      </w:r>
    </w:p>
    <w:p>
      <w:pPr>
        <w:ind w:left="1020" w:hanging="337"/>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flexibility in planning for and reacting to changes in our business and in the industry in which we operate;</w:t>
      </w:r>
    </w:p>
    <w:p>
      <w:pPr>
        <w:spacing w:after="0" w:line="9" w:lineRule="exact"/>
        <w:rPr>
          <w:rFonts w:ascii="Times New Roman" w:cs="Times New Roman" w:eastAsia="Times New Roman" w:hAnsi="Times New Roman"/>
          <w:sz w:val="18"/>
          <w:szCs w:val="18"/>
          <w:color w:val="auto"/>
        </w:rPr>
      </w:pPr>
    </w:p>
    <w:p>
      <w:pPr>
        <w:ind w:left="1020" w:hanging="337"/>
        <w:spacing w:after="0" w:line="25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vulnerability to adverse changes in general economic, industry and competitive conditions and adverse changes in government regulation; and</w:t>
      </w:r>
    </w:p>
    <w:p>
      <w:pPr>
        <w:ind w:left="1020" w:right="20" w:hanging="337"/>
        <w:spacing w:after="0" w:line="26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costs in the pursuit of our acquisition plans. We cannot assure you that our plans to raise capital or to complete our initial Business Combination will be successful.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neither engaged in any operations nor generated any revenues to date. Our only activities through June 30, 2020 were organizational activities, those necessary to prepare for the Initial Public Offering, described below, and, after our Initial Public Offering, identifying a target company for a Business Combination. We do not expect to generate any operating revenues until after the completion of our Business Combination. We generate non-operating income in the form of interest income on marketable securities held in the Trust Account. We incur expenses as a result of being a public company (for legal, financial reporting, accounting and auditing compliance), as well as for due diligence expenses.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period from April 30, 2020 (inception) through June 30, 2020, we had a net loss of $1,000 which consisted of formation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2020, we had cash of $172,100. Until the consummation of the Initial Public Offering, our only source of liquidity was an initial purchase of common stock by the Sponsor and loans from our Sponsor.</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Subsequent to the quarterly period covered by this Quarterly Report, on August 3, 2020, we consummated the Initial Public Offering of 207,000,000 Units, which includes the full exercise by the underwriters of the over-allotment option, at $10.00 per unit, generating gross proceeds of $2,070,000,000. Simultaneously with the closing of the Initial Public Offering, we consummated the sale of 42,850,000 Private Placement Warrants to the Sponsor at a price of $1.00 per warrant, generating gross proceeds of $42,850,000.</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Following the Initial Public Offering, the exercise of the over-allotment option and the sale of the Private Placement Warrants, a total of $2,070,000,000 was placed in the Trust Account. We incurred $109,714,885 in transaction costs, including $36,403,600 of underwriting fees, $72,450,000 of deferred underwriting fees and $861,285 of other costs.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intend to use substantially all of the funds held in the Trust Account, including any amounts representing interest earned on the Trust Account (less deferred underwriting commissions and income taxes payable), to complete our Business Combination. To the extent that our capital stock or debt is used, in whole or in part, as consideration to complete our Business Combination, the remaining proceeds held in the Trust Account will be used as working capital to finance the operations of the target business or businesses, make other acquisitions and pursue our growth strategies.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order to fund working capital deficiencies or finance transaction costs in connection with a Business Combination, the initial stockholders or their affiliates may, but are not obligated to, loan us funds as may be required. If we complete a Business Combination, we would repay such loaned amounts.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identical to the Private Placement Warrants, at a price of $1.00 per warrant at the option of the lender.</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do not believe we will need to raise additional funds in order to meet the expenditures required for operating our business. However, if our estimate of the costs of identifying a target business, undertaking in-depth due diligence and negotiating a Business Combination are less than the actual amount necessary to do so, we may have insufficient funds available to operate our business prior to our Business Combination. Moreover, we may need to obtain additional financing either to complete our Business Combination or because we become obligated to redeem a significant number of our public shares upon consummation of our Business Combination, in which case we may issue additional securities or incur debt in connection with such Business Combination. Subject to compliance with applicable securities laws, we would only complete such financing simultaneously with the completion of our Business Combination. If we are unable to complete our Business Combination because we do not have sufficient funds available to us, we will be forced to cease operations and liquidate the Trust Account. In addition, following our Business Combination, if cash on hand is insufficient, we may need to obtain additional financing in order to meet our obligations.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did not have any off-balance sheet arrangements as of June 30, 2020.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do not have any long-term debt, capital lease obligations, operating lease obligations or long-term liabilities, other than an agreement to pay an affiliate of the Sponsor a monthly fee of $50,000 for office space, administrative and support services to the Company. We began incurring these fees on July 30, 2020 and will continue to incur these fees monthly until the earlier of the completion of the Business Combination and our liquidation.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underwriters are entitled to a deferred fee of $72,450,000 in the aggregate. The deferred fee will be waived by the underwriters in the event that we do not complete a Business Combination, subject to the terms of the underwriting agreement. The underwriters waived the upfront underwriting discount on 19,982,000 Units, resulting in a reduction of the upfront underwriting discount of $3,996,400. In addition, the underwriters reimbursed us an aggregate of $1,000,000 for costs incurred in connection with the Initial Public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condensed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not identified any critical accounting policies.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standards, if currently adopted, would have a material effect on our condensed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June 30, 2020, we were not subject to any market or interest rate risk. Following the consummation of our Initial Public Offering, the net proceeds of our Initial Public Offering, including amounts in the Trust Account, have been invested in U.S. government treasury bills, notes or bonds with a maturity of 185 days or less or in certain money market funds that invest solely in U.S. treasuries. Due to the short-term nature of these investments, we believe there will be no associated material exposure to interest rate risk.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and accounting officer, we conducted an evaluation of the effectiveness of our disclosure controls and procedures as of the end of the fiscal quarter ended June 30, 2020, as such term is defined in Rules 13a-15(e) and 15d-15(e) under the Exchange Act. Based on this evaluation, our principal executive officer and principal financial and accounting officer have concluded that during the period covered by this report, our disclosure controls and procedures were effective at a reasonable assurance level and, accordingly, provided reasonable assurance that the information required to be disclosed by us in reports filed under the Exchange Act is recorded, processed, summarized and reported within the time periods specified in the SEC’s rules and forms.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fiscal quarter of 2020 covered by this Quarterly Report on Form 10-Q that has materially affected, or is reasonably likely to materially affect, our internal control over financial reporting.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Except as set forth below, as of the date of this Quarterly Report, there have been no material changes with respect to those risk factors previously disclosed in our Registration Statement filed with the SEC. Any of these factors could result in a significant or material adverse effect on our results of operations or financial condition. Additional risk factors not presently known to us or that we currently deem immaterial may also impair our business or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securities in which we invest the funds held in the Trust Account could bear a negative rate of interest, which could reduce the value of the assets held in trust such that the per-share redemption amount received by public stockholders may be less than $10.00 per share.</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proceeds held in the Trust Account are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Certificate of Incorporation, our public stockholders are entitled to receive their pro-rata share of the proceeds held in the Trust Account, plus any interest income not released to us, net of taxes payable. Negative interest rates could impact the per-share redemption amount that may be received by public stockholders.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search for a business combination, and any target business with which we ultimately consummate a business combination, may be materially adversely affected by the recent coronavirus (“COVID-19”) outbreak.</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March 11, 2020, the World Health Organization officially declared the outbreak of the COVID-19 a “pandemic.” A significant outbreak of COVID-19 and other infectious diseases could result in a widespread health crisis that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August 3, 2020, we consummated the Initial Public Offering of 207,000,000 Units, which includes the full exercise by the underwriters of their over-allotment option of 27,000,000 Units. The Units sold in the Initial Public Offering, including pursuant to the over-allotment option, were sold at an offering price of $10.00 per unit, generating total gross proceeds of $2,070,000,000. Citigroup Global Markets Inc., Goldman Sachs &amp; Co. LLC and J.P. Morgan acted as the joint book-runner and Academy Securities, Inc., Blaylock Van, LLC, Drexel Hamilton, LLC, Siebert Williams Shank &amp; Co., LLC and Tigress Financial Partners LLC as the co-manager of the Initial Public Offering. The securities in the offering were registered under the Securities Act on registration statements on Form S-1 (No. 333-239856 and 333-240179). The Securities and Exchange Commission declared the registration statements effective on July 29, 2020.</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Simultaneous with the consummation of the Initial Public Offering, we consummated the private placement of an aggregate of 42,850,000 Private Placement Warrants to the Sponsor at a price of $1.00 per Private Placement Warrant, generating total proceeds of $42,850,000. The issuance was made pursuant to the exemption from registration contained in Section 4(a)(2) of the Securities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ind w:firstLine="324"/>
        <w:spacing w:after="0" w:line="282" w:lineRule="auto"/>
        <w:rPr>
          <w:sz w:val="20"/>
          <w:szCs w:val="20"/>
          <w:color w:val="auto"/>
        </w:rPr>
      </w:pPr>
      <w:r>
        <w:rPr>
          <w:rFonts w:ascii="Times New Roman" w:cs="Times New Roman" w:eastAsia="Times New Roman" w:hAnsi="Times New Roman"/>
          <w:sz w:val="18"/>
          <w:szCs w:val="18"/>
          <w:color w:val="auto"/>
        </w:rPr>
        <w:t>The Private Placement Warrants are identical to the warrants underlying the Units sold in the Initial Public Offering, except that the Private Placement Warrants are not transferable, assignable or salable until 30 days after the completion of a Business Combination, subject to certain limited exceptions.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Of the gross proceeds received from the Initial Public Offering and the Private Placement Warrants, $2,070,000,000 was placed in the Trust Account.</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paid a total of $36,403,600 in underwriting discounts and commissions and $861,285 for other costs and expenses related to the Initial Public Offering. In addition, the underwriters agreed to defer up to $72,450,000 in underwriting discounts and commissions.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 description of the use of the proceeds generated in our Initial Public Offering, see Part I, Item 2 of this Form 10-Q.</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248" w:lineRule="exact"/>
        <w:rPr>
          <w:sz w:val="20"/>
          <w:szCs w:val="20"/>
          <w:color w:val="auto"/>
        </w:rPr>
      </w:pPr>
    </w:p>
    <w:p>
      <w:pPr>
        <w:ind w:left="440"/>
        <w:spacing w:after="0"/>
        <w:tabs>
          <w:tab w:leader="none" w:pos="54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0"/>
          <w:szCs w:val="20"/>
          <w:color w:val="auto"/>
        </w:rPr>
      </w:pPr>
    </w:p>
    <w:p>
      <w:pPr>
        <w:ind w:left="1360" w:hanging="894"/>
        <w:spacing w:after="0" w:line="242" w:lineRule="auto"/>
        <w:tabs>
          <w:tab w:leader="none" w:pos="1340" w:val="left"/>
        </w:tabs>
        <w:rPr>
          <w:rFonts w:ascii="Times New Roman" w:cs="Times New Roman" w:eastAsia="Times New Roman" w:hAnsi="Times New Roman"/>
          <w:sz w:val="18"/>
          <w:szCs w:val="18"/>
          <w:u w:val="single" w:color="auto"/>
          <w:color w:val="0000EE"/>
        </w:rPr>
      </w:pPr>
      <w:hyperlink r:id="rId30">
        <w:r>
          <w:rPr>
            <w:rFonts w:ascii="Times New Roman" w:cs="Times New Roman" w:eastAsia="Times New Roman" w:hAnsi="Times New Roman"/>
            <w:sz w:val="18"/>
            <w:szCs w:val="18"/>
            <w:u w:val="single" w:color="auto"/>
            <w:color w:val="0000EE"/>
          </w:rPr>
          <w:t>1.1</w:t>
        </w:r>
      </w:hyperlink>
      <w:r>
        <w:rPr>
          <w:rFonts w:ascii="Times New Roman" w:cs="Times New Roman" w:eastAsia="Times New Roman" w:hAnsi="Times New Roman"/>
          <w:sz w:val="18"/>
          <w:szCs w:val="18"/>
          <w:u w:val="single" w:color="auto"/>
          <w:color w:val="0000EE"/>
        </w:rPr>
        <w:tab/>
      </w:r>
      <w:hyperlink r:id="rId30">
        <w:r>
          <w:rPr>
            <w:rFonts w:ascii="Times New Roman" w:cs="Times New Roman" w:eastAsia="Times New Roman" w:hAnsi="Times New Roman"/>
            <w:sz w:val="18"/>
            <w:szCs w:val="18"/>
            <w:u w:val="single" w:color="auto"/>
            <w:color w:val="0000EE"/>
          </w:rPr>
          <w:t>Underwriting Agreement, dated July 29, 2020, among the Company and Citigroup Global Markets Inc., as representative of the</w:t>
        </w:r>
      </w:hyperlink>
      <w:r>
        <w:rPr>
          <w:rFonts w:ascii="Times New Roman" w:cs="Times New Roman" w:eastAsia="Times New Roman" w:hAnsi="Times New Roman"/>
          <w:sz w:val="18"/>
          <w:szCs w:val="18"/>
          <w:u w:val="single" w:color="auto"/>
          <w:color w:val="0000EE"/>
        </w:rPr>
        <w:t xml:space="preserve"> </w:t>
      </w:r>
      <w:hyperlink r:id="rId30">
        <w:r>
          <w:rPr>
            <w:rFonts w:ascii="Times New Roman" w:cs="Times New Roman" w:eastAsia="Times New Roman" w:hAnsi="Times New Roman"/>
            <w:sz w:val="18"/>
            <w:szCs w:val="18"/>
            <w:u w:val="single" w:color="auto"/>
            <w:color w:val="0000EE"/>
          </w:rPr>
          <w:t xml:space="preserve">underwriters. </w:t>
        </w:r>
        <w:r>
          <w:rPr>
            <w:rFonts w:ascii="Times New Roman" w:cs="Times New Roman" w:eastAsia="Times New Roman" w:hAnsi="Times New Roman"/>
            <w:sz w:val="29"/>
            <w:szCs w:val="29"/>
            <w:u w:val="single" w:color="auto"/>
            <w:color w:val="0000EE"/>
            <w:vertAlign w:val="superscript"/>
          </w:rPr>
          <w:t>(1)</w:t>
        </w:r>
      </w:hyperlink>
    </w:p>
    <w:p>
      <w:pPr>
        <w:sectPr>
          <w:pgSz w:w="11900" w:h="16838" w:orient="portrait"/>
          <w:cols w:equalWidth="0" w:num="1">
            <w:col w:w="11240"/>
          </w:cols>
          <w:pgMar w:left="320" w:top="904" w:right="339" w:bottom="946" w:gutter="0" w:footer="0" w:header="0"/>
        </w:sectPr>
      </w:pPr>
    </w:p>
    <w:p>
      <w:pPr>
        <w:spacing w:after="0" w:line="1" w:lineRule="exact"/>
        <w:rPr>
          <w:rFonts w:ascii="Times New Roman" w:cs="Times New Roman" w:eastAsia="Times New Roman" w:hAnsi="Times New Roman"/>
          <w:sz w:val="18"/>
          <w:szCs w:val="18"/>
          <w:u w:val="single" w:color="auto"/>
          <w:color w:val="0000EE"/>
        </w:rPr>
      </w:pPr>
    </w:p>
    <w:p>
      <w:pPr>
        <w:ind w:left="460"/>
        <w:spacing w:after="0"/>
        <w:rPr>
          <w:rFonts w:ascii="Times New Roman" w:cs="Times New Roman" w:eastAsia="Times New Roman" w:hAnsi="Times New Roman"/>
          <w:sz w:val="18"/>
          <w:szCs w:val="18"/>
          <w:u w:val="single" w:color="auto"/>
          <w:color w:val="0000EE"/>
        </w:rPr>
      </w:pPr>
      <w:hyperlink r:id="rId31">
        <w:r>
          <w:rPr>
            <w:rFonts w:ascii="Times New Roman" w:cs="Times New Roman" w:eastAsia="Times New Roman" w:hAnsi="Times New Roman"/>
            <w:sz w:val="18"/>
            <w:szCs w:val="18"/>
            <w:u w:val="single" w:color="auto"/>
            <w:color w:val="0000EE"/>
          </w:rPr>
          <w:t>4.1</w:t>
        </w:r>
      </w:hyperlink>
    </w:p>
    <w:p>
      <w:pPr>
        <w:spacing w:after="0" w:line="84" w:lineRule="exact"/>
        <w:rPr>
          <w:rFonts w:ascii="Times New Roman" w:cs="Times New Roman" w:eastAsia="Times New Roman" w:hAnsi="Times New Roman"/>
          <w:sz w:val="18"/>
          <w:szCs w:val="18"/>
          <w:u w:val="single" w:color="auto"/>
          <w:color w:val="0000EE"/>
        </w:rPr>
      </w:pPr>
    </w:p>
    <w:p>
      <w:pPr>
        <w:ind w:left="420"/>
        <w:spacing w:after="0"/>
        <w:rPr>
          <w:rFonts w:ascii="Times New Roman" w:cs="Times New Roman" w:eastAsia="Times New Roman" w:hAnsi="Times New Roman"/>
          <w:sz w:val="18"/>
          <w:szCs w:val="18"/>
          <w:u w:val="single" w:color="auto"/>
          <w:color w:val="0000EE"/>
        </w:rPr>
      </w:pPr>
      <w:hyperlink r:id="rId32">
        <w:r>
          <w:rPr>
            <w:rFonts w:ascii="Times New Roman" w:cs="Times New Roman" w:eastAsia="Times New Roman" w:hAnsi="Times New Roman"/>
            <w:sz w:val="18"/>
            <w:szCs w:val="18"/>
            <w:u w:val="single" w:color="auto"/>
            <w:color w:val="0000EE"/>
          </w:rPr>
          <w:t>10.1</w:t>
        </w:r>
      </w:hyperlink>
    </w:p>
    <w:p>
      <w:pPr>
        <w:spacing w:after="0" w:line="104" w:lineRule="exact"/>
        <w:rPr>
          <w:rFonts w:ascii="Times New Roman" w:cs="Times New Roman" w:eastAsia="Times New Roman" w:hAnsi="Times New Roman"/>
          <w:sz w:val="18"/>
          <w:szCs w:val="18"/>
          <w:u w:val="single" w:color="auto"/>
          <w:color w:val="0000EE"/>
        </w:rPr>
      </w:pPr>
    </w:p>
    <w:p>
      <w:pPr>
        <w:ind w:left="420"/>
        <w:spacing w:after="0"/>
        <w:rPr>
          <w:rFonts w:ascii="Times New Roman" w:cs="Times New Roman" w:eastAsia="Times New Roman" w:hAnsi="Times New Roman"/>
          <w:sz w:val="18"/>
          <w:szCs w:val="18"/>
          <w:u w:val="single" w:color="auto"/>
          <w:color w:val="0000EE"/>
        </w:rPr>
      </w:pPr>
      <w:hyperlink r:id="rId33">
        <w:r>
          <w:rPr>
            <w:rFonts w:ascii="Times New Roman" w:cs="Times New Roman" w:eastAsia="Times New Roman" w:hAnsi="Times New Roman"/>
            <w:sz w:val="18"/>
            <w:szCs w:val="18"/>
            <w:u w:val="single" w:color="auto"/>
            <w:color w:val="0000EE"/>
          </w:rPr>
          <w:t>10.2</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rPr>
          <w:rFonts w:ascii="Times New Roman" w:cs="Times New Roman" w:eastAsia="Times New Roman" w:hAnsi="Times New Roman"/>
          <w:sz w:val="17"/>
          <w:szCs w:val="17"/>
          <w:u w:val="single" w:color="auto"/>
          <w:color w:val="0000EE"/>
        </w:rPr>
      </w:pPr>
      <w:hyperlink r:id="rId31">
        <w:r>
          <w:rPr>
            <w:rFonts w:ascii="Times New Roman" w:cs="Times New Roman" w:eastAsia="Times New Roman" w:hAnsi="Times New Roman"/>
            <w:sz w:val="17"/>
            <w:szCs w:val="17"/>
            <w:u w:val="single" w:color="auto"/>
            <w:color w:val="0000EE"/>
          </w:rPr>
          <w:t xml:space="preserve">Warrant Agreement, dated July 29, 2020, between the Company and Continental Stock Transfer &amp; Trust Company, as warrant agent. </w:t>
        </w:r>
      </w:hyperlink>
      <w:r>
        <w:rPr>
          <w:rFonts w:ascii="Times New Roman" w:cs="Times New Roman" w:eastAsia="Times New Roman" w:hAnsi="Times New Roman"/>
          <w:sz w:val="28"/>
          <w:szCs w:val="28"/>
          <w:u w:val="single" w:color="auto"/>
          <w:color w:val="0000EE"/>
          <w:vertAlign w:val="superscript"/>
        </w:rPr>
        <w:t>(1)</w:t>
      </w:r>
    </w:p>
    <w:p>
      <w:pPr>
        <w:spacing w:after="0" w:line="215" w:lineRule="auto"/>
        <w:rPr>
          <w:rFonts w:ascii="Times New Roman" w:cs="Times New Roman" w:eastAsia="Times New Roman" w:hAnsi="Times New Roman"/>
          <w:sz w:val="18"/>
          <w:szCs w:val="18"/>
          <w:u w:val="single" w:color="auto"/>
          <w:color w:val="0000EE"/>
        </w:rPr>
      </w:pPr>
      <w:hyperlink r:id="rId32">
        <w:r>
          <w:rPr>
            <w:rFonts w:ascii="Times New Roman" w:cs="Times New Roman" w:eastAsia="Times New Roman" w:hAnsi="Times New Roman"/>
            <w:sz w:val="18"/>
            <w:szCs w:val="18"/>
            <w:u w:val="single" w:color="auto"/>
            <w:color w:val="0000EE"/>
          </w:rPr>
          <w:t xml:space="preserve">Letter Agreement, dated July 29, 2020, among the Company, its officers and directors and the Sponsor. </w:t>
        </w:r>
        <w:r>
          <w:rPr>
            <w:rFonts w:ascii="Times New Roman" w:cs="Times New Roman" w:eastAsia="Times New Roman" w:hAnsi="Times New Roman"/>
            <w:sz w:val="29"/>
            <w:szCs w:val="29"/>
            <w:u w:val="single" w:color="auto"/>
            <w:color w:val="0000EE"/>
            <w:vertAlign w:val="superscript"/>
          </w:rPr>
          <w:t>(1)</w:t>
        </w:r>
      </w:hyperlink>
    </w:p>
    <w:p>
      <w:pPr>
        <w:spacing w:after="0" w:line="1" w:lineRule="exact"/>
        <w:rPr>
          <w:rFonts w:ascii="Times New Roman" w:cs="Times New Roman" w:eastAsia="Times New Roman" w:hAnsi="Times New Roman"/>
          <w:sz w:val="18"/>
          <w:szCs w:val="18"/>
          <w:u w:val="single" w:color="auto"/>
          <w:color w:val="0000EE"/>
        </w:rPr>
      </w:pPr>
    </w:p>
    <w:p>
      <w:pPr>
        <w:ind w:right="20"/>
        <w:spacing w:after="0" w:line="233" w:lineRule="auto"/>
        <w:rPr>
          <w:rFonts w:ascii="Times New Roman" w:cs="Times New Roman" w:eastAsia="Times New Roman" w:hAnsi="Times New Roman"/>
          <w:sz w:val="18"/>
          <w:szCs w:val="18"/>
          <w:u w:val="single" w:color="auto"/>
          <w:color w:val="0000EE"/>
        </w:rPr>
      </w:pPr>
      <w:hyperlink r:id="rId33">
        <w:r>
          <w:rPr>
            <w:rFonts w:ascii="Times New Roman" w:cs="Times New Roman" w:eastAsia="Times New Roman" w:hAnsi="Times New Roman"/>
            <w:sz w:val="18"/>
            <w:szCs w:val="18"/>
            <w:u w:val="single" w:color="auto"/>
            <w:color w:val="0000EE"/>
          </w:rPr>
          <w:t>Investment Management Trust Agreement, dated July 29, 2020, between the Company and Continental Stock Transfer &amp; Trust</w:t>
        </w:r>
      </w:hyperlink>
      <w:r>
        <w:rPr>
          <w:rFonts w:ascii="Times New Roman" w:cs="Times New Roman" w:eastAsia="Times New Roman" w:hAnsi="Times New Roman"/>
          <w:sz w:val="18"/>
          <w:szCs w:val="18"/>
          <w:u w:val="single" w:color="auto"/>
          <w:color w:val="0000EE"/>
        </w:rPr>
        <w:t xml:space="preserve"> </w:t>
      </w:r>
      <w:hyperlink r:id="rId33">
        <w:r>
          <w:rPr>
            <w:rFonts w:ascii="Times New Roman" w:cs="Times New Roman" w:eastAsia="Times New Roman" w:hAnsi="Times New Roman"/>
            <w:sz w:val="18"/>
            <w:szCs w:val="18"/>
            <w:u w:val="single" w:color="auto"/>
            <w:color w:val="0000EE"/>
          </w:rPr>
          <w:t xml:space="preserve">Company, as trustee. </w:t>
        </w:r>
        <w:r>
          <w:rPr>
            <w:rFonts w:ascii="Times New Roman" w:cs="Times New Roman" w:eastAsia="Times New Roman" w:hAnsi="Times New Roman"/>
            <w:sz w:val="29"/>
            <w:szCs w:val="29"/>
            <w:u w:val="single" w:color="auto"/>
            <w:color w:val="0000EE"/>
            <w:vertAlign w:val="superscript"/>
          </w:rPr>
          <w:t>(1)</w:t>
        </w:r>
      </w:hyperlink>
    </w:p>
    <w:p>
      <w:pPr>
        <w:spacing w:after="0" w:line="2" w:lineRule="exact"/>
        <w:rPr>
          <w:sz w:val="20"/>
          <w:szCs w:val="20"/>
          <w:color w:val="auto"/>
        </w:rPr>
      </w:pPr>
    </w:p>
    <w:p>
      <w:pPr>
        <w:sectPr>
          <w:pgSz w:w="11900" w:h="16838" w:orient="portrait"/>
          <w:cols w:equalWidth="0" w:num="2">
            <w:col w:w="740" w:space="620"/>
            <w:col w:w="9880"/>
          </w:cols>
          <w:pgMar w:left="320" w:top="904" w:right="339" w:bottom="946" w:gutter="0" w:footer="0" w:header="0"/>
          <w:type w:val="continuous"/>
        </w:sectPr>
      </w:pPr>
    </w:p>
    <w:p>
      <w:pPr>
        <w:ind w:left="420"/>
        <w:spacing w:after="0"/>
        <w:rPr>
          <w:rFonts w:ascii="Times New Roman" w:cs="Times New Roman" w:eastAsia="Times New Roman" w:hAnsi="Times New Roman"/>
          <w:sz w:val="18"/>
          <w:szCs w:val="18"/>
          <w:u w:val="single" w:color="auto"/>
          <w:color w:val="0000EE"/>
        </w:rPr>
      </w:pPr>
      <w:hyperlink r:id="rId34">
        <w:r>
          <w:rPr>
            <w:rFonts w:ascii="Times New Roman" w:cs="Times New Roman" w:eastAsia="Times New Roman" w:hAnsi="Times New Roman"/>
            <w:sz w:val="18"/>
            <w:szCs w:val="18"/>
            <w:u w:val="single" w:color="auto"/>
            <w:color w:val="0000EE"/>
          </w:rPr>
          <w:t>10.3</w:t>
        </w:r>
      </w:hyperlink>
    </w:p>
    <w:p>
      <w:pPr>
        <w:spacing w:after="0" w:line="84" w:lineRule="exact"/>
        <w:rPr>
          <w:sz w:val="20"/>
          <w:szCs w:val="20"/>
          <w:color w:val="auto"/>
        </w:rPr>
      </w:pPr>
    </w:p>
    <w:p>
      <w:pPr>
        <w:ind w:left="420"/>
        <w:spacing w:after="0"/>
        <w:rPr>
          <w:rFonts w:ascii="Times New Roman" w:cs="Times New Roman" w:eastAsia="Times New Roman" w:hAnsi="Times New Roman"/>
          <w:sz w:val="18"/>
          <w:szCs w:val="18"/>
          <w:u w:val="single" w:color="auto"/>
          <w:color w:val="0000EE"/>
        </w:rPr>
      </w:pPr>
      <w:hyperlink r:id="rId35">
        <w:r>
          <w:rPr>
            <w:rFonts w:ascii="Times New Roman" w:cs="Times New Roman" w:eastAsia="Times New Roman" w:hAnsi="Times New Roman"/>
            <w:sz w:val="18"/>
            <w:szCs w:val="18"/>
            <w:u w:val="single" w:color="auto"/>
            <w:color w:val="0000EE"/>
          </w:rPr>
          <w:t>10.4</w:t>
        </w:r>
      </w:hyperlink>
    </w:p>
    <w:p>
      <w:pPr>
        <w:spacing w:after="0" w:line="104" w:lineRule="exact"/>
        <w:rPr>
          <w:sz w:val="20"/>
          <w:szCs w:val="20"/>
          <w:color w:val="auto"/>
        </w:rPr>
      </w:pPr>
    </w:p>
    <w:p>
      <w:pPr>
        <w:ind w:left="420"/>
        <w:spacing w:after="0"/>
        <w:rPr>
          <w:rFonts w:ascii="Times New Roman" w:cs="Times New Roman" w:eastAsia="Times New Roman" w:hAnsi="Times New Roman"/>
          <w:sz w:val="18"/>
          <w:szCs w:val="18"/>
          <w:u w:val="single" w:color="auto"/>
          <w:color w:val="0000EE"/>
        </w:rPr>
      </w:pPr>
      <w:hyperlink r:id="rId36">
        <w:r>
          <w:rPr>
            <w:rFonts w:ascii="Times New Roman" w:cs="Times New Roman" w:eastAsia="Times New Roman" w:hAnsi="Times New Roman"/>
            <w:sz w:val="18"/>
            <w:szCs w:val="18"/>
            <w:u w:val="single" w:color="auto"/>
            <w:color w:val="0000EE"/>
          </w:rPr>
          <w:t>10.5</w:t>
        </w:r>
      </w:hyperlink>
    </w:p>
    <w:p>
      <w:pPr>
        <w:spacing w:after="0" w:line="104" w:lineRule="exact"/>
        <w:rPr>
          <w:sz w:val="20"/>
          <w:szCs w:val="20"/>
          <w:color w:val="auto"/>
        </w:rPr>
      </w:pPr>
    </w:p>
    <w:p>
      <w:pPr>
        <w:ind w:left="420"/>
        <w:spacing w:after="0"/>
        <w:rPr>
          <w:rFonts w:ascii="Times New Roman" w:cs="Times New Roman" w:eastAsia="Times New Roman" w:hAnsi="Times New Roman"/>
          <w:sz w:val="18"/>
          <w:szCs w:val="18"/>
          <w:u w:val="single" w:color="auto"/>
          <w:color w:val="0000EE"/>
        </w:rPr>
      </w:pPr>
      <w:hyperlink r:id="rId37">
        <w:r>
          <w:rPr>
            <w:rFonts w:ascii="Times New Roman" w:cs="Times New Roman" w:eastAsia="Times New Roman" w:hAnsi="Times New Roman"/>
            <w:sz w:val="18"/>
            <w:szCs w:val="18"/>
            <w:u w:val="single" w:color="auto"/>
            <w:color w:val="0000EE"/>
          </w:rPr>
          <w:t>10.6</w:t>
        </w:r>
      </w:hyperlink>
    </w:p>
    <w:p>
      <w:pPr>
        <w:spacing w:after="0" w:line="104" w:lineRule="exact"/>
        <w:rPr>
          <w:sz w:val="20"/>
          <w:szCs w:val="20"/>
          <w:color w:val="auto"/>
        </w:rPr>
      </w:pPr>
    </w:p>
    <w:p>
      <w:pPr>
        <w:ind w:left="420"/>
        <w:spacing w:after="0"/>
        <w:rPr>
          <w:rFonts w:ascii="Times New Roman" w:cs="Times New Roman" w:eastAsia="Times New Roman" w:hAnsi="Times New Roman"/>
          <w:sz w:val="18"/>
          <w:szCs w:val="18"/>
          <w:u w:val="single" w:color="auto"/>
          <w:color w:val="0000EE"/>
        </w:rPr>
      </w:pPr>
      <w:hyperlink r:id="rId38">
        <w:r>
          <w:rPr>
            <w:rFonts w:ascii="Times New Roman" w:cs="Times New Roman" w:eastAsia="Times New Roman" w:hAnsi="Times New Roman"/>
            <w:sz w:val="18"/>
            <w:szCs w:val="18"/>
            <w:u w:val="single" w:color="auto"/>
            <w:color w:val="0000EE"/>
          </w:rPr>
          <w:t>10.7</w:t>
        </w:r>
      </w:hyperlink>
    </w:p>
    <w:p>
      <w:pPr>
        <w:spacing w:after="0" w:line="104" w:lineRule="exact"/>
        <w:rPr>
          <w:sz w:val="20"/>
          <w:szCs w:val="20"/>
          <w:color w:val="auto"/>
        </w:rPr>
      </w:pPr>
    </w:p>
    <w:p>
      <w:pPr>
        <w:ind w:left="420"/>
        <w:spacing w:after="0"/>
        <w:rPr>
          <w:rFonts w:ascii="Times New Roman" w:cs="Times New Roman" w:eastAsia="Times New Roman" w:hAnsi="Times New Roman"/>
          <w:sz w:val="18"/>
          <w:szCs w:val="18"/>
          <w:u w:val="single" w:color="auto"/>
          <w:color w:val="0000EE"/>
        </w:rPr>
      </w:pPr>
      <w:hyperlink r:id="rId39">
        <w:r>
          <w:rPr>
            <w:rFonts w:ascii="Times New Roman" w:cs="Times New Roman" w:eastAsia="Times New Roman" w:hAnsi="Times New Roman"/>
            <w:sz w:val="18"/>
            <w:szCs w:val="18"/>
            <w:u w:val="single" w:color="auto"/>
            <w:color w:val="0000EE"/>
          </w:rPr>
          <w:t>10.8</w:t>
        </w:r>
      </w:hyperlink>
    </w:p>
    <w:p>
      <w:pPr>
        <w:spacing w:after="0" w:line="104" w:lineRule="exact"/>
        <w:rPr>
          <w:sz w:val="20"/>
          <w:szCs w:val="20"/>
          <w:color w:val="auto"/>
        </w:rPr>
      </w:pPr>
    </w:p>
    <w:p>
      <w:pPr>
        <w:ind w:left="420"/>
        <w:spacing w:after="0"/>
        <w:rPr>
          <w:rFonts w:ascii="Times New Roman" w:cs="Times New Roman" w:eastAsia="Times New Roman" w:hAnsi="Times New Roman"/>
          <w:sz w:val="18"/>
          <w:szCs w:val="18"/>
          <w:u w:val="single" w:color="auto"/>
          <w:color w:val="0000EE"/>
        </w:rPr>
      </w:pPr>
      <w:hyperlink r:id="rId40">
        <w:r>
          <w:rPr>
            <w:rFonts w:ascii="Times New Roman" w:cs="Times New Roman" w:eastAsia="Times New Roman" w:hAnsi="Times New Roman"/>
            <w:sz w:val="18"/>
            <w:szCs w:val="18"/>
            <w:u w:val="single" w:color="auto"/>
            <w:color w:val="0000EE"/>
          </w:rPr>
          <w:t>10.9</w:t>
        </w:r>
      </w:hyperlink>
    </w:p>
    <w:p>
      <w:pPr>
        <w:spacing w:after="0" w:line="104" w:lineRule="exact"/>
        <w:rPr>
          <w:sz w:val="20"/>
          <w:szCs w:val="20"/>
          <w:color w:val="auto"/>
        </w:rPr>
      </w:pPr>
    </w:p>
    <w:p>
      <w:pPr>
        <w:ind w:left="380"/>
        <w:spacing w:after="0"/>
        <w:rPr>
          <w:rFonts w:ascii="Times New Roman" w:cs="Times New Roman" w:eastAsia="Times New Roman" w:hAnsi="Times New Roman"/>
          <w:sz w:val="17"/>
          <w:szCs w:val="17"/>
          <w:u w:val="single" w:color="auto"/>
          <w:color w:val="0000EE"/>
        </w:rPr>
      </w:pPr>
      <w:hyperlink r:id="rId41">
        <w:r>
          <w:rPr>
            <w:rFonts w:ascii="Times New Roman" w:cs="Times New Roman" w:eastAsia="Times New Roman" w:hAnsi="Times New Roman"/>
            <w:sz w:val="17"/>
            <w:szCs w:val="17"/>
            <w:u w:val="single" w:color="auto"/>
            <w:color w:val="0000EE"/>
          </w:rPr>
          <w:t>10.10</w:t>
        </w:r>
      </w:hyperlink>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7"/>
          <w:szCs w:val="17"/>
          <w:u w:val="single" w:color="auto"/>
          <w:color w:val="0000EE"/>
        </w:rPr>
      </w:pPr>
      <w:hyperlink r:id="rId34">
        <w:r>
          <w:rPr>
            <w:rFonts w:ascii="Times New Roman" w:cs="Times New Roman" w:eastAsia="Times New Roman" w:hAnsi="Times New Roman"/>
            <w:sz w:val="17"/>
            <w:szCs w:val="17"/>
            <w:u w:val="single" w:color="auto"/>
            <w:color w:val="0000EE"/>
          </w:rPr>
          <w:t xml:space="preserve">Registration Rights Agreement, dated July 29, 2020, among the Company and certain other security holders named therein. </w:t>
        </w:r>
      </w:hyperlink>
      <w:r>
        <w:rPr>
          <w:rFonts w:ascii="Times New Roman" w:cs="Times New Roman" w:eastAsia="Times New Roman" w:hAnsi="Times New Roman"/>
          <w:sz w:val="28"/>
          <w:szCs w:val="28"/>
          <w:u w:val="single" w:color="auto"/>
          <w:color w:val="0000EE"/>
          <w:vertAlign w:val="superscript"/>
        </w:rPr>
        <w:t>(1)</w:t>
      </w:r>
    </w:p>
    <w:p>
      <w:pPr>
        <w:spacing w:after="0" w:line="215" w:lineRule="auto"/>
        <w:rPr>
          <w:rFonts w:ascii="Times New Roman" w:cs="Times New Roman" w:eastAsia="Times New Roman" w:hAnsi="Times New Roman"/>
          <w:sz w:val="18"/>
          <w:szCs w:val="18"/>
          <w:u w:val="single" w:color="auto"/>
          <w:color w:val="0000EE"/>
        </w:rPr>
      </w:pPr>
      <w:hyperlink r:id="rId35">
        <w:r>
          <w:rPr>
            <w:rFonts w:ascii="Times New Roman" w:cs="Times New Roman" w:eastAsia="Times New Roman" w:hAnsi="Times New Roman"/>
            <w:sz w:val="18"/>
            <w:szCs w:val="18"/>
            <w:u w:val="single" w:color="auto"/>
            <w:color w:val="0000EE"/>
          </w:rPr>
          <w:t xml:space="preserve">Private Placement Warrant Purchase Agreement, July 29, 2020, between the Company and the Sponsor. </w:t>
        </w:r>
        <w:r>
          <w:rPr>
            <w:rFonts w:ascii="Times New Roman" w:cs="Times New Roman" w:eastAsia="Times New Roman" w:hAnsi="Times New Roman"/>
            <w:sz w:val="29"/>
            <w:szCs w:val="29"/>
            <w:u w:val="single" w:color="auto"/>
            <w:color w:val="0000EE"/>
            <w:vertAlign w:val="superscript"/>
          </w:rPr>
          <w:t>(1)</w:t>
        </w:r>
      </w:hyperlink>
    </w:p>
    <w:p>
      <w:pPr>
        <w:spacing w:after="0"/>
        <w:rPr>
          <w:rFonts w:ascii="Times New Roman" w:cs="Times New Roman" w:eastAsia="Times New Roman" w:hAnsi="Times New Roman"/>
          <w:sz w:val="18"/>
          <w:szCs w:val="18"/>
          <w:u w:val="single" w:color="auto"/>
          <w:color w:val="0000EE"/>
        </w:rPr>
      </w:pPr>
      <w:hyperlink r:id="rId36">
        <w:r>
          <w:rPr>
            <w:rFonts w:ascii="Times New Roman" w:cs="Times New Roman" w:eastAsia="Times New Roman" w:hAnsi="Times New Roman"/>
            <w:sz w:val="18"/>
            <w:szCs w:val="18"/>
            <w:u w:val="single" w:color="auto"/>
            <w:color w:val="0000EE"/>
          </w:rPr>
          <w:t xml:space="preserve">Indemnity Agreement, dated July 29, 2020, between the Company and Michael Klein. </w:t>
        </w:r>
      </w:hyperlink>
      <w:r>
        <w:rPr>
          <w:rFonts w:ascii="Times New Roman" w:cs="Times New Roman" w:eastAsia="Times New Roman" w:hAnsi="Times New Roman"/>
          <w:sz w:val="29"/>
          <w:szCs w:val="29"/>
          <w:u w:val="single" w:color="auto"/>
          <w:color w:val="0000EE"/>
          <w:vertAlign w:val="superscript"/>
        </w:rPr>
        <w:t>(1)</w:t>
      </w:r>
    </w:p>
    <w:p>
      <w:pPr>
        <w:spacing w:after="0" w:line="211" w:lineRule="auto"/>
        <w:rPr>
          <w:rFonts w:ascii="Times New Roman" w:cs="Times New Roman" w:eastAsia="Times New Roman" w:hAnsi="Times New Roman"/>
          <w:sz w:val="18"/>
          <w:szCs w:val="18"/>
          <w:u w:val="single" w:color="auto"/>
          <w:color w:val="0000EE"/>
        </w:rPr>
      </w:pPr>
      <w:hyperlink r:id="rId37">
        <w:r>
          <w:rPr>
            <w:rFonts w:ascii="Times New Roman" w:cs="Times New Roman" w:eastAsia="Times New Roman" w:hAnsi="Times New Roman"/>
            <w:sz w:val="18"/>
            <w:szCs w:val="18"/>
            <w:u w:val="single" w:color="auto"/>
            <w:color w:val="0000EE"/>
          </w:rPr>
          <w:t xml:space="preserve">Indemnity Agreement, July 29, 2020, between the Company and Jay Taragin. </w:t>
        </w:r>
        <w:r>
          <w:rPr>
            <w:rFonts w:ascii="Times New Roman" w:cs="Times New Roman" w:eastAsia="Times New Roman" w:hAnsi="Times New Roman"/>
            <w:sz w:val="29"/>
            <w:szCs w:val="29"/>
            <w:u w:val="single" w:color="auto"/>
            <w:color w:val="0000EE"/>
            <w:vertAlign w:val="superscript"/>
          </w:rPr>
          <w:t>(1)</w:t>
        </w:r>
      </w:hyperlink>
    </w:p>
    <w:p>
      <w:pPr>
        <w:spacing w:after="0" w:line="223" w:lineRule="auto"/>
        <w:rPr>
          <w:rFonts w:ascii="Times New Roman" w:cs="Times New Roman" w:eastAsia="Times New Roman" w:hAnsi="Times New Roman"/>
          <w:sz w:val="18"/>
          <w:szCs w:val="18"/>
          <w:u w:val="single" w:color="auto"/>
          <w:color w:val="0000EE"/>
        </w:rPr>
      </w:pPr>
      <w:hyperlink r:id="rId38">
        <w:r>
          <w:rPr>
            <w:rFonts w:ascii="Times New Roman" w:cs="Times New Roman" w:eastAsia="Times New Roman" w:hAnsi="Times New Roman"/>
            <w:sz w:val="18"/>
            <w:szCs w:val="18"/>
            <w:u w:val="single" w:color="auto"/>
            <w:color w:val="0000EE"/>
          </w:rPr>
          <w:t xml:space="preserve">Indemnity Agreement, dated July 29, 2020, between the Company and Glenn R. August. </w:t>
        </w:r>
        <w:r>
          <w:rPr>
            <w:rFonts w:ascii="Times New Roman" w:cs="Times New Roman" w:eastAsia="Times New Roman" w:hAnsi="Times New Roman"/>
            <w:sz w:val="29"/>
            <w:szCs w:val="29"/>
            <w:u w:val="single" w:color="auto"/>
            <w:color w:val="0000EE"/>
            <w:vertAlign w:val="superscript"/>
          </w:rPr>
          <w:t>(1)</w:t>
        </w:r>
      </w:hyperlink>
    </w:p>
    <w:p>
      <w:pPr>
        <w:spacing w:after="0" w:line="224" w:lineRule="auto"/>
        <w:rPr>
          <w:rFonts w:ascii="Times New Roman" w:cs="Times New Roman" w:eastAsia="Times New Roman" w:hAnsi="Times New Roman"/>
          <w:sz w:val="18"/>
          <w:szCs w:val="18"/>
          <w:u w:val="single" w:color="auto"/>
          <w:color w:val="0000EE"/>
        </w:rPr>
      </w:pPr>
      <w:hyperlink r:id="rId39">
        <w:r>
          <w:rPr>
            <w:rFonts w:ascii="Times New Roman" w:cs="Times New Roman" w:eastAsia="Times New Roman" w:hAnsi="Times New Roman"/>
            <w:sz w:val="18"/>
            <w:szCs w:val="18"/>
            <w:u w:val="single" w:color="auto"/>
            <w:color w:val="0000EE"/>
          </w:rPr>
          <w:t xml:space="preserve">Indemnity Agreement, dated July 29, between the Company and William J. Bynum. </w:t>
        </w:r>
        <w:r>
          <w:rPr>
            <w:rFonts w:ascii="Times New Roman" w:cs="Times New Roman" w:eastAsia="Times New Roman" w:hAnsi="Times New Roman"/>
            <w:sz w:val="29"/>
            <w:szCs w:val="29"/>
            <w:u w:val="single" w:color="auto"/>
            <w:color w:val="0000EE"/>
            <w:vertAlign w:val="superscript"/>
          </w:rPr>
          <w:t>(1)</w:t>
        </w:r>
      </w:hyperlink>
    </w:p>
    <w:p>
      <w:pPr>
        <w:spacing w:after="0" w:line="223" w:lineRule="auto"/>
        <w:rPr>
          <w:rFonts w:ascii="Times New Roman" w:cs="Times New Roman" w:eastAsia="Times New Roman" w:hAnsi="Times New Roman"/>
          <w:sz w:val="18"/>
          <w:szCs w:val="18"/>
          <w:u w:val="single" w:color="auto"/>
          <w:color w:val="0000EE"/>
        </w:rPr>
      </w:pPr>
      <w:hyperlink r:id="rId40">
        <w:r>
          <w:rPr>
            <w:rFonts w:ascii="Times New Roman" w:cs="Times New Roman" w:eastAsia="Times New Roman" w:hAnsi="Times New Roman"/>
            <w:sz w:val="18"/>
            <w:szCs w:val="18"/>
            <w:u w:val="single" w:color="auto"/>
            <w:color w:val="0000EE"/>
          </w:rPr>
          <w:t xml:space="preserve">Indemnity Agreement, dated July 29, 2020, between the Company and Bonnie Jonas. </w:t>
        </w:r>
        <w:r>
          <w:rPr>
            <w:rFonts w:ascii="Times New Roman" w:cs="Times New Roman" w:eastAsia="Times New Roman" w:hAnsi="Times New Roman"/>
            <w:sz w:val="29"/>
            <w:szCs w:val="29"/>
            <w:u w:val="single" w:color="auto"/>
            <w:color w:val="0000EE"/>
            <w:vertAlign w:val="superscript"/>
          </w:rPr>
          <w:t>(1)</w:t>
        </w:r>
      </w:hyperlink>
    </w:p>
    <w:p>
      <w:pPr>
        <w:spacing w:after="0" w:line="219" w:lineRule="auto"/>
        <w:rPr>
          <w:rFonts w:ascii="Times New Roman" w:cs="Times New Roman" w:eastAsia="Times New Roman" w:hAnsi="Times New Roman"/>
          <w:sz w:val="18"/>
          <w:szCs w:val="18"/>
          <w:u w:val="single" w:color="auto"/>
          <w:color w:val="0000EE"/>
        </w:rPr>
      </w:pPr>
      <w:hyperlink r:id="rId41">
        <w:r>
          <w:rPr>
            <w:rFonts w:ascii="Times New Roman" w:cs="Times New Roman" w:eastAsia="Times New Roman" w:hAnsi="Times New Roman"/>
            <w:sz w:val="18"/>
            <w:szCs w:val="18"/>
            <w:u w:val="single" w:color="auto"/>
            <w:color w:val="0000EE"/>
          </w:rPr>
          <w:t xml:space="preserve">Indemnity Agreement, dated July 29, 2020, between the Company and Mark Klein. </w:t>
        </w:r>
        <w:r>
          <w:rPr>
            <w:rFonts w:ascii="Times New Roman" w:cs="Times New Roman" w:eastAsia="Times New Roman" w:hAnsi="Times New Roman"/>
            <w:sz w:val="29"/>
            <w:szCs w:val="29"/>
            <w:u w:val="single" w:color="auto"/>
            <w:color w:val="0000EE"/>
            <w:vertAlign w:val="superscript"/>
          </w:rPr>
          <w:t>(1)</w:t>
        </w:r>
      </w:hyperlink>
    </w:p>
    <w:p>
      <w:pPr>
        <w:spacing w:after="0" w:line="1" w:lineRule="exact"/>
        <w:rPr>
          <w:sz w:val="20"/>
          <w:szCs w:val="20"/>
          <w:color w:val="auto"/>
        </w:rPr>
      </w:pPr>
    </w:p>
    <w:p>
      <w:pPr>
        <w:sectPr>
          <w:pgSz w:w="11900" w:h="16838" w:orient="portrait"/>
          <w:cols w:equalWidth="0" w:num="2">
            <w:col w:w="780" w:space="580"/>
            <w:col w:w="9880"/>
          </w:cols>
          <w:pgMar w:left="320" w:top="904" w:right="339" w:bottom="946" w:gutter="0" w:footer="0" w:header="0"/>
          <w:type w:val="continuous"/>
        </w:sectPr>
      </w:pPr>
    </w:p>
    <w:tbl>
      <w:tblPr>
        <w:tblLayout w:type="fixed"/>
        <w:tblInd w:w="0" w:type="dxa"/>
        <w:tblCellMar>
          <w:top w:w="0" w:type="dxa"/>
          <w:left w:w="0" w:type="dxa"/>
          <w:bottom w:w="0" w:type="dxa"/>
          <w:right w:w="0" w:type="dxa"/>
        </w:tblCellMar>
      </w:tblPr>
      <w:tr>
        <w:trPr>
          <w:trHeight w:val="148"/>
        </w:trPr>
        <w:tc>
          <w:tcPr>
            <w:tcW w:w="1360" w:type="dxa"/>
            <w:vAlign w:val="bottom"/>
            <w:vMerge w:val="restart"/>
          </w:tcPr>
          <w:p>
            <w:pPr>
              <w:jc w:val="center"/>
              <w:ind w:right="110"/>
              <w:spacing w:after="0"/>
              <w:rPr>
                <w:rFonts w:ascii="Times New Roman" w:cs="Times New Roman" w:eastAsia="Times New Roman" w:hAnsi="Times New Roman"/>
                <w:sz w:val="18"/>
                <w:szCs w:val="18"/>
                <w:u w:val="single" w:color="auto"/>
                <w:color w:val="0000EE"/>
                <w:w w:val="98"/>
              </w:rPr>
            </w:pPr>
            <w:hyperlink r:id="rId42">
              <w:r>
                <w:rPr>
                  <w:rFonts w:ascii="Times New Roman" w:cs="Times New Roman" w:eastAsia="Times New Roman" w:hAnsi="Times New Roman"/>
                  <w:sz w:val="18"/>
                  <w:szCs w:val="18"/>
                  <w:u w:val="single" w:color="auto"/>
                  <w:color w:val="0000EE"/>
                  <w:w w:val="98"/>
                </w:rPr>
                <w:t>10.11</w:t>
              </w:r>
            </w:hyperlink>
          </w:p>
        </w:tc>
        <w:tc>
          <w:tcPr>
            <w:tcW w:w="6900" w:type="dxa"/>
            <w:vAlign w:val="bottom"/>
            <w:gridSpan w:val="5"/>
            <w:vMerge w:val="restart"/>
          </w:tcPr>
          <w:p>
            <w:pPr>
              <w:spacing w:after="0"/>
              <w:rPr>
                <w:rFonts w:ascii="Times New Roman" w:cs="Times New Roman" w:eastAsia="Times New Roman" w:hAnsi="Times New Roman"/>
                <w:sz w:val="18"/>
                <w:szCs w:val="18"/>
                <w:u w:val="single" w:color="auto"/>
                <w:color w:val="0000EE"/>
              </w:rPr>
            </w:pPr>
            <w:hyperlink r:id="rId42">
              <w:r>
                <w:rPr>
                  <w:rFonts w:ascii="Times New Roman" w:cs="Times New Roman" w:eastAsia="Times New Roman" w:hAnsi="Times New Roman"/>
                  <w:sz w:val="18"/>
                  <w:szCs w:val="18"/>
                  <w:u w:val="single" w:color="auto"/>
                  <w:color w:val="0000EE"/>
                </w:rPr>
                <w:t>Indemnity Agreement, dated July 29, 2020, between the Company and Malcolm S. McDermid.</w:t>
              </w:r>
            </w:hyperlink>
          </w:p>
        </w:tc>
        <w:tc>
          <w:tcPr>
            <w:tcW w:w="160" w:type="dxa"/>
            <w:vAlign w:val="bottom"/>
            <w:tcBorders>
              <w:bottom w:val="single" w:sz="8" w:color="0000EE"/>
            </w:tcBorders>
          </w:tcPr>
          <w:p>
            <w:pPr>
              <w:jc w:val="right"/>
              <w:spacing w:after="0" w:line="129" w:lineRule="exact"/>
              <w:rPr>
                <w:rFonts w:ascii="Times New Roman" w:cs="Times New Roman" w:eastAsia="Times New Roman" w:hAnsi="Times New Roman"/>
                <w:sz w:val="14"/>
                <w:szCs w:val="14"/>
                <w:color w:val="0000EE"/>
                <w:w w:val="85"/>
              </w:rPr>
            </w:pPr>
            <w:hyperlink r:id="rId42">
              <w:r>
                <w:rPr>
                  <w:rFonts w:ascii="Times New Roman" w:cs="Times New Roman" w:eastAsia="Times New Roman" w:hAnsi="Times New Roman"/>
                  <w:sz w:val="14"/>
                  <w:szCs w:val="14"/>
                  <w:color w:val="0000EE"/>
                  <w:w w:val="85"/>
                </w:rPr>
                <w:t>(1)</w:t>
              </w:r>
            </w:hyperlink>
          </w:p>
        </w:tc>
        <w:tc>
          <w:tcPr>
            <w:tcW w:w="100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6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360" w:type="dxa"/>
            <w:vAlign w:val="bottom"/>
            <w:vMerge w:val="continue"/>
          </w:tcPr>
          <w:p>
            <w:pPr>
              <w:spacing w:after="0"/>
              <w:rPr>
                <w:sz w:val="7"/>
                <w:szCs w:val="7"/>
                <w:color w:val="auto"/>
              </w:rPr>
            </w:pPr>
          </w:p>
        </w:tc>
        <w:tc>
          <w:tcPr>
            <w:tcW w:w="6900" w:type="dxa"/>
            <w:vAlign w:val="bottom"/>
            <w:gridSpan w:val="5"/>
            <w:vMerge w:val="continue"/>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360" w:type="dxa"/>
            <w:vAlign w:val="bottom"/>
            <w:vMerge w:val="restart"/>
          </w:tcPr>
          <w:p>
            <w:pPr>
              <w:jc w:val="center"/>
              <w:ind w:right="110"/>
              <w:spacing w:after="0"/>
              <w:rPr>
                <w:rFonts w:ascii="Times New Roman" w:cs="Times New Roman" w:eastAsia="Times New Roman" w:hAnsi="Times New Roman"/>
                <w:sz w:val="18"/>
                <w:szCs w:val="18"/>
                <w:u w:val="single" w:color="auto"/>
                <w:color w:val="0000EE"/>
                <w:w w:val="98"/>
              </w:rPr>
            </w:pPr>
            <w:hyperlink r:id="rId43">
              <w:r>
                <w:rPr>
                  <w:rFonts w:ascii="Times New Roman" w:cs="Times New Roman" w:eastAsia="Times New Roman" w:hAnsi="Times New Roman"/>
                  <w:sz w:val="18"/>
                  <w:szCs w:val="18"/>
                  <w:u w:val="single" w:color="auto"/>
                  <w:color w:val="0000EE"/>
                  <w:w w:val="98"/>
                </w:rPr>
                <w:t>10.12</w:t>
              </w:r>
            </w:hyperlink>
          </w:p>
        </w:tc>
        <w:tc>
          <w:tcPr>
            <w:tcW w:w="6300" w:type="dxa"/>
            <w:vAlign w:val="bottom"/>
            <w:gridSpan w:val="3"/>
            <w:vMerge w:val="restart"/>
          </w:tcPr>
          <w:p>
            <w:pPr>
              <w:spacing w:after="0"/>
              <w:rPr>
                <w:rFonts w:ascii="Times New Roman" w:cs="Times New Roman" w:eastAsia="Times New Roman" w:hAnsi="Times New Roman"/>
                <w:sz w:val="18"/>
                <w:szCs w:val="18"/>
                <w:u w:val="single" w:color="auto"/>
                <w:color w:val="0000EE"/>
              </w:rPr>
            </w:pPr>
            <w:hyperlink r:id="rId43">
              <w:r>
                <w:rPr>
                  <w:rFonts w:ascii="Times New Roman" w:cs="Times New Roman" w:eastAsia="Times New Roman" w:hAnsi="Times New Roman"/>
                  <w:sz w:val="18"/>
                  <w:szCs w:val="18"/>
                  <w:u w:val="single" w:color="auto"/>
                  <w:color w:val="0000EE"/>
                </w:rPr>
                <w:t>Indemnity Agreement, dated July 29, 2020, between the Company and Karen G. Mills.</w:t>
              </w:r>
            </w:hyperlink>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5"/>
                <w:szCs w:val="15"/>
                <w:color w:val="0000EE"/>
                <w:w w:val="91"/>
              </w:rPr>
              <w:t>(1)</w:t>
            </w:r>
          </w:p>
        </w:tc>
        <w:tc>
          <w:tcPr>
            <w:tcW w:w="1580" w:type="dxa"/>
            <w:vAlign w:val="bottom"/>
            <w:gridSpan w:val="3"/>
            <w:vMerge w:val="restart"/>
          </w:tcPr>
          <w:p>
            <w:pPr>
              <w:spacing w:after="0"/>
              <w:rPr>
                <w:sz w:val="17"/>
                <w:szCs w:val="17"/>
                <w:color w:val="auto"/>
              </w:rPr>
            </w:pPr>
          </w:p>
        </w:tc>
        <w:tc>
          <w:tcPr>
            <w:tcW w:w="180" w:type="dxa"/>
            <w:vAlign w:val="bottom"/>
            <w:vMerge w:val="restart"/>
          </w:tcPr>
          <w:p>
            <w:pPr>
              <w:spacing w:after="0"/>
              <w:rPr>
                <w:sz w:val="17"/>
                <w:szCs w:val="17"/>
                <w:color w:val="auto"/>
              </w:rPr>
            </w:pPr>
          </w:p>
        </w:tc>
        <w:tc>
          <w:tcPr>
            <w:tcW w:w="16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1360" w:type="dxa"/>
            <w:vAlign w:val="bottom"/>
            <w:vMerge w:val="continue"/>
          </w:tcPr>
          <w:p>
            <w:pPr>
              <w:spacing w:after="0"/>
              <w:rPr>
                <w:sz w:val="7"/>
                <w:szCs w:val="7"/>
                <w:color w:val="auto"/>
              </w:rPr>
            </w:pPr>
          </w:p>
        </w:tc>
        <w:tc>
          <w:tcPr>
            <w:tcW w:w="630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580" w:type="dxa"/>
            <w:vAlign w:val="bottom"/>
            <w:gridSpan w:val="3"/>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360" w:type="dxa"/>
            <w:vAlign w:val="bottom"/>
            <w:vMerge w:val="restart"/>
          </w:tcPr>
          <w:p>
            <w:pPr>
              <w:jc w:val="center"/>
              <w:ind w:right="110"/>
              <w:spacing w:after="0"/>
              <w:rPr>
                <w:rFonts w:ascii="Times New Roman" w:cs="Times New Roman" w:eastAsia="Times New Roman" w:hAnsi="Times New Roman"/>
                <w:sz w:val="18"/>
                <w:szCs w:val="18"/>
                <w:u w:val="single" w:color="auto"/>
                <w:color w:val="0000EE"/>
                <w:w w:val="98"/>
              </w:rPr>
            </w:pPr>
            <w:hyperlink r:id="rId44">
              <w:r>
                <w:rPr>
                  <w:rFonts w:ascii="Times New Roman" w:cs="Times New Roman" w:eastAsia="Times New Roman" w:hAnsi="Times New Roman"/>
                  <w:sz w:val="18"/>
                  <w:szCs w:val="18"/>
                  <w:u w:val="single" w:color="auto"/>
                  <w:color w:val="0000EE"/>
                  <w:w w:val="98"/>
                </w:rPr>
                <w:t>10.13</w:t>
              </w:r>
            </w:hyperlink>
          </w:p>
        </w:tc>
        <w:tc>
          <w:tcPr>
            <w:tcW w:w="8060" w:type="dxa"/>
            <w:vAlign w:val="bottom"/>
            <w:gridSpan w:val="7"/>
            <w:vMerge w:val="restart"/>
          </w:tcPr>
          <w:p>
            <w:pPr>
              <w:spacing w:after="0"/>
              <w:rPr>
                <w:rFonts w:ascii="Times New Roman" w:cs="Times New Roman" w:eastAsia="Times New Roman" w:hAnsi="Times New Roman"/>
                <w:sz w:val="18"/>
                <w:szCs w:val="18"/>
                <w:u w:val="single" w:color="auto"/>
                <w:color w:val="0000EE"/>
                <w:w w:val="99"/>
              </w:rPr>
            </w:pPr>
            <w:hyperlink r:id="rId44">
              <w:r>
                <w:rPr>
                  <w:rFonts w:ascii="Times New Roman" w:cs="Times New Roman" w:eastAsia="Times New Roman" w:hAnsi="Times New Roman"/>
                  <w:sz w:val="18"/>
                  <w:szCs w:val="18"/>
                  <w:u w:val="single" w:color="auto"/>
                  <w:color w:val="0000EE"/>
                  <w:w w:val="99"/>
                </w:rPr>
                <w:t>Administrative Services Agreement, dated July 29, 2020, between the Company and an affiliate of the Sponsor.</w:t>
              </w:r>
            </w:hyperlink>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5"/>
                <w:szCs w:val="15"/>
                <w:color w:val="0000EE"/>
                <w:w w:val="91"/>
              </w:rPr>
              <w:t>(1)</w:t>
            </w:r>
          </w:p>
        </w:tc>
        <w:tc>
          <w:tcPr>
            <w:tcW w:w="16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1360" w:type="dxa"/>
            <w:vAlign w:val="bottom"/>
            <w:vMerge w:val="continue"/>
          </w:tcPr>
          <w:p>
            <w:pPr>
              <w:spacing w:after="0"/>
              <w:rPr>
                <w:sz w:val="7"/>
                <w:szCs w:val="7"/>
                <w:color w:val="auto"/>
              </w:rPr>
            </w:pPr>
          </w:p>
        </w:tc>
        <w:tc>
          <w:tcPr>
            <w:tcW w:w="8060" w:type="dxa"/>
            <w:vAlign w:val="bottom"/>
            <w:gridSpan w:val="7"/>
            <w:vMerge w:val="continue"/>
          </w:tcPr>
          <w:p>
            <w:pPr>
              <w:spacing w:after="0"/>
              <w:rPr>
                <w:sz w:val="7"/>
                <w:szCs w:val="7"/>
                <w:color w:val="auto"/>
              </w:rPr>
            </w:pPr>
          </w:p>
        </w:tc>
        <w:tc>
          <w:tcPr>
            <w:tcW w:w="180" w:type="dxa"/>
            <w:vAlign w:val="bottom"/>
          </w:tcPr>
          <w:p>
            <w:pPr>
              <w:spacing w:after="0"/>
              <w:rPr>
                <w:sz w:val="7"/>
                <w:szCs w:val="7"/>
                <w:color w:val="auto"/>
              </w:rPr>
            </w:pPr>
          </w:p>
        </w:tc>
        <w:tc>
          <w:tcPr>
            <w:tcW w:w="162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360" w:type="dxa"/>
            <w:vAlign w:val="bottom"/>
          </w:tcPr>
          <w:p>
            <w:pPr>
              <w:jc w:val="center"/>
              <w:ind w:right="110"/>
              <w:spacing w:after="0"/>
              <w:rPr>
                <w:rFonts w:ascii="Times New Roman" w:cs="Times New Roman" w:eastAsia="Times New Roman" w:hAnsi="Times New Roman"/>
                <w:sz w:val="18"/>
                <w:szCs w:val="18"/>
                <w:u w:val="single" w:color="auto"/>
                <w:color w:val="0000EE"/>
                <w:w w:val="98"/>
              </w:rPr>
            </w:pPr>
            <w:hyperlink w:anchor="page23">
              <w:r>
                <w:rPr>
                  <w:rFonts w:ascii="Times New Roman" w:cs="Times New Roman" w:eastAsia="Times New Roman" w:hAnsi="Times New Roman"/>
                  <w:sz w:val="18"/>
                  <w:szCs w:val="18"/>
                  <w:u w:val="single" w:color="auto"/>
                  <w:color w:val="0000EE"/>
                  <w:w w:val="98"/>
                </w:rPr>
                <w:t>31.1*</w:t>
              </w:r>
            </w:hyperlink>
          </w:p>
        </w:tc>
        <w:tc>
          <w:tcPr>
            <w:tcW w:w="98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Certification of Principal Executive Officer Pursuant to Securities Exchange Act Rules 13a-14(a), as adopted Pursuant to Section 302 of</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23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the Sarbanes-Oxley Act of 2002</w:t>
              </w:r>
            </w:hyperlink>
          </w:p>
        </w:tc>
        <w:tc>
          <w:tcPr>
            <w:tcW w:w="75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60" w:type="dxa"/>
            <w:vAlign w:val="bottom"/>
          </w:tcPr>
          <w:p>
            <w:pPr>
              <w:jc w:val="center"/>
              <w:ind w:right="110"/>
              <w:spacing w:after="0"/>
              <w:rPr>
                <w:rFonts w:ascii="Times New Roman" w:cs="Times New Roman" w:eastAsia="Times New Roman" w:hAnsi="Times New Roman"/>
                <w:sz w:val="18"/>
                <w:szCs w:val="18"/>
                <w:u w:val="single" w:color="auto"/>
                <w:color w:val="0000EE"/>
                <w:w w:val="98"/>
              </w:rPr>
            </w:pPr>
            <w:hyperlink w:anchor="page24">
              <w:r>
                <w:rPr>
                  <w:rFonts w:ascii="Times New Roman" w:cs="Times New Roman" w:eastAsia="Times New Roman" w:hAnsi="Times New Roman"/>
                  <w:sz w:val="18"/>
                  <w:szCs w:val="18"/>
                  <w:u w:val="single" w:color="auto"/>
                  <w:color w:val="0000EE"/>
                  <w:w w:val="98"/>
                </w:rPr>
                <w:t>31.2*</w:t>
              </w:r>
            </w:hyperlink>
          </w:p>
        </w:tc>
        <w:tc>
          <w:tcPr>
            <w:tcW w:w="98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Certification of Principal Financial Officer Pursuant to Securities Exchange Act Rules 13a-14(a), as adopted Pursuant to Section 302 of</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23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the Sarbanes-Oxley Act of 2002</w:t>
              </w:r>
            </w:hyperlink>
          </w:p>
        </w:tc>
        <w:tc>
          <w:tcPr>
            <w:tcW w:w="75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60" w:type="dxa"/>
            <w:vAlign w:val="bottom"/>
          </w:tcPr>
          <w:p>
            <w:pPr>
              <w:jc w:val="center"/>
              <w:ind w:right="110"/>
              <w:spacing w:after="0"/>
              <w:rPr>
                <w:rFonts w:ascii="Times New Roman" w:cs="Times New Roman" w:eastAsia="Times New Roman" w:hAnsi="Times New Roman"/>
                <w:sz w:val="18"/>
                <w:szCs w:val="18"/>
                <w:u w:val="single" w:color="auto"/>
                <w:color w:val="0000EE"/>
                <w:w w:val="98"/>
              </w:rPr>
            </w:pPr>
            <w:hyperlink w:anchor="page25">
              <w:r>
                <w:rPr>
                  <w:rFonts w:ascii="Times New Roman" w:cs="Times New Roman" w:eastAsia="Times New Roman" w:hAnsi="Times New Roman"/>
                  <w:sz w:val="18"/>
                  <w:szCs w:val="18"/>
                  <w:u w:val="single" w:color="auto"/>
                  <w:color w:val="0000EE"/>
                  <w:w w:val="98"/>
                </w:rPr>
                <w:t>32.1*</w:t>
              </w:r>
            </w:hyperlink>
          </w:p>
        </w:tc>
        <w:tc>
          <w:tcPr>
            <w:tcW w:w="98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9880" w:type="dxa"/>
            <w:vAlign w:val="bottom"/>
            <w:gridSpan w:val="10"/>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Oxley Act of 2002</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5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jc w:val="center"/>
              <w:ind w:right="110"/>
              <w:spacing w:after="0"/>
              <w:rPr>
                <w:rFonts w:ascii="Times New Roman" w:cs="Times New Roman" w:eastAsia="Times New Roman" w:hAnsi="Times New Roman"/>
                <w:sz w:val="18"/>
                <w:szCs w:val="18"/>
                <w:u w:val="single" w:color="auto"/>
                <w:color w:val="0000EE"/>
                <w:w w:val="98"/>
              </w:rPr>
            </w:pPr>
            <w:hyperlink w:anchor="page26">
              <w:r>
                <w:rPr>
                  <w:rFonts w:ascii="Times New Roman" w:cs="Times New Roman" w:eastAsia="Times New Roman" w:hAnsi="Times New Roman"/>
                  <w:sz w:val="18"/>
                  <w:szCs w:val="18"/>
                  <w:u w:val="single" w:color="auto"/>
                  <w:color w:val="0000EE"/>
                  <w:w w:val="98"/>
                </w:rPr>
                <w:t>32.2*</w:t>
              </w:r>
            </w:hyperlink>
          </w:p>
        </w:tc>
        <w:tc>
          <w:tcPr>
            <w:tcW w:w="9880" w:type="dxa"/>
            <w:vAlign w:val="bottom"/>
            <w:gridSpan w:val="10"/>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Certification of Principal Financial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986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Oxley Act 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5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70"/>
        </w:trPr>
        <w:tc>
          <w:tcPr>
            <w:tcW w:w="13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13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101.CAL*</w:t>
            </w:r>
          </w:p>
        </w:tc>
        <w:tc>
          <w:tcPr>
            <w:tcW w:w="9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675"/>
        </w:trPr>
        <w:tc>
          <w:tcPr>
            <w:tcW w:w="136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gridSpan w:val="3"/>
          </w:tcPr>
          <w:p>
            <w:pPr>
              <w:ind w:left="418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946" w:gutter="0" w:footer="0" w:header="0"/>
          <w:type w:val="continuous"/>
        </w:sectPr>
      </w:pPr>
    </w:p>
    <w:bookmarkStart w:id="20" w:name="page21"/>
    <w:bookmarkEnd w:id="20"/>
    <w:p>
      <w:pPr>
        <w:spacing w:after="0" w:line="1" w:lineRule="exact"/>
        <w:rPr>
          <w:sz w:val="20"/>
          <w:szCs w:val="20"/>
          <w:color w:val="auto"/>
        </w:rPr>
      </w:pPr>
    </w:p>
    <w:tbl>
      <w:tblPr>
        <w:tblLayout w:type="fixed"/>
        <w:tblInd w:w="192"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XBRL Taxonomy Extension Presentation Linkbase Document</w:t>
            </w:r>
          </w:p>
        </w:tc>
      </w:tr>
    </w:tbl>
    <w:p>
      <w:pPr>
        <w:spacing w:after="0" w:line="225" w:lineRule="exact"/>
        <w:rPr>
          <w:sz w:val="20"/>
          <w:szCs w:val="20"/>
          <w:color w:val="auto"/>
        </w:rPr>
      </w:pPr>
    </w:p>
    <w:p>
      <w:pPr>
        <w:ind w:left="332" w:hanging="332"/>
        <w:spacing w:after="0"/>
        <w:tabs>
          <w:tab w:leader="none" w:pos="3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532" w:right="619" w:hanging="5532"/>
        <w:spacing w:after="0" w:line="761" w:lineRule="auto"/>
        <w:tabs>
          <w:tab w:leader="none" w:pos="34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our Current Report on Form 8-K filed on August 3, 2020 and incorporated by reference herein.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-284480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931" w:right="1440"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of the Exchange Act, the registrant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Churchill Capital Corp IV</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September 11,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Michael Klein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September 11,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Jay Taragin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Accounting Officer and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Klein, certify that:</w:t>
      </w:r>
    </w:p>
    <w:p>
      <w:pPr>
        <w:spacing w:after="0" w:line="225" w:lineRule="exact"/>
        <w:rPr>
          <w:sz w:val="20"/>
          <w:szCs w:val="20"/>
          <w:color w:val="auto"/>
        </w:rPr>
      </w:pPr>
    </w:p>
    <w:p>
      <w:pPr>
        <w:ind w:left="680" w:hanging="672"/>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Churchill Capital Corp IV;</w:t>
      </w:r>
    </w:p>
    <w:p>
      <w:pPr>
        <w:spacing w:after="0" w:line="225" w:lineRule="exact"/>
        <w:rPr>
          <w:rFonts w:ascii="Times New Roman" w:cs="Times New Roman" w:eastAsia="Times New Roman" w:hAnsi="Times New Roman"/>
          <w:sz w:val="18"/>
          <w:szCs w:val="18"/>
          <w:color w:val="auto"/>
        </w:rPr>
      </w:pPr>
    </w:p>
    <w:p>
      <w:pPr>
        <w:jc w:val="both"/>
        <w:ind w:left="680" w:hanging="672"/>
        <w:spacing w:after="0" w:line="266"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80" w:hanging="672"/>
        <w:spacing w:after="0" w:line="282"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80" w:right="20" w:hanging="672"/>
        <w:spacing w:after="0" w:line="266"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60" w:hanging="677"/>
        <w:spacing w:after="0" w:line="266" w:lineRule="auto"/>
        <w:tabs>
          <w:tab w:leader="none" w:pos="13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75" w:lineRule="exact"/>
        <w:rPr>
          <w:rFonts w:ascii="Times New Roman" w:cs="Times New Roman" w:eastAsia="Times New Roman" w:hAnsi="Times New Roman"/>
          <w:sz w:val="18"/>
          <w:szCs w:val="18"/>
          <w:color w:val="auto"/>
        </w:rPr>
      </w:pPr>
    </w:p>
    <w:p>
      <w:pPr>
        <w:ind w:left="1360" w:hanging="677"/>
        <w:spacing w:after="0"/>
        <w:tabs>
          <w:tab w:leader="none" w:pos="13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25" w:lineRule="exact"/>
        <w:rPr>
          <w:rFonts w:ascii="Times New Roman" w:cs="Times New Roman" w:eastAsia="Times New Roman" w:hAnsi="Times New Roman"/>
          <w:sz w:val="18"/>
          <w:szCs w:val="18"/>
          <w:color w:val="auto"/>
        </w:rPr>
      </w:pPr>
    </w:p>
    <w:p>
      <w:pPr>
        <w:ind w:left="1360" w:hanging="677"/>
        <w:spacing w:after="0" w:line="282" w:lineRule="auto"/>
        <w:tabs>
          <w:tab w:leader="none" w:pos="13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60" w:hanging="677"/>
        <w:spacing w:after="0" w:line="266" w:lineRule="auto"/>
        <w:tabs>
          <w:tab w:leader="none" w:pos="13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80" w:right="20" w:hanging="672"/>
        <w:spacing w:after="0" w:line="282"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60" w:hanging="677"/>
        <w:spacing w:after="0" w:line="282" w:lineRule="auto"/>
        <w:tabs>
          <w:tab w:leader="none" w:pos="13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60" w:hanging="677"/>
        <w:spacing w:after="0" w:line="282" w:lineRule="auto"/>
        <w:tabs>
          <w:tab w:leader="none" w:pos="13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11, 2020</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Michael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Michael Klein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Taragin, certify that:</w:t>
      </w:r>
    </w:p>
    <w:p>
      <w:pPr>
        <w:spacing w:after="0" w:line="225" w:lineRule="exact"/>
        <w:rPr>
          <w:sz w:val="20"/>
          <w:szCs w:val="20"/>
          <w:color w:val="auto"/>
        </w:rPr>
      </w:pPr>
    </w:p>
    <w:p>
      <w:pPr>
        <w:ind w:left="680" w:hanging="672"/>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Churchill Capital Corp IV;</w:t>
      </w:r>
    </w:p>
    <w:p>
      <w:pPr>
        <w:spacing w:after="0" w:line="225" w:lineRule="exact"/>
        <w:rPr>
          <w:rFonts w:ascii="Times New Roman" w:cs="Times New Roman" w:eastAsia="Times New Roman" w:hAnsi="Times New Roman"/>
          <w:sz w:val="18"/>
          <w:szCs w:val="18"/>
          <w:color w:val="auto"/>
        </w:rPr>
      </w:pPr>
    </w:p>
    <w:p>
      <w:pPr>
        <w:jc w:val="both"/>
        <w:ind w:left="680" w:hanging="672"/>
        <w:spacing w:after="0" w:line="266"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80" w:hanging="672"/>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80" w:right="20" w:hanging="672"/>
        <w:spacing w:after="0" w:line="266"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60" w:hanging="677"/>
        <w:spacing w:after="0" w:line="266" w:lineRule="auto"/>
        <w:tabs>
          <w:tab w:leader="none" w:pos="13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75" w:lineRule="exact"/>
        <w:rPr>
          <w:rFonts w:ascii="Times New Roman" w:cs="Times New Roman" w:eastAsia="Times New Roman" w:hAnsi="Times New Roman"/>
          <w:sz w:val="18"/>
          <w:szCs w:val="18"/>
          <w:color w:val="auto"/>
        </w:rPr>
      </w:pPr>
    </w:p>
    <w:p>
      <w:pPr>
        <w:ind w:left="1360" w:hanging="677"/>
        <w:spacing w:after="0"/>
        <w:tabs>
          <w:tab w:leader="none" w:pos="13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25" w:lineRule="exact"/>
        <w:rPr>
          <w:rFonts w:ascii="Times New Roman" w:cs="Times New Roman" w:eastAsia="Times New Roman" w:hAnsi="Times New Roman"/>
          <w:sz w:val="18"/>
          <w:szCs w:val="18"/>
          <w:color w:val="auto"/>
        </w:rPr>
      </w:pPr>
    </w:p>
    <w:p>
      <w:pPr>
        <w:ind w:left="1360" w:hanging="677"/>
        <w:spacing w:after="0" w:line="282" w:lineRule="auto"/>
        <w:tabs>
          <w:tab w:leader="none" w:pos="13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60" w:hanging="677"/>
        <w:spacing w:after="0" w:line="266" w:lineRule="auto"/>
        <w:tabs>
          <w:tab w:leader="none" w:pos="13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80" w:right="20" w:hanging="672"/>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60" w:hanging="677"/>
        <w:spacing w:after="0" w:line="282" w:lineRule="auto"/>
        <w:tabs>
          <w:tab w:leader="none" w:pos="13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60" w:hanging="677"/>
        <w:spacing w:after="0" w:line="282" w:lineRule="auto"/>
        <w:tabs>
          <w:tab w:leader="none" w:pos="13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11, 2020</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Jay Taragin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Accounting Officer and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Churchill Capital Corp IV (the “Company”) on Form 10-Q for the quarterly period ended June 30, 2020, as filed with the Securities and Exchange Commission (the “Report”), I, Michael Klein, Chief Executive Officer of the Company, certify, pursuant to 18 U.S.C. §1350, as added by §906 of the Sarbanes-Oxley Act of 2002, that:</w:t>
      </w:r>
    </w:p>
    <w:p>
      <w:pPr>
        <w:spacing w:after="0" w:line="176" w:lineRule="exact"/>
        <w:rPr>
          <w:sz w:val="20"/>
          <w:szCs w:val="20"/>
          <w:color w:val="auto"/>
        </w:rPr>
      </w:pPr>
    </w:p>
    <w:p>
      <w:pPr>
        <w:ind w:left="920" w:hanging="453"/>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20" w:right="20" w:hanging="453"/>
        <w:spacing w:after="0" w:line="282" w:lineRule="auto"/>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11, 2020</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Michael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Michael Klein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Churchill Capital Corp IV (the “Company”) on Form 10-Q for the quarterly period ended June 30, 2020, as filed with the Securities and Exchange Commission (the “Report”), I, Jay Taragin, Chief Financial Officer of the Company, certify, pursuant to 18 U.S.C. §1350, as added by §906 of the Sarbanes-Oxley Act of 2002, that:</w:t>
      </w:r>
    </w:p>
    <w:p>
      <w:pPr>
        <w:spacing w:after="0" w:line="176" w:lineRule="exact"/>
        <w:rPr>
          <w:sz w:val="20"/>
          <w:szCs w:val="20"/>
          <w:color w:val="auto"/>
        </w:rPr>
      </w:pPr>
    </w:p>
    <w:p>
      <w:pPr>
        <w:ind w:left="920" w:hanging="453"/>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20" w:right="20" w:hanging="453"/>
        <w:spacing w:after="0" w:line="282" w:lineRule="auto"/>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11, 2020</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Jay Taragin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Accounting Officer and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lowerRoman"/>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45" Type="http://schemas.openxmlformats.org/officeDocument/2006/relationships/image" Target="media/image23.png"/><Relationship Id="rId46" Type="http://schemas.openxmlformats.org/officeDocument/2006/relationships/image" Target="media/image24.png"/><Relationship Id="rId47" Type="http://schemas.openxmlformats.org/officeDocument/2006/relationships/image" Target="media/image25.png"/><Relationship Id="rId48" Type="http://schemas.openxmlformats.org/officeDocument/2006/relationships/image" Target="media/image26.png"/><Relationship Id="rId49" Type="http://schemas.openxmlformats.org/officeDocument/2006/relationships/image" Target="media/image27.png"/><Relationship Id="rId50" Type="http://schemas.openxmlformats.org/officeDocument/2006/relationships/image" Target="media/image28.png"/><Relationship Id="rId51" Type="http://schemas.openxmlformats.org/officeDocument/2006/relationships/image" Target="media/image29.png"/><Relationship Id="rId52" Type="http://schemas.openxmlformats.org/officeDocument/2006/relationships/image" Target="media/image30.png"/><Relationship Id="rId53" Type="http://schemas.openxmlformats.org/officeDocument/2006/relationships/image" Target="media/image31.png"/><Relationship Id="rId54" Type="http://schemas.openxmlformats.org/officeDocument/2006/relationships/image" Target="media/image32.png"/><Relationship Id="rId55" Type="http://schemas.openxmlformats.org/officeDocument/2006/relationships/image" Target="media/image33.png"/><Relationship Id="rId56" Type="http://schemas.openxmlformats.org/officeDocument/2006/relationships/image" Target="media/image34.png"/><Relationship Id="rId30" Type="http://schemas.openxmlformats.org/officeDocument/2006/relationships/hyperlink" Target="http://www.sec.gov/Archives/edgar/data/1811210/000110465920090379/tm2026266d1_ex1-1.htm" TargetMode="External"/><Relationship Id="rId31" Type="http://schemas.openxmlformats.org/officeDocument/2006/relationships/hyperlink" Target="http://www.sec.gov/Archives/edgar/data/1811210/000110465920090379/tm2026266d1_ex4-1.htm" TargetMode="External"/><Relationship Id="rId32" Type="http://schemas.openxmlformats.org/officeDocument/2006/relationships/hyperlink" Target="http://www.sec.gov/Archives/edgar/data/1811210/000110465920090379/tm2026266d1_ex10-1.htm" TargetMode="External"/><Relationship Id="rId33" Type="http://schemas.openxmlformats.org/officeDocument/2006/relationships/hyperlink" Target="http://www.sec.gov/Archives/edgar/data/1811210/000110465920090379/tm2026266d1_ex10-2.htm" TargetMode="External"/><Relationship Id="rId34" Type="http://schemas.openxmlformats.org/officeDocument/2006/relationships/hyperlink" Target="http://www.sec.gov/Archives/edgar/data/1811210/000110465920090379/tm2026266d1_ex10-3.htm" TargetMode="External"/><Relationship Id="rId35" Type="http://schemas.openxmlformats.org/officeDocument/2006/relationships/hyperlink" Target="http://www.sec.gov/Archives/edgar/data/1811210/000110465920090379/tm2026266d1_ex10-4.htm" TargetMode="External"/><Relationship Id="rId36" Type="http://schemas.openxmlformats.org/officeDocument/2006/relationships/hyperlink" Target="http://www.sec.gov/Archives/edgar/data/1811210/000110465920090379/tm2026266d1_ex10-5.htm" TargetMode="External"/><Relationship Id="rId37" Type="http://schemas.openxmlformats.org/officeDocument/2006/relationships/hyperlink" Target="http://www.sec.gov/Archives/edgar/data/1811210/000110465920090379/tm2026266d1_ex10-6.htm" TargetMode="External"/><Relationship Id="rId38" Type="http://schemas.openxmlformats.org/officeDocument/2006/relationships/hyperlink" Target="http://www.sec.gov/Archives/edgar/data/1811210/000110465920090379/tm2026266d1_ex10-7.htm" TargetMode="External"/><Relationship Id="rId39" Type="http://schemas.openxmlformats.org/officeDocument/2006/relationships/hyperlink" Target="http://www.sec.gov/Archives/edgar/data/1811210/000110465920090379/tm2026266d1_ex10-8.htm" TargetMode="External"/><Relationship Id="rId40" Type="http://schemas.openxmlformats.org/officeDocument/2006/relationships/hyperlink" Target="http://www.sec.gov/Archives/edgar/data/1811210/000110465920090379/tm2026266d1_ex10-9.htm" TargetMode="External"/><Relationship Id="rId41" Type="http://schemas.openxmlformats.org/officeDocument/2006/relationships/hyperlink" Target="http://www.sec.gov/Archives/edgar/data/1811210/000110465920090379/tm2026266d1_ex10-10.htm" TargetMode="External"/><Relationship Id="rId42" Type="http://schemas.openxmlformats.org/officeDocument/2006/relationships/hyperlink" Target="http://www.sec.gov/Archives/edgar/data/1811210/000110465920090379/tm2026266d1_ex10-11.htm" TargetMode="External"/><Relationship Id="rId43" Type="http://schemas.openxmlformats.org/officeDocument/2006/relationships/hyperlink" Target="http://www.sec.gov/Archives/edgar/data/1811210/000110465920090379/tm2026266d1_ex10-12.htm" TargetMode="External"/><Relationship Id="rId44" Type="http://schemas.openxmlformats.org/officeDocument/2006/relationships/hyperlink" Target="http://www.sec.gov/Archives/edgar/data/1811210/000110465920090379/tm2026266d1_ex10-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2020-09-11T15:28:32Z</dcterms:created>
  <dcterms:modified xsi:type="dcterms:W3CDTF">2020-09-11T15:28:32Z</dcterms:modified>
</cp:coreProperties>
</file>