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6, 2026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240" w:after="283"/>
        <w:jc w:val="left"/>
        <w:rPr/>
      </w:pPr>
      <w:r>
        <w:rPr>
          <w:rFonts w:ascii="Times New Roman;serif" w:hAnsi="Times New Roman;serif"/>
          <w:b w:val="false"/>
          <w:color w:val="000000"/>
          <w:sz w:val="20"/>
        </w:rPr>
        <w:t>On October 6, 2026, Lucid Group, Inc. drew $400 million of Delayed Draw Term Loan (“</w:t>
      </w:r>
      <w:r>
        <w:rPr>
          <w:rFonts w:ascii="Times New Roman;serif" w:hAnsi="Times New Roman;serif"/>
          <w:b/>
          <w:i/>
          <w:color w:val="000000"/>
          <w:sz w:val="20"/>
        </w:rPr>
        <w:t>DDTL</w:t>
      </w:r>
      <w:r>
        <w:rPr>
          <w:color w:val="000000"/>
        </w:rPr>
        <w:t>”</w:t>
      </w:r>
      <w:r>
        <w:rPr>
          <w:rFonts w:ascii="Times New Roman;serif" w:hAnsi="Times New Roman;serif"/>
          <w:b w:val="false"/>
          <w:color w:val="000000"/>
          <w:sz w:val="20"/>
        </w:rPr>
        <w:t>) facilities pursuant to its existing agreement with Ayar Third Investment Company, an affiliate of the Public Investment Fund. Following this draw, the aggregate principal amount outstanding under the DDTL is approximately $2.1 billion, with approximately $400 million of additional borrowing capacity remaining. A summary of the key terms of the DDTL is incorporated by reference from the Current Report on Form 8-Ks filed on August 5, 2024, November 5, 2025 and April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5806" w:type="dxa"/>
        <w:jc w:val="left"/>
        <w:tblInd w:w="0" w:type="dxa"/>
        <w:tblLayout w:type="fixed"/>
        <w:tblCellMar>
          <w:top w:w="28" w:type="dxa"/>
          <w:left w:w="28" w:type="dxa"/>
          <w:bottom w:w="28" w:type="dxa"/>
          <w:right w:w="28" w:type="dxa"/>
        </w:tblCellMar>
      </w:tblPr>
      <w:tblGrid>
        <w:gridCol w:w="727"/>
        <w:gridCol w:w="638"/>
        <w:gridCol w:w="644"/>
        <w:gridCol w:w="322"/>
        <w:gridCol w:w="322"/>
        <w:gridCol w:w="322"/>
        <w:gridCol w:w="818"/>
        <w:gridCol w:w="818"/>
        <w:gridCol w:w="82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October 9, 2026</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Alexander De Bock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Alexander De Bock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496</Words>
  <Characters>2720</Characters>
  <CharactersWithSpaces>3181</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