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65" w:lineRule="exact"/>
        <w:rPr>
          <w:sz w:val="24"/>
          <w:szCs w:val="24"/>
          <w:color w:val="auto"/>
        </w:rPr>
      </w:pPr>
    </w:p>
    <w:p>
      <w:pPr>
        <w:ind w:left="2440"/>
        <w:spacing w:after="0"/>
        <w:rPr>
          <w:sz w:val="20"/>
          <w:szCs w:val="20"/>
          <w:color w:val="auto"/>
        </w:rPr>
      </w:pPr>
      <w:r>
        <w:rPr>
          <w:rFonts w:ascii="Arial" w:cs="Arial" w:eastAsia="Arial" w:hAnsi="Arial"/>
          <w:sz w:val="15"/>
          <w:szCs w:val="15"/>
          <w:b w:val="1"/>
          <w:bCs w:val="1"/>
          <w:color w:val="auto"/>
        </w:rPr>
        <w:t>As filed with the U.S. Securities and Exchange Commission on July 27, 2020.</w:t>
      </w:r>
    </w:p>
    <w:p>
      <w:pPr>
        <w:spacing w:after="0" w:line="37" w:lineRule="exact"/>
        <w:rPr>
          <w:sz w:val="24"/>
          <w:szCs w:val="24"/>
          <w:color w:val="auto"/>
        </w:rPr>
      </w:pPr>
    </w:p>
    <w:p>
      <w:pPr>
        <w:jc w:val="right"/>
        <w:ind w:right="879"/>
        <w:spacing w:after="0"/>
        <w:rPr>
          <w:sz w:val="20"/>
          <w:szCs w:val="20"/>
          <w:color w:val="auto"/>
        </w:rPr>
      </w:pPr>
      <w:r>
        <w:rPr>
          <w:rFonts w:ascii="Arial" w:cs="Arial" w:eastAsia="Arial" w:hAnsi="Arial"/>
          <w:sz w:val="13"/>
          <w:szCs w:val="13"/>
          <w:b w:val="1"/>
          <w:bCs w:val="1"/>
          <w:color w:val="auto"/>
        </w:rPr>
        <w:t>Registration No. 333-239856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278130</wp:posOffset>
            </wp:positionH>
            <wp:positionV relativeFrom="paragraph">
              <wp:posOffset>34290</wp:posOffset>
            </wp:positionV>
            <wp:extent cx="5599430" cy="23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99430" cy="23495"/>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88900</wp:posOffset>
            </wp:positionV>
            <wp:extent cx="559943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99430" cy="7620"/>
                    </a:xfrm>
                    <a:prstGeom prst="rect">
                      <a:avLst/>
                    </a:prstGeom>
                    <a:noFill/>
                  </pic:spPr>
                </pic:pic>
              </a:graphicData>
            </a:graphic>
          </wp:anchor>
        </w:drawing>
      </w:r>
    </w:p>
    <w:p>
      <w:pPr>
        <w:spacing w:after="0" w:line="164" w:lineRule="exact"/>
        <w:rPr>
          <w:sz w:val="24"/>
          <w:szCs w:val="24"/>
          <w:color w:val="auto"/>
        </w:rPr>
      </w:pPr>
    </w:p>
    <w:p>
      <w:pPr>
        <w:jc w:val="center"/>
        <w:ind w:right="479"/>
        <w:spacing w:after="0"/>
        <w:rPr>
          <w:sz w:val="20"/>
          <w:szCs w:val="20"/>
          <w:color w:val="auto"/>
        </w:rPr>
      </w:pPr>
      <w:r>
        <w:rPr>
          <w:rFonts w:ascii="Arial" w:cs="Arial" w:eastAsia="Arial" w:hAnsi="Arial"/>
          <w:sz w:val="16"/>
          <w:szCs w:val="16"/>
          <w:b w:val="1"/>
          <w:bCs w:val="1"/>
          <w:color w:val="auto"/>
        </w:rPr>
        <w:t>UNITED STATES</w:t>
      </w:r>
    </w:p>
    <w:p>
      <w:pPr>
        <w:jc w:val="center"/>
        <w:ind w:right="479"/>
        <w:spacing w:after="0" w:line="230" w:lineRule="auto"/>
        <w:rPr>
          <w:sz w:val="20"/>
          <w:szCs w:val="20"/>
          <w:color w:val="auto"/>
        </w:rPr>
      </w:pPr>
      <w:r>
        <w:rPr>
          <w:rFonts w:ascii="Arial" w:cs="Arial" w:eastAsia="Arial" w:hAnsi="Arial"/>
          <w:sz w:val="16"/>
          <w:szCs w:val="16"/>
          <w:b w:val="1"/>
          <w:bCs w:val="1"/>
          <w:color w:val="auto"/>
        </w:rPr>
        <w:t>SECURITIES AND EXCHANGE COMMISSION</w:t>
      </w:r>
    </w:p>
    <w:p>
      <w:pPr>
        <w:jc w:val="center"/>
        <w:ind w:right="4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2522855</wp:posOffset>
            </wp:positionH>
            <wp:positionV relativeFrom="paragraph">
              <wp:posOffset>53340</wp:posOffset>
            </wp:positionV>
            <wp:extent cx="11182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8235" cy="7620"/>
                    </a:xfrm>
                    <a:prstGeom prst="rect">
                      <a:avLst/>
                    </a:prstGeom>
                    <a:noFill/>
                  </pic:spPr>
                </pic:pic>
              </a:graphicData>
            </a:graphic>
          </wp:anchor>
        </w:drawing>
      </w:r>
    </w:p>
    <w:p>
      <w:pPr>
        <w:spacing w:after="0" w:line="108" w:lineRule="exact"/>
        <w:rPr>
          <w:sz w:val="24"/>
          <w:szCs w:val="24"/>
          <w:color w:val="auto"/>
        </w:rPr>
      </w:pPr>
    </w:p>
    <w:p>
      <w:pPr>
        <w:jc w:val="center"/>
        <w:ind w:right="479"/>
        <w:spacing w:after="0"/>
        <w:rPr>
          <w:sz w:val="20"/>
          <w:szCs w:val="20"/>
          <w:color w:val="auto"/>
        </w:rPr>
      </w:pPr>
      <w:r>
        <w:rPr>
          <w:rFonts w:ascii="Arial" w:cs="Arial" w:eastAsia="Arial" w:hAnsi="Arial"/>
          <w:sz w:val="16"/>
          <w:szCs w:val="16"/>
          <w:b w:val="1"/>
          <w:bCs w:val="1"/>
          <w:color w:val="auto"/>
        </w:rPr>
        <w:t>Amendment No. 1 to</w:t>
      </w:r>
    </w:p>
    <w:p>
      <w:pPr>
        <w:jc w:val="center"/>
        <w:ind w:right="479"/>
        <w:spacing w:after="0" w:line="230" w:lineRule="auto"/>
        <w:rPr>
          <w:sz w:val="20"/>
          <w:szCs w:val="20"/>
          <w:color w:val="auto"/>
        </w:rPr>
      </w:pPr>
      <w:r>
        <w:rPr>
          <w:rFonts w:ascii="Arial" w:cs="Arial" w:eastAsia="Arial" w:hAnsi="Arial"/>
          <w:sz w:val="16"/>
          <w:szCs w:val="16"/>
          <w:b w:val="1"/>
          <w:bCs w:val="1"/>
          <w:color w:val="auto"/>
        </w:rPr>
        <w:t>FORM S-1</w:t>
      </w:r>
    </w:p>
    <w:p>
      <w:pPr>
        <w:jc w:val="center"/>
        <w:ind w:right="479"/>
        <w:spacing w:after="0" w:line="223" w:lineRule="auto"/>
        <w:rPr>
          <w:sz w:val="20"/>
          <w:szCs w:val="20"/>
          <w:color w:val="auto"/>
        </w:rPr>
      </w:pPr>
      <w:r>
        <w:rPr>
          <w:rFonts w:ascii="Arial" w:cs="Arial" w:eastAsia="Arial" w:hAnsi="Arial"/>
          <w:sz w:val="16"/>
          <w:szCs w:val="16"/>
          <w:b w:val="1"/>
          <w:bCs w:val="1"/>
          <w:color w:val="auto"/>
        </w:rPr>
        <w:t>REGISTRATION STATEMENT</w:t>
      </w:r>
    </w:p>
    <w:p>
      <w:pPr>
        <w:jc w:val="center"/>
        <w:ind w:right="479"/>
        <w:spacing w:after="0" w:line="223" w:lineRule="auto"/>
        <w:rPr>
          <w:sz w:val="20"/>
          <w:szCs w:val="20"/>
          <w:color w:val="auto"/>
        </w:rPr>
      </w:pPr>
      <w:r>
        <w:rPr>
          <w:rFonts w:ascii="Arial" w:cs="Arial" w:eastAsia="Arial" w:hAnsi="Arial"/>
          <w:sz w:val="16"/>
          <w:szCs w:val="16"/>
          <w:b w:val="1"/>
          <w:bCs w:val="1"/>
          <w:i w:val="1"/>
          <w:iCs w:val="1"/>
          <w:color w:val="auto"/>
        </w:rPr>
        <w:t>UNDER</w:t>
      </w:r>
    </w:p>
    <w:p>
      <w:pPr>
        <w:spacing w:after="0" w:line="1" w:lineRule="exact"/>
        <w:rPr>
          <w:sz w:val="24"/>
          <w:szCs w:val="24"/>
          <w:color w:val="auto"/>
        </w:rPr>
      </w:pPr>
    </w:p>
    <w:p>
      <w:pPr>
        <w:jc w:val="center"/>
        <w:ind w:right="43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2522855</wp:posOffset>
            </wp:positionH>
            <wp:positionV relativeFrom="paragraph">
              <wp:posOffset>45085</wp:posOffset>
            </wp:positionV>
            <wp:extent cx="11182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8235" cy="7620"/>
                    </a:xfrm>
                    <a:prstGeom prst="rect">
                      <a:avLst/>
                    </a:prstGeom>
                    <a:noFill/>
                  </pic:spPr>
                </pic:pic>
              </a:graphicData>
            </a:graphic>
          </wp:anchor>
        </w:drawing>
      </w:r>
    </w:p>
    <w:p>
      <w:pPr>
        <w:spacing w:after="0" w:line="70" w:lineRule="exact"/>
        <w:rPr>
          <w:sz w:val="24"/>
          <w:szCs w:val="24"/>
          <w:color w:val="auto"/>
        </w:rPr>
      </w:pPr>
    </w:p>
    <w:p>
      <w:pPr>
        <w:ind w:left="3440"/>
        <w:spacing w:after="0"/>
        <w:rPr>
          <w:sz w:val="20"/>
          <w:szCs w:val="20"/>
          <w:color w:val="auto"/>
        </w:rPr>
      </w:pPr>
      <w:r>
        <w:rPr>
          <w:rFonts w:ascii="Arial" w:cs="Arial" w:eastAsia="Arial" w:hAnsi="Arial"/>
          <w:sz w:val="26"/>
          <w:szCs w:val="26"/>
          <w:b w:val="1"/>
          <w:bCs w:val="1"/>
          <w:color w:val="auto"/>
        </w:rPr>
        <w:t>Churchill Capital Corp IV</w:t>
      </w:r>
    </w:p>
    <w:p>
      <w:pPr>
        <w:spacing w:after="0" w:line="19" w:lineRule="exact"/>
        <w:rPr>
          <w:sz w:val="24"/>
          <w:szCs w:val="24"/>
          <w:color w:val="auto"/>
        </w:rPr>
      </w:pPr>
    </w:p>
    <w:p>
      <w:pPr>
        <w:ind w:left="3440"/>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2522855</wp:posOffset>
            </wp:positionH>
            <wp:positionV relativeFrom="paragraph">
              <wp:posOffset>64135</wp:posOffset>
            </wp:positionV>
            <wp:extent cx="11182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8235" cy="7620"/>
                    </a:xfrm>
                    <a:prstGeom prst="rect">
                      <a:avLst/>
                    </a:prstGeom>
                    <a:noFill/>
                  </pic:spPr>
                </pic:pic>
              </a:graphicData>
            </a:graphic>
          </wp:anchor>
        </w:drawing>
      </w:r>
    </w:p>
    <w:p>
      <w:pPr>
        <w:spacing w:after="0" w:line="136" w:lineRule="exact"/>
        <w:rPr>
          <w:sz w:val="24"/>
          <w:szCs w:val="24"/>
          <w:color w:val="auto"/>
        </w:rPr>
      </w:pPr>
    </w:p>
    <w:tbl>
      <w:tblPr>
        <w:tblLayout w:type="fixed"/>
        <w:tblInd w:w="1040" w:type="dxa"/>
        <w:tblCellMar>
          <w:top w:w="0" w:type="dxa"/>
          <w:left w:w="0" w:type="dxa"/>
          <w:bottom w:w="0" w:type="dxa"/>
          <w:right w:w="0" w:type="dxa"/>
        </w:tblCellMar>
      </w:tblPr>
      <w:tr>
        <w:trPr>
          <w:trHeight w:val="149"/>
        </w:trPr>
        <w:tc>
          <w:tcPr>
            <w:tcW w:w="2320" w:type="dxa"/>
            <w:vAlign w:val="bottom"/>
          </w:tcPr>
          <w:p>
            <w:pPr>
              <w:ind w:left="560"/>
              <w:spacing w:after="0"/>
              <w:rPr>
                <w:sz w:val="20"/>
                <w:szCs w:val="20"/>
                <w:color w:val="auto"/>
              </w:rPr>
            </w:pPr>
            <w:r>
              <w:rPr>
                <w:rFonts w:ascii="Arial" w:cs="Arial" w:eastAsia="Arial" w:hAnsi="Arial"/>
                <w:sz w:val="13"/>
                <w:szCs w:val="13"/>
                <w:b w:val="1"/>
                <w:bCs w:val="1"/>
                <w:color w:val="auto"/>
              </w:rPr>
              <w:t>Delaware</w:t>
            </w:r>
          </w:p>
        </w:tc>
        <w:tc>
          <w:tcPr>
            <w:tcW w:w="3060" w:type="dxa"/>
            <w:vAlign w:val="bottom"/>
          </w:tcPr>
          <w:p>
            <w:pPr>
              <w:jc w:val="right"/>
              <w:ind w:right="1395"/>
              <w:spacing w:after="0"/>
              <w:rPr>
                <w:sz w:val="20"/>
                <w:szCs w:val="20"/>
                <w:color w:val="auto"/>
              </w:rPr>
            </w:pPr>
            <w:r>
              <w:rPr>
                <w:rFonts w:ascii="Arial" w:cs="Arial" w:eastAsia="Arial" w:hAnsi="Arial"/>
                <w:sz w:val="13"/>
                <w:szCs w:val="13"/>
                <w:b w:val="1"/>
                <w:bCs w:val="1"/>
                <w:color w:val="auto"/>
              </w:rPr>
              <w:t>6770</w:t>
            </w:r>
          </w:p>
        </w:tc>
        <w:tc>
          <w:tcPr>
            <w:tcW w:w="2040" w:type="dxa"/>
            <w:vAlign w:val="bottom"/>
          </w:tcPr>
          <w:p>
            <w:pPr>
              <w:jc w:val="right"/>
              <w:ind w:right="255"/>
              <w:spacing w:after="0"/>
              <w:rPr>
                <w:sz w:val="20"/>
                <w:szCs w:val="20"/>
                <w:color w:val="auto"/>
              </w:rPr>
            </w:pPr>
            <w:r>
              <w:rPr>
                <w:rFonts w:ascii="Arial" w:cs="Arial" w:eastAsia="Arial" w:hAnsi="Arial"/>
                <w:sz w:val="13"/>
                <w:szCs w:val="13"/>
                <w:b w:val="1"/>
                <w:bCs w:val="1"/>
                <w:color w:val="auto"/>
              </w:rPr>
              <w:t>85-0891392</w:t>
            </w:r>
          </w:p>
        </w:tc>
      </w:tr>
      <w:tr>
        <w:trPr>
          <w:trHeight w:val="135"/>
        </w:trPr>
        <w:tc>
          <w:tcPr>
            <w:tcW w:w="2320" w:type="dxa"/>
            <w:vAlign w:val="bottom"/>
          </w:tcPr>
          <w:p>
            <w:pPr>
              <w:spacing w:after="0" w:line="134" w:lineRule="exact"/>
              <w:rPr>
                <w:sz w:val="20"/>
                <w:szCs w:val="20"/>
                <w:color w:val="auto"/>
              </w:rPr>
            </w:pPr>
            <w:r>
              <w:rPr>
                <w:rFonts w:ascii="Arial" w:cs="Arial" w:eastAsia="Arial" w:hAnsi="Arial"/>
                <w:sz w:val="13"/>
                <w:szCs w:val="13"/>
                <w:color w:val="auto"/>
              </w:rPr>
              <w:t>(State or other jurisdiction of</w:t>
            </w:r>
          </w:p>
        </w:tc>
        <w:tc>
          <w:tcPr>
            <w:tcW w:w="3060" w:type="dxa"/>
            <w:vAlign w:val="bottom"/>
          </w:tcPr>
          <w:p>
            <w:pPr>
              <w:jc w:val="center"/>
              <w:ind w:right="75"/>
              <w:spacing w:after="0" w:line="134" w:lineRule="exact"/>
              <w:rPr>
                <w:sz w:val="20"/>
                <w:szCs w:val="20"/>
                <w:color w:val="auto"/>
              </w:rPr>
            </w:pPr>
            <w:r>
              <w:rPr>
                <w:rFonts w:ascii="Arial" w:cs="Arial" w:eastAsia="Arial" w:hAnsi="Arial"/>
                <w:sz w:val="13"/>
                <w:szCs w:val="13"/>
                <w:color w:val="auto"/>
                <w:w w:val="96"/>
              </w:rPr>
              <w:t>(Primary Standard Industrial</w:t>
            </w:r>
          </w:p>
        </w:tc>
        <w:tc>
          <w:tcPr>
            <w:tcW w:w="2040" w:type="dxa"/>
            <w:vAlign w:val="bottom"/>
          </w:tcPr>
          <w:p>
            <w:pPr>
              <w:jc w:val="center"/>
              <w:ind w:left="675"/>
              <w:spacing w:after="0" w:line="134" w:lineRule="exact"/>
              <w:rPr>
                <w:sz w:val="20"/>
                <w:szCs w:val="20"/>
                <w:color w:val="auto"/>
              </w:rPr>
            </w:pPr>
            <w:r>
              <w:rPr>
                <w:rFonts w:ascii="Arial" w:cs="Arial" w:eastAsia="Arial" w:hAnsi="Arial"/>
                <w:sz w:val="13"/>
                <w:szCs w:val="13"/>
                <w:color w:val="auto"/>
                <w:w w:val="98"/>
              </w:rPr>
              <w:t>(I.R.S. Employer</w:t>
            </w:r>
          </w:p>
        </w:tc>
      </w:tr>
      <w:tr>
        <w:trPr>
          <w:trHeight w:val="164"/>
        </w:trPr>
        <w:tc>
          <w:tcPr>
            <w:tcW w:w="2320" w:type="dxa"/>
            <w:vAlign w:val="bottom"/>
          </w:tcPr>
          <w:p>
            <w:pPr>
              <w:spacing w:after="0"/>
              <w:rPr>
                <w:sz w:val="20"/>
                <w:szCs w:val="20"/>
                <w:color w:val="auto"/>
              </w:rPr>
            </w:pPr>
            <w:r>
              <w:rPr>
                <w:rFonts w:ascii="Arial" w:cs="Arial" w:eastAsia="Arial" w:hAnsi="Arial"/>
                <w:sz w:val="13"/>
                <w:szCs w:val="13"/>
                <w:color w:val="auto"/>
              </w:rPr>
              <w:t>incorporation or organization)</w:t>
            </w:r>
          </w:p>
        </w:tc>
        <w:tc>
          <w:tcPr>
            <w:tcW w:w="3060" w:type="dxa"/>
            <w:vAlign w:val="bottom"/>
          </w:tcPr>
          <w:p>
            <w:pPr>
              <w:jc w:val="center"/>
              <w:ind w:right="35"/>
              <w:spacing w:after="0"/>
              <w:rPr>
                <w:sz w:val="20"/>
                <w:szCs w:val="20"/>
                <w:color w:val="auto"/>
              </w:rPr>
            </w:pPr>
            <w:r>
              <w:rPr>
                <w:rFonts w:ascii="Arial" w:cs="Arial" w:eastAsia="Arial" w:hAnsi="Arial"/>
                <w:sz w:val="13"/>
                <w:szCs w:val="13"/>
                <w:color w:val="auto"/>
                <w:w w:val="96"/>
              </w:rPr>
              <w:t>Classification Code Number)</w:t>
            </w:r>
          </w:p>
        </w:tc>
        <w:tc>
          <w:tcPr>
            <w:tcW w:w="2040" w:type="dxa"/>
            <w:vAlign w:val="bottom"/>
          </w:tcPr>
          <w:p>
            <w:pPr>
              <w:jc w:val="center"/>
              <w:ind w:left="715"/>
              <w:spacing w:after="0"/>
              <w:rPr>
                <w:sz w:val="20"/>
                <w:szCs w:val="20"/>
                <w:color w:val="auto"/>
              </w:rPr>
            </w:pPr>
            <w:r>
              <w:rPr>
                <w:rFonts w:ascii="Arial" w:cs="Arial" w:eastAsia="Arial" w:hAnsi="Arial"/>
                <w:sz w:val="13"/>
                <w:szCs w:val="13"/>
                <w:color w:val="auto"/>
                <w:w w:val="99"/>
              </w:rPr>
              <w:t>Identification Number)</w:t>
            </w:r>
          </w:p>
        </w:tc>
      </w:tr>
      <w:tr>
        <w:trPr>
          <w:trHeight w:val="187"/>
        </w:trPr>
        <w:tc>
          <w:tcPr>
            <w:tcW w:w="2320" w:type="dxa"/>
            <w:vAlign w:val="bottom"/>
          </w:tcPr>
          <w:p>
            <w:pPr>
              <w:spacing w:after="0"/>
              <w:rPr>
                <w:sz w:val="16"/>
                <w:szCs w:val="16"/>
                <w:color w:val="auto"/>
              </w:rPr>
            </w:pPr>
          </w:p>
        </w:tc>
        <w:tc>
          <w:tcPr>
            <w:tcW w:w="3060" w:type="dxa"/>
            <w:vAlign w:val="bottom"/>
          </w:tcPr>
          <w:p>
            <w:pPr>
              <w:jc w:val="center"/>
              <w:ind w:right="55"/>
              <w:spacing w:after="0" w:line="186" w:lineRule="exact"/>
              <w:rPr>
                <w:sz w:val="20"/>
                <w:szCs w:val="20"/>
                <w:color w:val="auto"/>
              </w:rPr>
            </w:pPr>
            <w:r>
              <w:rPr>
                <w:rFonts w:ascii="Arial" w:cs="Arial" w:eastAsia="Arial" w:hAnsi="Arial"/>
                <w:sz w:val="13"/>
                <w:szCs w:val="13"/>
                <w:b w:val="1"/>
                <w:bCs w:val="1"/>
                <w:color w:val="auto"/>
                <w:w w:val="86"/>
              </w:rPr>
              <w:t>640 Fifth Avenue, 12</w:t>
            </w:r>
            <w:r>
              <w:rPr>
                <w:rFonts w:ascii="Arial" w:cs="Arial" w:eastAsia="Arial" w:hAnsi="Arial"/>
                <w:sz w:val="19"/>
                <w:szCs w:val="19"/>
                <w:b w:val="1"/>
                <w:bCs w:val="1"/>
                <w:color w:val="auto"/>
                <w:w w:val="86"/>
                <w:vertAlign w:val="superscript"/>
              </w:rPr>
              <w:t>th</w:t>
            </w:r>
            <w:r>
              <w:rPr>
                <w:rFonts w:ascii="Arial" w:cs="Arial" w:eastAsia="Arial" w:hAnsi="Arial"/>
                <w:sz w:val="13"/>
                <w:szCs w:val="13"/>
                <w:b w:val="1"/>
                <w:bCs w:val="1"/>
                <w:color w:val="auto"/>
                <w:w w:val="86"/>
              </w:rPr>
              <w:t xml:space="preserve"> Floor</w:t>
            </w:r>
          </w:p>
        </w:tc>
        <w:tc>
          <w:tcPr>
            <w:tcW w:w="2040" w:type="dxa"/>
            <w:vAlign w:val="bottom"/>
          </w:tcPr>
          <w:p>
            <w:pPr>
              <w:spacing w:after="0"/>
              <w:rPr>
                <w:sz w:val="16"/>
                <w:szCs w:val="16"/>
                <w:color w:val="auto"/>
              </w:rPr>
            </w:pPr>
          </w:p>
        </w:tc>
      </w:tr>
      <w:tr>
        <w:trPr>
          <w:trHeight w:val="135"/>
        </w:trPr>
        <w:tc>
          <w:tcPr>
            <w:tcW w:w="2320" w:type="dxa"/>
            <w:vAlign w:val="bottom"/>
          </w:tcPr>
          <w:p>
            <w:pPr>
              <w:spacing w:after="0"/>
              <w:rPr>
                <w:sz w:val="11"/>
                <w:szCs w:val="11"/>
                <w:color w:val="auto"/>
              </w:rPr>
            </w:pPr>
          </w:p>
        </w:tc>
        <w:tc>
          <w:tcPr>
            <w:tcW w:w="3060" w:type="dxa"/>
            <w:vAlign w:val="bottom"/>
          </w:tcPr>
          <w:p>
            <w:pPr>
              <w:jc w:val="center"/>
              <w:ind w:right="35"/>
              <w:spacing w:after="0" w:line="134" w:lineRule="exact"/>
              <w:rPr>
                <w:sz w:val="20"/>
                <w:szCs w:val="20"/>
                <w:color w:val="auto"/>
              </w:rPr>
            </w:pPr>
            <w:r>
              <w:rPr>
                <w:rFonts w:ascii="Arial" w:cs="Arial" w:eastAsia="Arial" w:hAnsi="Arial"/>
                <w:sz w:val="13"/>
                <w:szCs w:val="13"/>
                <w:b w:val="1"/>
                <w:bCs w:val="1"/>
                <w:color w:val="auto"/>
                <w:w w:val="90"/>
              </w:rPr>
              <w:t>New York, NY 10019</w:t>
            </w:r>
          </w:p>
        </w:tc>
        <w:tc>
          <w:tcPr>
            <w:tcW w:w="2040" w:type="dxa"/>
            <w:vAlign w:val="bottom"/>
          </w:tcPr>
          <w:p>
            <w:pPr>
              <w:spacing w:after="0"/>
              <w:rPr>
                <w:sz w:val="11"/>
                <w:szCs w:val="11"/>
                <w:color w:val="auto"/>
              </w:rPr>
            </w:pPr>
          </w:p>
        </w:tc>
      </w:tr>
      <w:tr>
        <w:trPr>
          <w:trHeight w:val="149"/>
        </w:trPr>
        <w:tc>
          <w:tcPr>
            <w:tcW w:w="2320" w:type="dxa"/>
            <w:vAlign w:val="bottom"/>
          </w:tcPr>
          <w:p>
            <w:pPr>
              <w:spacing w:after="0"/>
              <w:rPr>
                <w:sz w:val="12"/>
                <w:szCs w:val="12"/>
                <w:color w:val="auto"/>
              </w:rPr>
            </w:pPr>
          </w:p>
        </w:tc>
        <w:tc>
          <w:tcPr>
            <w:tcW w:w="3060" w:type="dxa"/>
            <w:vAlign w:val="bottom"/>
          </w:tcPr>
          <w:p>
            <w:pPr>
              <w:jc w:val="center"/>
              <w:ind w:right="35"/>
              <w:spacing w:after="0"/>
              <w:rPr>
                <w:sz w:val="20"/>
                <w:szCs w:val="20"/>
                <w:color w:val="auto"/>
              </w:rPr>
            </w:pPr>
            <w:r>
              <w:rPr>
                <w:rFonts w:ascii="Arial" w:cs="Arial" w:eastAsia="Arial" w:hAnsi="Arial"/>
                <w:sz w:val="13"/>
                <w:szCs w:val="13"/>
                <w:b w:val="1"/>
                <w:bCs w:val="1"/>
                <w:color w:val="auto"/>
                <w:w w:val="86"/>
              </w:rPr>
              <w:t>Telephone: (212) 380-7500</w:t>
            </w:r>
          </w:p>
        </w:tc>
        <w:tc>
          <w:tcPr>
            <w:tcW w:w="2040" w:type="dxa"/>
            <w:vAlign w:val="bottom"/>
          </w:tcPr>
          <w:p>
            <w:pPr>
              <w:spacing w:after="0"/>
              <w:rPr>
                <w:sz w:val="12"/>
                <w:szCs w:val="12"/>
                <w:color w:val="auto"/>
              </w:rPr>
            </w:pPr>
          </w:p>
        </w:tc>
      </w:tr>
    </w:tbl>
    <w:p>
      <w:pPr>
        <w:jc w:val="center"/>
        <w:ind w:right="439"/>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31" w:lineRule="exact"/>
        <w:rPr>
          <w:sz w:val="24"/>
          <w:szCs w:val="24"/>
          <w:color w:val="auto"/>
        </w:rPr>
      </w:pPr>
    </w:p>
    <w:p>
      <w:pPr>
        <w:jc w:val="center"/>
        <w:ind w:right="479"/>
        <w:spacing w:after="0"/>
        <w:rPr>
          <w:sz w:val="20"/>
          <w:szCs w:val="20"/>
          <w:color w:val="auto"/>
        </w:rPr>
      </w:pPr>
      <w:r>
        <w:rPr>
          <w:rFonts w:ascii="Arial" w:cs="Arial" w:eastAsia="Arial" w:hAnsi="Arial"/>
          <w:sz w:val="13"/>
          <w:szCs w:val="13"/>
          <w:b w:val="1"/>
          <w:bCs w:val="1"/>
          <w:color w:val="auto"/>
        </w:rPr>
        <w:t>Jay Taragin</w:t>
      </w:r>
    </w:p>
    <w:p>
      <w:pPr>
        <w:jc w:val="center"/>
        <w:ind w:right="479"/>
        <w:spacing w:after="0" w:line="215" w:lineRule="auto"/>
        <w:rPr>
          <w:sz w:val="20"/>
          <w:szCs w:val="20"/>
          <w:color w:val="auto"/>
        </w:rPr>
      </w:pPr>
      <w:r>
        <w:rPr>
          <w:rFonts w:ascii="Arial" w:cs="Arial" w:eastAsia="Arial" w:hAnsi="Arial"/>
          <w:sz w:val="13"/>
          <w:szCs w:val="13"/>
          <w:b w:val="1"/>
          <w:bCs w:val="1"/>
          <w:color w:val="auto"/>
        </w:rPr>
        <w:t>c/o Churchill Capital Corp IV</w:t>
      </w:r>
    </w:p>
    <w:p>
      <w:pPr>
        <w:jc w:val="center"/>
        <w:ind w:right="479"/>
        <w:spacing w:after="0" w:line="180" w:lineRule="auto"/>
        <w:rPr>
          <w:sz w:val="20"/>
          <w:szCs w:val="20"/>
          <w:color w:val="auto"/>
        </w:rPr>
      </w:pPr>
      <w:r>
        <w:rPr>
          <w:rFonts w:ascii="Arial" w:cs="Arial" w:eastAsia="Arial" w:hAnsi="Arial"/>
          <w:sz w:val="12"/>
          <w:szCs w:val="12"/>
          <w:b w:val="1"/>
          <w:bCs w:val="1"/>
          <w:color w:val="auto"/>
        </w:rPr>
        <w:t>640 Fifth Avenue, 12</w:t>
      </w:r>
      <w:r>
        <w:rPr>
          <w:rFonts w:ascii="Arial" w:cs="Arial" w:eastAsia="Arial" w:hAnsi="Arial"/>
          <w:sz w:val="17"/>
          <w:szCs w:val="17"/>
          <w:b w:val="1"/>
          <w:bCs w:val="1"/>
          <w:color w:val="auto"/>
          <w:vertAlign w:val="superscript"/>
        </w:rPr>
        <w:t>th</w:t>
      </w:r>
      <w:r>
        <w:rPr>
          <w:rFonts w:ascii="Arial" w:cs="Arial" w:eastAsia="Arial" w:hAnsi="Arial"/>
          <w:sz w:val="12"/>
          <w:szCs w:val="12"/>
          <w:b w:val="1"/>
          <w:bCs w:val="1"/>
          <w:color w:val="auto"/>
        </w:rPr>
        <w:t xml:space="preserve"> Floor</w:t>
      </w:r>
    </w:p>
    <w:p>
      <w:pPr>
        <w:jc w:val="center"/>
        <w:ind w:right="479"/>
        <w:spacing w:after="0" w:line="217" w:lineRule="auto"/>
        <w:rPr>
          <w:sz w:val="20"/>
          <w:szCs w:val="20"/>
          <w:color w:val="auto"/>
        </w:rPr>
      </w:pPr>
      <w:r>
        <w:rPr>
          <w:rFonts w:ascii="Arial" w:cs="Arial" w:eastAsia="Arial" w:hAnsi="Arial"/>
          <w:sz w:val="13"/>
          <w:szCs w:val="13"/>
          <w:b w:val="1"/>
          <w:bCs w:val="1"/>
          <w:color w:val="auto"/>
        </w:rPr>
        <w:t>New York, NY 10019</w:t>
      </w:r>
    </w:p>
    <w:p>
      <w:pPr>
        <w:jc w:val="center"/>
        <w:ind w:right="479"/>
        <w:spacing w:after="0" w:line="216" w:lineRule="auto"/>
        <w:rPr>
          <w:sz w:val="20"/>
          <w:szCs w:val="20"/>
          <w:color w:val="auto"/>
        </w:rPr>
      </w:pPr>
      <w:r>
        <w:rPr>
          <w:rFonts w:ascii="Arial" w:cs="Arial" w:eastAsia="Arial" w:hAnsi="Arial"/>
          <w:sz w:val="13"/>
          <w:szCs w:val="13"/>
          <w:b w:val="1"/>
          <w:bCs w:val="1"/>
          <w:color w:val="auto"/>
        </w:rPr>
        <w:t>Telephone: (212) 380-7500</w:t>
      </w:r>
    </w:p>
    <w:p>
      <w:pPr>
        <w:ind w:left="2080"/>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2522855</wp:posOffset>
            </wp:positionH>
            <wp:positionV relativeFrom="paragraph">
              <wp:posOffset>41275</wp:posOffset>
            </wp:positionV>
            <wp:extent cx="11182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8235" cy="7620"/>
                    </a:xfrm>
                    <a:prstGeom prst="rect">
                      <a:avLst/>
                    </a:prstGeom>
                    <a:noFill/>
                  </pic:spPr>
                </pic:pic>
              </a:graphicData>
            </a:graphic>
          </wp:anchor>
        </w:drawing>
      </w:r>
    </w:p>
    <w:p>
      <w:pPr>
        <w:spacing w:after="0" w:line="102" w:lineRule="exact"/>
        <w:rPr>
          <w:sz w:val="24"/>
          <w:szCs w:val="24"/>
          <w:color w:val="auto"/>
        </w:rPr>
      </w:pPr>
    </w:p>
    <w:tbl>
      <w:tblPr>
        <w:tblLayout w:type="fixed"/>
        <w:tblInd w:w="1300" w:type="dxa"/>
        <w:tblCellMar>
          <w:top w:w="0" w:type="dxa"/>
          <w:left w:w="0" w:type="dxa"/>
          <w:bottom w:w="0" w:type="dxa"/>
          <w:right w:w="0" w:type="dxa"/>
        </w:tblCellMar>
      </w:tblPr>
      <w:tr>
        <w:trPr>
          <w:trHeight w:val="164"/>
        </w:trPr>
        <w:tc>
          <w:tcPr>
            <w:tcW w:w="2680" w:type="dxa"/>
            <w:vAlign w:val="bottom"/>
          </w:tcPr>
          <w:p>
            <w:pPr>
              <w:spacing w:after="0"/>
              <w:rPr>
                <w:sz w:val="14"/>
                <w:szCs w:val="14"/>
                <w:color w:val="auto"/>
              </w:rPr>
            </w:pPr>
          </w:p>
        </w:tc>
        <w:tc>
          <w:tcPr>
            <w:tcW w:w="3860" w:type="dxa"/>
            <w:vAlign w:val="bottom"/>
            <w:gridSpan w:val="2"/>
          </w:tcPr>
          <w:p>
            <w:pPr>
              <w:ind w:left="620"/>
              <w:spacing w:after="0"/>
              <w:rPr>
                <w:sz w:val="20"/>
                <w:szCs w:val="20"/>
                <w:color w:val="auto"/>
              </w:rPr>
            </w:pPr>
            <w:r>
              <w:rPr>
                <w:rFonts w:ascii="Arial" w:cs="Arial" w:eastAsia="Arial" w:hAnsi="Arial"/>
                <w:sz w:val="13"/>
                <w:szCs w:val="13"/>
                <w:b w:val="1"/>
                <w:bCs w:val="1"/>
                <w:i w:val="1"/>
                <w:iCs w:val="1"/>
                <w:color w:val="auto"/>
              </w:rPr>
              <w:t>Copies to:</w:t>
            </w:r>
          </w:p>
        </w:tc>
      </w:tr>
      <w:tr>
        <w:trPr>
          <w:trHeight w:val="223"/>
        </w:trPr>
        <w:tc>
          <w:tcPr>
            <w:tcW w:w="2680" w:type="dxa"/>
            <w:vAlign w:val="bottom"/>
          </w:tcPr>
          <w:p>
            <w:pPr>
              <w:jc w:val="center"/>
              <w:ind w:right="55"/>
              <w:spacing w:after="0"/>
              <w:rPr>
                <w:sz w:val="20"/>
                <w:szCs w:val="20"/>
                <w:color w:val="auto"/>
              </w:rPr>
            </w:pPr>
            <w:r>
              <w:rPr>
                <w:rFonts w:ascii="Arial" w:cs="Arial" w:eastAsia="Arial" w:hAnsi="Arial"/>
                <w:sz w:val="13"/>
                <w:szCs w:val="13"/>
                <w:b w:val="1"/>
                <w:bCs w:val="1"/>
                <w:color w:val="auto"/>
                <w:w w:val="87"/>
              </w:rPr>
              <w:t>Raphael M. Russo, Esq.</w:t>
            </w:r>
          </w:p>
        </w:tc>
        <w:tc>
          <w:tcPr>
            <w:tcW w:w="1760" w:type="dxa"/>
            <w:vAlign w:val="bottom"/>
          </w:tcPr>
          <w:p>
            <w:pPr>
              <w:spacing w:after="0"/>
              <w:rPr>
                <w:sz w:val="19"/>
                <w:szCs w:val="19"/>
                <w:color w:val="auto"/>
              </w:rPr>
            </w:pPr>
          </w:p>
        </w:tc>
        <w:tc>
          <w:tcPr>
            <w:tcW w:w="2100" w:type="dxa"/>
            <w:vAlign w:val="bottom"/>
          </w:tcPr>
          <w:p>
            <w:pPr>
              <w:jc w:val="center"/>
              <w:ind w:left="495"/>
              <w:spacing w:after="0"/>
              <w:rPr>
                <w:sz w:val="20"/>
                <w:szCs w:val="20"/>
                <w:color w:val="auto"/>
              </w:rPr>
            </w:pPr>
            <w:r>
              <w:rPr>
                <w:rFonts w:ascii="Arial" w:cs="Arial" w:eastAsia="Arial" w:hAnsi="Arial"/>
                <w:sz w:val="13"/>
                <w:szCs w:val="13"/>
                <w:b w:val="1"/>
                <w:bCs w:val="1"/>
                <w:color w:val="auto"/>
                <w:w w:val="85"/>
              </w:rPr>
              <w:t>Joel L. Rubinstein, Esq.</w:t>
            </w:r>
          </w:p>
        </w:tc>
      </w:tr>
      <w:tr>
        <w:trPr>
          <w:trHeight w:val="135"/>
        </w:trPr>
        <w:tc>
          <w:tcPr>
            <w:tcW w:w="2680" w:type="dxa"/>
            <w:vAlign w:val="bottom"/>
          </w:tcPr>
          <w:p>
            <w:pPr>
              <w:jc w:val="center"/>
              <w:ind w:right="55"/>
              <w:spacing w:after="0" w:line="134" w:lineRule="exact"/>
              <w:rPr>
                <w:sz w:val="20"/>
                <w:szCs w:val="20"/>
                <w:color w:val="auto"/>
              </w:rPr>
            </w:pPr>
            <w:r>
              <w:rPr>
                <w:rFonts w:ascii="Arial" w:cs="Arial" w:eastAsia="Arial" w:hAnsi="Arial"/>
                <w:sz w:val="13"/>
                <w:szCs w:val="13"/>
                <w:b w:val="1"/>
                <w:bCs w:val="1"/>
                <w:color w:val="auto"/>
                <w:w w:val="90"/>
              </w:rPr>
              <w:t>Paul, Weiss, Rifkind, Wharton &amp; Garrison LLP</w:t>
            </w:r>
          </w:p>
        </w:tc>
        <w:tc>
          <w:tcPr>
            <w:tcW w:w="1760" w:type="dxa"/>
            <w:vAlign w:val="bottom"/>
          </w:tcPr>
          <w:p>
            <w:pPr>
              <w:spacing w:after="0"/>
              <w:rPr>
                <w:sz w:val="11"/>
                <w:szCs w:val="11"/>
                <w:color w:val="auto"/>
              </w:rPr>
            </w:pPr>
          </w:p>
        </w:tc>
        <w:tc>
          <w:tcPr>
            <w:tcW w:w="2100" w:type="dxa"/>
            <w:vAlign w:val="bottom"/>
          </w:tcPr>
          <w:p>
            <w:pPr>
              <w:jc w:val="center"/>
              <w:ind w:left="515"/>
              <w:spacing w:after="0" w:line="134" w:lineRule="exact"/>
              <w:rPr>
                <w:sz w:val="20"/>
                <w:szCs w:val="20"/>
                <w:color w:val="auto"/>
              </w:rPr>
            </w:pPr>
            <w:r>
              <w:rPr>
                <w:rFonts w:ascii="Arial" w:cs="Arial" w:eastAsia="Arial" w:hAnsi="Arial"/>
                <w:sz w:val="13"/>
                <w:szCs w:val="13"/>
                <w:b w:val="1"/>
                <w:bCs w:val="1"/>
                <w:color w:val="auto"/>
                <w:w w:val="85"/>
              </w:rPr>
              <w:t>Daniel E. Nussen, Esq.</w:t>
            </w:r>
          </w:p>
        </w:tc>
      </w:tr>
      <w:tr>
        <w:trPr>
          <w:trHeight w:val="135"/>
        </w:trPr>
        <w:tc>
          <w:tcPr>
            <w:tcW w:w="2680" w:type="dxa"/>
            <w:vAlign w:val="bottom"/>
          </w:tcPr>
          <w:p>
            <w:pPr>
              <w:jc w:val="center"/>
              <w:ind w:right="75"/>
              <w:spacing w:after="0" w:line="134" w:lineRule="exact"/>
              <w:rPr>
                <w:sz w:val="20"/>
                <w:szCs w:val="20"/>
                <w:color w:val="auto"/>
              </w:rPr>
            </w:pPr>
            <w:r>
              <w:rPr>
                <w:rFonts w:ascii="Arial" w:cs="Arial" w:eastAsia="Arial" w:hAnsi="Arial"/>
                <w:sz w:val="13"/>
                <w:szCs w:val="13"/>
                <w:b w:val="1"/>
                <w:bCs w:val="1"/>
                <w:color w:val="auto"/>
                <w:w w:val="85"/>
              </w:rPr>
              <w:t>1285 Avenue of the Americas</w:t>
            </w:r>
          </w:p>
        </w:tc>
        <w:tc>
          <w:tcPr>
            <w:tcW w:w="1760" w:type="dxa"/>
            <w:vAlign w:val="bottom"/>
          </w:tcPr>
          <w:p>
            <w:pPr>
              <w:spacing w:after="0"/>
              <w:rPr>
                <w:sz w:val="11"/>
                <w:szCs w:val="11"/>
                <w:color w:val="auto"/>
              </w:rPr>
            </w:pPr>
          </w:p>
        </w:tc>
        <w:tc>
          <w:tcPr>
            <w:tcW w:w="2100" w:type="dxa"/>
            <w:vAlign w:val="bottom"/>
          </w:tcPr>
          <w:p>
            <w:pPr>
              <w:jc w:val="center"/>
              <w:ind w:left="515"/>
              <w:spacing w:after="0" w:line="134" w:lineRule="exact"/>
              <w:rPr>
                <w:sz w:val="20"/>
                <w:szCs w:val="20"/>
                <w:color w:val="auto"/>
              </w:rPr>
            </w:pPr>
            <w:r>
              <w:rPr>
                <w:rFonts w:ascii="Arial" w:cs="Arial" w:eastAsia="Arial" w:hAnsi="Arial"/>
                <w:sz w:val="13"/>
                <w:szCs w:val="13"/>
                <w:b w:val="1"/>
                <w:bCs w:val="1"/>
                <w:color w:val="auto"/>
                <w:w w:val="93"/>
              </w:rPr>
              <w:t>White &amp; Case LLP</w:t>
            </w:r>
          </w:p>
        </w:tc>
      </w:tr>
      <w:tr>
        <w:trPr>
          <w:trHeight w:val="135"/>
        </w:trPr>
        <w:tc>
          <w:tcPr>
            <w:tcW w:w="2680" w:type="dxa"/>
            <w:vAlign w:val="bottom"/>
          </w:tcPr>
          <w:p>
            <w:pPr>
              <w:jc w:val="center"/>
              <w:ind w:right="55"/>
              <w:spacing w:after="0" w:line="134" w:lineRule="exact"/>
              <w:rPr>
                <w:sz w:val="20"/>
                <w:szCs w:val="20"/>
                <w:color w:val="auto"/>
              </w:rPr>
            </w:pPr>
            <w:r>
              <w:rPr>
                <w:rFonts w:ascii="Arial" w:cs="Arial" w:eastAsia="Arial" w:hAnsi="Arial"/>
                <w:sz w:val="13"/>
                <w:szCs w:val="13"/>
                <w:b w:val="1"/>
                <w:bCs w:val="1"/>
                <w:color w:val="auto"/>
                <w:w w:val="90"/>
              </w:rPr>
              <w:t>New York, NY 10019</w:t>
            </w:r>
          </w:p>
        </w:tc>
        <w:tc>
          <w:tcPr>
            <w:tcW w:w="1760" w:type="dxa"/>
            <w:vAlign w:val="bottom"/>
          </w:tcPr>
          <w:p>
            <w:pPr>
              <w:spacing w:after="0"/>
              <w:rPr>
                <w:sz w:val="11"/>
                <w:szCs w:val="11"/>
                <w:color w:val="auto"/>
              </w:rPr>
            </w:pPr>
          </w:p>
        </w:tc>
        <w:tc>
          <w:tcPr>
            <w:tcW w:w="2100" w:type="dxa"/>
            <w:vAlign w:val="bottom"/>
          </w:tcPr>
          <w:p>
            <w:pPr>
              <w:jc w:val="center"/>
              <w:ind w:left="495"/>
              <w:spacing w:after="0" w:line="134" w:lineRule="exact"/>
              <w:rPr>
                <w:sz w:val="20"/>
                <w:szCs w:val="20"/>
                <w:color w:val="auto"/>
              </w:rPr>
            </w:pPr>
            <w:r>
              <w:rPr>
                <w:rFonts w:ascii="Arial" w:cs="Arial" w:eastAsia="Arial" w:hAnsi="Arial"/>
                <w:sz w:val="13"/>
                <w:szCs w:val="13"/>
                <w:b w:val="1"/>
                <w:bCs w:val="1"/>
                <w:color w:val="auto"/>
                <w:w w:val="85"/>
              </w:rPr>
              <w:t>1221 Avenue of the Americas</w:t>
            </w:r>
          </w:p>
        </w:tc>
      </w:tr>
      <w:tr>
        <w:trPr>
          <w:trHeight w:val="135"/>
        </w:trPr>
        <w:tc>
          <w:tcPr>
            <w:tcW w:w="2680" w:type="dxa"/>
            <w:vAlign w:val="bottom"/>
          </w:tcPr>
          <w:p>
            <w:pPr>
              <w:jc w:val="center"/>
              <w:ind w:right="35"/>
              <w:spacing w:after="0" w:line="134" w:lineRule="exact"/>
              <w:rPr>
                <w:sz w:val="20"/>
                <w:szCs w:val="20"/>
                <w:color w:val="auto"/>
              </w:rPr>
            </w:pPr>
            <w:r>
              <w:rPr>
                <w:rFonts w:ascii="Arial" w:cs="Arial" w:eastAsia="Arial" w:hAnsi="Arial"/>
                <w:sz w:val="13"/>
                <w:szCs w:val="13"/>
                <w:b w:val="1"/>
                <w:bCs w:val="1"/>
                <w:color w:val="auto"/>
                <w:w w:val="87"/>
              </w:rPr>
              <w:t>(212) 373-3000</w:t>
            </w:r>
          </w:p>
        </w:tc>
        <w:tc>
          <w:tcPr>
            <w:tcW w:w="1760" w:type="dxa"/>
            <w:vAlign w:val="bottom"/>
          </w:tcPr>
          <w:p>
            <w:pPr>
              <w:spacing w:after="0"/>
              <w:rPr>
                <w:sz w:val="11"/>
                <w:szCs w:val="11"/>
                <w:color w:val="auto"/>
              </w:rPr>
            </w:pPr>
          </w:p>
        </w:tc>
        <w:tc>
          <w:tcPr>
            <w:tcW w:w="2100" w:type="dxa"/>
            <w:vAlign w:val="bottom"/>
          </w:tcPr>
          <w:p>
            <w:pPr>
              <w:jc w:val="center"/>
              <w:ind w:left="515"/>
              <w:spacing w:after="0" w:line="134" w:lineRule="exact"/>
              <w:rPr>
                <w:sz w:val="20"/>
                <w:szCs w:val="20"/>
                <w:color w:val="auto"/>
              </w:rPr>
            </w:pPr>
            <w:r>
              <w:rPr>
                <w:rFonts w:ascii="Arial" w:cs="Arial" w:eastAsia="Arial" w:hAnsi="Arial"/>
                <w:sz w:val="13"/>
                <w:szCs w:val="13"/>
                <w:b w:val="1"/>
                <w:bCs w:val="1"/>
                <w:color w:val="auto"/>
                <w:w w:val="90"/>
              </w:rPr>
              <w:t>New York, NY 10020</w:t>
            </w:r>
          </w:p>
        </w:tc>
      </w:tr>
      <w:tr>
        <w:trPr>
          <w:trHeight w:val="167"/>
        </w:trPr>
        <w:tc>
          <w:tcPr>
            <w:tcW w:w="2680" w:type="dxa"/>
            <w:vAlign w:val="bottom"/>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2100" w:type="dxa"/>
            <w:vAlign w:val="bottom"/>
          </w:tcPr>
          <w:p>
            <w:pPr>
              <w:jc w:val="center"/>
              <w:ind w:left="535"/>
              <w:spacing w:after="0"/>
              <w:rPr>
                <w:sz w:val="20"/>
                <w:szCs w:val="20"/>
                <w:color w:val="auto"/>
              </w:rPr>
            </w:pPr>
            <w:r>
              <w:rPr>
                <w:rFonts w:ascii="Arial" w:cs="Arial" w:eastAsia="Arial" w:hAnsi="Arial"/>
                <w:sz w:val="13"/>
                <w:szCs w:val="13"/>
                <w:b w:val="1"/>
                <w:bCs w:val="1"/>
                <w:color w:val="auto"/>
                <w:w w:val="87"/>
              </w:rPr>
              <w:t>(212) 819-8200</w:t>
            </w:r>
          </w:p>
        </w:tc>
      </w:tr>
    </w:tbl>
    <w:p>
      <w:pPr>
        <w:spacing w:after="0" w:line="53" w:lineRule="exact"/>
        <w:rPr>
          <w:sz w:val="24"/>
          <w:szCs w:val="24"/>
          <w:color w:val="auto"/>
        </w:rPr>
      </w:pPr>
    </w:p>
    <w:p>
      <w:pPr>
        <w:ind w:left="1060"/>
        <w:spacing w:after="0"/>
        <w:rPr>
          <w:sz w:val="20"/>
          <w:szCs w:val="20"/>
          <w:color w:val="auto"/>
        </w:rPr>
      </w:pPr>
      <w:r>
        <w:rPr>
          <w:rFonts w:ascii="Arial" w:cs="Arial" w:eastAsia="Arial" w:hAnsi="Arial"/>
          <w:sz w:val="11"/>
          <w:szCs w:val="11"/>
          <w:b w:val="1"/>
          <w:bCs w:val="1"/>
          <w:color w:val="auto"/>
        </w:rPr>
        <w:t>Approximate date of commencement of proposed sale to the public: As soon as practicable after the effective date of this registration statement.</w:t>
      </w:r>
    </w:p>
    <w:p>
      <w:pPr>
        <w:spacing w:after="0" w:line="2" w:lineRule="exact"/>
        <w:rPr>
          <w:sz w:val="24"/>
          <w:szCs w:val="24"/>
          <w:color w:val="auto"/>
        </w:rPr>
      </w:pPr>
    </w:p>
    <w:p>
      <w:pPr>
        <w:ind w:left="760"/>
        <w:spacing w:after="0"/>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w:t>
      </w:r>
    </w:p>
    <w:p>
      <w:pPr>
        <w:ind w:left="440"/>
        <w:spacing w:after="0" w:line="150" w:lineRule="exact"/>
        <w:rPr>
          <w:sz w:val="20"/>
          <w:szCs w:val="20"/>
          <w:color w:val="auto"/>
        </w:rPr>
      </w:pPr>
      <w:r>
        <w:rPr>
          <w:rFonts w:ascii="Arial" w:cs="Arial" w:eastAsia="Arial" w:hAnsi="Arial"/>
          <w:sz w:val="13"/>
          <w:szCs w:val="13"/>
          <w:color w:val="auto"/>
        </w:rPr>
        <w:t xml:space="preserve">1933 check the following box. </w:t>
      </w:r>
      <w:r>
        <w:rPr>
          <w:rFonts w:ascii="MS PGothic" w:cs="MS PGothic" w:eastAsia="MS PGothic" w:hAnsi="MS PGothic"/>
          <w:sz w:val="13"/>
          <w:szCs w:val="13"/>
          <w:color w:val="auto"/>
        </w:rPr>
        <w:t>☐</w:t>
      </w:r>
    </w:p>
    <w:p>
      <w:pPr>
        <w:spacing w:after="0" w:line="2" w:lineRule="exact"/>
        <w:rPr>
          <w:sz w:val="24"/>
          <w:szCs w:val="24"/>
          <w:color w:val="auto"/>
        </w:rPr>
      </w:pPr>
    </w:p>
    <w:p>
      <w:pPr>
        <w:ind w:left="440" w:right="1059" w:firstLine="326"/>
        <w:spacing w:after="0" w:line="129"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440" w:right="1239" w:firstLine="326"/>
        <w:spacing w:after="0" w:line="129"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440" w:right="1239" w:firstLine="326"/>
        <w:spacing w:after="0" w:line="134"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left="440" w:right="959" w:firstLine="326"/>
        <w:spacing w:after="0" w:line="21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12b- 2 of the Exchange Act.</w:t>
      </w:r>
    </w:p>
    <w:p>
      <w:pPr>
        <w:spacing w:after="0" w:line="1" w:lineRule="exact"/>
        <w:rPr>
          <w:sz w:val="24"/>
          <w:szCs w:val="24"/>
          <w:color w:val="auto"/>
        </w:rPr>
      </w:pPr>
    </w:p>
    <w:tbl>
      <w:tblPr>
        <w:tblLayout w:type="fixed"/>
        <w:tblInd w:w="760" w:type="dxa"/>
        <w:tblCellMar>
          <w:top w:w="0" w:type="dxa"/>
          <w:left w:w="0" w:type="dxa"/>
          <w:bottom w:w="0" w:type="dxa"/>
          <w:right w:w="0" w:type="dxa"/>
        </w:tblCellMar>
      </w:tblPr>
      <w:tr>
        <w:trPr>
          <w:trHeight w:val="153"/>
        </w:trPr>
        <w:tc>
          <w:tcPr>
            <w:tcW w:w="16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680" w:type="dxa"/>
            <w:vAlign w:val="bottom"/>
          </w:tcPr>
          <w:p>
            <w:pPr>
              <w:ind w:left="420"/>
              <w:spacing w:after="0" w:line="131" w:lineRule="exact"/>
              <w:rPr>
                <w:sz w:val="20"/>
                <w:szCs w:val="20"/>
                <w:color w:val="auto"/>
              </w:rPr>
            </w:pPr>
            <w:r>
              <w:rPr>
                <w:rFonts w:ascii="MS PGothic" w:cs="MS PGothic" w:eastAsia="MS PGothic" w:hAnsi="MS PGothic"/>
                <w:sz w:val="13"/>
                <w:szCs w:val="13"/>
                <w:color w:val="auto"/>
              </w:rPr>
              <w:t>☐</w:t>
            </w:r>
          </w:p>
        </w:tc>
        <w:tc>
          <w:tcPr>
            <w:tcW w:w="2040" w:type="dxa"/>
            <w:vAlign w:val="bottom"/>
          </w:tcPr>
          <w:p>
            <w:pPr>
              <w:ind w:left="140"/>
              <w:spacing w:after="0"/>
              <w:rPr>
                <w:sz w:val="20"/>
                <w:szCs w:val="20"/>
                <w:color w:val="auto"/>
              </w:rPr>
            </w:pPr>
            <w:r>
              <w:rPr>
                <w:rFonts w:ascii="Arial" w:cs="Arial" w:eastAsia="Arial" w:hAnsi="Arial"/>
                <w:sz w:val="13"/>
                <w:szCs w:val="13"/>
                <w:color w:val="auto"/>
              </w:rPr>
              <w:t>Accelerated filer</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51"/>
        </w:trPr>
        <w:tc>
          <w:tcPr>
            <w:tcW w:w="1640" w:type="dxa"/>
            <w:vAlign w:val="bottom"/>
          </w:tcPr>
          <w:p>
            <w:pPr>
              <w:spacing w:after="0"/>
              <w:rPr>
                <w:sz w:val="20"/>
                <w:szCs w:val="20"/>
                <w:color w:val="auto"/>
              </w:rPr>
            </w:pPr>
            <w:r>
              <w:rPr>
                <w:rFonts w:ascii="Arial" w:cs="Arial" w:eastAsia="Arial" w:hAnsi="Arial"/>
                <w:sz w:val="13"/>
                <w:szCs w:val="13"/>
                <w:color w:val="auto"/>
              </w:rPr>
              <w:t>Non-accelerated filer</w:t>
            </w:r>
          </w:p>
        </w:tc>
        <w:tc>
          <w:tcPr>
            <w:tcW w:w="680" w:type="dxa"/>
            <w:vAlign w:val="bottom"/>
          </w:tcPr>
          <w:p>
            <w:pPr>
              <w:ind w:left="420"/>
              <w:spacing w:after="0" w:line="131" w:lineRule="exact"/>
              <w:rPr>
                <w:sz w:val="20"/>
                <w:szCs w:val="20"/>
                <w:color w:val="auto"/>
              </w:rPr>
            </w:pPr>
            <w:r>
              <w:rPr>
                <w:rFonts w:ascii="MS PGothic" w:cs="MS PGothic" w:eastAsia="MS PGothic" w:hAnsi="MS PGothic"/>
                <w:sz w:val="13"/>
                <w:szCs w:val="13"/>
                <w:color w:val="auto"/>
              </w:rPr>
              <w:t>☒</w:t>
            </w:r>
          </w:p>
        </w:tc>
        <w:tc>
          <w:tcPr>
            <w:tcW w:w="2040" w:type="dxa"/>
            <w:vAlign w:val="bottom"/>
          </w:tcPr>
          <w:p>
            <w:pPr>
              <w:ind w:left="140"/>
              <w:spacing w:after="0"/>
              <w:rPr>
                <w:sz w:val="20"/>
                <w:szCs w:val="20"/>
                <w:color w:val="auto"/>
              </w:rPr>
            </w:pPr>
            <w:r>
              <w:rPr>
                <w:rFonts w:ascii="Arial" w:cs="Arial" w:eastAsia="Arial" w:hAnsi="Arial"/>
                <w:sz w:val="13"/>
                <w:szCs w:val="13"/>
                <w:color w:val="auto"/>
              </w:rPr>
              <w:t>Smaller reporting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3"/>
        </w:trPr>
        <w:tc>
          <w:tcPr>
            <w:tcW w:w="1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40" w:type="dxa"/>
            <w:vAlign w:val="bottom"/>
          </w:tcPr>
          <w:p>
            <w:pPr>
              <w:ind w:left="140"/>
              <w:spacing w:after="0"/>
              <w:rPr>
                <w:sz w:val="20"/>
                <w:szCs w:val="20"/>
                <w:color w:val="auto"/>
              </w:rPr>
            </w:pPr>
            <w:r>
              <w:rPr>
                <w:rFonts w:ascii="Arial" w:cs="Arial" w:eastAsia="Arial" w:hAnsi="Arial"/>
                <w:sz w:val="13"/>
                <w:szCs w:val="13"/>
                <w:color w:val="auto"/>
              </w:rPr>
              <w:t>Emerging growth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 w:lineRule="exact"/>
        <w:rPr>
          <w:sz w:val="24"/>
          <w:szCs w:val="24"/>
          <w:color w:val="auto"/>
        </w:rPr>
      </w:pPr>
    </w:p>
    <w:p>
      <w:pPr>
        <w:ind w:left="440" w:right="959" w:firstLine="326"/>
        <w:spacing w:after="0" w:line="151"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2522855</wp:posOffset>
            </wp:positionH>
            <wp:positionV relativeFrom="paragraph">
              <wp:posOffset>36830</wp:posOffset>
            </wp:positionV>
            <wp:extent cx="11182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8235" cy="7620"/>
                    </a:xfrm>
                    <a:prstGeom prst="rect">
                      <a:avLst/>
                    </a:prstGeom>
                    <a:noFill/>
                  </pic:spPr>
                </pic:pic>
              </a:graphicData>
            </a:graphic>
          </wp:anchor>
        </w:drawing>
      </w:r>
    </w:p>
    <w:p>
      <w:pPr>
        <w:spacing w:after="0" w:line="92" w:lineRule="exact"/>
        <w:rPr>
          <w:sz w:val="24"/>
          <w:szCs w:val="24"/>
          <w:color w:val="auto"/>
        </w:rPr>
      </w:pPr>
    </w:p>
    <w:p>
      <w:pPr>
        <w:ind w:left="3640"/>
        <w:spacing w:after="0"/>
        <w:rPr>
          <w:sz w:val="20"/>
          <w:szCs w:val="20"/>
          <w:color w:val="auto"/>
        </w:rPr>
      </w:pPr>
      <w:r>
        <w:rPr>
          <w:rFonts w:ascii="Arial" w:cs="Arial" w:eastAsia="Arial" w:hAnsi="Arial"/>
          <w:sz w:val="13"/>
          <w:szCs w:val="13"/>
          <w:b w:val="1"/>
          <w:bCs w:val="1"/>
          <w:color w:val="auto"/>
        </w:rPr>
        <w:t>CALCULATION OF REGISTRATION FEE</w:t>
      </w:r>
    </w:p>
    <w:p>
      <w:pPr>
        <w:spacing w:after="0" w:line="22" w:lineRule="exact"/>
        <w:rPr>
          <w:sz w:val="24"/>
          <w:szCs w:val="24"/>
          <w:color w:val="auto"/>
        </w:rPr>
      </w:pPr>
    </w:p>
    <w:tbl>
      <w:tblPr>
        <w:tblLayout w:type="fixed"/>
        <w:tblInd w:w="440" w:type="dxa"/>
        <w:tblCellMar>
          <w:top w:w="0" w:type="dxa"/>
          <w:left w:w="0" w:type="dxa"/>
          <w:bottom w:w="0" w:type="dxa"/>
          <w:right w:w="0" w:type="dxa"/>
        </w:tblCellMar>
      </w:tblPr>
      <w:tr>
        <w:trPr>
          <w:trHeight w:val="40"/>
        </w:trPr>
        <w:tc>
          <w:tcPr>
            <w:tcW w:w="3900" w:type="dxa"/>
            <w:vAlign w:val="bottom"/>
            <w:tcBorders>
              <w:top w:val="single" w:sz="8" w:color="auto"/>
              <w:bottom w:val="single" w:sz="8" w:color="auto"/>
              <w:right w:val="single" w:sz="8" w:color="auto"/>
            </w:tcBorders>
          </w:tcPr>
          <w:p>
            <w:pPr>
              <w:spacing w:after="0"/>
              <w:rPr>
                <w:sz w:val="3"/>
                <w:szCs w:val="3"/>
                <w:color w:val="auto"/>
              </w:rPr>
            </w:pPr>
          </w:p>
        </w:tc>
        <w:tc>
          <w:tcPr>
            <w:tcW w:w="1320" w:type="dxa"/>
            <w:vAlign w:val="bottom"/>
            <w:tcBorders>
              <w:top w:val="single" w:sz="8" w:color="auto"/>
              <w:bottom w:val="single" w:sz="8" w:color="auto"/>
              <w:right w:val="single" w:sz="8" w:color="auto"/>
            </w:tcBorders>
          </w:tcPr>
          <w:p>
            <w:pPr>
              <w:spacing w:after="0"/>
              <w:rPr>
                <w:sz w:val="3"/>
                <w:szCs w:val="3"/>
                <w:color w:val="auto"/>
              </w:rPr>
            </w:pPr>
          </w:p>
        </w:tc>
        <w:tc>
          <w:tcPr>
            <w:tcW w:w="1320" w:type="dxa"/>
            <w:vAlign w:val="bottom"/>
            <w:tcBorders>
              <w:top w:val="single" w:sz="8" w:color="auto"/>
              <w:bottom w:val="single" w:sz="8" w:color="auto"/>
              <w:right w:val="single" w:sz="8" w:color="auto"/>
            </w:tcBorders>
          </w:tcPr>
          <w:p>
            <w:pPr>
              <w:spacing w:after="0"/>
              <w:rPr>
                <w:sz w:val="3"/>
                <w:szCs w:val="3"/>
                <w:color w:val="auto"/>
              </w:rPr>
            </w:pPr>
          </w:p>
        </w:tc>
        <w:tc>
          <w:tcPr>
            <w:tcW w:w="1300" w:type="dxa"/>
            <w:vAlign w:val="bottom"/>
            <w:tcBorders>
              <w:top w:val="single" w:sz="8" w:color="auto"/>
              <w:bottom w:val="single" w:sz="8" w:color="auto"/>
              <w:right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r>
      <w:tr>
        <w:trPr>
          <w:trHeight w:val="111"/>
        </w:trPr>
        <w:tc>
          <w:tcPr>
            <w:tcW w:w="390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w w:val="96"/>
              </w:rPr>
              <w:t>Proposed Maximum</w:t>
            </w:r>
          </w:p>
        </w:tc>
        <w:tc>
          <w:tcPr>
            <w:tcW w:w="130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w w:val="94"/>
              </w:rPr>
              <w:t>Proposed Maximum</w:t>
            </w:r>
          </w:p>
        </w:tc>
        <w:tc>
          <w:tcPr>
            <w:tcW w:w="980" w:type="dxa"/>
            <w:vAlign w:val="bottom"/>
          </w:tcPr>
          <w:p>
            <w:pPr>
              <w:spacing w:after="0"/>
              <w:rPr>
                <w:sz w:val="9"/>
                <w:szCs w:val="9"/>
                <w:color w:val="auto"/>
              </w:rPr>
            </w:pPr>
          </w:p>
        </w:tc>
      </w:tr>
      <w:tr>
        <w:trPr>
          <w:trHeight w:val="135"/>
        </w:trPr>
        <w:tc>
          <w:tcPr>
            <w:tcW w:w="3900" w:type="dxa"/>
            <w:vAlign w:val="bottom"/>
            <w:tcBorders>
              <w:right w:val="single" w:sz="8" w:color="auto"/>
            </w:tcBorders>
          </w:tcPr>
          <w:p>
            <w:pPr>
              <w:ind w:left="1080"/>
              <w:spacing w:after="0" w:line="134" w:lineRule="exact"/>
              <w:rPr>
                <w:sz w:val="20"/>
                <w:szCs w:val="20"/>
                <w:color w:val="auto"/>
              </w:rPr>
            </w:pPr>
            <w:r>
              <w:rPr>
                <w:rFonts w:ascii="Arial" w:cs="Arial" w:eastAsia="Arial" w:hAnsi="Arial"/>
                <w:sz w:val="13"/>
                <w:szCs w:val="13"/>
                <w:b w:val="1"/>
                <w:bCs w:val="1"/>
                <w:color w:val="auto"/>
              </w:rPr>
              <w:t>Title of Each Class of Security</w:t>
            </w:r>
          </w:p>
        </w:tc>
        <w:tc>
          <w:tcPr>
            <w:tcW w:w="132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5"/>
              </w:rPr>
              <w:t>Amount Being</w:t>
            </w:r>
          </w:p>
        </w:tc>
        <w:tc>
          <w:tcPr>
            <w:tcW w:w="132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Offering Price</w:t>
            </w:r>
          </w:p>
        </w:tc>
        <w:tc>
          <w:tcPr>
            <w:tcW w:w="130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Aggregate</w:t>
            </w:r>
          </w:p>
        </w:tc>
        <w:tc>
          <w:tcPr>
            <w:tcW w:w="980" w:type="dxa"/>
            <w:vAlign w:val="bottom"/>
          </w:tcPr>
          <w:p>
            <w:pPr>
              <w:jc w:val="right"/>
              <w:ind w:right="120"/>
              <w:spacing w:after="0" w:line="134" w:lineRule="exact"/>
              <w:rPr>
                <w:sz w:val="20"/>
                <w:szCs w:val="20"/>
                <w:color w:val="auto"/>
              </w:rPr>
            </w:pPr>
            <w:r>
              <w:rPr>
                <w:rFonts w:ascii="Arial" w:cs="Arial" w:eastAsia="Arial" w:hAnsi="Arial"/>
                <w:sz w:val="13"/>
                <w:szCs w:val="13"/>
                <w:b w:val="1"/>
                <w:bCs w:val="1"/>
                <w:color w:val="auto"/>
              </w:rPr>
              <w:t>Amount of</w:t>
            </w:r>
          </w:p>
        </w:tc>
      </w:tr>
      <w:tr>
        <w:trPr>
          <w:trHeight w:val="159"/>
        </w:trPr>
        <w:tc>
          <w:tcPr>
            <w:tcW w:w="3900" w:type="dxa"/>
            <w:vAlign w:val="bottom"/>
            <w:tcBorders>
              <w:bottom w:val="single" w:sz="8" w:color="auto"/>
              <w:right w:val="single" w:sz="8" w:color="auto"/>
            </w:tcBorders>
          </w:tcPr>
          <w:p>
            <w:pPr>
              <w:ind w:left="1440"/>
              <w:spacing w:after="0"/>
              <w:rPr>
                <w:sz w:val="20"/>
                <w:szCs w:val="20"/>
                <w:color w:val="auto"/>
              </w:rPr>
            </w:pPr>
            <w:r>
              <w:rPr>
                <w:rFonts w:ascii="Arial" w:cs="Arial" w:eastAsia="Arial" w:hAnsi="Arial"/>
                <w:sz w:val="13"/>
                <w:szCs w:val="13"/>
                <w:b w:val="1"/>
                <w:bCs w:val="1"/>
                <w:color w:val="auto"/>
              </w:rPr>
              <w:t>Being Registered</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Registered</w:t>
            </w:r>
          </w:p>
        </w:tc>
        <w:tc>
          <w:tcPr>
            <w:tcW w:w="132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2"/>
                <w:szCs w:val="12"/>
                <w:b w:val="1"/>
                <w:bCs w:val="1"/>
                <w:color w:val="auto"/>
                <w:w w:val="92"/>
              </w:rPr>
              <w:t>per Security</w:t>
            </w:r>
            <w:r>
              <w:rPr>
                <w:rFonts w:ascii="Arial" w:cs="Arial" w:eastAsia="Arial" w:hAnsi="Arial"/>
                <w:sz w:val="18"/>
                <w:szCs w:val="18"/>
                <w:b w:val="1"/>
                <w:bCs w:val="1"/>
                <w:color w:val="auto"/>
                <w:w w:val="92"/>
                <w:vertAlign w:val="superscript"/>
              </w:rPr>
              <w:t>(1)</w:t>
            </w:r>
          </w:p>
        </w:tc>
        <w:tc>
          <w:tcPr>
            <w:tcW w:w="130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2"/>
                <w:szCs w:val="12"/>
                <w:b w:val="1"/>
                <w:bCs w:val="1"/>
                <w:color w:val="auto"/>
                <w:w w:val="93"/>
              </w:rPr>
              <w:t>Offering Price</w:t>
            </w:r>
            <w:r>
              <w:rPr>
                <w:rFonts w:ascii="Arial" w:cs="Arial" w:eastAsia="Arial" w:hAnsi="Arial"/>
                <w:sz w:val="18"/>
                <w:szCs w:val="18"/>
                <w:b w:val="1"/>
                <w:bCs w:val="1"/>
                <w:color w:val="auto"/>
                <w:w w:val="93"/>
                <w:vertAlign w:val="superscript"/>
              </w:rPr>
              <w:t>(1)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Registration Fee</w:t>
            </w:r>
          </w:p>
        </w:tc>
      </w:tr>
      <w:tr>
        <w:trPr>
          <w:trHeight w:val="115"/>
        </w:trPr>
        <w:tc>
          <w:tcPr>
            <w:tcW w:w="3900" w:type="dxa"/>
            <w:vAlign w:val="bottom"/>
            <w:tcBorders>
              <w:right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Units, each consisting of one share of Class A common stock,</w:t>
            </w:r>
          </w:p>
        </w:tc>
        <w:tc>
          <w:tcPr>
            <w:tcW w:w="1320" w:type="dxa"/>
            <w:vAlign w:val="bottom"/>
            <w:tcBorders>
              <w:right w:val="single" w:sz="8" w:color="auto"/>
            </w:tcBorders>
            <w:shd w:val="clear" w:color="auto" w:fill="CCEEFF"/>
          </w:tcPr>
          <w:p>
            <w:pPr>
              <w:spacing w:after="0"/>
              <w:rPr>
                <w:sz w:val="9"/>
                <w:szCs w:val="9"/>
                <w:color w:val="auto"/>
              </w:rPr>
            </w:pPr>
          </w:p>
        </w:tc>
        <w:tc>
          <w:tcPr>
            <w:tcW w:w="1320" w:type="dxa"/>
            <w:vAlign w:val="bottom"/>
            <w:tcBorders>
              <w:right w:val="single" w:sz="8" w:color="auto"/>
            </w:tcBorders>
            <w:shd w:val="clear" w:color="auto" w:fill="CCEEFF"/>
          </w:tcPr>
          <w:p>
            <w:pPr>
              <w:spacing w:after="0"/>
              <w:rPr>
                <w:sz w:val="9"/>
                <w:szCs w:val="9"/>
                <w:color w:val="auto"/>
              </w:rPr>
            </w:pPr>
          </w:p>
        </w:tc>
        <w:tc>
          <w:tcPr>
            <w:tcW w:w="1300" w:type="dxa"/>
            <w:vAlign w:val="bottom"/>
            <w:tcBorders>
              <w:right w:val="single" w:sz="8" w:color="auto"/>
            </w:tcBorders>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r>
      <w:tr>
        <w:trPr>
          <w:trHeight w:val="183"/>
        </w:trPr>
        <w:tc>
          <w:tcPr>
            <w:tcW w:w="3900" w:type="dxa"/>
            <w:vAlign w:val="bottom"/>
            <w:tcBorders>
              <w:bottom w:val="single" w:sz="8" w:color="auto"/>
              <w:right w:val="single" w:sz="8" w:color="auto"/>
            </w:tcBorders>
            <w:shd w:val="clear" w:color="auto" w:fill="CCEEFF"/>
          </w:tcPr>
          <w:p>
            <w:pPr>
              <w:ind w:left="160"/>
              <w:spacing w:after="0" w:line="183" w:lineRule="exact"/>
              <w:rPr>
                <w:sz w:val="20"/>
                <w:szCs w:val="20"/>
                <w:color w:val="auto"/>
              </w:rPr>
            </w:pPr>
            <w:r>
              <w:rPr>
                <w:rFonts w:ascii="Arial" w:cs="Arial" w:eastAsia="Arial" w:hAnsi="Arial"/>
                <w:sz w:val="13"/>
                <w:szCs w:val="13"/>
                <w:color w:val="auto"/>
              </w:rPr>
              <w:t>$0.0001 par value, and one-fifth of one redeemable warrant</w:t>
            </w:r>
            <w:r>
              <w:rPr>
                <w:rFonts w:ascii="Arial" w:cs="Arial" w:eastAsia="Arial" w:hAnsi="Arial"/>
                <w:sz w:val="19"/>
                <w:szCs w:val="19"/>
                <w:color w:val="auto"/>
                <w:vertAlign w:val="superscript"/>
              </w:rPr>
              <w:t>(2)</w:t>
            </w: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172,500,000 Units</w:t>
            </w:r>
          </w:p>
        </w:tc>
        <w:tc>
          <w:tcPr>
            <w:tcW w:w="1320" w:type="dxa"/>
            <w:vAlign w:val="bottom"/>
            <w:tcBorders>
              <w:bottom w:val="single" w:sz="8" w:color="auto"/>
              <w:right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$10.00</w:t>
            </w:r>
          </w:p>
        </w:tc>
        <w:tc>
          <w:tcPr>
            <w:tcW w:w="1300" w:type="dxa"/>
            <w:vAlign w:val="bottom"/>
            <w:tcBorders>
              <w:bottom w:val="single" w:sz="8" w:color="auto"/>
              <w:right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$1,725,000,000</w:t>
            </w:r>
          </w:p>
        </w:tc>
        <w:tc>
          <w:tcPr>
            <w:tcW w:w="9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3"/>
                <w:szCs w:val="13"/>
                <w:color w:val="auto"/>
              </w:rPr>
              <w:t>$223,905</w:t>
            </w:r>
          </w:p>
        </w:tc>
      </w:tr>
      <w:tr>
        <w:trPr>
          <w:trHeight w:val="151"/>
        </w:trPr>
        <w:tc>
          <w:tcPr>
            <w:tcW w:w="3900" w:type="dxa"/>
            <w:vAlign w:val="bottom"/>
            <w:tcBorders>
              <w:bottom w:val="single" w:sz="8" w:color="auto"/>
              <w:right w:val="single" w:sz="8" w:color="auto"/>
            </w:tcBorders>
          </w:tcPr>
          <w:p>
            <w:pPr>
              <w:spacing w:after="0" w:line="151" w:lineRule="exact"/>
              <w:rPr>
                <w:sz w:val="20"/>
                <w:szCs w:val="20"/>
                <w:color w:val="auto"/>
              </w:rPr>
            </w:pPr>
            <w:r>
              <w:rPr>
                <w:rFonts w:ascii="Arial" w:cs="Arial" w:eastAsia="Arial" w:hAnsi="Arial"/>
                <w:sz w:val="12"/>
                <w:szCs w:val="12"/>
                <w:color w:val="auto"/>
              </w:rPr>
              <w:t>Shares of Class A common stock included as part of the units</w:t>
            </w:r>
            <w:r>
              <w:rPr>
                <w:rFonts w:ascii="Arial" w:cs="Arial" w:eastAsia="Arial" w:hAnsi="Arial"/>
                <w:sz w:val="17"/>
                <w:szCs w:val="17"/>
                <w:color w:val="auto"/>
                <w:vertAlign w:val="superscript"/>
              </w:rPr>
              <w:t>(3)</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172,500,000 Shares</w:t>
            </w:r>
          </w:p>
        </w:tc>
        <w:tc>
          <w:tcPr>
            <w:tcW w:w="1320" w:type="dxa"/>
            <w:vAlign w:val="bottom"/>
            <w:tcBorders>
              <w:bottom w:val="single" w:sz="8" w:color="auto"/>
              <w:right w:val="single" w:sz="8" w:color="auto"/>
            </w:tcBorders>
          </w:tcPr>
          <w:p>
            <w:pPr>
              <w:jc w:val="right"/>
              <w:ind w:right="416"/>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right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20"/>
              <w:spacing w:after="0" w:line="151"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8"/>
                <w:szCs w:val="8"/>
                <w:color w:val="auto"/>
              </w:rPr>
              <w:t>(4)</w:t>
            </w:r>
          </w:p>
        </w:tc>
      </w:tr>
      <w:tr>
        <w:trPr>
          <w:trHeight w:val="151"/>
        </w:trPr>
        <w:tc>
          <w:tcPr>
            <w:tcW w:w="3900" w:type="dxa"/>
            <w:vAlign w:val="bottom"/>
            <w:tcBorders>
              <w:bottom w:val="single" w:sz="8" w:color="auto"/>
              <w:right w:val="single" w:sz="8" w:color="auto"/>
            </w:tcBorders>
            <w:shd w:val="clear" w:color="auto" w:fill="CCEEFF"/>
          </w:tcPr>
          <w:p>
            <w:pPr>
              <w:spacing w:after="0" w:line="151" w:lineRule="exact"/>
              <w:rPr>
                <w:sz w:val="20"/>
                <w:szCs w:val="20"/>
                <w:color w:val="auto"/>
              </w:rPr>
            </w:pPr>
            <w:r>
              <w:rPr>
                <w:rFonts w:ascii="Arial" w:cs="Arial" w:eastAsia="Arial" w:hAnsi="Arial"/>
                <w:sz w:val="12"/>
                <w:szCs w:val="12"/>
                <w:color w:val="auto"/>
              </w:rPr>
              <w:t>Redeemable warrants included as part of the units</w:t>
            </w:r>
            <w:r>
              <w:rPr>
                <w:rFonts w:ascii="Arial" w:cs="Arial" w:eastAsia="Arial" w:hAnsi="Arial"/>
                <w:sz w:val="17"/>
                <w:szCs w:val="17"/>
                <w:color w:val="auto"/>
                <w:vertAlign w:val="superscript"/>
              </w:rPr>
              <w:t>(3)</w:t>
            </w: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3"/>
              </w:rPr>
              <w:t>34,500,000 Warrants</w:t>
            </w:r>
          </w:p>
        </w:tc>
        <w:tc>
          <w:tcPr>
            <w:tcW w:w="1320" w:type="dxa"/>
            <w:vAlign w:val="bottom"/>
            <w:tcBorders>
              <w:bottom w:val="single" w:sz="8" w:color="auto"/>
              <w:right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right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151"/>
        </w:trPr>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Total</w:t>
            </w: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jc w:val="right"/>
              <w:ind w:right="176"/>
              <w:spacing w:after="0"/>
              <w:rPr>
                <w:sz w:val="20"/>
                <w:szCs w:val="20"/>
                <w:color w:val="auto"/>
              </w:rPr>
            </w:pPr>
            <w:r>
              <w:rPr>
                <w:rFonts w:ascii="Arial" w:cs="Arial" w:eastAsia="Arial" w:hAnsi="Arial"/>
                <w:sz w:val="13"/>
                <w:szCs w:val="13"/>
                <w:color w:val="auto"/>
              </w:rPr>
              <w:t>$1,725,000,000</w:t>
            </w:r>
          </w:p>
        </w:tc>
        <w:tc>
          <w:tcPr>
            <w:tcW w:w="980" w:type="dxa"/>
            <w:vAlign w:val="bottom"/>
            <w:tcBorders>
              <w:bottom w:val="single" w:sz="8" w:color="auto"/>
            </w:tcBorders>
          </w:tcPr>
          <w:p>
            <w:pPr>
              <w:jc w:val="right"/>
              <w:ind w:right="20"/>
              <w:spacing w:after="0" w:line="151" w:lineRule="exact"/>
              <w:rPr>
                <w:sz w:val="20"/>
                <w:szCs w:val="20"/>
                <w:color w:val="auto"/>
              </w:rPr>
            </w:pPr>
            <w:r>
              <w:rPr>
                <w:rFonts w:ascii="Arial" w:cs="Arial" w:eastAsia="Arial" w:hAnsi="Arial"/>
                <w:sz w:val="12"/>
                <w:szCs w:val="12"/>
                <w:color w:val="auto"/>
              </w:rPr>
              <w:t>$223,905</w:t>
            </w:r>
            <w:r>
              <w:rPr>
                <w:rFonts w:ascii="Arial" w:cs="Arial" w:eastAsia="Arial" w:hAnsi="Arial"/>
                <w:sz w:val="17"/>
                <w:szCs w:val="17"/>
                <w:color w:val="auto"/>
                <w:vertAlign w:val="superscript"/>
              </w:rPr>
              <w:t>(5)</w:t>
            </w:r>
          </w:p>
        </w:tc>
      </w:tr>
    </w:tbl>
    <w:p>
      <w:pPr>
        <w:spacing w:after="0" w:line="16" w:lineRule="exact"/>
        <w:rPr>
          <w:sz w:val="24"/>
          <w:szCs w:val="24"/>
          <w:color w:val="auto"/>
        </w:rPr>
      </w:pPr>
    </w:p>
    <w:p>
      <w:pPr>
        <w:ind w:left="760" w:hanging="322"/>
        <w:spacing w:after="0"/>
        <w:tabs>
          <w:tab w:leader="none" w:pos="76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pursuant to Rule 457(a) under the Securities Act of 1933, as amended (the “Securities Act”).</w:t>
      </w:r>
    </w:p>
    <w:p>
      <w:pPr>
        <w:spacing w:after="0" w:line="6" w:lineRule="exact"/>
        <w:rPr>
          <w:rFonts w:ascii="Arial" w:cs="Arial" w:eastAsia="Arial" w:hAnsi="Arial"/>
          <w:sz w:val="12"/>
          <w:szCs w:val="12"/>
          <w:color w:val="auto"/>
        </w:rPr>
      </w:pPr>
    </w:p>
    <w:p>
      <w:pPr>
        <w:ind w:left="760" w:right="1059" w:hanging="322"/>
        <w:spacing w:after="0" w:line="223" w:lineRule="auto"/>
        <w:tabs>
          <w:tab w:leader="none" w:pos="76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22,500,000 units, consisting of 22,500,000 shares of Class A common stock and 4,500,000 redeemable warrants, which may be issued upon exercise of a 45-day option granted to the underwriters to cover over-allotments, if any.</w:t>
      </w:r>
    </w:p>
    <w:p>
      <w:pPr>
        <w:ind w:left="760" w:right="959" w:hanging="322"/>
        <w:spacing w:after="0" w:line="232" w:lineRule="auto"/>
        <w:tabs>
          <w:tab w:leader="none" w:pos="760" w:val="left"/>
        </w:tabs>
        <w:numPr>
          <w:ilvl w:val="0"/>
          <w:numId w:val="1"/>
        </w:numPr>
        <w:rPr>
          <w:rFonts w:ascii="Arial" w:cs="Arial" w:eastAsia="Arial" w:hAnsi="Arial"/>
          <w:sz w:val="12"/>
          <w:szCs w:val="12"/>
          <w:color w:val="auto"/>
        </w:rPr>
      </w:pPr>
      <w:r>
        <w:rPr>
          <w:rFonts w:ascii="Arial" w:cs="Arial" w:eastAsia="Arial" w:hAnsi="Arial"/>
          <w:sz w:val="12"/>
          <w:szCs w:val="12"/>
          <w:color w:val="auto"/>
        </w:rPr>
        <w:t>Pursuant to Rule 416 under the Securities Act, there are also being registered an indeterminable number of additional securities as may be issued to prevent dilution resulting from stock splits, stock dividends or similar transactions.</w:t>
      </w:r>
    </w:p>
    <w:p>
      <w:pPr>
        <w:ind w:left="760" w:hanging="322"/>
        <w:spacing w:after="0" w:line="237" w:lineRule="auto"/>
        <w:tabs>
          <w:tab w:leader="none" w:pos="760" w:val="left"/>
        </w:tabs>
        <w:numPr>
          <w:ilvl w:val="0"/>
          <w:numId w:val="1"/>
        </w:numPr>
        <w:rPr>
          <w:rFonts w:ascii="Arial" w:cs="Arial" w:eastAsia="Arial" w:hAnsi="Arial"/>
          <w:sz w:val="12"/>
          <w:szCs w:val="12"/>
          <w:color w:val="auto"/>
        </w:rPr>
      </w:pPr>
      <w:r>
        <w:rPr>
          <w:rFonts w:ascii="Arial" w:cs="Arial" w:eastAsia="Arial" w:hAnsi="Arial"/>
          <w:sz w:val="12"/>
          <w:szCs w:val="12"/>
          <w:color w:val="auto"/>
        </w:rPr>
        <w:t>No fee pursuant to Rule 457(g) under the Securities Act.</w:t>
      </w:r>
    </w:p>
    <w:p>
      <w:pPr>
        <w:ind w:left="760" w:hanging="322"/>
        <w:spacing w:after="0"/>
        <w:tabs>
          <w:tab w:leader="none" w:pos="76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$149,270 which was paid previously.</w:t>
      </w:r>
    </w:p>
    <w:p>
      <w:pPr>
        <w:spacing w:after="0" w:line="7" w:lineRule="exact"/>
        <w:rPr>
          <w:sz w:val="24"/>
          <w:szCs w:val="24"/>
          <w:color w:val="auto"/>
        </w:rPr>
      </w:pPr>
    </w:p>
    <w:p>
      <w:pPr>
        <w:ind w:left="440" w:right="879" w:firstLine="326"/>
        <w:spacing w:after="0" w:line="301" w:lineRule="auto"/>
        <w:rPr>
          <w:sz w:val="20"/>
          <w:szCs w:val="20"/>
          <w:color w:val="auto"/>
        </w:rPr>
      </w:pPr>
      <w:r>
        <w:rPr>
          <w:rFonts w:ascii="Arial" w:cs="Arial" w:eastAsia="Arial" w:hAnsi="Arial"/>
          <w:sz w:val="10"/>
          <w:szCs w:val="10"/>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278130</wp:posOffset>
            </wp:positionH>
            <wp:positionV relativeFrom="paragraph">
              <wp:posOffset>13335</wp:posOffset>
            </wp:positionV>
            <wp:extent cx="559943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99430" cy="7620"/>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52070</wp:posOffset>
            </wp:positionV>
            <wp:extent cx="5599430" cy="23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99430" cy="234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300355</wp:posOffset>
            </wp:positionV>
            <wp:extent cx="616648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 w:name="page2"/>
    <w:bookmarkEnd w:id="1"/>
    <w:p>
      <w:pPr>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ectPr>
          <w:pgSz w:w="11900" w:h="16838" w:orient="portrait"/>
          <w:cols w:equalWidth="0" w:num="1">
            <w:col w:w="10139"/>
          </w:cols>
          <w:pgMar w:left="320" w:top="131" w:right="1440" w:bottom="1440" w:gutter="0" w:footer="0" w:header="0"/>
        </w:sectPr>
      </w:pPr>
    </w:p>
    <w:p>
      <w:pPr>
        <w:spacing w:after="0" w:line="262" w:lineRule="exact"/>
        <w:rPr>
          <w:sz w:val="20"/>
          <w:szCs w:val="20"/>
          <w:color w:val="auto"/>
        </w:rPr>
      </w:pPr>
    </w:p>
    <w:tbl>
      <w:tblPr>
        <w:tblLayout w:type="fixed"/>
        <w:tblInd w:w="400" w:type="dxa"/>
        <w:tblCellMar>
          <w:top w:w="0" w:type="dxa"/>
          <w:left w:w="0" w:type="dxa"/>
          <w:bottom w:w="0" w:type="dxa"/>
          <w:right w:w="0" w:type="dxa"/>
        </w:tblCellMar>
      </w:tblPr>
      <w:tr>
        <w:trPr>
          <w:trHeight w:val="890"/>
        </w:trPr>
        <w:tc>
          <w:tcPr>
            <w:tcW w:w="120" w:type="dxa"/>
            <w:vAlign w:val="bottom"/>
            <w:textDirection w:val="btLr"/>
          </w:tcPr>
          <w:p>
            <w:pPr>
              <w:spacing w:after="0"/>
              <w:rPr>
                <w:sz w:val="20"/>
                <w:szCs w:val="20"/>
                <w:color w:val="auto"/>
              </w:rPr>
            </w:pPr>
            <w:r>
              <w:rPr>
                <w:rFonts w:ascii="Arial" w:cs="Arial" w:eastAsia="Arial" w:hAnsi="Arial"/>
                <w:sz w:val="13"/>
                <w:szCs w:val="13"/>
                <w:b w:val="1"/>
                <w:bCs w:val="1"/>
                <w:color w:val="FC0014"/>
                <w:w w:val="99"/>
              </w:rPr>
              <w:t>and Exchange</w:t>
            </w:r>
          </w:p>
        </w:tc>
        <w:tc>
          <w:tcPr>
            <w:tcW w:w="280" w:type="dxa"/>
            <w:vAlign w:val="bottom"/>
            <w:textDirection w:val="btLr"/>
          </w:tcPr>
          <w:p>
            <w:pPr>
              <w:ind w:left="27"/>
              <w:spacing w:after="0"/>
              <w:rPr>
                <w:sz w:val="20"/>
                <w:szCs w:val="20"/>
                <w:color w:val="auto"/>
              </w:rPr>
            </w:pPr>
            <w:r>
              <w:rPr>
                <w:rFonts w:ascii="Arial" w:cs="Arial" w:eastAsia="Arial" w:hAnsi="Arial"/>
                <w:sz w:val="13"/>
                <w:szCs w:val="13"/>
                <w:b w:val="1"/>
                <w:bCs w:val="1"/>
                <w:color w:val="FC0014"/>
                <w:w w:val="98"/>
              </w:rPr>
              <w:t>offer or sale is</w:t>
            </w:r>
          </w:p>
        </w:tc>
      </w:tr>
      <w:tr>
        <w:trPr>
          <w:trHeight w:val="647"/>
        </w:trPr>
        <w:tc>
          <w:tcPr>
            <w:tcW w:w="120" w:type="dxa"/>
            <w:vAlign w:val="bottom"/>
            <w:textDirection w:val="btLr"/>
          </w:tcPr>
          <w:p>
            <w:pPr>
              <w:spacing w:after="0"/>
              <w:rPr>
                <w:sz w:val="20"/>
                <w:szCs w:val="20"/>
                <w:color w:val="auto"/>
              </w:rPr>
            </w:pPr>
            <w:r>
              <w:rPr>
                <w:rFonts w:ascii="Arial" w:cs="Arial" w:eastAsia="Arial" w:hAnsi="Arial"/>
                <w:sz w:val="13"/>
                <w:szCs w:val="13"/>
                <w:b w:val="1"/>
                <w:bCs w:val="1"/>
                <w:color w:val="FC0014"/>
                <w:w w:val="99"/>
              </w:rPr>
              <w:t>Securities</w:t>
            </w:r>
          </w:p>
        </w:tc>
        <w:tc>
          <w:tcPr>
            <w:tcW w:w="280" w:type="dxa"/>
            <w:vAlign w:val="bottom"/>
            <w:textDirection w:val="btLr"/>
          </w:tcPr>
          <w:p>
            <w:pPr>
              <w:ind w:left="27"/>
              <w:spacing w:after="0"/>
              <w:rPr>
                <w:sz w:val="20"/>
                <w:szCs w:val="20"/>
                <w:color w:val="auto"/>
              </w:rPr>
            </w:pPr>
            <w:r>
              <w:rPr>
                <w:rFonts w:ascii="Arial" w:cs="Arial" w:eastAsia="Arial" w:hAnsi="Arial"/>
                <w:sz w:val="13"/>
                <w:szCs w:val="13"/>
                <w:b w:val="1"/>
                <w:bCs w:val="1"/>
                <w:color w:val="FC0014"/>
                <w:w w:val="98"/>
              </w:rPr>
              <w:t>where the</w:t>
            </w:r>
          </w:p>
        </w:tc>
      </w:tr>
      <w:tr>
        <w:trPr>
          <w:trHeight w:val="4087"/>
        </w:trPr>
        <w:tc>
          <w:tcPr>
            <w:tcW w:w="120" w:type="dxa"/>
            <w:vAlign w:val="bottom"/>
            <w:textDirection w:val="btLr"/>
          </w:tcPr>
          <w:p>
            <w:pPr>
              <w:spacing w:after="0"/>
              <w:rPr>
                <w:sz w:val="20"/>
                <w:szCs w:val="20"/>
                <w:color w:val="auto"/>
              </w:rPr>
            </w:pPr>
            <w:r>
              <w:rPr>
                <w:rFonts w:ascii="Arial" w:cs="Arial" w:eastAsia="Arial" w:hAnsi="Arial"/>
                <w:sz w:val="13"/>
                <w:szCs w:val="13"/>
                <w:b w:val="1"/>
                <w:bCs w:val="1"/>
                <w:color w:val="FC0014"/>
                <w:w w:val="99"/>
              </w:rPr>
              <w:t>sell these securities until the registration statement filed with the</w:t>
            </w:r>
          </w:p>
        </w:tc>
        <w:tc>
          <w:tcPr>
            <w:tcW w:w="280" w:type="dxa"/>
            <w:vAlign w:val="bottom"/>
            <w:textDirection w:val="btLr"/>
          </w:tcPr>
          <w:p>
            <w:pPr>
              <w:ind w:left="27"/>
              <w:spacing w:after="0"/>
              <w:rPr>
                <w:sz w:val="20"/>
                <w:szCs w:val="20"/>
                <w:color w:val="auto"/>
              </w:rPr>
            </w:pPr>
            <w:r>
              <w:rPr>
                <w:rFonts w:ascii="Arial" w:cs="Arial" w:eastAsia="Arial" w:hAnsi="Arial"/>
                <w:sz w:val="13"/>
                <w:szCs w:val="13"/>
                <w:b w:val="1"/>
                <w:bCs w:val="1"/>
                <w:color w:val="FC0014"/>
                <w:w w:val="99"/>
              </w:rPr>
              <w:t>is not soliciting an offer to buy these securities in any jurisdiction</w:t>
            </w:r>
          </w:p>
        </w:tc>
      </w:tr>
      <w:tr>
        <w:trPr>
          <w:trHeight w:val="1848"/>
        </w:trPr>
        <w:tc>
          <w:tcPr>
            <w:tcW w:w="120" w:type="dxa"/>
            <w:vAlign w:val="bottom"/>
            <w:textDirection w:val="btLr"/>
          </w:tcPr>
          <w:p>
            <w:pPr>
              <w:spacing w:after="0"/>
              <w:rPr>
                <w:sz w:val="20"/>
                <w:szCs w:val="20"/>
                <w:color w:val="auto"/>
              </w:rPr>
            </w:pPr>
            <w:r>
              <w:rPr>
                <w:rFonts w:ascii="Arial" w:cs="Arial" w:eastAsia="Arial" w:hAnsi="Arial"/>
                <w:sz w:val="13"/>
                <w:szCs w:val="13"/>
                <w:b w:val="1"/>
                <w:bCs w:val="1"/>
                <w:color w:val="FC0014"/>
                <w:w w:val="99"/>
              </w:rPr>
              <w:t>may be changed. We may not</w:t>
            </w:r>
          </w:p>
        </w:tc>
        <w:tc>
          <w:tcPr>
            <w:tcW w:w="280" w:type="dxa"/>
            <w:vAlign w:val="bottom"/>
            <w:textDirection w:val="btLr"/>
          </w:tcPr>
          <w:p>
            <w:pPr>
              <w:ind w:left="27"/>
              <w:spacing w:after="0"/>
              <w:rPr>
                <w:sz w:val="20"/>
                <w:szCs w:val="20"/>
                <w:color w:val="auto"/>
              </w:rPr>
            </w:pPr>
            <w:r>
              <w:rPr>
                <w:rFonts w:ascii="Arial" w:cs="Arial" w:eastAsia="Arial" w:hAnsi="Arial"/>
                <w:sz w:val="13"/>
                <w:szCs w:val="13"/>
                <w:b w:val="1"/>
                <w:bCs w:val="1"/>
                <w:color w:val="FC0014"/>
              </w:rPr>
              <w:t>to sell these securities and it</w:t>
            </w:r>
          </w:p>
        </w:tc>
      </w:tr>
      <w:tr>
        <w:trPr>
          <w:trHeight w:val="878"/>
        </w:trPr>
        <w:tc>
          <w:tcPr>
            <w:tcW w:w="120" w:type="dxa"/>
            <w:vAlign w:val="bottom"/>
            <w:textDirection w:val="btLr"/>
          </w:tcPr>
          <w:p>
            <w:pPr>
              <w:spacing w:after="0"/>
              <w:rPr>
                <w:sz w:val="20"/>
                <w:szCs w:val="20"/>
                <w:color w:val="auto"/>
              </w:rPr>
            </w:pPr>
            <w:r>
              <w:rPr>
                <w:rFonts w:ascii="Arial" w:cs="Arial" w:eastAsia="Arial" w:hAnsi="Arial"/>
                <w:sz w:val="13"/>
                <w:szCs w:val="13"/>
                <w:b w:val="1"/>
                <w:bCs w:val="1"/>
                <w:color w:val="FC0014"/>
              </w:rPr>
              <w:t>complete and</w:t>
            </w:r>
          </w:p>
        </w:tc>
        <w:tc>
          <w:tcPr>
            <w:tcW w:w="280" w:type="dxa"/>
            <w:vAlign w:val="bottom"/>
            <w:textDirection w:val="btLr"/>
          </w:tcPr>
          <w:p>
            <w:pPr>
              <w:ind w:left="27"/>
              <w:spacing w:after="0"/>
              <w:rPr>
                <w:sz w:val="20"/>
                <w:szCs w:val="20"/>
                <w:color w:val="auto"/>
              </w:rPr>
            </w:pPr>
            <w:r>
              <w:rPr>
                <w:rFonts w:ascii="Arial" w:cs="Arial" w:eastAsia="Arial" w:hAnsi="Arial"/>
                <w:sz w:val="13"/>
                <w:szCs w:val="13"/>
                <w:b w:val="1"/>
                <w:bCs w:val="1"/>
                <w:color w:val="FC0014"/>
                <w:w w:val="99"/>
              </w:rPr>
              <w:t>is not an offer</w:t>
            </w:r>
          </w:p>
        </w:tc>
      </w:tr>
      <w:tr>
        <w:trPr>
          <w:trHeight w:val="3305"/>
        </w:trPr>
        <w:tc>
          <w:tcPr>
            <w:tcW w:w="120" w:type="dxa"/>
            <w:vAlign w:val="bottom"/>
            <w:textDirection w:val="btLr"/>
          </w:tcPr>
          <w:p>
            <w:pPr>
              <w:spacing w:after="0"/>
              <w:rPr>
                <w:sz w:val="20"/>
                <w:szCs w:val="20"/>
                <w:color w:val="auto"/>
              </w:rPr>
            </w:pPr>
            <w:r>
              <w:rPr>
                <w:rFonts w:ascii="Arial" w:cs="Arial" w:eastAsia="Arial" w:hAnsi="Arial"/>
                <w:sz w:val="13"/>
                <w:szCs w:val="13"/>
                <w:b w:val="1"/>
                <w:bCs w:val="1"/>
                <w:color w:val="FC0014"/>
              </w:rPr>
              <w:t>The information in this preliminary prospectus is not</w:t>
            </w:r>
          </w:p>
        </w:tc>
        <w:tc>
          <w:tcPr>
            <w:tcW w:w="280" w:type="dxa"/>
            <w:vAlign w:val="bottom"/>
            <w:textDirection w:val="btLr"/>
          </w:tcPr>
          <w:p>
            <w:pPr>
              <w:ind w:left="131"/>
              <w:spacing w:after="0"/>
              <w:rPr>
                <w:sz w:val="20"/>
                <w:szCs w:val="20"/>
                <w:color w:val="auto"/>
              </w:rPr>
            </w:pPr>
            <w:r>
              <w:rPr>
                <w:rFonts w:ascii="Arial" w:cs="Arial" w:eastAsia="Arial" w:hAnsi="Arial"/>
                <w:sz w:val="13"/>
                <w:szCs w:val="13"/>
                <w:b w:val="1"/>
                <w:bCs w:val="1"/>
                <w:color w:val="FC0014"/>
                <w:w w:val="78"/>
              </w:rPr>
              <w:t>Commission is effective. This preliminary prospectusnotpermitted.</w:t>
            </w:r>
          </w:p>
        </w:tc>
      </w:tr>
    </w:tbl>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ind w:left="2220"/>
        <w:spacing w:after="0"/>
        <w:rPr>
          <w:sz w:val="20"/>
          <w:szCs w:val="20"/>
          <w:color w:val="auto"/>
        </w:rPr>
      </w:pPr>
      <w:r>
        <w:rPr>
          <w:rFonts w:ascii="Arial" w:cs="Arial" w:eastAsia="Arial" w:hAnsi="Arial"/>
          <w:sz w:val="16"/>
          <w:szCs w:val="16"/>
          <w:color w:val="FC0014"/>
        </w:rPr>
        <w:t>SUBJECT TO COMPLETION, DATED JULY 27, 2020</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PRELIMINARY PROSPECTUS</w:t>
      </w:r>
    </w:p>
    <w:p>
      <w:pPr>
        <w:spacing w:after="0" w:line="18" w:lineRule="exact"/>
        <w:rPr>
          <w:sz w:val="20"/>
          <w:szCs w:val="20"/>
          <w:color w:val="auto"/>
        </w:rPr>
      </w:pPr>
    </w:p>
    <w:p>
      <w:pPr>
        <w:jc w:val="center"/>
        <w:ind w:right="879"/>
        <w:spacing w:after="0"/>
        <w:rPr>
          <w:sz w:val="20"/>
          <w:szCs w:val="20"/>
          <w:color w:val="auto"/>
        </w:rPr>
      </w:pPr>
      <w:r>
        <w:rPr>
          <w:rFonts w:ascii="Arial" w:cs="Arial" w:eastAsia="Arial" w:hAnsi="Arial"/>
          <w:sz w:val="26"/>
          <w:szCs w:val="26"/>
          <w:b w:val="1"/>
          <w:bCs w:val="1"/>
          <w:color w:val="auto"/>
        </w:rPr>
        <w:t>$1,500,000,000</w:t>
      </w:r>
    </w:p>
    <w:p>
      <w:pPr>
        <w:spacing w:after="0" w:line="31" w:lineRule="exact"/>
        <w:rPr>
          <w:sz w:val="20"/>
          <w:szCs w:val="20"/>
          <w:color w:val="auto"/>
        </w:rPr>
      </w:pPr>
    </w:p>
    <w:p>
      <w:pPr>
        <w:jc w:val="center"/>
        <w:ind w:right="879"/>
        <w:spacing w:after="0"/>
        <w:rPr>
          <w:sz w:val="20"/>
          <w:szCs w:val="20"/>
          <w:color w:val="auto"/>
        </w:rPr>
      </w:pPr>
      <w:r>
        <w:rPr>
          <w:rFonts w:ascii="Arial" w:cs="Arial" w:eastAsia="Arial" w:hAnsi="Arial"/>
          <w:sz w:val="29"/>
          <w:szCs w:val="29"/>
          <w:b w:val="1"/>
          <w:bCs w:val="1"/>
          <w:color w:val="auto"/>
        </w:rPr>
        <w:t>Churchill Capital Corp IV</w:t>
      </w:r>
    </w:p>
    <w:p>
      <w:pPr>
        <w:spacing w:after="0" w:line="14" w:lineRule="exact"/>
        <w:rPr>
          <w:sz w:val="20"/>
          <w:szCs w:val="20"/>
          <w:color w:val="auto"/>
        </w:rPr>
      </w:pPr>
    </w:p>
    <w:p>
      <w:pPr>
        <w:jc w:val="center"/>
        <w:ind w:right="879"/>
        <w:spacing w:after="0"/>
        <w:rPr>
          <w:sz w:val="20"/>
          <w:szCs w:val="20"/>
          <w:color w:val="auto"/>
        </w:rPr>
      </w:pPr>
      <w:r>
        <w:rPr>
          <w:rFonts w:ascii="Arial" w:cs="Arial" w:eastAsia="Arial" w:hAnsi="Arial"/>
          <w:sz w:val="26"/>
          <w:szCs w:val="26"/>
          <w:b w:val="1"/>
          <w:bCs w:val="1"/>
          <w:color w:val="auto"/>
        </w:rPr>
        <w:t>150,000,000 Units</w:t>
      </w:r>
    </w:p>
    <w:p>
      <w:pPr>
        <w:spacing w:after="0" w:line="15" w:lineRule="exact"/>
        <w:rPr>
          <w:sz w:val="20"/>
          <w:szCs w:val="20"/>
          <w:color w:val="auto"/>
        </w:rPr>
      </w:pPr>
    </w:p>
    <w:p>
      <w:pPr>
        <w:ind w:right="919" w:firstLine="326"/>
        <w:spacing w:after="0" w:line="225" w:lineRule="auto"/>
        <w:rPr>
          <w:sz w:val="20"/>
          <w:szCs w:val="20"/>
          <w:color w:val="auto"/>
        </w:rPr>
      </w:pPr>
      <w:r>
        <w:rPr>
          <w:rFonts w:ascii="Arial" w:cs="Arial" w:eastAsia="Arial" w:hAnsi="Arial"/>
          <w:sz w:val="13"/>
          <w:szCs w:val="13"/>
          <w:color w:val="auto"/>
        </w:rPr>
        <w:t>Churchill Capital Corp IV is a newly incorporated blank check company formed for the purpose of effecting a merger, capital stock exchange, asset acquisition, stock purchase, reorganization or similar business combination with one or more businesses, which we refer to throughout this prospectus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 We may pursue an initial business combination target in any business or industry.</w:t>
      </w:r>
    </w:p>
    <w:p>
      <w:pPr>
        <w:spacing w:after="0" w:line="2" w:lineRule="exact"/>
        <w:rPr>
          <w:sz w:val="20"/>
          <w:szCs w:val="20"/>
          <w:color w:val="auto"/>
        </w:rPr>
      </w:pPr>
    </w:p>
    <w:p>
      <w:pPr>
        <w:ind w:right="899" w:firstLine="326"/>
        <w:spacing w:after="0" w:line="220" w:lineRule="auto"/>
        <w:rPr>
          <w:sz w:val="20"/>
          <w:szCs w:val="20"/>
          <w:color w:val="auto"/>
        </w:rPr>
      </w:pPr>
      <w:r>
        <w:rPr>
          <w:rFonts w:ascii="Arial" w:cs="Arial" w:eastAsia="Arial" w:hAnsi="Arial"/>
          <w:sz w:val="13"/>
          <w:szCs w:val="13"/>
          <w:color w:val="auto"/>
        </w:rPr>
        <w:t>This is an initial public offering of our securities. Each unit has an offering price of $10.00 and consists of one share of our Class A common stock and one-fifth of one redeemable warrant. Each whole warrant entitles the holder thereof to purchase one share of our Class A common stock at a price of $11.50 per share, subject to adjustment as described in this prospectus. Only whole warrants are exercisable. The warrants will become exercisable on the later of 30 days after the completion of our initial business combination and 12 months from the closing of this offering (the “warrant exercise date”), and will expire five years after the completion of our initial business combination or earlier upon redemption or liquidation (the “warrant expiration date”), as described in this prospectus. Subject to the terms and conditions described in this prospectus, we may redeem the warrants for cash once the warrants become exercisable. We have also granted the underwriters a 45-day option to purchase up to an additional 22,500,000 units to cover over-allotments, if any.</w:t>
      </w:r>
    </w:p>
    <w:p>
      <w:pPr>
        <w:spacing w:after="0" w:line="12" w:lineRule="exact"/>
        <w:rPr>
          <w:sz w:val="20"/>
          <w:szCs w:val="20"/>
          <w:color w:val="auto"/>
        </w:rPr>
      </w:pPr>
    </w:p>
    <w:p>
      <w:pPr>
        <w:ind w:right="919" w:firstLine="326"/>
        <w:spacing w:after="0" w:line="239" w:lineRule="auto"/>
        <w:rPr>
          <w:sz w:val="20"/>
          <w:szCs w:val="20"/>
          <w:color w:val="auto"/>
        </w:rPr>
      </w:pPr>
      <w:r>
        <w:rPr>
          <w:rFonts w:ascii="Arial" w:cs="Arial" w:eastAsia="Arial" w:hAnsi="Arial"/>
          <w:sz w:val="12"/>
          <w:szCs w:val="12"/>
          <w:color w:val="auto"/>
        </w:rPr>
        <w:t>We will provide our public stockholders with the opportunity to redeem all or a portion of their shares of our Class A common stock upon the completion of our initial business combination at a per share price, payable in cash, equal to the aggregate amount then on deposit in the trust account described below calculated as of two business days prior to the consummation of our initial business combination, including interest (net of amounts withdrawn to fund our working capital requirements, subject to an annual limit of $1,000,000, and/or to pay our taxes (“permitted withdrawals”)), divided by the number of then outstanding public shares, subject to the limitations described herein. If we are unable to complete our initial business combination within 24 months from the closing of this offering (or 27 months from the closing of this offering if we have executed a letter of intent, agreement in principle or definitive agreement for an initial business combination within 24 months from the closing of this offering), we will redeem 100% of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subject to applicable law and certain conditions as further described herein.</w:t>
      </w:r>
    </w:p>
    <w:p>
      <w:pPr>
        <w:spacing w:after="0" w:line="8" w:lineRule="exact"/>
        <w:rPr>
          <w:sz w:val="20"/>
          <w:szCs w:val="20"/>
          <w:color w:val="auto"/>
        </w:rPr>
      </w:pPr>
    </w:p>
    <w:p>
      <w:pPr>
        <w:ind w:right="899" w:firstLine="326"/>
        <w:spacing w:after="0" w:line="244" w:lineRule="auto"/>
        <w:rPr>
          <w:sz w:val="20"/>
          <w:szCs w:val="20"/>
          <w:color w:val="auto"/>
        </w:rPr>
      </w:pPr>
      <w:r>
        <w:rPr>
          <w:rFonts w:ascii="Arial" w:cs="Arial" w:eastAsia="Arial" w:hAnsi="Arial"/>
          <w:sz w:val="12"/>
          <w:szCs w:val="12"/>
          <w:color w:val="auto"/>
        </w:rPr>
        <w:t>Our sponsor, Churchill Sponsor IV LLC, is an affiliate of M. Klein and Company, LLC. Our sponsor has subscribed to purchase an aggregate of 31,350,000 warrants (or 35,850,000 warrants if the underwriters’ option to purchase additional units is exercised in full) at a price of $1.00 per warrant ( $31,350,000 in the aggregate, or $35,850,000 in the aggregate if the underwriters’ option to purchase additional units is exercised in full) in a private placement that will close simultaneously with the closing of this offering (the “Private Placement”). Each private placement warrant entitles the holder thereof to purchase one share of our Class A common stock at $11.50 per share, subject to adjustment as described in this prospectus.</w:t>
      </w:r>
    </w:p>
    <w:p>
      <w:pPr>
        <w:spacing w:after="0" w:line="1" w:lineRule="exact"/>
        <w:rPr>
          <w:sz w:val="20"/>
          <w:szCs w:val="20"/>
          <w:color w:val="auto"/>
        </w:rPr>
      </w:pPr>
    </w:p>
    <w:p>
      <w:pPr>
        <w:ind w:right="879" w:firstLine="326"/>
        <w:spacing w:after="0" w:line="222" w:lineRule="auto"/>
        <w:rPr>
          <w:sz w:val="20"/>
          <w:szCs w:val="20"/>
          <w:color w:val="auto"/>
        </w:rPr>
      </w:pPr>
      <w:r>
        <w:rPr>
          <w:rFonts w:ascii="Arial" w:cs="Arial" w:eastAsia="Arial" w:hAnsi="Arial"/>
          <w:sz w:val="13"/>
          <w:szCs w:val="13"/>
          <w:color w:val="auto"/>
        </w:rPr>
        <w:t>Our sponsor currently holds 43,125,000 shares of Class B common stock (up to 5,625,000 of which are subject to forfeiture depending on the extent to which the underwriters’ option to purchase additional units is exercised). The shares of Class B common stock will automatically convert into shares of Class A common stock at the time of our initial business combination on a one -for-one basis, subject to adjustment as provided herein. Holders of our Class B common stock will have the right to elect all of our directors prior to the consummation of our initial business combination. On any other matter submitted to a vote of our stockholders, holders of our Class B common stock and holders of our Class A common stock will vote together as a single class, except as required by applicable law or stock exchange rule.</w:t>
      </w:r>
    </w:p>
    <w:p>
      <w:pPr>
        <w:spacing w:after="0" w:line="9" w:lineRule="exact"/>
        <w:rPr>
          <w:sz w:val="20"/>
          <w:szCs w:val="20"/>
          <w:color w:val="auto"/>
        </w:rPr>
      </w:pPr>
    </w:p>
    <w:p>
      <w:pPr>
        <w:ind w:right="939" w:firstLine="326"/>
        <w:spacing w:after="0" w:line="225" w:lineRule="auto"/>
        <w:rPr>
          <w:sz w:val="20"/>
          <w:szCs w:val="20"/>
          <w:color w:val="auto"/>
        </w:rPr>
      </w:pPr>
      <w:r>
        <w:rPr>
          <w:rFonts w:ascii="Arial" w:cs="Arial" w:eastAsia="Arial" w:hAnsi="Arial"/>
          <w:sz w:val="12"/>
          <w:szCs w:val="12"/>
          <w:color w:val="auto"/>
        </w:rPr>
        <w:t>Prior to this offering, there has been no public market for our units, Class A common stock or warrants. We intend to apply to list our units on the New York Stock Exchange (the “NYSE”), under the symbol “CCIV.U” on or promptly after the date of this prospectus. We cannot guarantee that our securities will be approved for listing on the NYSE. The Class A common stock and warrants constituting the units will begin separate trading on the 52</w:t>
      </w:r>
      <w:r>
        <w:rPr>
          <w:rFonts w:ascii="Arial" w:cs="Arial" w:eastAsia="Arial" w:hAnsi="Arial"/>
          <w:sz w:val="18"/>
          <w:szCs w:val="18"/>
          <w:color w:val="auto"/>
          <w:vertAlign w:val="superscript"/>
        </w:rPr>
        <w:t>nd</w:t>
      </w:r>
      <w:r>
        <w:rPr>
          <w:rFonts w:ascii="Arial" w:cs="Arial" w:eastAsia="Arial" w:hAnsi="Arial"/>
          <w:sz w:val="12"/>
          <w:szCs w:val="12"/>
          <w:color w:val="auto"/>
        </w:rPr>
        <w:t xml:space="preserve"> day following the date of this prospectus, subject to certain conditions. Once the securities constituting the units begin separate trading, we expect that the Class A common stock and warrants will be listed on the NYSE under the symbols “CCIV” and “CCIV WS,” respectively.</w:t>
      </w:r>
    </w:p>
    <w:p>
      <w:pPr>
        <w:spacing w:after="0" w:line="3" w:lineRule="exact"/>
        <w:rPr>
          <w:sz w:val="20"/>
          <w:szCs w:val="20"/>
          <w:color w:val="auto"/>
        </w:rPr>
      </w:pPr>
    </w:p>
    <w:p>
      <w:pPr>
        <w:jc w:val="both"/>
        <w:ind w:right="999" w:firstLine="326"/>
        <w:spacing w:after="0" w:line="283" w:lineRule="auto"/>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We are an “emerging growth company” under applicable federal securities laws and will be subject to reduced public company reporting requirements. Investing in our securities involves risks. Please see “Risk Factors” on page </w:t>
      </w:r>
      <w:hyperlink w:anchor="page35">
        <w:r>
          <w:rPr>
            <w:rFonts w:ascii="Arial" w:cs="Arial" w:eastAsia="Arial" w:hAnsi="Arial"/>
            <w:sz w:val="14"/>
            <w:szCs w:val="14"/>
            <w:b w:val="1"/>
            <w:bCs w:val="1"/>
            <w:u w:val="single" w:color="auto"/>
            <w:color w:val="0000EE"/>
          </w:rPr>
          <w:t>33</w:t>
        </w:r>
      </w:hyperlink>
      <w:r>
        <w:rPr>
          <w:rFonts w:ascii="Arial" w:cs="Arial" w:eastAsia="Arial" w:hAnsi="Arial"/>
          <w:sz w:val="14"/>
          <w:szCs w:val="14"/>
          <w:b w:val="1"/>
          <w:bCs w:val="1"/>
          <w:color w:val="auto"/>
        </w:rPr>
        <w:t>. Investors will not be entitled to protections normally afforded to investors in Rule 419 blank check offerings.</w:t>
      </w:r>
    </w:p>
    <w:p>
      <w:pPr>
        <w:ind w:right="939" w:firstLine="326"/>
        <w:spacing w:after="0" w:line="259" w:lineRule="auto"/>
        <w:rPr>
          <w:sz w:val="20"/>
          <w:szCs w:val="20"/>
          <w:color w:val="auto"/>
        </w:rPr>
      </w:pPr>
      <w:r>
        <w:rPr>
          <w:rFonts w:ascii="Arial" w:cs="Arial" w:eastAsia="Arial" w:hAnsi="Arial"/>
          <w:sz w:val="13"/>
          <w:szCs w:val="13"/>
          <w:color w:val="auto"/>
        </w:rPr>
        <w:t>Neither the SEC nor any state securities commission has approved or disapproved of these securities or determined if this prospectus is truthful or complete. Any representation to the contrary is a criminal offense.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70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3"/>
                <w:szCs w:val="13"/>
                <w:b w:val="1"/>
                <w:bCs w:val="1"/>
                <w:color w:val="auto"/>
              </w:rPr>
              <w:t>Per Unit</w:t>
            </w:r>
          </w:p>
        </w:tc>
        <w:tc>
          <w:tcPr>
            <w:tcW w:w="80" w:type="dxa"/>
            <w:vAlign w:val="bottom"/>
          </w:tcPr>
          <w:p>
            <w:pPr>
              <w:spacing w:after="0"/>
              <w:rPr>
                <w:sz w:val="14"/>
                <w:szCs w:val="14"/>
                <w:color w:val="auto"/>
              </w:rPr>
            </w:pPr>
          </w:p>
        </w:tc>
        <w:tc>
          <w:tcPr>
            <w:tcW w:w="760" w:type="dxa"/>
            <w:vAlign w:val="bottom"/>
          </w:tcPr>
          <w:p>
            <w:pPr>
              <w:jc w:val="right"/>
              <w:ind w:right="215"/>
              <w:spacing w:after="0"/>
              <w:rPr>
                <w:sz w:val="20"/>
                <w:szCs w:val="20"/>
                <w:color w:val="auto"/>
              </w:rPr>
            </w:pPr>
            <w:r>
              <w:rPr>
                <w:rFonts w:ascii="Arial" w:cs="Arial" w:eastAsia="Arial" w:hAnsi="Arial"/>
                <w:sz w:val="13"/>
                <w:szCs w:val="13"/>
                <w:b w:val="1"/>
                <w:bCs w:val="1"/>
                <w:color w:val="auto"/>
              </w:rPr>
              <w:t>Total</w:t>
            </w:r>
          </w:p>
        </w:tc>
      </w:tr>
      <w:tr>
        <w:trPr>
          <w:trHeight w:val="23"/>
        </w:trPr>
        <w:tc>
          <w:tcPr>
            <w:tcW w:w="6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76"/>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Price to Public</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10.00</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1,500,000,000</w:t>
            </w:r>
          </w:p>
        </w:tc>
      </w:tr>
      <w:tr>
        <w:trPr>
          <w:trHeight w:val="183"/>
        </w:trPr>
        <w:tc>
          <w:tcPr>
            <w:tcW w:w="6700" w:type="dxa"/>
            <w:vAlign w:val="bottom"/>
          </w:tcPr>
          <w:p>
            <w:pPr>
              <w:spacing w:after="0" w:line="183" w:lineRule="exact"/>
              <w:rPr>
                <w:sz w:val="20"/>
                <w:szCs w:val="20"/>
                <w:color w:val="auto"/>
              </w:rPr>
            </w:pPr>
            <w:r>
              <w:rPr>
                <w:rFonts w:ascii="Arial" w:cs="Arial" w:eastAsia="Arial" w:hAnsi="Arial"/>
                <w:sz w:val="13"/>
                <w:szCs w:val="13"/>
                <w:color w:val="auto"/>
              </w:rPr>
              <w:t>Underwriting Discounts and Commissions</w:t>
            </w:r>
            <w:r>
              <w:rPr>
                <w:rFonts w:ascii="Arial" w:cs="Arial" w:eastAsia="Arial" w:hAnsi="Arial"/>
                <w:sz w:val="19"/>
                <w:szCs w:val="19"/>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0.55</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82,500,000</w:t>
            </w:r>
          </w:p>
        </w:tc>
      </w:tr>
      <w:tr>
        <w:trPr>
          <w:trHeight w:val="171"/>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Proceeds, before expenses, to us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9.45</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1,417,500,000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-348615</wp:posOffset>
            </wp:positionV>
            <wp:extent cx="469074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90745"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132080</wp:posOffset>
            </wp:positionV>
            <wp:extent cx="111823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8235" cy="7620"/>
                    </a:xfrm>
                    <a:prstGeom prst="rect">
                      <a:avLst/>
                    </a:prstGeom>
                    <a:noFill/>
                  </pic:spPr>
                </pic:pic>
              </a:graphicData>
            </a:graphic>
          </wp:anchor>
        </w:drawing>
      </w:r>
    </w:p>
    <w:p>
      <w:pPr>
        <w:spacing w:after="0" w:line="294" w:lineRule="exact"/>
        <w:rPr>
          <w:sz w:val="20"/>
          <w:szCs w:val="20"/>
          <w:color w:val="auto"/>
        </w:rPr>
      </w:pPr>
    </w:p>
    <w:p>
      <w:pPr>
        <w:ind w:left="340" w:right="899" w:hanging="335"/>
        <w:spacing w:after="0" w:line="258"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Includes $0.35 per unit, or $52,500,000 (or up to $60,375,000 if the underwriters’ option to purchase additional units is exercised in full) in the aggregate, payable to the underwriters for deferred underwriting commissions to be placed in a trust account located in the United States as described herein. The deferred commissions will be released to the underwriters only on completion of an initial business combination, in an amount equal to $0.35 multiplied by the number of shares of Class A common stock sold as part of the units in this offering, as described in this prospectus. Does not include certain fees and expenses payable to the underwriters in connection with this offering. See also “Underwriting” for a description of compensation and other items of value payable to the underwriters.</w:t>
      </w:r>
    </w:p>
    <w:p>
      <w:pPr>
        <w:spacing w:after="0" w:line="2" w:lineRule="exact"/>
        <w:rPr>
          <w:sz w:val="20"/>
          <w:szCs w:val="20"/>
          <w:color w:val="auto"/>
        </w:rPr>
      </w:pPr>
    </w:p>
    <w:p>
      <w:pPr>
        <w:jc w:val="both"/>
        <w:ind w:right="1039" w:firstLine="326"/>
        <w:spacing w:after="0" w:line="231" w:lineRule="auto"/>
        <w:rPr>
          <w:sz w:val="20"/>
          <w:szCs w:val="20"/>
          <w:color w:val="auto"/>
        </w:rPr>
      </w:pPr>
      <w:r>
        <w:rPr>
          <w:rFonts w:ascii="Arial" w:cs="Arial" w:eastAsia="Arial" w:hAnsi="Arial"/>
          <w:sz w:val="13"/>
          <w:szCs w:val="13"/>
          <w:color w:val="auto"/>
        </w:rPr>
        <w:t>Of the proceeds we receive from this offering and the sale of the private placement warrants described in this prospectus, $1,500.0 million, or $1,725.0 million if the underwriters’ option to purchase additional units is exercised in full ($10.00 per unit in either case), will be deposited into a U.S.-based trust account with Continental Stock Transfer &amp; Trust Company acting as trustee.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The underwriters are offering the units for sale on a firm commitment basis. The underwriters expect to deliver the units to the purchasers on or</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80" w:type="dxa"/>
            <w:vAlign w:val="bottom"/>
          </w:tcPr>
          <w:p>
            <w:pPr>
              <w:spacing w:after="0"/>
              <w:rPr>
                <w:sz w:val="20"/>
                <w:szCs w:val="20"/>
                <w:color w:val="auto"/>
              </w:rPr>
            </w:pPr>
            <w:r>
              <w:rPr>
                <w:rFonts w:ascii="Arial" w:cs="Arial" w:eastAsia="Arial" w:hAnsi="Arial"/>
                <w:sz w:val="13"/>
                <w:szCs w:val="13"/>
                <w:color w:val="auto"/>
              </w:rPr>
              <w:t>about</w:t>
            </w:r>
          </w:p>
        </w:tc>
        <w:tc>
          <w:tcPr>
            <w:tcW w:w="1000" w:type="dxa"/>
            <w:vAlign w:val="bottom"/>
          </w:tcPr>
          <w:p>
            <w:pPr>
              <w:jc w:val="right"/>
              <w:ind w:right="475"/>
              <w:spacing w:after="0"/>
              <w:rPr>
                <w:sz w:val="20"/>
                <w:szCs w:val="20"/>
                <w:color w:val="auto"/>
              </w:rPr>
            </w:pPr>
            <w:r>
              <w:rPr>
                <w:rFonts w:ascii="Arial" w:cs="Arial" w:eastAsia="Arial" w:hAnsi="Arial"/>
                <w:sz w:val="13"/>
                <w:szCs w:val="13"/>
                <w:color w:val="auto"/>
              </w:rPr>
              <w:t>, 2020.</w:t>
            </w:r>
          </w:p>
        </w:tc>
        <w:tc>
          <w:tcPr>
            <w:tcW w:w="1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98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Global Coordinator &amp;</w:t>
            </w:r>
          </w:p>
        </w:tc>
        <w:tc>
          <w:tcPr>
            <w:tcW w:w="1260" w:type="dxa"/>
            <w:vAlign w:val="bottom"/>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198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980" w:type="dxa"/>
            <w:vAlign w:val="bottom"/>
            <w:gridSpan w:val="2"/>
          </w:tcPr>
          <w:p>
            <w:pPr>
              <w:spacing w:after="0"/>
              <w:rPr>
                <w:sz w:val="20"/>
                <w:szCs w:val="20"/>
                <w:color w:val="auto"/>
              </w:rPr>
            </w:pPr>
            <w:r>
              <w:rPr>
                <w:rFonts w:ascii="Arial" w:cs="Arial" w:eastAsia="Arial" w:hAnsi="Arial"/>
                <w:sz w:val="16"/>
                <w:szCs w:val="16"/>
                <w:i w:val="1"/>
                <w:iCs w:val="1"/>
                <w:color w:val="auto"/>
              </w:rPr>
              <w:t>Joint Bookrunner</w:t>
            </w:r>
          </w:p>
        </w:tc>
        <w:tc>
          <w:tcPr>
            <w:tcW w:w="3040" w:type="dxa"/>
            <w:vAlign w:val="bottom"/>
            <w:gridSpan w:val="3"/>
            <w:vMerge w:val="restart"/>
          </w:tcPr>
          <w:p>
            <w:pPr>
              <w:jc w:val="center"/>
              <w:ind w:left="302"/>
              <w:spacing w:after="0"/>
              <w:rPr>
                <w:sz w:val="20"/>
                <w:szCs w:val="20"/>
                <w:color w:val="auto"/>
              </w:rPr>
            </w:pPr>
            <w:r>
              <w:rPr>
                <w:rFonts w:ascii="Arial" w:cs="Arial" w:eastAsia="Arial" w:hAnsi="Arial"/>
                <w:sz w:val="16"/>
                <w:szCs w:val="16"/>
                <w:i w:val="1"/>
                <w:iCs w:val="1"/>
                <w:color w:val="auto"/>
                <w:w w:val="99"/>
              </w:rPr>
              <w:t>Joint Bookrunner</w:t>
            </w:r>
          </w:p>
        </w:tc>
        <w:tc>
          <w:tcPr>
            <w:tcW w:w="3160" w:type="dxa"/>
            <w:vAlign w:val="bottom"/>
          </w:tcPr>
          <w:p>
            <w:pPr>
              <w:ind w:left="1940"/>
              <w:spacing w:after="0"/>
              <w:rPr>
                <w:sz w:val="20"/>
                <w:szCs w:val="20"/>
                <w:color w:val="auto"/>
              </w:rPr>
            </w:pPr>
            <w:r>
              <w:rPr>
                <w:rFonts w:ascii="Arial" w:cs="Arial" w:eastAsia="Arial" w:hAnsi="Arial"/>
                <w:sz w:val="16"/>
                <w:szCs w:val="16"/>
                <w:i w:val="1"/>
                <w:iCs w:val="1"/>
                <w:color w:val="auto"/>
                <w:w w:val="99"/>
              </w:rPr>
              <w:t>Joint Bookrunner</w:t>
            </w:r>
          </w:p>
        </w:tc>
        <w:tc>
          <w:tcPr>
            <w:tcW w:w="0" w:type="dxa"/>
            <w:vAlign w:val="bottom"/>
          </w:tcPr>
          <w:p>
            <w:pPr>
              <w:spacing w:after="0"/>
              <w:rPr>
                <w:sz w:val="1"/>
                <w:szCs w:val="1"/>
                <w:color w:val="auto"/>
              </w:rPr>
            </w:pPr>
          </w:p>
        </w:tc>
      </w:tr>
      <w:tr>
        <w:trPr>
          <w:trHeight w:val="61"/>
        </w:trPr>
        <w:tc>
          <w:tcPr>
            <w:tcW w:w="980" w:type="dxa"/>
            <w:vAlign w:val="bottom"/>
            <w:vMerge w:val="restart"/>
          </w:tcPr>
          <w:p>
            <w:pPr>
              <w:spacing w:after="0"/>
              <w:rPr>
                <w:sz w:val="20"/>
                <w:szCs w:val="20"/>
                <w:color w:val="auto"/>
              </w:rPr>
            </w:pPr>
            <w:r>
              <w:rPr>
                <w:rFonts w:ascii="Arial" w:cs="Arial" w:eastAsia="Arial" w:hAnsi="Arial"/>
                <w:sz w:val="23"/>
                <w:szCs w:val="23"/>
                <w:b w:val="1"/>
                <w:bCs w:val="1"/>
                <w:color w:val="auto"/>
                <w:w w:val="93"/>
              </w:rPr>
              <w:t>Citigroup</w:t>
            </w:r>
          </w:p>
        </w:tc>
        <w:tc>
          <w:tcPr>
            <w:tcW w:w="1000" w:type="dxa"/>
            <w:vAlign w:val="bottom"/>
          </w:tcPr>
          <w:p>
            <w:pPr>
              <w:spacing w:after="0"/>
              <w:rPr>
                <w:sz w:val="5"/>
                <w:szCs w:val="5"/>
                <w:color w:val="auto"/>
              </w:rPr>
            </w:pPr>
          </w:p>
        </w:tc>
        <w:tc>
          <w:tcPr>
            <w:tcW w:w="3040" w:type="dxa"/>
            <w:vAlign w:val="bottom"/>
            <w:gridSpan w:val="3"/>
            <w:vMerge w:val="continue"/>
          </w:tcPr>
          <w:p>
            <w:pPr>
              <w:spacing w:after="0"/>
              <w:rPr>
                <w:sz w:val="5"/>
                <w:szCs w:val="5"/>
                <w:color w:val="auto"/>
              </w:rPr>
            </w:pPr>
          </w:p>
        </w:tc>
        <w:tc>
          <w:tcPr>
            <w:tcW w:w="3160" w:type="dxa"/>
            <w:vAlign w:val="bottom"/>
            <w:vMerge w:val="restart"/>
          </w:tcPr>
          <w:p>
            <w:pPr>
              <w:ind w:left="2020"/>
              <w:spacing w:after="0"/>
              <w:rPr>
                <w:sz w:val="20"/>
                <w:szCs w:val="20"/>
                <w:color w:val="auto"/>
              </w:rPr>
            </w:pPr>
            <w:r>
              <w:rPr>
                <w:rFonts w:ascii="Arial" w:cs="Arial" w:eastAsia="Arial" w:hAnsi="Arial"/>
                <w:sz w:val="23"/>
                <w:szCs w:val="23"/>
                <w:b w:val="1"/>
                <w:bCs w:val="1"/>
                <w:color w:val="auto"/>
                <w:w w:val="85"/>
              </w:rPr>
              <w:t>J.P. Morgan</w:t>
            </w:r>
          </w:p>
        </w:tc>
        <w:tc>
          <w:tcPr>
            <w:tcW w:w="0" w:type="dxa"/>
            <w:vAlign w:val="bottom"/>
          </w:tcPr>
          <w:p>
            <w:pPr>
              <w:spacing w:after="0"/>
              <w:rPr>
                <w:sz w:val="1"/>
                <w:szCs w:val="1"/>
                <w:color w:val="auto"/>
              </w:rPr>
            </w:pPr>
          </w:p>
        </w:tc>
      </w:tr>
      <w:tr>
        <w:trPr>
          <w:trHeight w:val="301"/>
        </w:trPr>
        <w:tc>
          <w:tcPr>
            <w:tcW w:w="9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3040" w:type="dxa"/>
            <w:vAlign w:val="bottom"/>
            <w:gridSpan w:val="3"/>
          </w:tcPr>
          <w:p>
            <w:pPr>
              <w:jc w:val="center"/>
              <w:ind w:left="342"/>
              <w:spacing w:after="0"/>
              <w:rPr>
                <w:sz w:val="20"/>
                <w:szCs w:val="20"/>
                <w:color w:val="auto"/>
              </w:rPr>
            </w:pPr>
            <w:r>
              <w:rPr>
                <w:rFonts w:ascii="Arial" w:cs="Arial" w:eastAsia="Arial" w:hAnsi="Arial"/>
                <w:sz w:val="23"/>
                <w:szCs w:val="23"/>
                <w:b w:val="1"/>
                <w:bCs w:val="1"/>
                <w:color w:val="auto"/>
                <w:w w:val="89"/>
              </w:rPr>
              <w:t>Goldman Sachs &amp; Co. LLC</w:t>
            </w:r>
          </w:p>
        </w:tc>
        <w:tc>
          <w:tcPr>
            <w:tcW w:w="3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9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46355</wp:posOffset>
            </wp:positionV>
            <wp:extent cx="616648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2">
            <w:col w:w="800" w:space="220"/>
            <w:col w:w="9119"/>
          </w:cols>
          <w:pgMar w:left="320" w:top="131" w:right="1440" w:bottom="1440" w:gutter="0" w:footer="0" w:header="0"/>
          <w:type w:val="continuous"/>
        </w:sectPr>
      </w:pPr>
    </w:p>
    <w:bookmarkStart w:id="2" w:name="page3"/>
    <w:bookmarkEnd w:id="2"/>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140" w:right="1679" w:firstLine="326"/>
        <w:spacing w:after="0" w:line="283" w:lineRule="auto"/>
        <w:rPr>
          <w:sz w:val="20"/>
          <w:szCs w:val="20"/>
          <w:color w:val="auto"/>
        </w:rPr>
      </w:pPr>
      <w:r>
        <w:rPr>
          <w:rFonts w:ascii="Arial" w:cs="Arial" w:eastAsia="Arial" w:hAnsi="Arial"/>
          <w:sz w:val="15"/>
          <w:szCs w:val="15"/>
          <w:b w:val="1"/>
          <w:bCs w:val="1"/>
          <w:color w:val="auto"/>
        </w:rPr>
        <w:t>We are responsible for the information contained in this prospectus. We have not authorized anyone to provide any information or to make any representations other than those contained in this prospectus. We and the underwriters take no responsibility for, and can provide no assurance as to the reliability of, any other information that others may give you. This prospectus is an offer to sell only the units offered hereby, but only under circumstances and in jurisdictions where it is lawful to do so. The information contained in this prospectus is current only as of its date.</w:t>
      </w:r>
    </w:p>
    <w:p>
      <w:pPr>
        <w:spacing w:after="0" w:line="137" w:lineRule="exact"/>
        <w:rPr>
          <w:sz w:val="20"/>
          <w:szCs w:val="20"/>
          <w:color w:val="auto"/>
        </w:rPr>
      </w:pPr>
    </w:p>
    <w:tbl>
      <w:tblPr>
        <w:tblLayout w:type="fixed"/>
        <w:tblInd w:w="1140" w:type="dxa"/>
        <w:tblCellMar>
          <w:top w:w="0" w:type="dxa"/>
          <w:left w:w="0" w:type="dxa"/>
          <w:bottom w:w="0" w:type="dxa"/>
          <w:right w:w="0" w:type="dxa"/>
        </w:tblCellMar>
      </w:tblPr>
      <w:tr>
        <w:trPr>
          <w:trHeight w:val="211"/>
        </w:trPr>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60" w:type="dxa"/>
            <w:vAlign w:val="bottom"/>
          </w:tcPr>
          <w:p>
            <w:pPr>
              <w:ind w:left="680"/>
              <w:spacing w:after="0"/>
              <w:rPr>
                <w:sz w:val="20"/>
                <w:szCs w:val="20"/>
                <w:color w:val="auto"/>
              </w:rPr>
            </w:pPr>
            <w:r>
              <w:rPr>
                <w:rFonts w:ascii="Arial" w:cs="Arial" w:eastAsia="Arial" w:hAnsi="Arial"/>
                <w:sz w:val="16"/>
                <w:szCs w:val="16"/>
                <w:b w:val="1"/>
                <w:bCs w:val="1"/>
                <w:color w:val="auto"/>
              </w:rPr>
              <w:t>TABLE OF CONTENTS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260" w:type="dxa"/>
            <w:vAlign w:val="bottom"/>
            <w:gridSpan w:val="3"/>
            <w:shd w:val="clear" w:color="auto" w:fill="CCEEFF"/>
          </w:tcPr>
          <w:p>
            <w:pPr>
              <w:spacing w:after="0" w:line="171" w:lineRule="exact"/>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SUMMARY</w:t>
              </w:r>
            </w:hyperlink>
          </w:p>
        </w:tc>
        <w:tc>
          <w:tcPr>
            <w:tcW w:w="1180" w:type="dxa"/>
            <w:vAlign w:val="bottom"/>
            <w:shd w:val="clear" w:color="auto" w:fill="CCEEFF"/>
          </w:tcPr>
          <w:p>
            <w:pPr>
              <w:jc w:val="right"/>
              <w:spacing w:after="0" w:line="171" w:lineRule="exact"/>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1</w:t>
              </w:r>
            </w:hyperlink>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260" w:type="dxa"/>
            <w:vAlign w:val="bottom"/>
            <w:gridSpan w:val="3"/>
          </w:tcPr>
          <w:p>
            <w:pPr>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RISK FACTORS</w:t>
              </w:r>
            </w:hyperlink>
          </w:p>
        </w:tc>
        <w:tc>
          <w:tcPr>
            <w:tcW w:w="1200" w:type="dxa"/>
            <w:vAlign w:val="bottom"/>
            <w:gridSpan w:val="2"/>
          </w:tcPr>
          <w:p>
            <w:pPr>
              <w:jc w:val="right"/>
              <w:ind w:right="20"/>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33</w:t>
              </w:r>
            </w:hyperlink>
          </w:p>
        </w:tc>
        <w:tc>
          <w:tcPr>
            <w:tcW w:w="0" w:type="dxa"/>
            <w:vAlign w:val="bottom"/>
          </w:tcPr>
          <w:p>
            <w:pPr>
              <w:spacing w:after="0"/>
              <w:rPr>
                <w:sz w:val="1"/>
                <w:szCs w:val="1"/>
                <w:color w:val="auto"/>
              </w:rPr>
            </w:pPr>
          </w:p>
        </w:tc>
      </w:tr>
      <w:tr>
        <w:trPr>
          <w:trHeight w:val="245"/>
        </w:trPr>
        <w:tc>
          <w:tcPr>
            <w:tcW w:w="6260" w:type="dxa"/>
            <w:vAlign w:val="bottom"/>
            <w:gridSpan w:val="3"/>
            <w:shd w:val="clear" w:color="auto" w:fill="CCEEFF"/>
          </w:tcPr>
          <w:p>
            <w:pPr>
              <w:spacing w:after="0"/>
              <w:rPr>
                <w:rFonts w:ascii="Arial" w:cs="Arial" w:eastAsia="Arial" w:hAnsi="Arial"/>
                <w:sz w:val="16"/>
                <w:szCs w:val="16"/>
                <w:u w:val="single" w:color="auto"/>
                <w:color w:val="0000EE"/>
              </w:rPr>
            </w:pPr>
            <w:hyperlink w:anchor="page66">
              <w:r>
                <w:rPr>
                  <w:rFonts w:ascii="Arial" w:cs="Arial" w:eastAsia="Arial" w:hAnsi="Arial"/>
                  <w:sz w:val="16"/>
                  <w:szCs w:val="16"/>
                  <w:u w:val="single" w:color="auto"/>
                  <w:color w:val="0000EE"/>
                </w:rPr>
                <w:t>CAUTIONARY NOTE REGARDING FORWARD-LOOKING STATEMENTS</w:t>
              </w:r>
            </w:hyperlink>
          </w:p>
        </w:tc>
        <w:tc>
          <w:tcPr>
            <w:tcW w:w="1180" w:type="dxa"/>
            <w:vAlign w:val="bottom"/>
            <w:shd w:val="clear" w:color="auto" w:fill="CCEEFF"/>
          </w:tcPr>
          <w:p>
            <w:pPr>
              <w:jc w:val="right"/>
              <w:spacing w:after="0"/>
              <w:rPr>
                <w:rFonts w:ascii="Arial" w:cs="Arial" w:eastAsia="Arial" w:hAnsi="Arial"/>
                <w:sz w:val="16"/>
                <w:szCs w:val="16"/>
                <w:u w:val="single" w:color="auto"/>
                <w:color w:val="0000EE"/>
              </w:rPr>
            </w:pPr>
            <w:hyperlink w:anchor="page66">
              <w:r>
                <w:rPr>
                  <w:rFonts w:ascii="Arial" w:cs="Arial" w:eastAsia="Arial" w:hAnsi="Arial"/>
                  <w:sz w:val="16"/>
                  <w:szCs w:val="16"/>
                  <w:u w:val="single" w:color="auto"/>
                  <w:color w:val="0000EE"/>
                </w:rPr>
                <w:t>64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60" w:type="dxa"/>
            <w:vAlign w:val="bottom"/>
            <w:gridSpan w:val="3"/>
          </w:tcPr>
          <w:p>
            <w:pPr>
              <w:spacing w:after="0"/>
              <w:rPr>
                <w:rFonts w:ascii="Arial" w:cs="Arial" w:eastAsia="Arial" w:hAnsi="Arial"/>
                <w:sz w:val="16"/>
                <w:szCs w:val="16"/>
                <w:u w:val="single" w:color="auto"/>
                <w:color w:val="0000EE"/>
              </w:rPr>
            </w:pPr>
            <w:hyperlink w:anchor="page67">
              <w:r>
                <w:rPr>
                  <w:rFonts w:ascii="Arial" w:cs="Arial" w:eastAsia="Arial" w:hAnsi="Arial"/>
                  <w:sz w:val="16"/>
                  <w:szCs w:val="16"/>
                  <w:u w:val="single" w:color="auto"/>
                  <w:color w:val="0000EE"/>
                </w:rPr>
                <w:t>USE OF PROCEEDS</w:t>
              </w:r>
            </w:hyperlink>
          </w:p>
        </w:tc>
        <w:tc>
          <w:tcPr>
            <w:tcW w:w="1200" w:type="dxa"/>
            <w:vAlign w:val="bottom"/>
            <w:gridSpan w:val="2"/>
          </w:tcPr>
          <w:p>
            <w:pPr>
              <w:jc w:val="right"/>
              <w:ind w:right="20"/>
              <w:spacing w:after="0"/>
              <w:rPr>
                <w:rFonts w:ascii="Arial" w:cs="Arial" w:eastAsia="Arial" w:hAnsi="Arial"/>
                <w:sz w:val="16"/>
                <w:szCs w:val="16"/>
                <w:u w:val="single" w:color="auto"/>
                <w:color w:val="0000EE"/>
              </w:rPr>
            </w:pPr>
            <w:hyperlink w:anchor="page67">
              <w:r>
                <w:rPr>
                  <w:rFonts w:ascii="Arial" w:cs="Arial" w:eastAsia="Arial" w:hAnsi="Arial"/>
                  <w:sz w:val="16"/>
                  <w:szCs w:val="16"/>
                  <w:u w:val="single" w:color="auto"/>
                  <w:color w:val="0000EE"/>
                </w:rPr>
                <w:t>65</w:t>
              </w:r>
            </w:hyperlink>
          </w:p>
        </w:tc>
        <w:tc>
          <w:tcPr>
            <w:tcW w:w="0" w:type="dxa"/>
            <w:vAlign w:val="bottom"/>
          </w:tcPr>
          <w:p>
            <w:pPr>
              <w:spacing w:after="0"/>
              <w:rPr>
                <w:sz w:val="1"/>
                <w:szCs w:val="1"/>
                <w:color w:val="auto"/>
              </w:rPr>
            </w:pPr>
          </w:p>
        </w:tc>
      </w:tr>
      <w:tr>
        <w:trPr>
          <w:trHeight w:val="245"/>
        </w:trPr>
        <w:tc>
          <w:tcPr>
            <w:tcW w:w="6260" w:type="dxa"/>
            <w:vAlign w:val="bottom"/>
            <w:gridSpan w:val="3"/>
            <w:shd w:val="clear" w:color="auto" w:fill="CCEEFF"/>
          </w:tcPr>
          <w:p>
            <w:pPr>
              <w:spacing w:after="0"/>
              <w:rPr>
                <w:rFonts w:ascii="Arial" w:cs="Arial" w:eastAsia="Arial" w:hAnsi="Arial"/>
                <w:sz w:val="16"/>
                <w:szCs w:val="16"/>
                <w:u w:val="single" w:color="auto"/>
                <w:color w:val="0000EE"/>
              </w:rPr>
            </w:pPr>
            <w:hyperlink w:anchor="page70">
              <w:r>
                <w:rPr>
                  <w:rFonts w:ascii="Arial" w:cs="Arial" w:eastAsia="Arial" w:hAnsi="Arial"/>
                  <w:sz w:val="16"/>
                  <w:szCs w:val="16"/>
                  <w:u w:val="single" w:color="auto"/>
                  <w:color w:val="0000EE"/>
                </w:rPr>
                <w:t>DIVIDEND POLICY</w:t>
              </w:r>
            </w:hyperlink>
          </w:p>
        </w:tc>
        <w:tc>
          <w:tcPr>
            <w:tcW w:w="1180" w:type="dxa"/>
            <w:vAlign w:val="bottom"/>
            <w:shd w:val="clear" w:color="auto" w:fill="CCEEFF"/>
          </w:tcPr>
          <w:p>
            <w:pPr>
              <w:jc w:val="right"/>
              <w:spacing w:after="0"/>
              <w:rPr>
                <w:rFonts w:ascii="Arial" w:cs="Arial" w:eastAsia="Arial" w:hAnsi="Arial"/>
                <w:sz w:val="16"/>
                <w:szCs w:val="16"/>
                <w:u w:val="single" w:color="auto"/>
                <w:color w:val="0000EE"/>
              </w:rPr>
            </w:pPr>
            <w:hyperlink w:anchor="page70">
              <w:r>
                <w:rPr>
                  <w:rFonts w:ascii="Arial" w:cs="Arial" w:eastAsia="Arial" w:hAnsi="Arial"/>
                  <w:sz w:val="16"/>
                  <w:szCs w:val="16"/>
                  <w:u w:val="single" w:color="auto"/>
                  <w:color w:val="0000EE"/>
                </w:rPr>
                <w:t>68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60" w:type="dxa"/>
            <w:vAlign w:val="bottom"/>
            <w:gridSpan w:val="3"/>
          </w:tcPr>
          <w:p>
            <w:pPr>
              <w:spacing w:after="0"/>
              <w:rPr>
                <w:rFonts w:ascii="Arial" w:cs="Arial" w:eastAsia="Arial" w:hAnsi="Arial"/>
                <w:sz w:val="16"/>
                <w:szCs w:val="16"/>
                <w:u w:val="single" w:color="auto"/>
                <w:color w:val="0000EE"/>
              </w:rPr>
            </w:pPr>
            <w:hyperlink w:anchor="page71">
              <w:r>
                <w:rPr>
                  <w:rFonts w:ascii="Arial" w:cs="Arial" w:eastAsia="Arial" w:hAnsi="Arial"/>
                  <w:sz w:val="16"/>
                  <w:szCs w:val="16"/>
                  <w:u w:val="single" w:color="auto"/>
                  <w:color w:val="0000EE"/>
                </w:rPr>
                <w:t>DILUTION</w:t>
              </w:r>
            </w:hyperlink>
          </w:p>
        </w:tc>
        <w:tc>
          <w:tcPr>
            <w:tcW w:w="1200" w:type="dxa"/>
            <w:vAlign w:val="bottom"/>
            <w:gridSpan w:val="2"/>
          </w:tcPr>
          <w:p>
            <w:pPr>
              <w:jc w:val="right"/>
              <w:ind w:right="20"/>
              <w:spacing w:after="0"/>
              <w:rPr>
                <w:rFonts w:ascii="Arial" w:cs="Arial" w:eastAsia="Arial" w:hAnsi="Arial"/>
                <w:sz w:val="16"/>
                <w:szCs w:val="16"/>
                <w:u w:val="single" w:color="auto"/>
                <w:color w:val="0000EE"/>
              </w:rPr>
            </w:pPr>
            <w:hyperlink w:anchor="page71">
              <w:r>
                <w:rPr>
                  <w:rFonts w:ascii="Arial" w:cs="Arial" w:eastAsia="Arial" w:hAnsi="Arial"/>
                  <w:sz w:val="16"/>
                  <w:szCs w:val="16"/>
                  <w:u w:val="single" w:color="auto"/>
                  <w:color w:val="0000EE"/>
                </w:rPr>
                <w:t>69</w:t>
              </w:r>
            </w:hyperlink>
          </w:p>
        </w:tc>
        <w:tc>
          <w:tcPr>
            <w:tcW w:w="0" w:type="dxa"/>
            <w:vAlign w:val="bottom"/>
          </w:tcPr>
          <w:p>
            <w:pPr>
              <w:spacing w:after="0"/>
              <w:rPr>
                <w:sz w:val="1"/>
                <w:szCs w:val="1"/>
                <w:color w:val="auto"/>
              </w:rPr>
            </w:pPr>
          </w:p>
        </w:tc>
      </w:tr>
      <w:tr>
        <w:trPr>
          <w:trHeight w:val="245"/>
        </w:trPr>
        <w:tc>
          <w:tcPr>
            <w:tcW w:w="6260" w:type="dxa"/>
            <w:vAlign w:val="bottom"/>
            <w:gridSpan w:val="3"/>
            <w:shd w:val="clear" w:color="auto" w:fill="CCEEFF"/>
          </w:tcPr>
          <w:p>
            <w:pPr>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CAPITALIZATION</w:t>
              </w:r>
            </w:hyperlink>
          </w:p>
        </w:tc>
        <w:tc>
          <w:tcPr>
            <w:tcW w:w="1180" w:type="dxa"/>
            <w:vAlign w:val="bottom"/>
            <w:shd w:val="clear" w:color="auto" w:fill="CCEEFF"/>
          </w:tcPr>
          <w:p>
            <w:pPr>
              <w:jc w:val="right"/>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71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260" w:type="dxa"/>
            <w:vAlign w:val="bottom"/>
            <w:tcBorders>
              <w:bottom w:val="single" w:sz="8" w:color="0000EE"/>
            </w:tcBorders>
            <w:gridSpan w:val="3"/>
          </w:tcPr>
          <w:p>
            <w:pPr>
              <w:spacing w:after="0"/>
              <w:rPr>
                <w:rFonts w:ascii="Arial" w:cs="Arial" w:eastAsia="Arial" w:hAnsi="Arial"/>
                <w:sz w:val="16"/>
                <w:szCs w:val="16"/>
                <w:color w:val="0000EE"/>
              </w:rPr>
            </w:pPr>
            <w:hyperlink w:anchor="page74">
              <w:r>
                <w:rPr>
                  <w:rFonts w:ascii="Arial" w:cs="Arial" w:eastAsia="Arial" w:hAnsi="Arial"/>
                  <w:sz w:val="16"/>
                  <w:szCs w:val="16"/>
                  <w:color w:val="0000EE"/>
                </w:rPr>
                <w:t>MANAGEMENT’S DISCUSSION AND ANALYSIS OF FINANCIAL CONDITION AND</w:t>
              </w:r>
            </w:hyperlink>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6100" w:type="dxa"/>
            <w:vAlign w:val="bottom"/>
            <w:gridSpan w:val="2"/>
          </w:tcPr>
          <w:p>
            <w:pPr>
              <w:spacing w:after="0" w:line="176" w:lineRule="exact"/>
              <w:rPr>
                <w:rFonts w:ascii="Arial" w:cs="Arial" w:eastAsia="Arial" w:hAnsi="Arial"/>
                <w:sz w:val="16"/>
                <w:szCs w:val="16"/>
                <w:color w:val="0000EE"/>
              </w:rPr>
            </w:pPr>
            <w:hyperlink w:anchor="page74">
              <w:r>
                <w:rPr>
                  <w:rFonts w:ascii="Arial" w:cs="Arial" w:eastAsia="Arial" w:hAnsi="Arial"/>
                  <w:sz w:val="16"/>
                  <w:szCs w:val="16"/>
                  <w:color w:val="0000EE"/>
                </w:rPr>
                <w:t>RESULTS OF OPERATIONS</w:t>
              </w:r>
            </w:hyperlink>
          </w:p>
        </w:tc>
        <w:tc>
          <w:tcPr>
            <w:tcW w:w="1200" w:type="dxa"/>
            <w:vAlign w:val="bottom"/>
            <w:gridSpan w:val="2"/>
          </w:tcPr>
          <w:p>
            <w:pPr>
              <w:jc w:val="right"/>
              <w:ind w:right="20"/>
              <w:spacing w:after="0" w:line="176" w:lineRule="exact"/>
              <w:rPr>
                <w:rFonts w:ascii="Arial" w:cs="Arial" w:eastAsia="Arial" w:hAnsi="Arial"/>
                <w:sz w:val="16"/>
                <w:szCs w:val="16"/>
                <w:u w:val="single" w:color="auto"/>
                <w:color w:val="0000EE"/>
              </w:rPr>
            </w:pPr>
            <w:hyperlink w:anchor="page74">
              <w:r>
                <w:rPr>
                  <w:rFonts w:ascii="Arial" w:cs="Arial" w:eastAsia="Arial" w:hAnsi="Arial"/>
                  <w:sz w:val="16"/>
                  <w:szCs w:val="16"/>
                  <w:u w:val="single" w:color="auto"/>
                  <w:color w:val="0000EE"/>
                </w:rPr>
                <w:t>72</w:t>
              </w:r>
            </w:hyperlink>
          </w:p>
        </w:tc>
        <w:tc>
          <w:tcPr>
            <w:tcW w:w="0" w:type="dxa"/>
            <w:vAlign w:val="bottom"/>
          </w:tcPr>
          <w:p>
            <w:pPr>
              <w:spacing w:after="0"/>
              <w:rPr>
                <w:sz w:val="1"/>
                <w:szCs w:val="1"/>
                <w:color w:val="auto"/>
              </w:rPr>
            </w:pPr>
          </w:p>
        </w:tc>
      </w:tr>
      <w:tr>
        <w:trPr>
          <w:trHeight w:val="29"/>
        </w:trPr>
        <w:tc>
          <w:tcPr>
            <w:tcW w:w="160" w:type="dxa"/>
            <w:vAlign w:val="bottom"/>
          </w:tcPr>
          <w:p>
            <w:pPr>
              <w:spacing w:after="0"/>
              <w:rPr>
                <w:sz w:val="2"/>
                <w:szCs w:val="2"/>
                <w:color w:val="auto"/>
              </w:rPr>
            </w:pPr>
          </w:p>
        </w:tc>
        <w:tc>
          <w:tcPr>
            <w:tcW w:w="2040" w:type="dxa"/>
            <w:vAlign w:val="bottom"/>
            <w:tcBorders>
              <w:top w:val="single" w:sz="8" w:color="0000EE"/>
            </w:tcBorders>
          </w:tcPr>
          <w:p>
            <w:pPr>
              <w:spacing w:after="0"/>
              <w:rPr>
                <w:sz w:val="2"/>
                <w:szCs w:val="2"/>
                <w:color w:val="auto"/>
              </w:rPr>
            </w:pPr>
          </w:p>
        </w:tc>
        <w:tc>
          <w:tcPr>
            <w:tcW w:w="4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260" w:type="dxa"/>
            <w:vAlign w:val="bottom"/>
            <w:gridSpan w:val="3"/>
            <w:shd w:val="clear" w:color="auto" w:fill="CCEEFF"/>
          </w:tcPr>
          <w:p>
            <w:pPr>
              <w:spacing w:after="0"/>
              <w:rPr>
                <w:rFonts w:ascii="Arial" w:cs="Arial" w:eastAsia="Arial" w:hAnsi="Arial"/>
                <w:sz w:val="16"/>
                <w:szCs w:val="16"/>
                <w:u w:val="single" w:color="auto"/>
                <w:color w:val="0000EE"/>
              </w:rPr>
            </w:pPr>
            <w:hyperlink w:anchor="page81">
              <w:r>
                <w:rPr>
                  <w:rFonts w:ascii="Arial" w:cs="Arial" w:eastAsia="Arial" w:hAnsi="Arial"/>
                  <w:sz w:val="16"/>
                  <w:szCs w:val="16"/>
                  <w:u w:val="single" w:color="auto"/>
                  <w:color w:val="0000EE"/>
                </w:rPr>
                <w:t>PROPOSED BUSINESS</w:t>
              </w:r>
            </w:hyperlink>
          </w:p>
        </w:tc>
        <w:tc>
          <w:tcPr>
            <w:tcW w:w="1180" w:type="dxa"/>
            <w:vAlign w:val="bottom"/>
            <w:shd w:val="clear" w:color="auto" w:fill="CCEEFF"/>
          </w:tcPr>
          <w:p>
            <w:pPr>
              <w:jc w:val="right"/>
              <w:spacing w:after="0"/>
              <w:rPr>
                <w:rFonts w:ascii="Arial" w:cs="Arial" w:eastAsia="Arial" w:hAnsi="Arial"/>
                <w:sz w:val="16"/>
                <w:szCs w:val="16"/>
                <w:u w:val="single" w:color="auto"/>
                <w:color w:val="0000EE"/>
              </w:rPr>
            </w:pPr>
            <w:hyperlink w:anchor="page81">
              <w:r>
                <w:rPr>
                  <w:rFonts w:ascii="Arial" w:cs="Arial" w:eastAsia="Arial" w:hAnsi="Arial"/>
                  <w:sz w:val="16"/>
                  <w:szCs w:val="16"/>
                  <w:u w:val="single" w:color="auto"/>
                  <w:color w:val="0000EE"/>
                </w:rPr>
                <w:t>79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60" w:type="dxa"/>
            <w:vAlign w:val="bottom"/>
            <w:gridSpan w:val="3"/>
          </w:tcPr>
          <w:p>
            <w:pPr>
              <w:spacing w:after="0"/>
              <w:rPr>
                <w:rFonts w:ascii="Arial" w:cs="Arial" w:eastAsia="Arial" w:hAnsi="Arial"/>
                <w:sz w:val="16"/>
                <w:szCs w:val="16"/>
                <w:u w:val="single" w:color="auto"/>
                <w:color w:val="0000EE"/>
              </w:rPr>
            </w:pPr>
            <w:hyperlink w:anchor="page113">
              <w:r>
                <w:rPr>
                  <w:rFonts w:ascii="Arial" w:cs="Arial" w:eastAsia="Arial" w:hAnsi="Arial"/>
                  <w:sz w:val="16"/>
                  <w:szCs w:val="16"/>
                  <w:u w:val="single" w:color="auto"/>
                  <w:color w:val="0000EE"/>
                </w:rPr>
                <w:t>MANAGEMENT</w:t>
              </w:r>
            </w:hyperlink>
          </w:p>
        </w:tc>
        <w:tc>
          <w:tcPr>
            <w:tcW w:w="1200" w:type="dxa"/>
            <w:vAlign w:val="bottom"/>
            <w:gridSpan w:val="2"/>
          </w:tcPr>
          <w:p>
            <w:pPr>
              <w:jc w:val="right"/>
              <w:ind w:right="20"/>
              <w:spacing w:after="0"/>
              <w:rPr>
                <w:rFonts w:ascii="Arial" w:cs="Arial" w:eastAsia="Arial" w:hAnsi="Arial"/>
                <w:sz w:val="16"/>
                <w:szCs w:val="16"/>
                <w:u w:val="single" w:color="auto"/>
                <w:color w:val="0000EE"/>
              </w:rPr>
            </w:pPr>
            <w:hyperlink w:anchor="page113">
              <w:r>
                <w:rPr>
                  <w:rFonts w:ascii="Arial" w:cs="Arial" w:eastAsia="Arial" w:hAnsi="Arial"/>
                  <w:sz w:val="16"/>
                  <w:szCs w:val="16"/>
                  <w:u w:val="single" w:color="auto"/>
                  <w:color w:val="0000EE"/>
                </w:rPr>
                <w:t>111</w:t>
              </w:r>
            </w:hyperlink>
          </w:p>
        </w:tc>
        <w:tc>
          <w:tcPr>
            <w:tcW w:w="0" w:type="dxa"/>
            <w:vAlign w:val="bottom"/>
          </w:tcPr>
          <w:p>
            <w:pPr>
              <w:spacing w:after="0"/>
              <w:rPr>
                <w:sz w:val="1"/>
                <w:szCs w:val="1"/>
                <w:color w:val="auto"/>
              </w:rPr>
            </w:pPr>
          </w:p>
        </w:tc>
      </w:tr>
      <w:tr>
        <w:trPr>
          <w:trHeight w:val="245"/>
        </w:trPr>
        <w:tc>
          <w:tcPr>
            <w:tcW w:w="6260" w:type="dxa"/>
            <w:vAlign w:val="bottom"/>
            <w:gridSpan w:val="3"/>
            <w:shd w:val="clear" w:color="auto" w:fill="CCEEFF"/>
          </w:tcPr>
          <w:p>
            <w:pPr>
              <w:spacing w:after="0"/>
              <w:rPr>
                <w:rFonts w:ascii="Arial" w:cs="Arial" w:eastAsia="Arial" w:hAnsi="Arial"/>
                <w:sz w:val="16"/>
                <w:szCs w:val="16"/>
                <w:u w:val="single" w:color="auto"/>
                <w:color w:val="0000EE"/>
              </w:rPr>
            </w:pPr>
            <w:hyperlink w:anchor="page124">
              <w:r>
                <w:rPr>
                  <w:rFonts w:ascii="Arial" w:cs="Arial" w:eastAsia="Arial" w:hAnsi="Arial"/>
                  <w:sz w:val="16"/>
                  <w:szCs w:val="16"/>
                  <w:u w:val="single" w:color="auto"/>
                  <w:color w:val="0000EE"/>
                </w:rPr>
                <w:t>PRINCIPAL STOCKHOLDERS</w:t>
              </w:r>
            </w:hyperlink>
          </w:p>
        </w:tc>
        <w:tc>
          <w:tcPr>
            <w:tcW w:w="1180" w:type="dxa"/>
            <w:vAlign w:val="bottom"/>
            <w:shd w:val="clear" w:color="auto" w:fill="CCEEFF"/>
          </w:tcPr>
          <w:p>
            <w:pPr>
              <w:jc w:val="right"/>
              <w:spacing w:after="0"/>
              <w:rPr>
                <w:rFonts w:ascii="Arial" w:cs="Arial" w:eastAsia="Arial" w:hAnsi="Arial"/>
                <w:sz w:val="16"/>
                <w:szCs w:val="16"/>
                <w:u w:val="single" w:color="auto"/>
                <w:color w:val="0000EE"/>
              </w:rPr>
            </w:pPr>
            <w:hyperlink w:anchor="page124">
              <w:r>
                <w:rPr>
                  <w:rFonts w:ascii="Arial" w:cs="Arial" w:eastAsia="Arial" w:hAnsi="Arial"/>
                  <w:sz w:val="16"/>
                  <w:szCs w:val="16"/>
                  <w:u w:val="single" w:color="auto"/>
                  <w:color w:val="0000EE"/>
                </w:rPr>
                <w:t>122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60" w:type="dxa"/>
            <w:vAlign w:val="bottom"/>
            <w:gridSpan w:val="3"/>
          </w:tcPr>
          <w:p>
            <w:pPr>
              <w:spacing w:after="0"/>
              <w:rPr>
                <w:rFonts w:ascii="Arial" w:cs="Arial" w:eastAsia="Arial" w:hAnsi="Arial"/>
                <w:sz w:val="16"/>
                <w:szCs w:val="16"/>
                <w:u w:val="single" w:color="auto"/>
                <w:color w:val="0000EE"/>
              </w:rPr>
            </w:pPr>
            <w:hyperlink w:anchor="page127">
              <w:r>
                <w:rPr>
                  <w:rFonts w:ascii="Arial" w:cs="Arial" w:eastAsia="Arial" w:hAnsi="Arial"/>
                  <w:sz w:val="16"/>
                  <w:szCs w:val="16"/>
                  <w:u w:val="single" w:color="auto"/>
                  <w:color w:val="0000EE"/>
                </w:rPr>
                <w:t>CERTAIN RELATIONSHIPS AND RELATED PARTY TRANSACTIONS</w:t>
              </w:r>
            </w:hyperlink>
          </w:p>
        </w:tc>
        <w:tc>
          <w:tcPr>
            <w:tcW w:w="1200" w:type="dxa"/>
            <w:vAlign w:val="bottom"/>
            <w:gridSpan w:val="2"/>
          </w:tcPr>
          <w:p>
            <w:pPr>
              <w:jc w:val="right"/>
              <w:ind w:right="20"/>
              <w:spacing w:after="0"/>
              <w:rPr>
                <w:rFonts w:ascii="Arial" w:cs="Arial" w:eastAsia="Arial" w:hAnsi="Arial"/>
                <w:sz w:val="16"/>
                <w:szCs w:val="16"/>
                <w:u w:val="single" w:color="auto"/>
                <w:color w:val="0000EE"/>
              </w:rPr>
            </w:pPr>
            <w:hyperlink w:anchor="page127">
              <w:r>
                <w:rPr>
                  <w:rFonts w:ascii="Arial" w:cs="Arial" w:eastAsia="Arial" w:hAnsi="Arial"/>
                  <w:sz w:val="16"/>
                  <w:szCs w:val="16"/>
                  <w:u w:val="single" w:color="auto"/>
                  <w:color w:val="0000EE"/>
                </w:rPr>
                <w:t>125</w:t>
              </w:r>
            </w:hyperlink>
          </w:p>
        </w:tc>
        <w:tc>
          <w:tcPr>
            <w:tcW w:w="0" w:type="dxa"/>
            <w:vAlign w:val="bottom"/>
          </w:tcPr>
          <w:p>
            <w:pPr>
              <w:spacing w:after="0"/>
              <w:rPr>
                <w:sz w:val="1"/>
                <w:szCs w:val="1"/>
                <w:color w:val="auto"/>
              </w:rPr>
            </w:pPr>
          </w:p>
        </w:tc>
      </w:tr>
      <w:tr>
        <w:trPr>
          <w:trHeight w:val="245"/>
        </w:trPr>
        <w:tc>
          <w:tcPr>
            <w:tcW w:w="6260" w:type="dxa"/>
            <w:vAlign w:val="bottom"/>
            <w:gridSpan w:val="3"/>
            <w:shd w:val="clear" w:color="auto" w:fill="CCEEFF"/>
          </w:tcPr>
          <w:p>
            <w:pPr>
              <w:spacing w:after="0"/>
              <w:rPr>
                <w:rFonts w:ascii="Arial" w:cs="Arial" w:eastAsia="Arial" w:hAnsi="Arial"/>
                <w:sz w:val="16"/>
                <w:szCs w:val="16"/>
                <w:u w:val="single" w:color="auto"/>
                <w:color w:val="0000EE"/>
              </w:rPr>
            </w:pPr>
            <w:hyperlink w:anchor="page130">
              <w:r>
                <w:rPr>
                  <w:rFonts w:ascii="Arial" w:cs="Arial" w:eastAsia="Arial" w:hAnsi="Arial"/>
                  <w:sz w:val="16"/>
                  <w:szCs w:val="16"/>
                  <w:u w:val="single" w:color="auto"/>
                  <w:color w:val="0000EE"/>
                </w:rPr>
                <w:t>DESCRIPTION OF SECURITIES</w:t>
              </w:r>
            </w:hyperlink>
          </w:p>
        </w:tc>
        <w:tc>
          <w:tcPr>
            <w:tcW w:w="1180" w:type="dxa"/>
            <w:vAlign w:val="bottom"/>
            <w:shd w:val="clear" w:color="auto" w:fill="CCEEFF"/>
          </w:tcPr>
          <w:p>
            <w:pPr>
              <w:jc w:val="right"/>
              <w:spacing w:after="0"/>
              <w:rPr>
                <w:rFonts w:ascii="Arial" w:cs="Arial" w:eastAsia="Arial" w:hAnsi="Arial"/>
                <w:sz w:val="16"/>
                <w:szCs w:val="16"/>
                <w:u w:val="single" w:color="auto"/>
                <w:color w:val="0000EE"/>
              </w:rPr>
            </w:pPr>
            <w:hyperlink w:anchor="page130">
              <w:r>
                <w:rPr>
                  <w:rFonts w:ascii="Arial" w:cs="Arial" w:eastAsia="Arial" w:hAnsi="Arial"/>
                  <w:sz w:val="16"/>
                  <w:szCs w:val="16"/>
                  <w:u w:val="single" w:color="auto"/>
                  <w:color w:val="0000EE"/>
                </w:rPr>
                <w:t>128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60" w:type="dxa"/>
            <w:vAlign w:val="bottom"/>
            <w:gridSpan w:val="3"/>
          </w:tcPr>
          <w:p>
            <w:pPr>
              <w:spacing w:after="0"/>
              <w:rPr>
                <w:rFonts w:ascii="Arial" w:cs="Arial" w:eastAsia="Arial" w:hAnsi="Arial"/>
                <w:sz w:val="16"/>
                <w:szCs w:val="16"/>
                <w:u w:val="single" w:color="auto"/>
                <w:color w:val="0000EE"/>
              </w:rPr>
            </w:pPr>
            <w:hyperlink w:anchor="page144">
              <w:r>
                <w:rPr>
                  <w:rFonts w:ascii="Arial" w:cs="Arial" w:eastAsia="Arial" w:hAnsi="Arial"/>
                  <w:sz w:val="16"/>
                  <w:szCs w:val="16"/>
                  <w:u w:val="single" w:color="auto"/>
                  <w:color w:val="0000EE"/>
                </w:rPr>
                <w:t>UNITED STATES FEDERAL INCOME TAX CONSIDERATIONS</w:t>
              </w:r>
            </w:hyperlink>
          </w:p>
        </w:tc>
        <w:tc>
          <w:tcPr>
            <w:tcW w:w="1200" w:type="dxa"/>
            <w:vAlign w:val="bottom"/>
            <w:gridSpan w:val="2"/>
          </w:tcPr>
          <w:p>
            <w:pPr>
              <w:jc w:val="right"/>
              <w:ind w:right="20"/>
              <w:spacing w:after="0"/>
              <w:rPr>
                <w:rFonts w:ascii="Arial" w:cs="Arial" w:eastAsia="Arial" w:hAnsi="Arial"/>
                <w:sz w:val="16"/>
                <w:szCs w:val="16"/>
                <w:u w:val="single" w:color="auto"/>
                <w:color w:val="0000EE"/>
              </w:rPr>
            </w:pPr>
            <w:hyperlink w:anchor="page144">
              <w:r>
                <w:rPr>
                  <w:rFonts w:ascii="Arial" w:cs="Arial" w:eastAsia="Arial" w:hAnsi="Arial"/>
                  <w:sz w:val="16"/>
                  <w:szCs w:val="16"/>
                  <w:u w:val="single" w:color="auto"/>
                  <w:color w:val="0000EE"/>
                </w:rPr>
                <w:t>142</w:t>
              </w:r>
            </w:hyperlink>
          </w:p>
        </w:tc>
        <w:tc>
          <w:tcPr>
            <w:tcW w:w="0" w:type="dxa"/>
            <w:vAlign w:val="bottom"/>
          </w:tcPr>
          <w:p>
            <w:pPr>
              <w:spacing w:after="0"/>
              <w:rPr>
                <w:sz w:val="1"/>
                <w:szCs w:val="1"/>
                <w:color w:val="auto"/>
              </w:rPr>
            </w:pPr>
          </w:p>
        </w:tc>
      </w:tr>
      <w:tr>
        <w:trPr>
          <w:trHeight w:val="245"/>
        </w:trPr>
        <w:tc>
          <w:tcPr>
            <w:tcW w:w="6260" w:type="dxa"/>
            <w:vAlign w:val="bottom"/>
            <w:gridSpan w:val="3"/>
            <w:shd w:val="clear" w:color="auto" w:fill="CCEEFF"/>
          </w:tcPr>
          <w:p>
            <w:pPr>
              <w:spacing w:after="0"/>
              <w:rPr>
                <w:rFonts w:ascii="Arial" w:cs="Arial" w:eastAsia="Arial" w:hAnsi="Arial"/>
                <w:sz w:val="16"/>
                <w:szCs w:val="16"/>
                <w:u w:val="single" w:color="auto"/>
                <w:color w:val="0000EE"/>
              </w:rPr>
            </w:pPr>
            <w:hyperlink w:anchor="page152">
              <w:r>
                <w:rPr>
                  <w:rFonts w:ascii="Arial" w:cs="Arial" w:eastAsia="Arial" w:hAnsi="Arial"/>
                  <w:sz w:val="16"/>
                  <w:szCs w:val="16"/>
                  <w:u w:val="single" w:color="auto"/>
                  <w:color w:val="0000EE"/>
                </w:rPr>
                <w:t>UNDERWRITING</w:t>
              </w:r>
            </w:hyperlink>
          </w:p>
        </w:tc>
        <w:tc>
          <w:tcPr>
            <w:tcW w:w="1180" w:type="dxa"/>
            <w:vAlign w:val="bottom"/>
            <w:shd w:val="clear" w:color="auto" w:fill="CCEEFF"/>
          </w:tcPr>
          <w:p>
            <w:pPr>
              <w:jc w:val="right"/>
              <w:spacing w:after="0"/>
              <w:rPr>
                <w:rFonts w:ascii="Arial" w:cs="Arial" w:eastAsia="Arial" w:hAnsi="Arial"/>
                <w:sz w:val="16"/>
                <w:szCs w:val="16"/>
                <w:u w:val="single" w:color="auto"/>
                <w:color w:val="0000EE"/>
              </w:rPr>
            </w:pPr>
            <w:hyperlink w:anchor="page152">
              <w:r>
                <w:rPr>
                  <w:rFonts w:ascii="Arial" w:cs="Arial" w:eastAsia="Arial" w:hAnsi="Arial"/>
                  <w:sz w:val="16"/>
                  <w:szCs w:val="16"/>
                  <w:u w:val="single" w:color="auto"/>
                  <w:color w:val="0000EE"/>
                </w:rPr>
                <w:t>150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60" w:type="dxa"/>
            <w:vAlign w:val="bottom"/>
            <w:gridSpan w:val="3"/>
          </w:tcPr>
          <w:p>
            <w:pPr>
              <w:spacing w:after="0"/>
              <w:rPr>
                <w:rFonts w:ascii="Arial" w:cs="Arial" w:eastAsia="Arial" w:hAnsi="Arial"/>
                <w:sz w:val="16"/>
                <w:szCs w:val="16"/>
                <w:u w:val="single" w:color="auto"/>
                <w:color w:val="0000EE"/>
              </w:rPr>
            </w:pPr>
            <w:hyperlink w:anchor="page159">
              <w:r>
                <w:rPr>
                  <w:rFonts w:ascii="Arial" w:cs="Arial" w:eastAsia="Arial" w:hAnsi="Arial"/>
                  <w:sz w:val="16"/>
                  <w:szCs w:val="16"/>
                  <w:u w:val="single" w:color="auto"/>
                  <w:color w:val="0000EE"/>
                </w:rPr>
                <w:t>LEGAL MATTERS</w:t>
              </w:r>
            </w:hyperlink>
          </w:p>
        </w:tc>
        <w:tc>
          <w:tcPr>
            <w:tcW w:w="1200" w:type="dxa"/>
            <w:vAlign w:val="bottom"/>
            <w:gridSpan w:val="2"/>
          </w:tcPr>
          <w:p>
            <w:pPr>
              <w:jc w:val="right"/>
              <w:ind w:right="20"/>
              <w:spacing w:after="0"/>
              <w:rPr>
                <w:rFonts w:ascii="Arial" w:cs="Arial" w:eastAsia="Arial" w:hAnsi="Arial"/>
                <w:sz w:val="16"/>
                <w:szCs w:val="16"/>
                <w:u w:val="single" w:color="auto"/>
                <w:color w:val="0000EE"/>
              </w:rPr>
            </w:pPr>
            <w:hyperlink w:anchor="page159">
              <w:r>
                <w:rPr>
                  <w:rFonts w:ascii="Arial" w:cs="Arial" w:eastAsia="Arial" w:hAnsi="Arial"/>
                  <w:sz w:val="16"/>
                  <w:szCs w:val="16"/>
                  <w:u w:val="single" w:color="auto"/>
                  <w:color w:val="0000EE"/>
                </w:rPr>
                <w:t>157</w:t>
              </w:r>
            </w:hyperlink>
          </w:p>
        </w:tc>
        <w:tc>
          <w:tcPr>
            <w:tcW w:w="0" w:type="dxa"/>
            <w:vAlign w:val="bottom"/>
          </w:tcPr>
          <w:p>
            <w:pPr>
              <w:spacing w:after="0"/>
              <w:rPr>
                <w:sz w:val="1"/>
                <w:szCs w:val="1"/>
                <w:color w:val="auto"/>
              </w:rPr>
            </w:pPr>
          </w:p>
        </w:tc>
      </w:tr>
      <w:tr>
        <w:trPr>
          <w:trHeight w:val="245"/>
        </w:trPr>
        <w:tc>
          <w:tcPr>
            <w:tcW w:w="6260" w:type="dxa"/>
            <w:vAlign w:val="bottom"/>
            <w:gridSpan w:val="3"/>
            <w:shd w:val="clear" w:color="auto" w:fill="CCEEFF"/>
          </w:tcPr>
          <w:p>
            <w:pPr>
              <w:spacing w:after="0"/>
              <w:rPr>
                <w:rFonts w:ascii="Arial" w:cs="Arial" w:eastAsia="Arial" w:hAnsi="Arial"/>
                <w:sz w:val="16"/>
                <w:szCs w:val="16"/>
                <w:u w:val="single" w:color="auto"/>
                <w:color w:val="0000EE"/>
              </w:rPr>
            </w:pPr>
            <w:hyperlink w:anchor="page159">
              <w:r>
                <w:rPr>
                  <w:rFonts w:ascii="Arial" w:cs="Arial" w:eastAsia="Arial" w:hAnsi="Arial"/>
                  <w:sz w:val="16"/>
                  <w:szCs w:val="16"/>
                  <w:u w:val="single" w:color="auto"/>
                  <w:color w:val="0000EE"/>
                </w:rPr>
                <w:t>EXPERTS</w:t>
              </w:r>
            </w:hyperlink>
          </w:p>
        </w:tc>
        <w:tc>
          <w:tcPr>
            <w:tcW w:w="1180" w:type="dxa"/>
            <w:vAlign w:val="bottom"/>
            <w:shd w:val="clear" w:color="auto" w:fill="CCEEFF"/>
          </w:tcPr>
          <w:p>
            <w:pPr>
              <w:jc w:val="right"/>
              <w:spacing w:after="0"/>
              <w:rPr>
                <w:rFonts w:ascii="Arial" w:cs="Arial" w:eastAsia="Arial" w:hAnsi="Arial"/>
                <w:sz w:val="16"/>
                <w:szCs w:val="16"/>
                <w:u w:val="single" w:color="auto"/>
                <w:color w:val="0000EE"/>
              </w:rPr>
            </w:pPr>
            <w:hyperlink w:anchor="page159">
              <w:r>
                <w:rPr>
                  <w:rFonts w:ascii="Arial" w:cs="Arial" w:eastAsia="Arial" w:hAnsi="Arial"/>
                  <w:sz w:val="16"/>
                  <w:szCs w:val="16"/>
                  <w:u w:val="single" w:color="auto"/>
                  <w:color w:val="0000EE"/>
                </w:rPr>
                <w:t>157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60" w:type="dxa"/>
            <w:vAlign w:val="bottom"/>
            <w:gridSpan w:val="3"/>
          </w:tcPr>
          <w:p>
            <w:pPr>
              <w:spacing w:after="0"/>
              <w:rPr>
                <w:rFonts w:ascii="Arial" w:cs="Arial" w:eastAsia="Arial" w:hAnsi="Arial"/>
                <w:sz w:val="16"/>
                <w:szCs w:val="16"/>
                <w:u w:val="single" w:color="auto"/>
                <w:color w:val="0000EE"/>
              </w:rPr>
            </w:pPr>
            <w:hyperlink w:anchor="page159">
              <w:r>
                <w:rPr>
                  <w:rFonts w:ascii="Arial" w:cs="Arial" w:eastAsia="Arial" w:hAnsi="Arial"/>
                  <w:sz w:val="16"/>
                  <w:szCs w:val="16"/>
                  <w:u w:val="single" w:color="auto"/>
                  <w:color w:val="0000EE"/>
                </w:rPr>
                <w:t>WHERE YOU CAN FIND ADDITIONAL INFORMATION</w:t>
              </w:r>
            </w:hyperlink>
          </w:p>
        </w:tc>
        <w:tc>
          <w:tcPr>
            <w:tcW w:w="1200" w:type="dxa"/>
            <w:vAlign w:val="bottom"/>
            <w:gridSpan w:val="2"/>
          </w:tcPr>
          <w:p>
            <w:pPr>
              <w:jc w:val="right"/>
              <w:ind w:right="20"/>
              <w:spacing w:after="0"/>
              <w:rPr>
                <w:rFonts w:ascii="Arial" w:cs="Arial" w:eastAsia="Arial" w:hAnsi="Arial"/>
                <w:sz w:val="16"/>
                <w:szCs w:val="16"/>
                <w:u w:val="single" w:color="auto"/>
                <w:color w:val="0000EE"/>
              </w:rPr>
            </w:pPr>
            <w:hyperlink w:anchor="page159">
              <w:r>
                <w:rPr>
                  <w:rFonts w:ascii="Arial" w:cs="Arial" w:eastAsia="Arial" w:hAnsi="Arial"/>
                  <w:sz w:val="16"/>
                  <w:szCs w:val="16"/>
                  <w:u w:val="single" w:color="auto"/>
                  <w:color w:val="0000EE"/>
                </w:rPr>
                <w:t>157</w:t>
              </w:r>
            </w:hyperlink>
          </w:p>
        </w:tc>
        <w:tc>
          <w:tcPr>
            <w:tcW w:w="0" w:type="dxa"/>
            <w:vAlign w:val="bottom"/>
          </w:tcPr>
          <w:p>
            <w:pPr>
              <w:spacing w:after="0"/>
              <w:rPr>
                <w:sz w:val="1"/>
                <w:szCs w:val="1"/>
                <w:color w:val="auto"/>
              </w:rPr>
            </w:pPr>
          </w:p>
        </w:tc>
      </w:tr>
      <w:tr>
        <w:trPr>
          <w:trHeight w:val="245"/>
        </w:trPr>
        <w:tc>
          <w:tcPr>
            <w:tcW w:w="6260" w:type="dxa"/>
            <w:vAlign w:val="bottom"/>
            <w:gridSpan w:val="3"/>
            <w:shd w:val="clear" w:color="auto" w:fill="CCEEFF"/>
          </w:tcPr>
          <w:p>
            <w:pPr>
              <w:spacing w:after="0"/>
              <w:rPr>
                <w:rFonts w:ascii="Arial" w:cs="Arial" w:eastAsia="Arial" w:hAnsi="Arial"/>
                <w:sz w:val="16"/>
                <w:szCs w:val="16"/>
                <w:u w:val="single" w:color="auto"/>
                <w:color w:val="0000EE"/>
              </w:rPr>
            </w:pPr>
            <w:hyperlink w:anchor="page160">
              <w:r>
                <w:rPr>
                  <w:rFonts w:ascii="Arial" w:cs="Arial" w:eastAsia="Arial" w:hAnsi="Arial"/>
                  <w:sz w:val="16"/>
                  <w:szCs w:val="16"/>
                  <w:u w:val="single" w:color="auto"/>
                  <w:color w:val="0000EE"/>
                </w:rPr>
                <w:t>INDEX TO FINANCIAL STATEMENTS</w:t>
              </w:r>
            </w:hyperlink>
          </w:p>
        </w:tc>
        <w:tc>
          <w:tcPr>
            <w:tcW w:w="1180" w:type="dxa"/>
            <w:vAlign w:val="bottom"/>
            <w:shd w:val="clear" w:color="auto" w:fill="CCEEFF"/>
          </w:tcPr>
          <w:p>
            <w:pPr>
              <w:jc w:val="right"/>
              <w:spacing w:after="0"/>
              <w:rPr>
                <w:rFonts w:ascii="Arial" w:cs="Arial" w:eastAsia="Arial" w:hAnsi="Arial"/>
                <w:sz w:val="16"/>
                <w:szCs w:val="16"/>
                <w:u w:val="single" w:color="auto"/>
                <w:color w:val="0000EE"/>
              </w:rPr>
            </w:pPr>
            <w:hyperlink w:anchor="page160">
              <w:r>
                <w:rPr>
                  <w:rFonts w:ascii="Arial" w:cs="Arial" w:eastAsia="Arial" w:hAnsi="Arial"/>
                  <w:sz w:val="16"/>
                  <w:szCs w:val="16"/>
                  <w:u w:val="single" w:color="auto"/>
                  <w:color w:val="0000EE"/>
                </w:rPr>
                <w:t>F-1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Trademarks</w:t>
      </w:r>
    </w:p>
    <w:p>
      <w:pPr>
        <w:spacing w:after="0" w:line="101" w:lineRule="exact"/>
        <w:rPr>
          <w:sz w:val="20"/>
          <w:szCs w:val="20"/>
          <w:color w:val="auto"/>
        </w:rPr>
      </w:pPr>
    </w:p>
    <w:p>
      <w:pPr>
        <w:ind w:left="1140" w:right="1619" w:firstLine="326"/>
        <w:spacing w:after="0"/>
        <w:rPr>
          <w:sz w:val="20"/>
          <w:szCs w:val="20"/>
          <w:color w:val="auto"/>
        </w:rPr>
      </w:pPr>
      <w:r>
        <w:rPr>
          <w:rFonts w:ascii="Arial" w:cs="Arial" w:eastAsia="Arial" w:hAnsi="Arial"/>
          <w:sz w:val="16"/>
          <w:szCs w:val="16"/>
          <w:color w:val="auto"/>
        </w:rPr>
        <w:t xml:space="preserve">This prospectus contains references to trademarks and service marks belonging to other entities. Solely for convenience, trademarks and trade names referred to in this prospectus may appear without the </w:t>
      </w:r>
      <w:r>
        <w:rPr>
          <w:rFonts w:ascii="Arial" w:cs="Arial" w:eastAsia="Arial" w:hAnsi="Arial"/>
          <w:sz w:val="24"/>
          <w:szCs w:val="24"/>
          <w:color w:val="auto"/>
          <w:vertAlign w:val="superscript"/>
        </w:rPr>
        <w:t>®</w:t>
      </w:r>
      <w:r>
        <w:rPr>
          <w:rFonts w:ascii="Arial" w:cs="Arial" w:eastAsia="Arial" w:hAnsi="Arial"/>
          <w:sz w:val="16"/>
          <w:szCs w:val="16"/>
          <w:color w:val="auto"/>
        </w:rPr>
        <w:t xml:space="preserve">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 w:name="page4"/>
    <w:bookmarkEnd w:id="3"/>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140970</wp:posOffset>
            </wp:positionV>
            <wp:extent cx="5053330" cy="7398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53330" cy="739838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auto"/>
        </w:rPr>
        <w:t>SUMMARY</w:t>
      </w:r>
    </w:p>
    <w:p>
      <w:pPr>
        <w:spacing w:after="0" w:line="101" w:lineRule="exact"/>
        <w:rPr>
          <w:sz w:val="20"/>
          <w:szCs w:val="20"/>
          <w:color w:val="auto"/>
        </w:rPr>
      </w:pPr>
    </w:p>
    <w:p>
      <w:pPr>
        <w:ind w:left="1160" w:right="1579" w:firstLine="326"/>
        <w:spacing w:after="0" w:line="262" w:lineRule="auto"/>
        <w:rPr>
          <w:sz w:val="20"/>
          <w:szCs w:val="20"/>
          <w:color w:val="auto"/>
        </w:rPr>
      </w:pPr>
      <w:r>
        <w:rPr>
          <w:rFonts w:ascii="Arial" w:cs="Arial" w:eastAsia="Arial" w:hAnsi="Arial"/>
          <w:sz w:val="16"/>
          <w:szCs w:val="16"/>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w:t>
      </w:r>
    </w:p>
    <w:p>
      <w:pPr>
        <w:spacing w:after="0" w:line="72" w:lineRule="exact"/>
        <w:rPr>
          <w:sz w:val="20"/>
          <w:szCs w:val="20"/>
          <w:color w:val="auto"/>
        </w:rPr>
      </w:pPr>
    </w:p>
    <w:p>
      <w:pPr>
        <w:ind w:left="1480"/>
        <w:spacing w:after="0"/>
        <w:rPr>
          <w:sz w:val="20"/>
          <w:szCs w:val="20"/>
          <w:color w:val="auto"/>
        </w:rPr>
      </w:pPr>
      <w:r>
        <w:rPr>
          <w:rFonts w:ascii="Arial" w:cs="Arial" w:eastAsia="Arial" w:hAnsi="Arial"/>
          <w:sz w:val="16"/>
          <w:szCs w:val="16"/>
          <w:i w:val="1"/>
          <w:iCs w:val="1"/>
          <w:color w:val="auto"/>
        </w:rPr>
        <w:t>Unless otherwise stated in this prospectus or the context otherwise requires, references to:</w:t>
      </w:r>
    </w:p>
    <w:p>
      <w:pPr>
        <w:spacing w:after="0" w:line="122" w:lineRule="exact"/>
        <w:rPr>
          <w:sz w:val="20"/>
          <w:szCs w:val="20"/>
          <w:color w:val="auto"/>
        </w:rPr>
      </w:pPr>
    </w:p>
    <w:p>
      <w:pPr>
        <w:ind w:left="1800" w:right="1719" w:hanging="319"/>
        <w:spacing w:after="0" w:line="285" w:lineRule="auto"/>
        <w:tabs>
          <w:tab w:leader="none" w:pos="18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“amended and restated certificate of incorporation” are to our certificate of incorporation to be in effect upon the completion of this offering;</w:t>
      </w:r>
    </w:p>
    <w:p>
      <w:pPr>
        <w:spacing w:after="0" w:line="52" w:lineRule="exact"/>
        <w:rPr>
          <w:rFonts w:ascii="Arial" w:cs="Arial" w:eastAsia="Arial" w:hAnsi="Arial"/>
          <w:sz w:val="16"/>
          <w:szCs w:val="16"/>
          <w:color w:val="auto"/>
        </w:rPr>
      </w:pPr>
    </w:p>
    <w:p>
      <w:pPr>
        <w:ind w:left="1800" w:hanging="319"/>
        <w:spacing w:after="0"/>
        <w:tabs>
          <w:tab w:leader="none" w:pos="18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“common stock” are to our Class A common stock and our Class B common stock;</w:t>
      </w:r>
    </w:p>
    <w:p>
      <w:pPr>
        <w:spacing w:after="0" w:line="121" w:lineRule="exact"/>
        <w:rPr>
          <w:rFonts w:ascii="Arial" w:cs="Arial" w:eastAsia="Arial" w:hAnsi="Arial"/>
          <w:sz w:val="16"/>
          <w:szCs w:val="16"/>
          <w:color w:val="auto"/>
        </w:rPr>
      </w:pPr>
    </w:p>
    <w:p>
      <w:pPr>
        <w:ind w:left="1800" w:right="1579" w:hanging="319"/>
        <w:spacing w:after="0" w:line="259" w:lineRule="auto"/>
        <w:tabs>
          <w:tab w:leader="none" w:pos="18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“completion window” is the period following the completion of this offering at the end of which, if we have not completed our initial business combination, we will redeem 100% of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subject to applicable law and certain conditions and as further described herein. The completion window ends 24 months from the closing of this offering, or 27 months from the closing of this offering if we have executed a letter of intent, agreement in principle or definitive agreement for an initial business combination within 24 months from the closing of this offering;</w:t>
      </w:r>
    </w:p>
    <w:p>
      <w:pPr>
        <w:spacing w:after="0" w:line="72" w:lineRule="exact"/>
        <w:rPr>
          <w:rFonts w:ascii="Arial" w:cs="Arial" w:eastAsia="Arial" w:hAnsi="Arial"/>
          <w:sz w:val="16"/>
          <w:szCs w:val="16"/>
          <w:color w:val="auto"/>
        </w:rPr>
      </w:pPr>
    </w:p>
    <w:p>
      <w:pPr>
        <w:ind w:left="1800" w:hanging="319"/>
        <w:spacing w:after="0"/>
        <w:tabs>
          <w:tab w:leader="none" w:pos="18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“directors” are to our directors and director nominees;</w:t>
      </w:r>
    </w:p>
    <w:p>
      <w:pPr>
        <w:spacing w:after="0" w:line="121" w:lineRule="exact"/>
        <w:rPr>
          <w:rFonts w:ascii="Arial" w:cs="Arial" w:eastAsia="Arial" w:hAnsi="Arial"/>
          <w:sz w:val="16"/>
          <w:szCs w:val="16"/>
          <w:color w:val="auto"/>
        </w:rPr>
      </w:pPr>
    </w:p>
    <w:p>
      <w:pPr>
        <w:ind w:left="1800" w:right="1639" w:hanging="319"/>
        <w:spacing w:after="0" w:line="265" w:lineRule="auto"/>
        <w:tabs>
          <w:tab w:leader="none" w:pos="18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“equity-linked securities” are to any debt or equity securities that are convertible, exercisable or exchangeable for shares of our Class A common stock issued in a financing transaction in connection with our initial business combination, including but not limited to a private placement of such securities;</w:t>
      </w:r>
    </w:p>
    <w:p>
      <w:pPr>
        <w:spacing w:after="0" w:line="68" w:lineRule="exact"/>
        <w:rPr>
          <w:rFonts w:ascii="Arial" w:cs="Arial" w:eastAsia="Arial" w:hAnsi="Arial"/>
          <w:sz w:val="16"/>
          <w:szCs w:val="16"/>
          <w:color w:val="auto"/>
        </w:rPr>
      </w:pPr>
    </w:p>
    <w:p>
      <w:pPr>
        <w:ind w:left="1800" w:right="1919" w:hanging="319"/>
        <w:spacing w:after="0" w:line="270" w:lineRule="auto"/>
        <w:tabs>
          <w:tab w:leader="none" w:pos="18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“founder shares” are to shares of our Class B common stock and the shares of our Class A common stock issued upon the automatic conversion thereof at the time of our initial business combination as provided herein;</w:t>
      </w:r>
    </w:p>
    <w:p>
      <w:pPr>
        <w:spacing w:after="0" w:line="76" w:lineRule="exact"/>
        <w:rPr>
          <w:rFonts w:ascii="Arial" w:cs="Arial" w:eastAsia="Arial" w:hAnsi="Arial"/>
          <w:sz w:val="16"/>
          <w:szCs w:val="16"/>
          <w:color w:val="auto"/>
        </w:rPr>
      </w:pPr>
    </w:p>
    <w:p>
      <w:pPr>
        <w:ind w:left="1800" w:right="1579" w:hanging="319"/>
        <w:spacing w:after="0" w:line="285" w:lineRule="auto"/>
        <w:tabs>
          <w:tab w:leader="none" w:pos="18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“initial stockholders” are to our sponsor and any other holders of our founder shares immediately prior to this offering;</w:t>
      </w:r>
    </w:p>
    <w:p>
      <w:pPr>
        <w:spacing w:after="0" w:line="52" w:lineRule="exact"/>
        <w:rPr>
          <w:rFonts w:ascii="Arial" w:cs="Arial" w:eastAsia="Arial" w:hAnsi="Arial"/>
          <w:sz w:val="16"/>
          <w:szCs w:val="16"/>
          <w:color w:val="auto"/>
        </w:rPr>
      </w:pPr>
    </w:p>
    <w:p>
      <w:pPr>
        <w:ind w:left="1800" w:right="1839" w:hanging="319"/>
        <w:spacing w:after="0" w:line="285" w:lineRule="auto"/>
        <w:tabs>
          <w:tab w:leader="none" w:pos="18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“letter agreement” refers to the letter agreement, the form of which is filed as an exhibit to the registration statement of which this prospectus forms a part;</w:t>
      </w:r>
    </w:p>
    <w:p>
      <w:pPr>
        <w:spacing w:after="0" w:line="64" w:lineRule="exact"/>
        <w:rPr>
          <w:rFonts w:ascii="Arial" w:cs="Arial" w:eastAsia="Arial" w:hAnsi="Arial"/>
          <w:sz w:val="16"/>
          <w:szCs w:val="16"/>
          <w:color w:val="auto"/>
        </w:rPr>
      </w:pPr>
    </w:p>
    <w:p>
      <w:pPr>
        <w:ind w:left="1800" w:right="2119" w:hanging="319"/>
        <w:spacing w:after="0" w:line="285" w:lineRule="auto"/>
        <w:tabs>
          <w:tab w:leader="none" w:pos="18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“M. Klein and Company” are to M. Klein and Company, LLC, a Delaware limited liability company and its affiliates;</w:t>
      </w:r>
    </w:p>
    <w:p>
      <w:pPr>
        <w:spacing w:after="0" w:line="52" w:lineRule="exact"/>
        <w:rPr>
          <w:rFonts w:ascii="Arial" w:cs="Arial" w:eastAsia="Arial" w:hAnsi="Arial"/>
          <w:sz w:val="16"/>
          <w:szCs w:val="16"/>
          <w:color w:val="auto"/>
        </w:rPr>
      </w:pPr>
    </w:p>
    <w:p>
      <w:pPr>
        <w:ind w:left="1800" w:hanging="319"/>
        <w:spacing w:after="0"/>
        <w:tabs>
          <w:tab w:leader="none" w:pos="18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“management” or our “management team” are to our officers and directors;</w:t>
      </w:r>
    </w:p>
    <w:p>
      <w:pPr>
        <w:spacing w:after="0" w:line="121" w:lineRule="exact"/>
        <w:rPr>
          <w:rFonts w:ascii="Arial" w:cs="Arial" w:eastAsia="Arial" w:hAnsi="Arial"/>
          <w:sz w:val="16"/>
          <w:szCs w:val="16"/>
          <w:color w:val="auto"/>
        </w:rPr>
      </w:pPr>
    </w:p>
    <w:p>
      <w:pPr>
        <w:ind w:left="1800" w:right="1839" w:hanging="319"/>
        <w:spacing w:after="0" w:line="285" w:lineRule="auto"/>
        <w:tabs>
          <w:tab w:leader="none" w:pos="18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“permitted withdrawals” means amounts withdrawn to fund our working capital requirements, subject to an annual limit of $1,000,000, and/or to pay our taxes;</w:t>
      </w:r>
    </w:p>
    <w:p>
      <w:pPr>
        <w:spacing w:after="0" w:line="52" w:lineRule="exact"/>
        <w:rPr>
          <w:rFonts w:ascii="Arial" w:cs="Arial" w:eastAsia="Arial" w:hAnsi="Arial"/>
          <w:sz w:val="16"/>
          <w:szCs w:val="16"/>
          <w:color w:val="auto"/>
        </w:rPr>
      </w:pPr>
    </w:p>
    <w:p>
      <w:pPr>
        <w:ind w:left="1800" w:right="1599" w:hanging="319"/>
        <w:spacing w:after="0" w:line="262" w:lineRule="auto"/>
        <w:tabs>
          <w:tab w:leader="none" w:pos="18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“Private Placement” are to a subscription of 31,350,000 warrants (or 35,850,000 warrants in the aggregate if the underwriters’ option to purchase additional units is exercised in full) at a price of $1.00 per warrant ($31,350,000 in the aggregate, or $35,850,000 in the aggregate if the underwriters’ option to purchase additional units is exercised in full) by our sponsor in a private placement that will close simultaneously with the closing of this offering.</w:t>
      </w:r>
    </w:p>
    <w:p>
      <w:pPr>
        <w:spacing w:after="0" w:line="84" w:lineRule="exact"/>
        <w:rPr>
          <w:rFonts w:ascii="Arial" w:cs="Arial" w:eastAsia="Arial" w:hAnsi="Arial"/>
          <w:sz w:val="16"/>
          <w:szCs w:val="16"/>
          <w:color w:val="auto"/>
        </w:rPr>
      </w:pPr>
    </w:p>
    <w:p>
      <w:pPr>
        <w:ind w:left="1800" w:hanging="319"/>
        <w:spacing w:after="0"/>
        <w:tabs>
          <w:tab w:leader="none" w:pos="180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“private placement warrants” are to the warrants issued to our sponsor in the Private Placement;</w:t>
      </w:r>
    </w:p>
    <w:p>
      <w:pPr>
        <w:spacing w:after="0" w:line="121" w:lineRule="exact"/>
        <w:rPr>
          <w:rFonts w:ascii="Arial" w:cs="Arial" w:eastAsia="Arial" w:hAnsi="Arial"/>
          <w:sz w:val="15"/>
          <w:szCs w:val="15"/>
          <w:color w:val="auto"/>
        </w:rPr>
      </w:pPr>
    </w:p>
    <w:p>
      <w:pPr>
        <w:ind w:left="1800" w:right="1559" w:hanging="319"/>
        <w:spacing w:after="0" w:line="285" w:lineRule="auto"/>
        <w:tabs>
          <w:tab w:leader="none" w:pos="18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“public shares” are to shares of our Class A common stock sold as part of the units in this offering (whether they are purchased in this offering or thereafter in the open market);</w:t>
      </w:r>
    </w:p>
    <w:p>
      <w:pPr>
        <w:spacing w:after="0" w:line="64" w:lineRule="exact"/>
        <w:rPr>
          <w:rFonts w:ascii="Arial" w:cs="Arial" w:eastAsia="Arial" w:hAnsi="Arial"/>
          <w:sz w:val="16"/>
          <w:szCs w:val="16"/>
          <w:color w:val="auto"/>
        </w:rPr>
      </w:pPr>
    </w:p>
    <w:p>
      <w:pPr>
        <w:ind w:left="1800" w:right="1559" w:hanging="319"/>
        <w:spacing w:after="0" w:line="270" w:lineRule="auto"/>
        <w:tabs>
          <w:tab w:leader="none" w:pos="18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“public stockholders” are to the holders of our public shares, including our sponsor, officers and directors to the extent our sponsor, officers or directors purchase public shares, provided that each of their status as a “public stockholder” shall only exist with respect to such public shares;</w:t>
      </w:r>
    </w:p>
    <w:p>
      <w:pPr>
        <w:spacing w:after="0" w:line="358"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 w:name="page5"/>
    <w:bookmarkEnd w:id="4"/>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140970</wp:posOffset>
            </wp:positionV>
            <wp:extent cx="5053330" cy="7522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53330" cy="752284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1800" w:right="1599" w:hanging="319"/>
        <w:spacing w:after="0" w:line="285" w:lineRule="auto"/>
        <w:tabs>
          <w:tab w:leader="none" w:pos="18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“sponsor” are to Churchill Sponsor IV LLC, a Delaware limited liability company and an affiliate of M. Klein and Company;</w:t>
      </w:r>
    </w:p>
    <w:p>
      <w:pPr>
        <w:spacing w:after="0" w:line="52" w:lineRule="exact"/>
        <w:rPr>
          <w:rFonts w:ascii="Arial" w:cs="Arial" w:eastAsia="Arial" w:hAnsi="Arial"/>
          <w:sz w:val="16"/>
          <w:szCs w:val="16"/>
          <w:color w:val="auto"/>
        </w:rPr>
      </w:pPr>
    </w:p>
    <w:p>
      <w:pPr>
        <w:ind w:left="1800" w:right="1919" w:hanging="319"/>
        <w:spacing w:after="0" w:line="285" w:lineRule="auto"/>
        <w:tabs>
          <w:tab w:leader="none" w:pos="18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“underwriters’ option to purchase additional units” are to the underwriters’ 45-day option to purchase up to an additional 22,500,000 units to cover over-allotments, if any;</w:t>
      </w:r>
    </w:p>
    <w:p>
      <w:pPr>
        <w:spacing w:after="0" w:line="52" w:lineRule="exact"/>
        <w:rPr>
          <w:rFonts w:ascii="Arial" w:cs="Arial" w:eastAsia="Arial" w:hAnsi="Arial"/>
          <w:sz w:val="16"/>
          <w:szCs w:val="16"/>
          <w:color w:val="auto"/>
        </w:rPr>
      </w:pPr>
    </w:p>
    <w:p>
      <w:pPr>
        <w:ind w:left="1800" w:right="1759" w:hanging="319"/>
        <w:spacing w:after="0" w:line="320" w:lineRule="auto"/>
        <w:tabs>
          <w:tab w:leader="none" w:pos="180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“warrants” are to our warrants sold as part of the units in this offering (whether they are purchased in this offering or thereafter in the open market) and the private placement warrants;</w:t>
      </w:r>
    </w:p>
    <w:p>
      <w:pPr>
        <w:spacing w:after="0" w:line="29" w:lineRule="exact"/>
        <w:rPr>
          <w:rFonts w:ascii="Arial" w:cs="Arial" w:eastAsia="Arial" w:hAnsi="Arial"/>
          <w:sz w:val="15"/>
          <w:szCs w:val="15"/>
          <w:color w:val="auto"/>
        </w:rPr>
      </w:pPr>
    </w:p>
    <w:p>
      <w:pPr>
        <w:jc w:val="both"/>
        <w:ind w:left="1800" w:right="1719" w:hanging="319"/>
        <w:spacing w:after="0" w:line="270" w:lineRule="auto"/>
        <w:tabs>
          <w:tab w:leader="none" w:pos="18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“warrant exercise date” are to the date on which the warrants will become exercisable, which is the later of 30 days after the completion of our initial business combination and 12 months from the closing of this offering;</w:t>
      </w:r>
    </w:p>
    <w:p>
      <w:pPr>
        <w:spacing w:after="0" w:line="63" w:lineRule="exact"/>
        <w:rPr>
          <w:rFonts w:ascii="Arial" w:cs="Arial" w:eastAsia="Arial" w:hAnsi="Arial"/>
          <w:sz w:val="16"/>
          <w:szCs w:val="16"/>
          <w:color w:val="auto"/>
        </w:rPr>
      </w:pPr>
    </w:p>
    <w:p>
      <w:pPr>
        <w:ind w:left="1800" w:right="1639" w:hanging="319"/>
        <w:spacing w:after="0" w:line="320" w:lineRule="auto"/>
        <w:tabs>
          <w:tab w:leader="none" w:pos="180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“warrant expiration date” are to the date on which the warrants expire, which is five years after the completion of our initial business combination or earlier upon redemption or liquidation; and</w:t>
      </w:r>
    </w:p>
    <w:p>
      <w:pPr>
        <w:spacing w:after="0" w:line="29" w:lineRule="exact"/>
        <w:rPr>
          <w:rFonts w:ascii="Arial" w:cs="Arial" w:eastAsia="Arial" w:hAnsi="Arial"/>
          <w:sz w:val="15"/>
          <w:szCs w:val="15"/>
          <w:color w:val="auto"/>
        </w:rPr>
      </w:pPr>
    </w:p>
    <w:p>
      <w:pPr>
        <w:ind w:left="1800" w:right="2179" w:hanging="319"/>
        <w:spacing w:after="0" w:line="285" w:lineRule="auto"/>
        <w:tabs>
          <w:tab w:leader="none" w:pos="18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“we,” “us,” “company” or “our company” are to Churchill Capital Corp IV, a Delaware corporation.</w:t>
      </w:r>
    </w:p>
    <w:p>
      <w:pPr>
        <w:spacing w:after="0" w:line="52" w:lineRule="exact"/>
        <w:rPr>
          <w:sz w:val="20"/>
          <w:szCs w:val="20"/>
          <w:color w:val="auto"/>
        </w:rPr>
      </w:pPr>
    </w:p>
    <w:p>
      <w:pPr>
        <w:ind w:left="1160" w:right="1639" w:firstLine="326"/>
        <w:spacing w:after="0" w:line="270" w:lineRule="auto"/>
        <w:rPr>
          <w:sz w:val="20"/>
          <w:szCs w:val="20"/>
          <w:color w:val="auto"/>
        </w:rPr>
      </w:pPr>
      <w:r>
        <w:rPr>
          <w:rFonts w:ascii="Arial" w:cs="Arial" w:eastAsia="Arial" w:hAnsi="Arial"/>
          <w:sz w:val="16"/>
          <w:szCs w:val="16"/>
          <w:i w:val="1"/>
          <w:iCs w:val="1"/>
          <w:color w:val="auto"/>
        </w:rPr>
        <w:t>Unless we tell you otherwise, the information in this prospectus assumes that the underwriters will not exercise their option to purchase additional units and the forfeiture by our sponsor of 5,625,000 founder shares.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General</w:t>
      </w:r>
    </w:p>
    <w:p>
      <w:pPr>
        <w:spacing w:after="0" w:line="101" w:lineRule="exact"/>
        <w:rPr>
          <w:sz w:val="20"/>
          <w:szCs w:val="20"/>
          <w:color w:val="auto"/>
        </w:rPr>
      </w:pPr>
    </w:p>
    <w:p>
      <w:pPr>
        <w:ind w:left="1160" w:right="1699" w:firstLine="326"/>
        <w:spacing w:after="0" w:line="279" w:lineRule="auto"/>
        <w:rPr>
          <w:sz w:val="20"/>
          <w:szCs w:val="20"/>
          <w:color w:val="auto"/>
        </w:rPr>
      </w:pPr>
      <w:r>
        <w:rPr>
          <w:rFonts w:ascii="Arial" w:cs="Arial" w:eastAsia="Arial" w:hAnsi="Arial"/>
          <w:sz w:val="15"/>
          <w:szCs w:val="15"/>
          <w:color w:val="auto"/>
        </w:rPr>
        <w:t>We are a newly incorporated blank check company formed as a Delaware corporation for the purpose of effecting a merger, share exchange, asset acquisition, share purchase, reorganization or similar business combination with one or more businesses, which we refer to throughout this prospectus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 We may pursue an initial business combination in any business or industry but expect to focus on a target in an industry where we believe our management team and founder’s expertise will provide us with a competitive advantage.</w:t>
      </w:r>
    </w:p>
    <w:p>
      <w:pPr>
        <w:spacing w:after="0" w:line="59" w:lineRule="exact"/>
        <w:rPr>
          <w:sz w:val="20"/>
          <w:szCs w:val="20"/>
          <w:color w:val="auto"/>
        </w:rPr>
      </w:pPr>
    </w:p>
    <w:p>
      <w:pPr>
        <w:ind w:left="1160" w:right="1559" w:firstLine="326"/>
        <w:spacing w:after="0" w:line="258" w:lineRule="auto"/>
        <w:rPr>
          <w:sz w:val="20"/>
          <w:szCs w:val="20"/>
          <w:color w:val="auto"/>
        </w:rPr>
      </w:pPr>
      <w:r>
        <w:rPr>
          <w:rFonts w:ascii="Arial" w:cs="Arial" w:eastAsia="Arial" w:hAnsi="Arial"/>
          <w:sz w:val="16"/>
          <w:szCs w:val="16"/>
          <w:color w:val="auto"/>
        </w:rPr>
        <w:t>Our founder, Michael Klein, is also the founder and managing partner of M. Klein and Company, which he founded in 2012. M. Klein and Company is a global strategic advisory firm that provides its clients a variety of advice tailored to their objectives. Mr. Klein is a strategic advisor to global companies, boards of directors, senior executives, governments and institutional investors. Mr. Klein’s background in strategic advisory work was built during his 35 year career, including more than two decades at Citigroup Inc. (“Citi”) and its predecessors, during which he initiated and executed strategic advisory transactions. He began his career as an investment banker in the M&amp;A Advisory Group at Salomon Brothers and subsequently became Chairman and Co-Chief Executive Officer of Citi Markets and Banking, with responsibilities for Global Corporate and Investment Banking and Global Transaction Services across Citi. In his role as Co-CEO, he was responsible for all relationship, advisory, underwriting, and capital markets issuance activity.</w:t>
      </w:r>
    </w:p>
    <w:p>
      <w:pPr>
        <w:spacing w:after="0" w:line="75" w:lineRule="exact"/>
        <w:rPr>
          <w:sz w:val="20"/>
          <w:szCs w:val="20"/>
          <w:color w:val="auto"/>
        </w:rPr>
      </w:pPr>
    </w:p>
    <w:p>
      <w:pPr>
        <w:ind w:left="1160" w:right="1659" w:firstLine="326"/>
        <w:spacing w:after="0" w:line="279" w:lineRule="auto"/>
        <w:rPr>
          <w:sz w:val="20"/>
          <w:szCs w:val="20"/>
          <w:color w:val="auto"/>
        </w:rPr>
      </w:pPr>
      <w:r>
        <w:rPr>
          <w:rFonts w:ascii="Arial" w:cs="Arial" w:eastAsia="Arial" w:hAnsi="Arial"/>
          <w:sz w:val="15"/>
          <w:szCs w:val="15"/>
          <w:color w:val="auto"/>
        </w:rPr>
        <w:t>Mr. Klein was previously Chief Executive Officer of Global Banking at Citi, CEO of Citi Markets &amp; Banking, Europe, and Co-Head of Global Investment Banking for Salomon Smith Barney for the decade prior. In early 1999, he was given responsibility for the expansion of the firm’s European investment banking business. A major step in that development was the merger, in May 2000, of Salomon Smith Barney’s European operation with Schroders, a leading UK and European Merchant Bank. Prior to becoming Co-Head of the Global Investment Bank, he had been responsible for the firm’s Global Financial Entrepreneurs and Private Equity Groups, a leading provider of acquisition ideas and financing for leading private equity sponsors. We will seek to capitalize on the experience and expertise of our founder.</w:t>
      </w:r>
    </w:p>
    <w:p>
      <w:pPr>
        <w:spacing w:after="0" w:line="59" w:lineRule="exact"/>
        <w:rPr>
          <w:sz w:val="20"/>
          <w:szCs w:val="20"/>
          <w:color w:val="auto"/>
        </w:rPr>
      </w:pPr>
    </w:p>
    <w:p>
      <w:pPr>
        <w:ind w:left="1160" w:right="1619" w:firstLine="326"/>
        <w:spacing w:after="0" w:line="260" w:lineRule="auto"/>
        <w:rPr>
          <w:sz w:val="20"/>
          <w:szCs w:val="20"/>
          <w:color w:val="auto"/>
        </w:rPr>
      </w:pPr>
      <w:r>
        <w:rPr>
          <w:rFonts w:ascii="Arial" w:cs="Arial" w:eastAsia="Arial" w:hAnsi="Arial"/>
          <w:sz w:val="16"/>
          <w:szCs w:val="16"/>
          <w:color w:val="auto"/>
        </w:rPr>
        <w:t>Mr. Klein has significant experience running investment banking and advisory organizations with an overarching mission of providing high quality deal sourcing and transactional advice to a broad range of clients. For example, in 2018, Mr. Klein co-founded and became Chairman of the Board of Directors of Churchill Capital Corp (“CCC”), a special purpose acquisition company that completed a $690 million initial public offering in September 2018 and merged in May 2019 with Clarivate Analytics (“Clarivate”), a leading provider of comprehensive intellectual property and scientific information, analytical tools, and services.</w:t>
      </w:r>
    </w:p>
    <w:p>
      <w:pPr>
        <w:spacing w:after="0" w:line="366"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5" w:name="page6"/>
    <w:bookmarkEnd w:id="5"/>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140970</wp:posOffset>
            </wp:positionV>
            <wp:extent cx="5053330" cy="73132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53330" cy="731329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1160" w:right="1559" w:firstLine="326"/>
        <w:spacing w:after="0" w:line="280" w:lineRule="auto"/>
        <w:rPr>
          <w:sz w:val="20"/>
          <w:szCs w:val="20"/>
          <w:color w:val="auto"/>
        </w:rPr>
      </w:pPr>
      <w:r>
        <w:rPr>
          <w:rFonts w:ascii="Arial" w:cs="Arial" w:eastAsia="Arial" w:hAnsi="Arial"/>
          <w:sz w:val="15"/>
          <w:szCs w:val="15"/>
          <w:color w:val="auto"/>
        </w:rPr>
        <w:t>The CCC board of directors believed that of the several transactions that CCC considered, the Clarivate merger provided CCC investors with an attractive investment opportunity that was characterized by an industry-leading, world-class management team with a history of creating significant shareholder value through superior operational performance, positive long-term trends in each of the Clarivate’s operating markets, significant organic and accretive growth opportunities, a clear path to meaningfully reduced balance sheet leverage, and a compelling valuation relative to its peers. In sourcing and executing a business combination transaction, we hope to find a target with similar characteristics.</w:t>
      </w:r>
    </w:p>
    <w:p>
      <w:pPr>
        <w:spacing w:after="0" w:line="59" w:lineRule="exact"/>
        <w:rPr>
          <w:sz w:val="20"/>
          <w:szCs w:val="20"/>
          <w:color w:val="auto"/>
        </w:rPr>
      </w:pPr>
    </w:p>
    <w:p>
      <w:pPr>
        <w:ind w:left="1160" w:right="1579" w:firstLine="326"/>
        <w:spacing w:after="0" w:line="260" w:lineRule="auto"/>
        <w:rPr>
          <w:sz w:val="20"/>
          <w:szCs w:val="20"/>
          <w:color w:val="auto"/>
        </w:rPr>
      </w:pPr>
      <w:r>
        <w:rPr>
          <w:rFonts w:ascii="Arial" w:cs="Arial" w:eastAsia="Arial" w:hAnsi="Arial"/>
          <w:sz w:val="16"/>
          <w:szCs w:val="16"/>
          <w:color w:val="auto"/>
        </w:rPr>
        <w:t>In April 2019, Mr. Klein founded and became Chief Executive Officer and Chairman of the Board of Directors of Churchill Capital Corp II, a special purpose acquisition company that completed a $690 million initial public offering in July 2019. Additionally in October 2019, Mr. Klein founded and became Chief Executive Officer, President and Chairman of the Board of Directors of Churchill Capital Corp III, a special purpose acquisition company that completed a $1,100 million initial public offering in February 2020. On July 12, 2020, Churchill Capital Corp III entered into a definitive agreement to merge with MultiPlan, Inc., a technology-enabled provider of end-to-end healthcare cost management solutions.</w:t>
      </w:r>
    </w:p>
    <w:p>
      <w:pPr>
        <w:spacing w:after="0" w:line="72" w:lineRule="exact"/>
        <w:rPr>
          <w:sz w:val="20"/>
          <w:szCs w:val="20"/>
          <w:color w:val="auto"/>
        </w:rPr>
      </w:pPr>
    </w:p>
    <w:p>
      <w:pPr>
        <w:ind w:left="1160" w:right="1579" w:firstLine="326"/>
        <w:spacing w:after="0" w:line="259" w:lineRule="auto"/>
        <w:rPr>
          <w:sz w:val="20"/>
          <w:szCs w:val="20"/>
          <w:color w:val="auto"/>
        </w:rPr>
      </w:pPr>
      <w:r>
        <w:rPr>
          <w:rFonts w:ascii="Arial" w:cs="Arial" w:eastAsia="Arial" w:hAnsi="Arial"/>
          <w:sz w:val="16"/>
          <w:szCs w:val="16"/>
          <w:color w:val="auto"/>
        </w:rPr>
        <w:t>Our Chief Financial Officer, Jay Taragin, has held this position since May 2020 and is also the Chief Financial Officer of Churchill Capital Corp III since December 2019 and M. Klein and Company which he joined in May 2019. Prior to joining M. Klein and Company, Mr. Taragin served as the US Scotiabank Chief Financial Officer from 2013 to 2017. Prior to Scotiabank, Mr. Taragin held a Chief Operating and Financial Officer role from 2009 to 2012 at a mortgage hedge fund and held a variety of senior finance and audit roles at Merrill Lynch &amp; Company from 1993 to 2009. In addition, Mr. Taragin worked at Credit Suisse and PricewaterhouseCoopers as a senior auditor and accountant. Mr. Taragin is a CPA and holds a master’s degree in business administration from New York University Stern School of Business and a bachelor’s degree from Yeshiva University.</w:t>
      </w:r>
    </w:p>
    <w:p>
      <w:pPr>
        <w:spacing w:after="0" w:line="72" w:lineRule="exact"/>
        <w:rPr>
          <w:sz w:val="20"/>
          <w:szCs w:val="20"/>
          <w:color w:val="auto"/>
        </w:rPr>
      </w:pPr>
    </w:p>
    <w:p>
      <w:pPr>
        <w:ind w:left="1160" w:right="1559" w:firstLine="326"/>
        <w:spacing w:after="0" w:line="277" w:lineRule="auto"/>
        <w:rPr>
          <w:sz w:val="20"/>
          <w:szCs w:val="20"/>
          <w:color w:val="auto"/>
        </w:rPr>
      </w:pPr>
      <w:r>
        <w:rPr>
          <w:rFonts w:ascii="Arial" w:cs="Arial" w:eastAsia="Arial" w:hAnsi="Arial"/>
          <w:sz w:val="15"/>
          <w:szCs w:val="15"/>
          <w:color w:val="auto"/>
        </w:rPr>
        <w:t>We believe that our management team and M. Klein and Company, which is an affiliate of our sponsor, are well positioned to identify and execute attractive business combination opportunities. Our objectives are to generate attractive returns for shareholders and enhance value through selecting a high quality target at an attractive valuation, negotiating favorable acquisition terms for our stockholders and improving operational performance of the acquired company. We expect to favor potential target companies with certain industry and business characteristics. Key industry characteristics include compelling long-term growth prospects, opportunities to affect valuation improvements at the company, attractive competitive dynamics and consolidation opportunities. Key business characteristics include competitive advantages, significant streams of recurring revenue, opportunity for operational improvement, attractive steady-state margins, high incremental margins and attractive free cash flow characteristics.</w:t>
      </w:r>
    </w:p>
    <w:p>
      <w:pPr>
        <w:spacing w:after="0" w:line="64" w:lineRule="exact"/>
        <w:rPr>
          <w:sz w:val="20"/>
          <w:szCs w:val="20"/>
          <w:color w:val="auto"/>
        </w:rPr>
      </w:pPr>
    </w:p>
    <w:p>
      <w:pPr>
        <w:ind w:left="1160" w:right="1619" w:firstLine="326"/>
        <w:spacing w:after="0" w:line="260" w:lineRule="auto"/>
        <w:rPr>
          <w:sz w:val="20"/>
          <w:szCs w:val="20"/>
          <w:color w:val="auto"/>
        </w:rPr>
      </w:pPr>
      <w:r>
        <w:rPr>
          <w:rFonts w:ascii="Arial" w:cs="Arial" w:eastAsia="Arial" w:hAnsi="Arial"/>
          <w:sz w:val="16"/>
          <w:szCs w:val="16"/>
          <w:color w:val="auto"/>
        </w:rPr>
        <w:t>M. Klein and Company has established strategic relationships with selected leading investors and financing providers (“Strategic Partners”). Such Strategic Partners may invest in our sponsor, thereby sharing in the appreciation of founder shares and private placement warrants, and assist M. Klein and Company in evaluating potential acquisition targets. In addition, Glenn R. August, the CEO and Founder of Oak Hill Advisors, L.P. (“OHA”), a Strategic Partner, will join the Company’s board of directors. OHA is a leading alternative investment firm with approximately $37 billion of capital under management and over 300 professionals that invest across multiple sectors and industries.</w:t>
      </w:r>
    </w:p>
    <w:p>
      <w:pPr>
        <w:spacing w:after="0" w:line="72" w:lineRule="exact"/>
        <w:rPr>
          <w:sz w:val="20"/>
          <w:szCs w:val="20"/>
          <w:color w:val="auto"/>
        </w:rPr>
      </w:pPr>
    </w:p>
    <w:p>
      <w:pPr>
        <w:ind w:left="1160" w:right="1599" w:firstLine="326"/>
        <w:spacing w:after="0" w:line="276" w:lineRule="auto"/>
        <w:rPr>
          <w:sz w:val="20"/>
          <w:szCs w:val="20"/>
          <w:color w:val="auto"/>
        </w:rPr>
      </w:pPr>
      <w:r>
        <w:rPr>
          <w:rFonts w:ascii="Arial" w:cs="Arial" w:eastAsia="Arial" w:hAnsi="Arial"/>
          <w:sz w:val="15"/>
          <w:szCs w:val="15"/>
          <w:color w:val="auto"/>
        </w:rPr>
        <w:t>M. Klein and Company has established an entity within the firm, Archimedes Advisors LLC, which will invest in our sponsor and which consists of operating partners (“Operating Partners” and, together with our Strategic Partners, our “Strategic and Operating Partners”) who will assist us in sourcing potential acquisition targets, and creating long-term value in the business combination for us. M. Klein and Company’s Operating Partners are comprised of former senior operating executives of leading S&amp;P 500 companies across multiple sectors and industries, including consumer, industrial, materials, energy, mining, chemicals, finance, data, software, enterprise technology, and media. With our breadth of sector coverage and deep operational expertise, we believe we can review a wide range of targets to find the most attractive target for our stockholders. Each Operating Partner has held senior leadership positions with companies where they have a proven strong track record of creating shareholder value, organically and through transformational acquisitions or corporate restructurings, as well as extensive relationships with owners and operators of companies within their respective industries. In addition to assisting in the sourcing of a</w:t>
      </w:r>
    </w:p>
    <w:p>
      <w:pPr>
        <w:spacing w:after="0" w:line="200" w:lineRule="exact"/>
        <w:rPr>
          <w:sz w:val="20"/>
          <w:szCs w:val="20"/>
          <w:color w:val="auto"/>
        </w:rPr>
      </w:pPr>
    </w:p>
    <w:p>
      <w:pPr>
        <w:spacing w:after="0" w:line="294"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6" w:name="page7"/>
    <w:bookmarkEnd w:id="6"/>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140970</wp:posOffset>
            </wp:positionV>
            <wp:extent cx="5053330" cy="73132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53330" cy="731329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1160" w:right="1839"/>
        <w:spacing w:after="0" w:line="270" w:lineRule="auto"/>
        <w:rPr>
          <w:sz w:val="20"/>
          <w:szCs w:val="20"/>
          <w:color w:val="auto"/>
        </w:rPr>
      </w:pPr>
      <w:r>
        <w:rPr>
          <w:rFonts w:ascii="Arial" w:cs="Arial" w:eastAsia="Arial" w:hAnsi="Arial"/>
          <w:sz w:val="16"/>
          <w:szCs w:val="16"/>
          <w:color w:val="auto"/>
        </w:rPr>
        <w:t>potential transaction, one Operating Partner is expected to join the acquired company as an executive chairman or in another senior executive capacity in order to enhance stockholder value by improving the operational performance of the company and undertaking broader strategic initiatives.</w:t>
      </w:r>
    </w:p>
    <w:p>
      <w:pPr>
        <w:spacing w:after="0" w:line="64" w:lineRule="exact"/>
        <w:rPr>
          <w:sz w:val="20"/>
          <w:szCs w:val="20"/>
          <w:color w:val="auto"/>
        </w:rPr>
      </w:pPr>
    </w:p>
    <w:p>
      <w:pPr>
        <w:ind w:left="1160" w:right="1599" w:firstLine="326"/>
        <w:spacing w:after="0" w:line="258" w:lineRule="auto"/>
        <w:rPr>
          <w:sz w:val="20"/>
          <w:szCs w:val="20"/>
          <w:color w:val="auto"/>
        </w:rPr>
      </w:pPr>
      <w:r>
        <w:rPr>
          <w:rFonts w:ascii="Arial" w:cs="Arial" w:eastAsia="Arial" w:hAnsi="Arial"/>
          <w:sz w:val="16"/>
          <w:szCs w:val="16"/>
          <w:color w:val="auto"/>
        </w:rPr>
        <w:t>To best align the incentives of Operating Partners with our stockholders, each Operating Partner will invest in our sponsor and be eligible to share in a portion of the appreciation in founder shares and private placement warrants, provided that we successfully complete a business combination. The Operating Partner that takes on a substantial senior executive or operating role at the acquired company, on a post-business combination basis, will acquire additional founder shares from M. Klein and Company and will have a vesting schedule that is highly aligned with stockholder interests by requiring value creation for stockholders. Operating Partners will not receive any cash compensation from us prior to a business combination. We believe that the combination of our management team, M. Klein and Company and its Operating Partners and our board of directors is an innovative approach to identifying potential high quality business combination targets and aligns incentives with our stockholders, providing us with distinctive and differentiated capabilities to create stockholder value.</w:t>
      </w:r>
    </w:p>
    <w:p>
      <w:pPr>
        <w:spacing w:after="0" w:line="75" w:lineRule="exact"/>
        <w:rPr>
          <w:sz w:val="20"/>
          <w:szCs w:val="20"/>
          <w:color w:val="auto"/>
        </w:rPr>
      </w:pPr>
    </w:p>
    <w:p>
      <w:pPr>
        <w:ind w:left="1160" w:right="1779" w:firstLine="326"/>
        <w:spacing w:after="0" w:line="280" w:lineRule="auto"/>
        <w:rPr>
          <w:sz w:val="20"/>
          <w:szCs w:val="20"/>
          <w:color w:val="auto"/>
        </w:rPr>
      </w:pPr>
      <w:r>
        <w:rPr>
          <w:rFonts w:ascii="Arial" w:cs="Arial" w:eastAsia="Arial" w:hAnsi="Arial"/>
          <w:sz w:val="15"/>
          <w:szCs w:val="15"/>
          <w:color w:val="auto"/>
        </w:rPr>
        <w:t>With respect to the foregoing experiences of our management, M. Klein and Company, and our Strategic and Operating Partners, past performance is not a guarantee (i) that we will be able to identify a suitable candidate for our initial business combination or (ii) of success with respect to any business combination we may consummate. You should not rely on the historical record of our management’s, M. Klein and Company’s or our Strategic Operating Partners’ performance as indicative of our future performance. For more information on the experience and background of our management team and the Operating Partners, see the sections entitled “Management” and “Proposed Business.”</w:t>
      </w:r>
    </w:p>
    <w:p>
      <w:pPr>
        <w:spacing w:after="0" w:line="141"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Business Strategy</w:t>
      </w:r>
    </w:p>
    <w:p>
      <w:pPr>
        <w:spacing w:after="0" w:line="101"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Our strategy is to:</w:t>
      </w:r>
    </w:p>
    <w:p>
      <w:pPr>
        <w:spacing w:after="0" w:line="122" w:lineRule="exact"/>
        <w:rPr>
          <w:sz w:val="20"/>
          <w:szCs w:val="20"/>
          <w:color w:val="auto"/>
        </w:rPr>
      </w:pPr>
    </w:p>
    <w:p>
      <w:pPr>
        <w:ind w:left="1800" w:right="1679" w:hanging="319"/>
        <w:spacing w:after="0" w:line="285" w:lineRule="auto"/>
        <w:tabs>
          <w:tab w:leader="none" w:pos="1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leverage the strategic and transactional experience of our founder to bring advice and attention to potential business combination targets;</w:t>
      </w:r>
    </w:p>
    <w:p>
      <w:pPr>
        <w:spacing w:after="0" w:line="64" w:lineRule="exact"/>
        <w:rPr>
          <w:rFonts w:ascii="Arial" w:cs="Arial" w:eastAsia="Arial" w:hAnsi="Arial"/>
          <w:sz w:val="16"/>
          <w:szCs w:val="16"/>
          <w:color w:val="auto"/>
        </w:rPr>
      </w:pPr>
    </w:p>
    <w:p>
      <w:pPr>
        <w:ind w:left="1800" w:hanging="319"/>
        <w:spacing w:after="0"/>
        <w:tabs>
          <w:tab w:leader="none" w:pos="1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deliver creative approaches to transaction sourcing; and</w:t>
      </w:r>
    </w:p>
    <w:p>
      <w:pPr>
        <w:spacing w:after="0" w:line="121" w:lineRule="exact"/>
        <w:rPr>
          <w:rFonts w:ascii="Arial" w:cs="Arial" w:eastAsia="Arial" w:hAnsi="Arial"/>
          <w:sz w:val="16"/>
          <w:szCs w:val="16"/>
          <w:color w:val="auto"/>
        </w:rPr>
      </w:pPr>
    </w:p>
    <w:p>
      <w:pPr>
        <w:ind w:left="1800" w:right="1759" w:hanging="319"/>
        <w:spacing w:after="0" w:line="285" w:lineRule="auto"/>
        <w:tabs>
          <w:tab w:leader="none" w:pos="1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utilize an understanding of global financial markets and events, financing, and overall corporate strategy options.</w:t>
      </w:r>
    </w:p>
    <w:p>
      <w:pPr>
        <w:spacing w:after="0" w:line="52" w:lineRule="exact"/>
        <w:rPr>
          <w:sz w:val="20"/>
          <w:szCs w:val="20"/>
          <w:color w:val="auto"/>
        </w:rPr>
      </w:pPr>
    </w:p>
    <w:p>
      <w:pPr>
        <w:ind w:left="1160" w:right="1599" w:firstLine="326"/>
        <w:spacing w:after="0" w:line="277" w:lineRule="auto"/>
        <w:rPr>
          <w:sz w:val="20"/>
          <w:szCs w:val="20"/>
          <w:color w:val="auto"/>
        </w:rPr>
      </w:pPr>
      <w:r>
        <w:rPr>
          <w:rFonts w:ascii="Arial" w:cs="Arial" w:eastAsia="Arial" w:hAnsi="Arial"/>
          <w:sz w:val="15"/>
          <w:szCs w:val="15"/>
          <w:color w:val="auto"/>
        </w:rPr>
        <w:t>Our selection process will leverage our founder’s and our Strategic and Operating Partners’ network of industry, private equity sponsor, credit fund sponsor and lending community relationships as well as relationships with management teams of public and private companies, investment bankers, restructuring advisers, attorneys and accountants, which we believe should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 Upon completion of this offering, members of our management team, M. Klein and Company, our Strategic and Operating Partners will communicate with their network of relationships to articulate our initial business combination criteria, including the parameters of our search for a target business, and will begin the disciplined process of pursuing and reviewing promising leads.</w:t>
      </w:r>
    </w:p>
    <w:p>
      <w:pPr>
        <w:spacing w:after="0" w:line="61"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Our management team and M. Klein and Company have experience in:</w:t>
      </w:r>
    </w:p>
    <w:p>
      <w:pPr>
        <w:spacing w:after="0" w:line="122" w:lineRule="exact"/>
        <w:rPr>
          <w:sz w:val="20"/>
          <w:szCs w:val="20"/>
          <w:color w:val="auto"/>
        </w:rPr>
      </w:pPr>
    </w:p>
    <w:p>
      <w:pPr>
        <w:ind w:left="1800" w:hanging="319"/>
        <w:spacing w:after="0"/>
        <w:tabs>
          <w:tab w:leader="none" w:pos="1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sourcing, structuring, acquiring and selling businesses;</w:t>
      </w:r>
    </w:p>
    <w:p>
      <w:pPr>
        <w:spacing w:after="0" w:line="121" w:lineRule="exact"/>
        <w:rPr>
          <w:rFonts w:ascii="Arial" w:cs="Arial" w:eastAsia="Arial" w:hAnsi="Arial"/>
          <w:sz w:val="16"/>
          <w:szCs w:val="16"/>
          <w:color w:val="auto"/>
        </w:rPr>
      </w:pPr>
    </w:p>
    <w:p>
      <w:pPr>
        <w:ind w:left="1800" w:hanging="319"/>
        <w:spacing w:after="0"/>
        <w:tabs>
          <w:tab w:leader="none" w:pos="1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fostering relationships with sellers, capital providers and target management teams;</w:t>
      </w:r>
    </w:p>
    <w:p>
      <w:pPr>
        <w:spacing w:after="0" w:line="121" w:lineRule="exact"/>
        <w:rPr>
          <w:rFonts w:ascii="Arial" w:cs="Arial" w:eastAsia="Arial" w:hAnsi="Arial"/>
          <w:sz w:val="16"/>
          <w:szCs w:val="16"/>
          <w:color w:val="auto"/>
        </w:rPr>
      </w:pPr>
    </w:p>
    <w:p>
      <w:pPr>
        <w:ind w:left="1800" w:hanging="319"/>
        <w:spacing w:after="0"/>
        <w:tabs>
          <w:tab w:leader="none" w:pos="1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negotiating transactions favorable to investors;</w:t>
      </w:r>
    </w:p>
    <w:p>
      <w:pPr>
        <w:spacing w:after="0" w:line="121" w:lineRule="exact"/>
        <w:rPr>
          <w:rFonts w:ascii="Arial" w:cs="Arial" w:eastAsia="Arial" w:hAnsi="Arial"/>
          <w:sz w:val="16"/>
          <w:szCs w:val="16"/>
          <w:color w:val="auto"/>
        </w:rPr>
      </w:pPr>
    </w:p>
    <w:p>
      <w:pPr>
        <w:ind w:left="1800" w:right="1719" w:hanging="319"/>
        <w:spacing w:after="0" w:line="285" w:lineRule="auto"/>
        <w:tabs>
          <w:tab w:leader="none" w:pos="1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executing transactions in multiple geographies and under varying economic and financial market conditions; and</w:t>
      </w:r>
    </w:p>
    <w:p>
      <w:pPr>
        <w:spacing w:after="0" w:line="64" w:lineRule="exact"/>
        <w:rPr>
          <w:rFonts w:ascii="Arial" w:cs="Arial" w:eastAsia="Arial" w:hAnsi="Arial"/>
          <w:sz w:val="16"/>
          <w:szCs w:val="16"/>
          <w:color w:val="auto"/>
        </w:rPr>
      </w:pPr>
    </w:p>
    <w:p>
      <w:pPr>
        <w:ind w:left="1800" w:right="1679" w:hanging="319"/>
        <w:spacing w:after="0" w:line="285" w:lineRule="auto"/>
        <w:tabs>
          <w:tab w:leader="none" w:pos="1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accessing the capital markets, including financing businesses and helping companies transition to public ownership.</w:t>
      </w:r>
    </w:p>
    <w:p>
      <w:pPr>
        <w:spacing w:after="0" w:line="200" w:lineRule="exact"/>
        <w:rPr>
          <w:sz w:val="20"/>
          <w:szCs w:val="20"/>
          <w:color w:val="auto"/>
        </w:rPr>
      </w:pPr>
    </w:p>
    <w:p>
      <w:pPr>
        <w:spacing w:after="0" w:line="207"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 w:name="page8"/>
    <w:bookmarkEnd w:id="7"/>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140970</wp:posOffset>
            </wp:positionV>
            <wp:extent cx="5053330" cy="73132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53330" cy="731329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M. Klein and Company’s Operating Partners have experience in:</w:t>
      </w:r>
    </w:p>
    <w:p>
      <w:pPr>
        <w:spacing w:after="0" w:line="110" w:lineRule="exact"/>
        <w:rPr>
          <w:sz w:val="20"/>
          <w:szCs w:val="20"/>
          <w:color w:val="auto"/>
        </w:rPr>
      </w:pPr>
    </w:p>
    <w:p>
      <w:pPr>
        <w:ind w:left="1800" w:right="1759" w:hanging="319"/>
        <w:spacing w:after="0" w:line="285" w:lineRule="auto"/>
        <w:tabs>
          <w:tab w:leader="none" w:pos="1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operating companies, setting and changing strategies, and identifying, monitoring and recruiting world-class talent;</w:t>
      </w:r>
    </w:p>
    <w:p>
      <w:pPr>
        <w:spacing w:after="0" w:line="52" w:lineRule="exact"/>
        <w:rPr>
          <w:rFonts w:ascii="Arial" w:cs="Arial" w:eastAsia="Arial" w:hAnsi="Arial"/>
          <w:sz w:val="16"/>
          <w:szCs w:val="16"/>
          <w:color w:val="auto"/>
        </w:rPr>
      </w:pPr>
    </w:p>
    <w:p>
      <w:pPr>
        <w:ind w:left="1800" w:hanging="319"/>
        <w:spacing w:after="0"/>
        <w:tabs>
          <w:tab w:leader="none" w:pos="1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acquiring and integrating companies; and</w:t>
      </w:r>
    </w:p>
    <w:p>
      <w:pPr>
        <w:spacing w:after="0" w:line="109" w:lineRule="exact"/>
        <w:rPr>
          <w:rFonts w:ascii="Arial" w:cs="Arial" w:eastAsia="Arial" w:hAnsi="Arial"/>
          <w:sz w:val="16"/>
          <w:szCs w:val="16"/>
          <w:color w:val="auto"/>
        </w:rPr>
      </w:pPr>
    </w:p>
    <w:p>
      <w:pPr>
        <w:jc w:val="both"/>
        <w:ind w:left="1800" w:right="2019" w:hanging="319"/>
        <w:spacing w:after="0" w:line="270" w:lineRule="auto"/>
        <w:tabs>
          <w:tab w:leader="none" w:pos="1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developing and growing companies, both organically and through acquisitions and strategic transactions and expanding the product range and geographic footprint of a number of target businesses.</w:t>
      </w:r>
    </w:p>
    <w:p>
      <w:pPr>
        <w:spacing w:after="0" w:line="146"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auto"/>
        </w:rPr>
        <w:t>Competitive Strengths</w:t>
      </w:r>
    </w:p>
    <w:p>
      <w:pPr>
        <w:spacing w:after="0" w:line="101" w:lineRule="exact"/>
        <w:rPr>
          <w:sz w:val="20"/>
          <w:szCs w:val="20"/>
          <w:color w:val="auto"/>
        </w:rPr>
      </w:pPr>
    </w:p>
    <w:p>
      <w:pPr>
        <w:ind w:left="1160" w:right="1599" w:firstLine="326"/>
        <w:spacing w:after="0" w:line="261" w:lineRule="auto"/>
        <w:rPr>
          <w:sz w:val="20"/>
          <w:szCs w:val="20"/>
          <w:color w:val="auto"/>
        </w:rPr>
      </w:pPr>
      <w:r>
        <w:rPr>
          <w:rFonts w:ascii="Arial" w:cs="Arial" w:eastAsia="Arial" w:hAnsi="Arial"/>
          <w:sz w:val="16"/>
          <w:szCs w:val="16"/>
          <w:color w:val="auto"/>
        </w:rPr>
        <w:t>The sourcing, valuation, diligence and execution capabilities of our management team, M. Klein and Company and our Strategic and Operating Partners will provide us with a significant pipeline of opportunities from which to evaluate and select a business that will benefit from our expertise. We may also have the benefit of using M. Klein and Company, or another affiliate of our sponsor, as our lead financial advisor on our business combinations and other transactions. Our competitive strengths include the following:</w:t>
      </w:r>
    </w:p>
    <w:p>
      <w:pPr>
        <w:spacing w:after="0" w:line="71" w:lineRule="exact"/>
        <w:rPr>
          <w:sz w:val="20"/>
          <w:szCs w:val="20"/>
          <w:color w:val="auto"/>
        </w:rPr>
      </w:pPr>
    </w:p>
    <w:p>
      <w:pPr>
        <w:ind w:left="1800" w:right="1619" w:hanging="319"/>
        <w:spacing w:after="0" w:line="265" w:lineRule="auto"/>
        <w:tabs>
          <w:tab w:leader="none" w:pos="18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Deep Experience of Operating Partners. </w:t>
      </w:r>
      <w:r>
        <w:rPr>
          <w:rFonts w:ascii="Arial" w:cs="Arial" w:eastAsia="Arial" w:hAnsi="Arial"/>
          <w:sz w:val="16"/>
          <w:szCs w:val="16"/>
          <w:color w:val="auto"/>
        </w:rPr>
        <w:t>We believe that our ability to leverage the experience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Operating Partners, who comprise former senior operating executives of S&amp;P 500 companies across multiple sectors and industries, will provide us a distinct advantage in being able to source, evaluate and consummate an attractive transaction.</w:t>
      </w:r>
    </w:p>
    <w:p>
      <w:pPr>
        <w:spacing w:after="0" w:line="68" w:lineRule="exact"/>
        <w:rPr>
          <w:rFonts w:ascii="Arial" w:cs="Arial" w:eastAsia="Arial" w:hAnsi="Arial"/>
          <w:sz w:val="16"/>
          <w:szCs w:val="16"/>
          <w:color w:val="auto"/>
        </w:rPr>
      </w:pPr>
    </w:p>
    <w:p>
      <w:pPr>
        <w:ind w:left="1800" w:right="1599" w:hanging="319"/>
        <w:spacing w:after="0" w:line="260" w:lineRule="auto"/>
        <w:tabs>
          <w:tab w:leader="none" w:pos="18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Proprietary Sourcing Channels and Leading Industry Relationships. </w:t>
      </w:r>
      <w:r>
        <w:rPr>
          <w:rFonts w:ascii="Arial" w:cs="Arial" w:eastAsia="Arial" w:hAnsi="Arial"/>
          <w:sz w:val="16"/>
          <w:szCs w:val="16"/>
          <w:color w:val="auto"/>
        </w:rPr>
        <w:t>We believe the capabilities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connections associated with our management team, in combination with those of M. Klein and Company and our Strategic and Operating Partners, will provide us with a differentiated pipeline of acquisition opportunities that would be difficult for other participants in the market to replicate. We expect these sourcing capabilities will be further bolstered by our management team’s, M. Klein and Company’s and our Strategic and Operating Partners’ reputation and deep industry relationships.</w:t>
      </w:r>
    </w:p>
    <w:p>
      <w:pPr>
        <w:spacing w:after="0" w:line="72" w:lineRule="exact"/>
        <w:rPr>
          <w:rFonts w:ascii="Arial" w:cs="Arial" w:eastAsia="Arial" w:hAnsi="Arial"/>
          <w:sz w:val="16"/>
          <w:szCs w:val="16"/>
          <w:color w:val="auto"/>
        </w:rPr>
      </w:pPr>
    </w:p>
    <w:p>
      <w:pPr>
        <w:ind w:left="1800" w:right="1619" w:hanging="319"/>
        <w:spacing w:after="0" w:line="270" w:lineRule="auto"/>
        <w:tabs>
          <w:tab w:leader="none" w:pos="18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Investing Experience. </w:t>
      </w:r>
      <w:r>
        <w:rPr>
          <w:rFonts w:ascii="Arial" w:cs="Arial" w:eastAsia="Arial" w:hAnsi="Arial"/>
          <w:sz w:val="16"/>
          <w:szCs w:val="16"/>
          <w:color w:val="auto"/>
        </w:rPr>
        <w:t>We believe that our management’s track record of identifying and sourcing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transactions positions us well to appropriately evaluate potential business combinations and select one that will be well received by the public markets.</w:t>
      </w:r>
    </w:p>
    <w:p>
      <w:pPr>
        <w:spacing w:after="0" w:line="76" w:lineRule="exact"/>
        <w:rPr>
          <w:rFonts w:ascii="Arial" w:cs="Arial" w:eastAsia="Arial" w:hAnsi="Arial"/>
          <w:sz w:val="16"/>
          <w:szCs w:val="16"/>
          <w:color w:val="auto"/>
        </w:rPr>
      </w:pPr>
    </w:p>
    <w:p>
      <w:pPr>
        <w:ind w:left="1800" w:right="1559" w:hanging="319"/>
        <w:spacing w:after="0" w:line="259" w:lineRule="auto"/>
        <w:tabs>
          <w:tab w:leader="none" w:pos="18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Execution and Structuring Capability. </w:t>
      </w:r>
      <w:r>
        <w:rPr>
          <w:rFonts w:ascii="Arial" w:cs="Arial" w:eastAsia="Arial" w:hAnsi="Arial"/>
          <w:sz w:val="16"/>
          <w:szCs w:val="16"/>
          <w:color w:val="auto"/>
        </w:rPr>
        <w:t>Our management team and sponsor believe that our and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Strategic Partners’ combined expertise and reputation will allow us to source and complete transactions possessing structural attributes that create an attractive investment thesis. These types of transactions are typically complex and require creativity, industry knowledge and expertise, rigorous due diligence, and extensive negotiations and documentation. We believe that by focusing our investment activities on these types of transactions, we are able to generate investment opportunities that have attractive risk/reward profiles based on their valuations and structural characteristics.</w:t>
      </w:r>
    </w:p>
    <w:p>
      <w:pPr>
        <w:spacing w:after="0" w:line="157"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auto"/>
        </w:rPr>
        <w:t>Investment Criteria</w:t>
      </w:r>
    </w:p>
    <w:p>
      <w:pPr>
        <w:spacing w:after="0" w:line="101" w:lineRule="exact"/>
        <w:rPr>
          <w:sz w:val="20"/>
          <w:szCs w:val="20"/>
          <w:color w:val="auto"/>
        </w:rPr>
      </w:pPr>
    </w:p>
    <w:p>
      <w:pPr>
        <w:ind w:left="1160" w:right="1979" w:firstLine="326"/>
        <w:spacing w:after="0" w:line="285" w:lineRule="auto"/>
        <w:rPr>
          <w:sz w:val="20"/>
          <w:szCs w:val="20"/>
          <w:color w:val="auto"/>
        </w:rPr>
      </w:pPr>
      <w:r>
        <w:rPr>
          <w:rFonts w:ascii="Arial" w:cs="Arial" w:eastAsia="Arial" w:hAnsi="Arial"/>
          <w:sz w:val="16"/>
          <w:szCs w:val="16"/>
          <w:color w:val="auto"/>
        </w:rPr>
        <w:t>We have developed the following high level, non-exclusive investment criteria that we will use to screen for and evaluate target businesses. We will seek to acquire a business that:</w:t>
      </w:r>
    </w:p>
    <w:p>
      <w:pPr>
        <w:spacing w:after="0" w:line="52" w:lineRule="exact"/>
        <w:rPr>
          <w:sz w:val="20"/>
          <w:szCs w:val="20"/>
          <w:color w:val="auto"/>
        </w:rPr>
      </w:pPr>
    </w:p>
    <w:p>
      <w:pPr>
        <w:ind w:left="1800" w:right="2119" w:hanging="319"/>
        <w:spacing w:after="0" w:line="320" w:lineRule="auto"/>
        <w:tabs>
          <w:tab w:leader="none" w:pos="180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Generates Stable Free Cash-Flow. </w:t>
      </w:r>
      <w:r>
        <w:rPr>
          <w:rFonts w:ascii="Arial" w:cs="Arial" w:eastAsia="Arial" w:hAnsi="Arial"/>
          <w:sz w:val="15"/>
          <w:szCs w:val="15"/>
          <w:color w:val="auto"/>
        </w:rPr>
        <w:t>We will seek to acquire a business that has historically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generated, or has the near-term potential to generate, strong and sustainable free cash flow.</w:t>
      </w:r>
    </w:p>
    <w:p>
      <w:pPr>
        <w:spacing w:after="0" w:line="29" w:lineRule="exact"/>
        <w:rPr>
          <w:rFonts w:ascii="Arial" w:cs="Arial" w:eastAsia="Arial" w:hAnsi="Arial"/>
          <w:sz w:val="15"/>
          <w:szCs w:val="15"/>
          <w:color w:val="auto"/>
        </w:rPr>
      </w:pPr>
    </w:p>
    <w:p>
      <w:pPr>
        <w:ind w:left="1800" w:right="1779" w:hanging="319"/>
        <w:spacing w:after="0" w:line="270" w:lineRule="auto"/>
        <w:tabs>
          <w:tab w:leader="none" w:pos="18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Would Benefit Uniquely from our Capabilities. </w:t>
      </w:r>
      <w:r>
        <w:rPr>
          <w:rFonts w:ascii="Arial" w:cs="Arial" w:eastAsia="Arial" w:hAnsi="Arial"/>
          <w:sz w:val="16"/>
          <w:szCs w:val="16"/>
          <w:color w:val="auto"/>
        </w:rPr>
        <w:t>We will seek to acquire a business where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collective capabilities of our management and sponsor can be leveraged to tangibly improve the operations and market position of the target.</w:t>
      </w:r>
    </w:p>
    <w:p>
      <w:pPr>
        <w:spacing w:after="0" w:line="63" w:lineRule="exact"/>
        <w:rPr>
          <w:rFonts w:ascii="Arial" w:cs="Arial" w:eastAsia="Arial" w:hAnsi="Arial"/>
          <w:sz w:val="16"/>
          <w:szCs w:val="16"/>
          <w:color w:val="auto"/>
        </w:rPr>
      </w:pPr>
    </w:p>
    <w:p>
      <w:pPr>
        <w:ind w:left="1800" w:right="1639" w:hanging="319"/>
        <w:spacing w:after="0" w:line="270" w:lineRule="auto"/>
        <w:tabs>
          <w:tab w:leader="none" w:pos="18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Is Sourced Through our Proprietary Channels. </w:t>
      </w:r>
      <w:r>
        <w:rPr>
          <w:rFonts w:ascii="Arial" w:cs="Arial" w:eastAsia="Arial" w:hAnsi="Arial"/>
          <w:sz w:val="16"/>
          <w:szCs w:val="16"/>
          <w:color w:val="auto"/>
        </w:rPr>
        <w:t>We do not expect to participate in broadly marketed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processes, but rather will aim to leverage our extensive network to source our business combination.</w:t>
      </w:r>
    </w:p>
    <w:p>
      <w:pPr>
        <w:spacing w:after="0" w:line="200" w:lineRule="exact"/>
        <w:rPr>
          <w:sz w:val="20"/>
          <w:szCs w:val="20"/>
          <w:color w:val="auto"/>
        </w:rPr>
      </w:pPr>
    </w:p>
    <w:p>
      <w:pPr>
        <w:spacing w:after="0" w:line="231"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 w:name="page9"/>
    <w:bookmarkEnd w:id="8"/>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140970</wp:posOffset>
            </wp:positionV>
            <wp:extent cx="5053330" cy="73285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53330" cy="732853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1800" w:right="1699" w:hanging="319"/>
        <w:spacing w:after="0" w:line="262" w:lineRule="auto"/>
        <w:tabs>
          <w:tab w:leader="none" w:pos="18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Has a Committed and Capable Management Team. </w:t>
      </w:r>
      <w:r>
        <w:rPr>
          <w:rFonts w:ascii="Arial" w:cs="Arial" w:eastAsia="Arial" w:hAnsi="Arial"/>
          <w:sz w:val="16"/>
          <w:szCs w:val="16"/>
          <w:color w:val="auto"/>
        </w:rPr>
        <w:t>We will seek to acquire a business with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professional management team whose interests are aligned with those of our investors and complement the expertise of our founder. Where necessary, we may also look to complement and enhance the capabilities of the target business’s management team by recruiting additional talent through our network of contacts.</w:t>
      </w:r>
    </w:p>
    <w:p>
      <w:pPr>
        <w:spacing w:after="0" w:line="47" w:lineRule="exact"/>
        <w:rPr>
          <w:rFonts w:ascii="Arial" w:cs="Arial" w:eastAsia="Arial" w:hAnsi="Arial"/>
          <w:sz w:val="16"/>
          <w:szCs w:val="16"/>
          <w:color w:val="auto"/>
        </w:rPr>
      </w:pPr>
    </w:p>
    <w:p>
      <w:pPr>
        <w:ind w:left="1800" w:right="1919" w:hanging="319"/>
        <w:spacing w:after="0" w:line="320" w:lineRule="auto"/>
        <w:tabs>
          <w:tab w:leader="none" w:pos="1800"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Has the Potential to Grow Through Further Acquisition Opportunities. </w:t>
      </w:r>
      <w:r>
        <w:rPr>
          <w:rFonts w:ascii="Arial" w:cs="Arial" w:eastAsia="Arial" w:hAnsi="Arial"/>
          <w:sz w:val="15"/>
          <w:szCs w:val="15"/>
          <w:color w:val="auto"/>
        </w:rPr>
        <w:t>We will seek to acquire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business that has the potential to grow inorganically through additional acquisitions.</w:t>
      </w:r>
    </w:p>
    <w:p>
      <w:pPr>
        <w:spacing w:after="0" w:line="29" w:lineRule="exact"/>
        <w:rPr>
          <w:sz w:val="20"/>
          <w:szCs w:val="20"/>
          <w:color w:val="auto"/>
        </w:rPr>
      </w:pPr>
    </w:p>
    <w:p>
      <w:pPr>
        <w:ind w:left="1160" w:right="1699" w:firstLine="326"/>
        <w:spacing w:after="0" w:line="259"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guidelines as well as on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tender offer documents or proxy solicitation materials that we would file with the SEC.</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Our Acquisition Process</w:t>
      </w:r>
    </w:p>
    <w:p>
      <w:pPr>
        <w:spacing w:after="0" w:line="101" w:lineRule="exact"/>
        <w:rPr>
          <w:sz w:val="20"/>
          <w:szCs w:val="20"/>
          <w:color w:val="auto"/>
        </w:rPr>
      </w:pPr>
    </w:p>
    <w:p>
      <w:pPr>
        <w:ind w:left="1160" w:right="1959" w:firstLine="326"/>
        <w:spacing w:after="0" w:line="265" w:lineRule="auto"/>
        <w:rPr>
          <w:sz w:val="20"/>
          <w:szCs w:val="20"/>
          <w:color w:val="auto"/>
        </w:rPr>
      </w:pPr>
      <w:r>
        <w:rPr>
          <w:rFonts w:ascii="Arial" w:cs="Arial" w:eastAsia="Arial" w:hAnsi="Arial"/>
          <w:sz w:val="16"/>
          <w:szCs w:val="16"/>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w:t>
      </w:r>
    </w:p>
    <w:p>
      <w:pPr>
        <w:spacing w:after="0" w:line="68" w:lineRule="exact"/>
        <w:rPr>
          <w:sz w:val="20"/>
          <w:szCs w:val="20"/>
          <w:color w:val="auto"/>
        </w:rPr>
      </w:pPr>
    </w:p>
    <w:p>
      <w:pPr>
        <w:ind w:left="1160" w:right="1639" w:firstLine="326"/>
        <w:spacing w:after="0" w:line="260" w:lineRule="auto"/>
        <w:rPr>
          <w:sz w:val="20"/>
          <w:szCs w:val="20"/>
          <w:color w:val="auto"/>
        </w:rPr>
      </w:pPr>
      <w:r>
        <w:rPr>
          <w:rFonts w:ascii="Arial" w:cs="Arial" w:eastAsia="Arial" w:hAnsi="Arial"/>
          <w:sz w:val="16"/>
          <w:szCs w:val="16"/>
          <w:color w:val="auto"/>
        </w:rPr>
        <w:t>We are not prohibited from pursuing an initial business combination with a company that is affiliated with our sponsor, founder, officers or directors. In the event we seek to complete our initial business combination with a business that is affiliated with our sponsor, founder, officers or directors, we, or a committee of independent and disinterested directors, will obtain an opinion from an independent investment banking firm that is a member of the Financial Industry Regulatory Authority, or FINRA, or from an independent accounting firm, that such an initial business combination is fair to our company from a financial point of view.</w:t>
      </w:r>
    </w:p>
    <w:p>
      <w:pPr>
        <w:spacing w:after="0" w:line="72" w:lineRule="exact"/>
        <w:rPr>
          <w:sz w:val="20"/>
          <w:szCs w:val="20"/>
          <w:color w:val="auto"/>
        </w:rPr>
      </w:pPr>
    </w:p>
    <w:p>
      <w:pPr>
        <w:ind w:left="1160" w:right="1559" w:firstLine="326"/>
        <w:spacing w:after="0" w:line="261" w:lineRule="auto"/>
        <w:rPr>
          <w:sz w:val="20"/>
          <w:szCs w:val="20"/>
          <w:color w:val="auto"/>
        </w:rPr>
      </w:pPr>
      <w:r>
        <w:rPr>
          <w:rFonts w:ascii="Arial" w:cs="Arial" w:eastAsia="Arial" w:hAnsi="Arial"/>
          <w:sz w:val="16"/>
          <w:szCs w:val="16"/>
          <w:color w:val="auto"/>
        </w:rPr>
        <w:t>Members of our management team may directly or indirectly own our securities following this offering, and accordingly, they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71" w:lineRule="exact"/>
        <w:rPr>
          <w:sz w:val="20"/>
          <w:szCs w:val="20"/>
          <w:color w:val="auto"/>
        </w:rPr>
      </w:pPr>
    </w:p>
    <w:p>
      <w:pPr>
        <w:jc w:val="both"/>
        <w:ind w:left="1160" w:right="1559" w:firstLine="326"/>
        <w:spacing w:after="0" w:line="265" w:lineRule="auto"/>
        <w:rPr>
          <w:sz w:val="20"/>
          <w:szCs w:val="20"/>
          <w:color w:val="auto"/>
        </w:rPr>
      </w:pPr>
      <w:r>
        <w:rPr>
          <w:rFonts w:ascii="Arial" w:cs="Arial" w:eastAsia="Arial" w:hAnsi="Arial"/>
          <w:sz w:val="16"/>
          <w:szCs w:val="16"/>
          <w:color w:val="auto"/>
        </w:rPr>
        <w:t>Our sponsor and its principals may from time to time become aware of potential business opportunities, one or more of which we may desire to pursue, for a business combination, but we have not (nor has anyone on our behalf) engaged in any substantive discussions, directly or indirectly, with any business combination target with respect to a business combination transaction with us.</w:t>
      </w:r>
    </w:p>
    <w:p>
      <w:pPr>
        <w:spacing w:after="0" w:line="68" w:lineRule="exact"/>
        <w:rPr>
          <w:sz w:val="20"/>
          <w:szCs w:val="20"/>
          <w:color w:val="auto"/>
        </w:rPr>
      </w:pPr>
    </w:p>
    <w:p>
      <w:pPr>
        <w:ind w:left="1160" w:right="1599" w:firstLine="326"/>
        <w:spacing w:after="0" w:line="276" w:lineRule="auto"/>
        <w:rPr>
          <w:sz w:val="20"/>
          <w:szCs w:val="20"/>
          <w:color w:val="auto"/>
        </w:rPr>
      </w:pPr>
      <w:r>
        <w:rPr>
          <w:rFonts w:ascii="Arial" w:cs="Arial" w:eastAsia="Arial" w:hAnsi="Arial"/>
          <w:sz w:val="15"/>
          <w:szCs w:val="15"/>
          <w:color w:val="auto"/>
        </w:rPr>
        <w:t>As described in “Proposed Business — Sourcing of Potential Business Combination Targets” and “Management — Conflicts of Interest,”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354"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 w:name="page10"/>
    <w:bookmarkEnd w:id="9"/>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140970</wp:posOffset>
            </wp:positionV>
            <wp:extent cx="5053330" cy="73132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53330" cy="731329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1160" w:right="1999" w:firstLine="326"/>
        <w:spacing w:after="0" w:line="280" w:lineRule="auto"/>
        <w:rPr>
          <w:sz w:val="20"/>
          <w:szCs w:val="20"/>
          <w:color w:val="auto"/>
        </w:rPr>
      </w:pPr>
      <w:r>
        <w:rPr>
          <w:rFonts w:ascii="Arial" w:cs="Arial" w:eastAsia="Arial" w:hAnsi="Arial"/>
          <w:sz w:val="15"/>
          <w:szCs w:val="15"/>
          <w:color w:val="auto"/>
        </w:rPr>
        <w:t>In addition, none of the Strategic Partners or Operating Partners or their personnel (other than Mr. August) are officers or directors of our company and therefore owe us no fiduciary duties as such.</w:t>
      </w:r>
    </w:p>
    <w:p>
      <w:pPr>
        <w:ind w:left="1160" w:right="1599"/>
        <w:spacing w:after="0" w:line="256" w:lineRule="auto"/>
        <w:rPr>
          <w:sz w:val="20"/>
          <w:szCs w:val="20"/>
          <w:color w:val="auto"/>
        </w:rPr>
      </w:pPr>
      <w:r>
        <w:rPr>
          <w:rFonts w:ascii="Arial" w:cs="Arial" w:eastAsia="Arial" w:hAnsi="Arial"/>
          <w:sz w:val="16"/>
          <w:szCs w:val="16"/>
          <w:color w:val="auto"/>
        </w:rPr>
        <w:t>Mr. August’s fiduciary duties to us are limited to his service as one of our directors, and the Company is not a client of OHA. While we expect that they will assist us in identifying business combination targets, they have no obligation to do so and may devote a substantial portion of their business time to activities unrelated to us. Our Strategic and Operating Partner may have fiduciary, contractual or other obligations or duties to other organizations to present business combination opportunities to such other organizations rather than to us. Accordingly, if any Strategic or Operating Partner becomes aware of a business combination opportunity which is suitable for one or more entities to which he, she or it has fiduciary, contractual or other obligations or duties, he, she or it will honor those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business may be presented to another entity prior to its presentation to us.</w:t>
      </w:r>
    </w:p>
    <w:p>
      <w:pPr>
        <w:spacing w:after="0" w:line="80" w:lineRule="exact"/>
        <w:rPr>
          <w:sz w:val="20"/>
          <w:szCs w:val="20"/>
          <w:color w:val="auto"/>
        </w:rPr>
      </w:pPr>
    </w:p>
    <w:p>
      <w:pPr>
        <w:ind w:left="1160" w:right="1579" w:firstLine="326"/>
        <w:spacing w:after="0" w:line="258" w:lineRule="auto"/>
        <w:rPr>
          <w:sz w:val="20"/>
          <w:szCs w:val="20"/>
          <w:color w:val="auto"/>
        </w:rPr>
      </w:pPr>
      <w:r>
        <w:rPr>
          <w:rFonts w:ascii="Arial" w:cs="Arial" w:eastAsia="Arial" w:hAnsi="Arial"/>
          <w:sz w:val="16"/>
          <w:szCs w:val="16"/>
          <w:color w:val="auto"/>
        </w:rPr>
        <w:t>While neither M. Klein and Company nor any of our Strategic and Operating Partners will have any duty to offer acquisition opportunities to us, they may become aware of a potential transaction that is an attractive opportunity for us, which they may decide to share with us. Conflicts may arise from their affiliation with our company, their provision of services both to us and to third-party clients, as well as from actions undertaken by them for their own account. In performing services for other clients and also when acting for their own account, they may take commercial steps which may have an adverse effect on us. Any of M. Klein and Company’s or our Strategic and Operating Partners’ other activities may, individually or in the aggregate, have an adverse effect on us, and the interests of M. Klein and Company and our Strategic and Operating Partners or their respective clients or counterparties may at times be averse to ours. Please see “Proposed Business — Certain Potential Conflicts of Interest Relating to M. Klein and Company” for additional information regarding certain potential conflicts of interest relating to M. Klein and Company and our Strategic and Operating Partners.</w:t>
      </w:r>
    </w:p>
    <w:p>
      <w:pPr>
        <w:spacing w:after="0" w:line="73" w:lineRule="exact"/>
        <w:rPr>
          <w:sz w:val="20"/>
          <w:szCs w:val="20"/>
          <w:color w:val="auto"/>
        </w:rPr>
      </w:pPr>
    </w:p>
    <w:p>
      <w:pPr>
        <w:ind w:left="1160" w:right="1579" w:firstLine="326"/>
        <w:spacing w:after="0" w:line="265" w:lineRule="auto"/>
        <w:rPr>
          <w:sz w:val="20"/>
          <w:szCs w:val="20"/>
          <w:color w:val="auto"/>
        </w:rPr>
      </w:pPr>
      <w:r>
        <w:rPr>
          <w:rFonts w:ascii="Arial" w:cs="Arial" w:eastAsia="Arial" w:hAnsi="Arial"/>
          <w:sz w:val="16"/>
          <w:szCs w:val="16"/>
          <w:color w:val="auto"/>
        </w:rPr>
        <w:t>We do not believe, however, that the fiduciary, contractual or other obligations or duties of our officers or directors, or of M. Klein and Company and our Strategic and Operating Partners, or policies applicable to M. Klein and Company or any of our Strategic and Operating, will materially affect our ability to complete our initial business combination.</w:t>
      </w:r>
    </w:p>
    <w:p>
      <w:pPr>
        <w:spacing w:after="0" w:line="68" w:lineRule="exact"/>
        <w:rPr>
          <w:sz w:val="20"/>
          <w:szCs w:val="20"/>
          <w:color w:val="auto"/>
        </w:rPr>
      </w:pPr>
    </w:p>
    <w:p>
      <w:pPr>
        <w:ind w:left="1160" w:right="1579" w:firstLine="326"/>
        <w:spacing w:after="0" w:line="276" w:lineRule="auto"/>
        <w:rPr>
          <w:sz w:val="20"/>
          <w:szCs w:val="20"/>
          <w:color w:val="auto"/>
        </w:rPr>
      </w:pPr>
      <w:r>
        <w:rPr>
          <w:rFonts w:ascii="Arial" w:cs="Arial" w:eastAsia="Arial" w:hAnsi="Arial"/>
          <w:sz w:val="15"/>
          <w:szCs w:val="15"/>
          <w:color w:val="auto"/>
        </w:rPr>
        <w:t>Our sponsor, officers, directors, M. Klein and Company and our Strategic and Operating Partners may participate in the formation of, or become an officer or director of, any other blank check company prior to completion of our initial business combination. As a result, our sponsor, officers, directors, M. Klein and Company and our Strategic and Operating Partners could have conflicts of interest in determining whether to present business combination opportunities to us or to any other blank check company with which they may become involved. In particular, M. Klein and Company, Mr. Klein and the Operating Partners, as well as our board of directors, have formed and are actively engaged in Churchill Capital Corp II and Churchill Capital Corp III, special purpose acquisition corporations that completed their initial public offerings in July 2019 and February 2020, respectively. Churchill Capital Corp II and Churchill Capital Corp III, like us, may pursue initial business combination targets in any businesses or industries and have until July 1, 2021 and February 19, 2022, respectively, to do so (absent an extension in accordance with their charters). Any such companies, including Churchill Capital Corp II and Churchill Capital Corp III, may present additional conflicts of interest in pursuing an acquisition target.</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Initial Business Combination</w:t>
      </w:r>
    </w:p>
    <w:p>
      <w:pPr>
        <w:spacing w:after="0" w:line="101" w:lineRule="exact"/>
        <w:rPr>
          <w:sz w:val="20"/>
          <w:szCs w:val="20"/>
          <w:color w:val="auto"/>
        </w:rPr>
      </w:pPr>
    </w:p>
    <w:p>
      <w:pPr>
        <w:ind w:left="1160" w:right="1579" w:firstLine="326"/>
        <w:spacing w:after="0" w:line="281" w:lineRule="auto"/>
        <w:rPr>
          <w:sz w:val="20"/>
          <w:szCs w:val="20"/>
          <w:color w:val="auto"/>
        </w:rPr>
      </w:pPr>
      <w:r>
        <w:rPr>
          <w:rFonts w:ascii="Arial" w:cs="Arial" w:eastAsia="Arial" w:hAnsi="Arial"/>
          <w:sz w:val="15"/>
          <w:szCs w:val="15"/>
          <w:color w:val="auto"/>
        </w:rPr>
        <w:t>The NYSE rules require that an initial business combination must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 We refer to this as the 80% of net assets test. If our board of directors is not able to independently determine the fair market value of the target business or businesses, we will obtain an opinion from an independent investment banking firm that is a member of FINRA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 w:name="page11"/>
    <w:bookmarkEnd w:id="10"/>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140970</wp:posOffset>
            </wp:positionV>
            <wp:extent cx="5053330" cy="73132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53330" cy="731329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1160" w:right="1759"/>
        <w:spacing w:after="0" w:line="270" w:lineRule="auto"/>
        <w:rPr>
          <w:sz w:val="20"/>
          <w:szCs w:val="20"/>
          <w:color w:val="auto"/>
        </w:rPr>
      </w:pPr>
      <w:r>
        <w:rPr>
          <w:rFonts w:ascii="Arial" w:cs="Arial" w:eastAsia="Arial" w:hAnsi="Arial"/>
          <w:sz w:val="16"/>
          <w:szCs w:val="16"/>
          <w:color w:val="auto"/>
        </w:rPr>
        <w:t>from an independent accounting firm, with respect to the satisfaction of such criteria. We do not currently intend to purchase multiple businesses in unrelated industries in conjunction with our initial business combination, although there is no assurance that will be the case.</w:t>
      </w:r>
    </w:p>
    <w:p>
      <w:pPr>
        <w:spacing w:after="0" w:line="64" w:lineRule="exact"/>
        <w:rPr>
          <w:sz w:val="20"/>
          <w:szCs w:val="20"/>
          <w:color w:val="auto"/>
        </w:rPr>
      </w:pPr>
    </w:p>
    <w:p>
      <w:pPr>
        <w:ind w:left="1160" w:right="1559" w:firstLine="326"/>
        <w:spacing w:after="0" w:line="274" w:lineRule="auto"/>
        <w:rPr>
          <w:sz w:val="20"/>
          <w:szCs w:val="20"/>
          <w:color w:val="auto"/>
        </w:rPr>
      </w:pPr>
      <w:r>
        <w:rPr>
          <w:rFonts w:ascii="Arial" w:cs="Arial" w:eastAsia="Arial" w:hAnsi="Arial"/>
          <w:sz w:val="15"/>
          <w:szCs w:val="15"/>
          <w:color w:val="auto"/>
        </w:rPr>
        <w:t>We anticipate structuring our initial business combination so that the post-transaction company in which our public stockholders own shares will own or acquire 100% of the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 of 1940, as amended (the “Investment Company Act”). Even if the post-transaction company owns or acquires 50% or more of the voting securities of the target, our stockholders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net assets test. If our initial business combination involves more than one target business, the 80% of net assets test will be based on the aggregate value of all of the target businesses.</w:t>
      </w:r>
    </w:p>
    <w:p>
      <w:pPr>
        <w:spacing w:after="0" w:line="72" w:lineRule="exact"/>
        <w:rPr>
          <w:sz w:val="20"/>
          <w:szCs w:val="20"/>
          <w:color w:val="auto"/>
        </w:rPr>
      </w:pPr>
    </w:p>
    <w:p>
      <w:pPr>
        <w:ind w:left="1160" w:right="1639" w:firstLine="326"/>
        <w:spacing w:after="0" w:line="265" w:lineRule="auto"/>
        <w:rPr>
          <w:sz w:val="20"/>
          <w:szCs w:val="20"/>
          <w:color w:val="auto"/>
        </w:rPr>
      </w:pPr>
      <w:r>
        <w:rPr>
          <w:rFonts w:ascii="Arial" w:cs="Arial" w:eastAsia="Arial" w:hAnsi="Arial"/>
          <w:sz w:val="16"/>
          <w:szCs w:val="16"/>
          <w:color w:val="auto"/>
        </w:rPr>
        <w:t>Our amended and restated certificate of incorporation will require the affirmative vote of a majority of our board of directors, which must include a majority of our independent directors, to approve our initial business combination (or such other vote as the applicable law or stock exchange rules then in effect may require).</w:t>
      </w:r>
    </w:p>
    <w:p>
      <w:pPr>
        <w:spacing w:after="0" w:line="68" w:lineRule="exact"/>
        <w:rPr>
          <w:sz w:val="20"/>
          <w:szCs w:val="20"/>
          <w:color w:val="auto"/>
        </w:rPr>
      </w:pPr>
    </w:p>
    <w:p>
      <w:pPr>
        <w:ind w:left="1160" w:right="1599" w:firstLine="326"/>
        <w:spacing w:after="0" w:line="274" w:lineRule="auto"/>
        <w:rPr>
          <w:sz w:val="20"/>
          <w:szCs w:val="20"/>
          <w:color w:val="auto"/>
        </w:rPr>
      </w:pPr>
      <w:r>
        <w:rPr>
          <w:rFonts w:ascii="Arial" w:cs="Arial" w:eastAsia="Arial" w:hAnsi="Arial"/>
          <w:sz w:val="15"/>
          <w:szCs w:val="15"/>
          <w:color w:val="auto"/>
        </w:rPr>
        <w:t>We do not believe we will need to raise additional funds following this offering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completion of our initial business combination, in which case we may issue additional securities or incur debt in connection with such business combination. In addition, we intend to target businesses with enterprise values that are greater than we could acquire with the net proceeds of this offering and the sale of the private placement warrants, and, as a result, if the cash portion of the purchase price exceeds the amount available from the trust account, net of amounts needed to satisfy redemptions by public stockholders, we may be required to seek additional financing to complete such proposed initial business combination. We may also obtain financing prior to the closing of our initial business combination to fund our working capital needs and transaction costs in connection with our search for and completion of our initial business combination. There is no limitation on our ability to raise funds through the issuance of equity or equity-linked securities or through loans, advances or other indebtedness in connection with our initial business combination, including pursuant to forward purchase agreements or backstop arrangements we may enter into following the consummation of this offering. Subject to compliance with applicable securities laws, we would only complete such financing simultaneously with the completion of our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1" w:name="page12"/>
    <w:bookmarkEnd w:id="11"/>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140970</wp:posOffset>
            </wp:positionV>
            <wp:extent cx="5053330" cy="73132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53330" cy="731329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1160" w:right="1739" w:firstLine="326"/>
        <w:spacing w:after="0" w:line="262" w:lineRule="auto"/>
        <w:rPr>
          <w:sz w:val="20"/>
          <w:szCs w:val="20"/>
          <w:color w:val="auto"/>
        </w:rPr>
      </w:pPr>
      <w:r>
        <w:rPr>
          <w:rFonts w:ascii="Arial" w:cs="Arial" w:eastAsia="Arial" w:hAnsi="Arial"/>
          <w:sz w:val="16"/>
          <w:szCs w:val="16"/>
          <w:color w:val="auto"/>
        </w:rPr>
        <w:t>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Corporate Information</w:t>
      </w:r>
    </w:p>
    <w:p>
      <w:pPr>
        <w:spacing w:after="0" w:line="101" w:lineRule="exact"/>
        <w:rPr>
          <w:sz w:val="20"/>
          <w:szCs w:val="20"/>
          <w:color w:val="auto"/>
        </w:rPr>
      </w:pPr>
    </w:p>
    <w:p>
      <w:pPr>
        <w:ind w:left="1160" w:right="1639" w:firstLine="326"/>
        <w:spacing w:after="0" w:line="258" w:lineRule="auto"/>
        <w:rPr>
          <w:sz w:val="20"/>
          <w:szCs w:val="20"/>
          <w:color w:val="auto"/>
        </w:rPr>
      </w:pPr>
      <w:r>
        <w:rPr>
          <w:rFonts w:ascii="Arial" w:cs="Arial" w:eastAsia="Arial" w:hAnsi="Arial"/>
          <w:sz w:val="16"/>
          <w:szCs w:val="16"/>
          <w:color w:val="auto"/>
        </w:rPr>
        <w:t>We are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75" w:lineRule="exact"/>
        <w:rPr>
          <w:sz w:val="20"/>
          <w:szCs w:val="20"/>
          <w:color w:val="auto"/>
        </w:rPr>
      </w:pPr>
    </w:p>
    <w:p>
      <w:pPr>
        <w:ind w:left="1160" w:right="1739" w:firstLine="326"/>
        <w:spacing w:after="0" w:line="284" w:lineRule="auto"/>
        <w:rPr>
          <w:sz w:val="20"/>
          <w:szCs w:val="20"/>
          <w:color w:val="auto"/>
        </w:rPr>
      </w:pPr>
      <w:r>
        <w:rPr>
          <w:rFonts w:ascii="Arial" w:cs="Arial" w:eastAsia="Arial" w:hAnsi="Arial"/>
          <w:sz w:val="15"/>
          <w:szCs w:val="15"/>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56"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We will remain an emerging growth company until the earlier of: (1) the last day of the fiscal year</w:t>
      </w:r>
    </w:p>
    <w:p>
      <w:pPr>
        <w:spacing w:after="0" w:line="23" w:lineRule="exact"/>
        <w:rPr>
          <w:sz w:val="20"/>
          <w:szCs w:val="20"/>
          <w:color w:val="auto"/>
        </w:rPr>
      </w:pPr>
    </w:p>
    <w:p>
      <w:pPr>
        <w:ind w:left="1160" w:right="1559" w:hanging="5"/>
        <w:spacing w:after="0" w:line="272" w:lineRule="auto"/>
        <w:tabs>
          <w:tab w:leader="none" w:pos="1395" w:val="left"/>
        </w:tabs>
        <w:numPr>
          <w:ilvl w:val="0"/>
          <w:numId w:val="11"/>
        </w:numPr>
        <w:rPr>
          <w:rFonts w:ascii="Arial" w:cs="Arial" w:eastAsia="Arial" w:hAnsi="Arial"/>
          <w:sz w:val="15"/>
          <w:szCs w:val="15"/>
          <w:color w:val="auto"/>
        </w:rPr>
      </w:pPr>
      <w:r>
        <w:rPr>
          <w:rFonts w:ascii="Arial" w:cs="Arial" w:eastAsia="Arial" w:hAnsi="Arial"/>
          <w:sz w:val="15"/>
          <w:szCs w:val="15"/>
          <w:color w:val="auto"/>
        </w:rPr>
        <w:t>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end of the prior fiscal year’s second fiscal quarter; and (2) the date on which we have issued more than</w:t>
      </w:r>
    </w:p>
    <w:p>
      <w:pPr>
        <w:ind w:left="1160" w:right="1879"/>
        <w:spacing w:after="0" w:line="270" w:lineRule="auto"/>
        <w:rPr>
          <w:rFonts w:ascii="Arial" w:cs="Arial" w:eastAsia="Arial" w:hAnsi="Arial"/>
          <w:sz w:val="15"/>
          <w:szCs w:val="15"/>
          <w:color w:val="auto"/>
        </w:rPr>
      </w:pPr>
      <w:r>
        <w:rPr>
          <w:rFonts w:ascii="Arial" w:cs="Arial" w:eastAsia="Arial" w:hAnsi="Arial"/>
          <w:sz w:val="16"/>
          <w:szCs w:val="16"/>
          <w:color w:val="auto"/>
        </w:rPr>
        <w:t>$1.00 billion in non-convertible debt during the prior three-year period. References herein to “emerging growth company” shall have the meaning associated with it in the JOBS Act.</w:t>
      </w:r>
    </w:p>
    <w:p>
      <w:pPr>
        <w:spacing w:after="0" w:line="31" w:lineRule="exact"/>
        <w:rPr>
          <w:sz w:val="20"/>
          <w:szCs w:val="20"/>
          <w:color w:val="auto"/>
        </w:rPr>
      </w:pPr>
    </w:p>
    <w:p>
      <w:pPr>
        <w:ind w:left="1160" w:right="1679" w:firstLine="326"/>
        <w:spacing w:after="0" w:line="248" w:lineRule="auto"/>
        <w:rPr>
          <w:sz w:val="20"/>
          <w:szCs w:val="20"/>
          <w:color w:val="auto"/>
        </w:rPr>
      </w:pPr>
      <w:r>
        <w:rPr>
          <w:rFonts w:ascii="Arial" w:cs="Arial" w:eastAsia="Arial" w:hAnsi="Arial"/>
          <w:sz w:val="16"/>
          <w:szCs w:val="16"/>
          <w:color w:val="auto"/>
        </w:rPr>
        <w:t>Our executive offices are located at 640 Fifth Avenue, 12</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Floor, New York, NY 10019 and our telephone number is (212) 380-7500. Upon completion of this offering, our corporate website address will be https://iv.churchillcapitalcorp.com. Our website and the information contained on, or that can be accessed through, the website is not deemed to be incorporated by reference in, and is not considered part of, this prospectus. You should not rely on any such information in making your decision whether to invest in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2" w:name="page13"/>
    <w:bookmarkEnd w:id="12"/>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140970</wp:posOffset>
            </wp:positionV>
            <wp:extent cx="5053330" cy="73132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53330" cy="731329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auto"/>
        </w:rPr>
        <w:t>The Offering</w:t>
      </w:r>
    </w:p>
    <w:p>
      <w:pPr>
        <w:spacing w:after="0" w:line="101" w:lineRule="exact"/>
        <w:rPr>
          <w:sz w:val="20"/>
          <w:szCs w:val="20"/>
          <w:color w:val="auto"/>
        </w:rPr>
      </w:pPr>
    </w:p>
    <w:p>
      <w:pPr>
        <w:ind w:left="1160" w:right="1679" w:firstLine="326"/>
        <w:spacing w:after="0" w:line="261" w:lineRule="auto"/>
        <w:rPr>
          <w:sz w:val="20"/>
          <w:szCs w:val="20"/>
          <w:color w:val="auto"/>
        </w:rPr>
      </w:pPr>
      <w:r>
        <w:rPr>
          <w:rFonts w:ascii="Arial" w:cs="Arial" w:eastAsia="Arial" w:hAnsi="Arial"/>
          <w:sz w:val="16"/>
          <w:szCs w:val="16"/>
          <w:i w:val="1"/>
          <w:iCs w:val="1"/>
          <w:color w:val="auto"/>
        </w:rPr>
        <w:t>In making your decision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w:t>
      </w:r>
    </w:p>
    <w:p>
      <w:pPr>
        <w:spacing w:after="0" w:line="67" w:lineRule="exact"/>
        <w:rPr>
          <w:sz w:val="20"/>
          <w:szCs w:val="20"/>
          <w:color w:val="auto"/>
        </w:rPr>
      </w:pPr>
    </w:p>
    <w:p>
      <w:pPr>
        <w:ind w:left="1160"/>
        <w:spacing w:after="0"/>
        <w:tabs>
          <w:tab w:leader="none" w:pos="4000" w:val="left"/>
        </w:tabs>
        <w:rPr>
          <w:sz w:val="20"/>
          <w:szCs w:val="20"/>
          <w:color w:val="auto"/>
        </w:rPr>
      </w:pPr>
      <w:r>
        <w:rPr>
          <w:rFonts w:ascii="Arial" w:cs="Arial" w:eastAsia="Arial" w:hAnsi="Arial"/>
          <w:sz w:val="16"/>
          <w:szCs w:val="16"/>
          <w:b w:val="1"/>
          <w:bCs w:val="1"/>
          <w:color w:val="auto"/>
        </w:rPr>
        <w:t>Securities Offered</w:t>
      </w:r>
      <w:r>
        <w:rPr>
          <w:sz w:val="20"/>
          <w:szCs w:val="20"/>
          <w:color w:val="auto"/>
        </w:rPr>
        <w:tab/>
      </w:r>
      <w:r>
        <w:rPr>
          <w:rFonts w:ascii="Arial" w:cs="Arial" w:eastAsia="Arial" w:hAnsi="Arial"/>
          <w:sz w:val="15"/>
          <w:szCs w:val="15"/>
          <w:color w:val="auto"/>
        </w:rPr>
        <w:t>150,000,000 units (or 172,500,000 units if the underwriters’</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option to purchase additional units is exercised in full), at $10.00</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per unit, each unit consisting of:</w:t>
      </w:r>
    </w:p>
    <w:p>
      <w:pPr>
        <w:spacing w:after="0" w:line="98" w:lineRule="exact"/>
        <w:rPr>
          <w:sz w:val="20"/>
          <w:szCs w:val="20"/>
          <w:color w:val="auto"/>
        </w:rPr>
      </w:pPr>
    </w:p>
    <w:p>
      <w:pPr>
        <w:ind w:left="4360"/>
        <w:spacing w:after="0"/>
        <w:tabs>
          <w:tab w:leader="none" w:pos="46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one share of Class A common stock; and</w:t>
      </w:r>
    </w:p>
    <w:p>
      <w:pPr>
        <w:spacing w:after="0" w:line="110" w:lineRule="exact"/>
        <w:rPr>
          <w:sz w:val="20"/>
          <w:szCs w:val="20"/>
          <w:color w:val="auto"/>
        </w:rPr>
      </w:pPr>
    </w:p>
    <w:p>
      <w:pPr>
        <w:ind w:left="4360"/>
        <w:spacing w:after="0"/>
        <w:tabs>
          <w:tab w:leader="none" w:pos="46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one-fifth of one redeemable warrant to purchase one</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share of Class A common stock.</w:t>
      </w:r>
    </w:p>
    <w:p>
      <w:pPr>
        <w:sectPr>
          <w:pgSz w:w="11900" w:h="16838" w:orient="portrait"/>
          <w:cols w:equalWidth="0" w:num="1">
            <w:col w:w="10139"/>
          </w:cols>
          <w:pgMar w:left="320" w:top="132" w:right="1440" w:bottom="1440" w:gutter="0" w:footer="0" w:header="0"/>
        </w:sectPr>
      </w:pPr>
    </w:p>
    <w:p>
      <w:pPr>
        <w:spacing w:after="0" w:line="94" w:lineRule="exact"/>
        <w:rPr>
          <w:sz w:val="20"/>
          <w:szCs w:val="20"/>
          <w:color w:val="auto"/>
        </w:rPr>
      </w:pPr>
    </w:p>
    <w:p>
      <w:pPr>
        <w:jc w:val="center"/>
        <w:ind w:left="640"/>
        <w:spacing w:after="0"/>
        <w:rPr>
          <w:sz w:val="20"/>
          <w:szCs w:val="20"/>
          <w:color w:val="auto"/>
        </w:rPr>
      </w:pPr>
      <w:r>
        <w:rPr>
          <w:rFonts w:ascii="Arial" w:cs="Arial" w:eastAsia="Arial" w:hAnsi="Arial"/>
          <w:sz w:val="13"/>
          <w:szCs w:val="13"/>
          <w:b w:val="1"/>
          <w:bCs w:val="1"/>
          <w:color w:val="auto"/>
        </w:rPr>
        <w:t>Proposed NYSE symbols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320" w:hanging="162"/>
        <w:spacing w:after="0" w:line="329" w:lineRule="auto"/>
        <w:rPr>
          <w:sz w:val="20"/>
          <w:szCs w:val="20"/>
          <w:color w:val="auto"/>
        </w:rPr>
      </w:pPr>
      <w:r>
        <w:rPr>
          <w:rFonts w:ascii="Arial" w:cs="Arial" w:eastAsia="Arial" w:hAnsi="Arial"/>
          <w:sz w:val="14"/>
          <w:szCs w:val="14"/>
          <w:b w:val="1"/>
          <w:bCs w:val="1"/>
          <w:color w:val="auto"/>
        </w:rPr>
        <w:t>Trading commencement and separation of Class A common stock and warrants</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Units: “CCIV.U”</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“CCIV”</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Warrants: “CCIV WS”</w:t>
      </w:r>
    </w:p>
    <w:p>
      <w:pPr>
        <w:spacing w:after="0" w:line="200" w:lineRule="exact"/>
        <w:rPr>
          <w:sz w:val="20"/>
          <w:szCs w:val="20"/>
          <w:color w:val="auto"/>
        </w:rPr>
      </w:pPr>
    </w:p>
    <w:p>
      <w:pPr>
        <w:spacing w:after="0" w:line="301" w:lineRule="exact"/>
        <w:rPr>
          <w:sz w:val="20"/>
          <w:szCs w:val="20"/>
          <w:color w:val="auto"/>
        </w:rPr>
      </w:pPr>
    </w:p>
    <w:p>
      <w:pPr>
        <w:ind w:right="1599"/>
        <w:spacing w:after="0" w:line="263" w:lineRule="auto"/>
        <w:rPr>
          <w:sz w:val="20"/>
          <w:szCs w:val="20"/>
          <w:color w:val="auto"/>
        </w:rPr>
      </w:pPr>
      <w:r>
        <w:rPr>
          <w:rFonts w:ascii="Arial" w:cs="Arial" w:eastAsia="Arial" w:hAnsi="Arial"/>
          <w:sz w:val="15"/>
          <w:szCs w:val="15"/>
          <w:color w:val="auto"/>
        </w:rPr>
        <w:t>The units are expected to begin trading promptly after the date of this prospectus. The Class A common stock and warrants constituting the units will begin separate trading on the 52</w:t>
      </w:r>
      <w:r>
        <w:rPr>
          <w:rFonts w:ascii="Arial" w:cs="Arial" w:eastAsia="Arial" w:hAnsi="Arial"/>
          <w:sz w:val="22"/>
          <w:szCs w:val="22"/>
          <w:color w:val="auto"/>
          <w:vertAlign w:val="superscript"/>
        </w:rPr>
        <w:t>nd</w:t>
      </w:r>
      <w:r>
        <w:rPr>
          <w:rFonts w:ascii="Arial" w:cs="Arial" w:eastAsia="Arial" w:hAnsi="Arial"/>
          <w:sz w:val="15"/>
          <w:szCs w:val="15"/>
          <w:color w:val="auto"/>
        </w:rPr>
        <w:t xml:space="preserve"> day following the date of this prospectus unless Citigroup Global Markets Inc. informs us of its decision to allow earlier separate trading, subject to our having filed the Current Report on Form 8-K described below and having issued a press release announcing when such separate trading will begin. Once the shares of Class A common stock and warrants commence separate trading, holders will have the option to continue to hold units or separate</w:t>
      </w:r>
    </w:p>
    <w:p>
      <w:pPr>
        <w:spacing w:after="0" w:line="2" w:lineRule="exact"/>
        <w:rPr>
          <w:sz w:val="20"/>
          <w:szCs w:val="20"/>
          <w:color w:val="auto"/>
        </w:rPr>
      </w:pPr>
    </w:p>
    <w:p>
      <w:pPr>
        <w:ind w:right="1599"/>
        <w:spacing w:after="0" w:line="257" w:lineRule="auto"/>
        <w:rPr>
          <w:sz w:val="20"/>
          <w:szCs w:val="20"/>
          <w:color w:val="auto"/>
        </w:rPr>
      </w:pPr>
      <w:r>
        <w:rPr>
          <w:rFonts w:ascii="Arial" w:cs="Arial" w:eastAsia="Arial" w:hAnsi="Arial"/>
          <w:sz w:val="16"/>
          <w:szCs w:val="16"/>
          <w:color w:val="auto"/>
        </w:rPr>
        <w:t>their units into the component securities. Holders will need to have their brokers contact our transfer agent in order to separate the units into shares of Class A common stock and warrants. No fractional warrants will be issued upon separation of the units and only whole warrants will trade. Accordingly, unless you purchase at least five units, you will not be able to receive or trade a whole warrant.</w:t>
      </w:r>
    </w:p>
    <w:p>
      <w:pPr>
        <w:spacing w:after="0" w:line="77" w:lineRule="exact"/>
        <w:rPr>
          <w:sz w:val="20"/>
          <w:szCs w:val="20"/>
          <w:color w:val="auto"/>
        </w:rPr>
      </w:pPr>
    </w:p>
    <w:p>
      <w:pPr>
        <w:ind w:right="1559"/>
        <w:spacing w:after="0" w:line="258" w:lineRule="auto"/>
        <w:rPr>
          <w:sz w:val="20"/>
          <w:szCs w:val="20"/>
          <w:color w:val="auto"/>
        </w:rPr>
      </w:pPr>
      <w:r>
        <w:rPr>
          <w:rFonts w:ascii="Arial" w:cs="Arial" w:eastAsia="Arial" w:hAnsi="Arial"/>
          <w:sz w:val="16"/>
          <w:szCs w:val="16"/>
          <w:color w:val="auto"/>
        </w:rPr>
        <w:t>In no event will the Class A common stock and warrants be traded separately until we have filed with the SEC a Current Report on Form 8-K which includes an audited balance sheet of our company reflecting our receipt of the gross proceeds at the closing of this offering. We will file the Current Report on Form 8-K promptly after the closing of this offering. If the underwriters’ option to purchase additional units is exercised following the initial filing of such Current Report on Form 8-K, a second or amended Current Report on Form 8-K will be filed to provide updated financial information to reflect the exercise of the underwriters’ option to purchase additional units.</w:t>
      </w:r>
    </w:p>
    <w:p>
      <w:pPr>
        <w:spacing w:after="0" w:line="200" w:lineRule="exact"/>
        <w:rPr>
          <w:sz w:val="20"/>
          <w:szCs w:val="20"/>
          <w:color w:val="auto"/>
        </w:rPr>
      </w:pPr>
    </w:p>
    <w:p>
      <w:pPr>
        <w:sectPr>
          <w:pgSz w:w="11900" w:h="16838" w:orient="portrait"/>
          <w:cols w:equalWidth="0" w:num="2">
            <w:col w:w="3340" w:space="680"/>
            <w:col w:w="611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247650</wp:posOffset>
            </wp:positionV>
            <wp:extent cx="616648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3" w:name="page14"/>
    <w:bookmarkEnd w:id="13"/>
    <w:p>
      <w:pPr>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147955</wp:posOffset>
            </wp:positionV>
            <wp:extent cx="5053330" cy="73132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53330" cy="731329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Units:</w:t>
      </w:r>
    </w:p>
    <w:p>
      <w:pPr>
        <w:spacing w:after="0" w:line="110" w:lineRule="exact"/>
        <w:rPr>
          <w:sz w:val="20"/>
          <w:szCs w:val="20"/>
          <w:color w:val="auto"/>
        </w:rPr>
      </w:pPr>
    </w:p>
    <w:p>
      <w:pPr>
        <w:ind w:left="1640" w:right="40" w:hanging="162"/>
        <w:spacing w:after="0" w:line="274" w:lineRule="auto"/>
        <w:rPr>
          <w:sz w:val="20"/>
          <w:szCs w:val="20"/>
          <w:color w:val="auto"/>
        </w:rPr>
      </w:pPr>
      <w:r>
        <w:rPr>
          <w:rFonts w:ascii="Arial" w:cs="Arial" w:eastAsia="Arial" w:hAnsi="Arial"/>
          <w:sz w:val="16"/>
          <w:szCs w:val="16"/>
          <w:b w:val="1"/>
          <w:bCs w:val="1"/>
          <w:color w:val="auto"/>
        </w:rPr>
        <w:t>Number outstanding before this offering:</w:t>
      </w:r>
    </w:p>
    <w:p>
      <w:pPr>
        <w:spacing w:after="0" w:line="45" w:lineRule="exact"/>
        <w:rPr>
          <w:sz w:val="20"/>
          <w:szCs w:val="20"/>
          <w:color w:val="auto"/>
        </w:rPr>
      </w:pPr>
    </w:p>
    <w:p>
      <w:pPr>
        <w:ind w:left="1640" w:right="140" w:hanging="162"/>
        <w:spacing w:after="0" w:line="290" w:lineRule="auto"/>
        <w:rPr>
          <w:sz w:val="20"/>
          <w:szCs w:val="20"/>
          <w:color w:val="auto"/>
        </w:rPr>
      </w:pPr>
      <w:r>
        <w:rPr>
          <w:rFonts w:ascii="Arial" w:cs="Arial" w:eastAsia="Arial" w:hAnsi="Arial"/>
          <w:sz w:val="16"/>
          <w:szCs w:val="16"/>
          <w:b w:val="1"/>
          <w:bCs w:val="1"/>
          <w:color w:val="auto"/>
        </w:rPr>
        <w:t>Number outstanding after this offering:</w:t>
      </w:r>
    </w:p>
    <w:p>
      <w:pPr>
        <w:spacing w:after="0" w:line="57"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Common Stock:</w:t>
      </w:r>
    </w:p>
    <w:p>
      <w:pPr>
        <w:spacing w:after="0" w:line="110" w:lineRule="exact"/>
        <w:rPr>
          <w:sz w:val="20"/>
          <w:szCs w:val="20"/>
          <w:color w:val="auto"/>
        </w:rPr>
      </w:pPr>
    </w:p>
    <w:p>
      <w:pPr>
        <w:ind w:left="1640" w:right="40" w:hanging="162"/>
        <w:spacing w:after="0" w:line="290" w:lineRule="auto"/>
        <w:rPr>
          <w:sz w:val="20"/>
          <w:szCs w:val="20"/>
          <w:color w:val="auto"/>
        </w:rPr>
      </w:pPr>
      <w:r>
        <w:rPr>
          <w:rFonts w:ascii="Arial" w:cs="Arial" w:eastAsia="Arial" w:hAnsi="Arial"/>
          <w:sz w:val="16"/>
          <w:szCs w:val="16"/>
          <w:b w:val="1"/>
          <w:bCs w:val="1"/>
          <w:color w:val="auto"/>
        </w:rPr>
        <w:t>Number outstanding before this offering:</w:t>
      </w:r>
    </w:p>
    <w:p>
      <w:pPr>
        <w:spacing w:after="0" w:line="57" w:lineRule="exact"/>
        <w:rPr>
          <w:sz w:val="20"/>
          <w:szCs w:val="20"/>
          <w:color w:val="auto"/>
        </w:rPr>
      </w:pPr>
    </w:p>
    <w:p>
      <w:pPr>
        <w:ind w:left="1640" w:right="140" w:hanging="162"/>
        <w:spacing w:after="0" w:line="290" w:lineRule="auto"/>
        <w:rPr>
          <w:sz w:val="20"/>
          <w:szCs w:val="20"/>
          <w:color w:val="auto"/>
        </w:rPr>
      </w:pPr>
      <w:r>
        <w:rPr>
          <w:rFonts w:ascii="Arial" w:cs="Arial" w:eastAsia="Arial" w:hAnsi="Arial"/>
          <w:sz w:val="16"/>
          <w:szCs w:val="16"/>
          <w:b w:val="1"/>
          <w:bCs w:val="1"/>
          <w:color w:val="auto"/>
        </w:rPr>
        <w:t>Number outstanding after this offering:</w:t>
      </w:r>
    </w:p>
    <w:p>
      <w:pPr>
        <w:spacing w:after="0" w:line="57"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Warrants:</w:t>
      </w:r>
    </w:p>
    <w:p>
      <w:pPr>
        <w:spacing w:after="0" w:line="110"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Number of private placement</w:t>
      </w:r>
    </w:p>
    <w:p>
      <w:pPr>
        <w:spacing w:after="0" w:line="39"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warrants to be sold in the</w:t>
      </w:r>
    </w:p>
    <w:p>
      <w:pPr>
        <w:spacing w:after="0" w:line="12"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Private Placement:</w:t>
      </w:r>
    </w:p>
    <w:p>
      <w:pPr>
        <w:spacing w:after="0" w:line="106" w:lineRule="exact"/>
        <w:rPr>
          <w:sz w:val="20"/>
          <w:szCs w:val="20"/>
          <w:color w:val="auto"/>
        </w:rPr>
      </w:pPr>
    </w:p>
    <w:p>
      <w:pPr>
        <w:ind w:left="1640" w:hanging="162"/>
        <w:spacing w:after="0" w:line="329" w:lineRule="auto"/>
        <w:rPr>
          <w:sz w:val="20"/>
          <w:szCs w:val="20"/>
          <w:color w:val="auto"/>
        </w:rPr>
      </w:pPr>
      <w:r>
        <w:rPr>
          <w:rFonts w:ascii="Arial" w:cs="Arial" w:eastAsia="Arial" w:hAnsi="Arial"/>
          <w:sz w:val="14"/>
          <w:szCs w:val="14"/>
          <w:b w:val="1"/>
          <w:bCs w:val="1"/>
          <w:color w:val="auto"/>
        </w:rPr>
        <w:t>Number of warrants to be outstanding after this offering and the Private Placement:</w:t>
      </w:r>
    </w:p>
    <w:p>
      <w:pPr>
        <w:spacing w:after="0" w:line="35"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Exercise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150,000,000</w:t>
      </w:r>
      <w:r>
        <w:rPr>
          <w:rFonts w:ascii="Arial" w:cs="Arial" w:eastAsia="Arial" w:hAnsi="Arial"/>
          <w:sz w:val="24"/>
          <w:szCs w:val="24"/>
          <w:color w:val="auto"/>
          <w:vertAlign w:val="superscript"/>
        </w:rPr>
        <w:t>(1)</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43,125,000</w:t>
      </w:r>
      <w:r>
        <w:rPr>
          <w:rFonts w:ascii="Arial" w:cs="Arial" w:eastAsia="Arial" w:hAnsi="Arial"/>
          <w:sz w:val="24"/>
          <w:szCs w:val="24"/>
          <w:color w:val="auto"/>
          <w:vertAlign w:val="superscript"/>
        </w:rPr>
        <w:t>(2)(4)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187,500,000</w:t>
      </w:r>
      <w:r>
        <w:rPr>
          <w:rFonts w:ascii="Arial" w:cs="Arial" w:eastAsia="Arial" w:hAnsi="Arial"/>
          <w:sz w:val="24"/>
          <w:szCs w:val="24"/>
          <w:color w:val="auto"/>
          <w:vertAlign w:val="superscript"/>
        </w:rPr>
        <w:t>(1)(3)(4)</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31,350,000</w:t>
      </w:r>
      <w:r>
        <w:rPr>
          <w:rFonts w:ascii="Arial" w:cs="Arial" w:eastAsia="Arial" w:hAnsi="Arial"/>
          <w:sz w:val="24"/>
          <w:szCs w:val="24"/>
          <w:color w:val="auto"/>
          <w:vertAlign w:val="superscript"/>
        </w:rPr>
        <w:t>(1)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61,350,000</w:t>
      </w:r>
      <w:r>
        <w:rPr>
          <w:rFonts w:ascii="Arial" w:cs="Arial" w:eastAsia="Arial" w:hAnsi="Arial"/>
          <w:sz w:val="24"/>
          <w:szCs w:val="24"/>
          <w:color w:val="auto"/>
          <w:vertAlign w:val="superscript"/>
        </w:rPr>
        <w:t>(1)</w:t>
      </w:r>
    </w:p>
    <w:p>
      <w:pPr>
        <w:spacing w:after="0" w:line="63" w:lineRule="exact"/>
        <w:rPr>
          <w:sz w:val="20"/>
          <w:szCs w:val="20"/>
          <w:color w:val="auto"/>
        </w:rPr>
      </w:pPr>
    </w:p>
    <w:p>
      <w:pPr>
        <w:ind w:right="1599"/>
        <w:spacing w:after="0" w:line="262" w:lineRule="auto"/>
        <w:rPr>
          <w:sz w:val="20"/>
          <w:szCs w:val="20"/>
          <w:color w:val="auto"/>
        </w:rPr>
      </w:pPr>
      <w:r>
        <w:rPr>
          <w:rFonts w:ascii="Arial" w:cs="Arial" w:eastAsia="Arial" w:hAnsi="Arial"/>
          <w:sz w:val="16"/>
          <w:szCs w:val="16"/>
          <w:color w:val="auto"/>
        </w:rPr>
        <w:t>Each whole warrant offered in this offering is exercisable to purchase one share of our Class A common stock, subject to adjustment as provided herein, and only whole warrants are exercisable. No fractional warrants will be issued upon separation of the units and only whole warrants will trade.</w:t>
      </w:r>
    </w:p>
    <w:p>
      <w:pPr>
        <w:spacing w:after="0" w:line="72" w:lineRule="exact"/>
        <w:rPr>
          <w:sz w:val="20"/>
          <w:szCs w:val="20"/>
          <w:color w:val="auto"/>
        </w:rPr>
      </w:pPr>
    </w:p>
    <w:p>
      <w:pPr>
        <w:ind w:right="1639"/>
        <w:spacing w:after="0" w:line="278" w:lineRule="auto"/>
        <w:rPr>
          <w:sz w:val="20"/>
          <w:szCs w:val="20"/>
          <w:color w:val="auto"/>
        </w:rPr>
      </w:pPr>
      <w:r>
        <w:rPr>
          <w:rFonts w:ascii="Arial" w:cs="Arial" w:eastAsia="Arial" w:hAnsi="Arial"/>
          <w:sz w:val="15"/>
          <w:szCs w:val="15"/>
          <w:color w:val="auto"/>
        </w:rPr>
        <w:t>We structured each unit to contain one-fifth of one warrant, with each whole warrant exercisable for one share of Class A common stock, as compared to units issued by some other similar blank check companies which contain whole warrants exercisable for one whole share, in order to reduce the dilutive effect of the warrants upon completion of our initial business combination as compared to units that each contain a warrant to purchase one whole share, thus making us, we believe, a more attractive business combination partner for target businesses.</w:t>
      </w:r>
    </w:p>
    <w:p>
      <w:pPr>
        <w:spacing w:after="0" w:line="61" w:lineRule="exact"/>
        <w:rPr>
          <w:sz w:val="20"/>
          <w:szCs w:val="20"/>
          <w:color w:val="auto"/>
        </w:rPr>
      </w:pPr>
    </w:p>
    <w:p>
      <w:pPr>
        <w:ind w:right="1659"/>
        <w:spacing w:after="0" w:line="285" w:lineRule="auto"/>
        <w:rPr>
          <w:sz w:val="20"/>
          <w:szCs w:val="20"/>
          <w:color w:val="auto"/>
        </w:rPr>
      </w:pPr>
      <w:r>
        <w:rPr>
          <w:rFonts w:ascii="Arial" w:cs="Arial" w:eastAsia="Arial" w:hAnsi="Arial"/>
          <w:sz w:val="16"/>
          <w:szCs w:val="16"/>
          <w:color w:val="auto"/>
        </w:rPr>
        <w:t>$11.50 per share of Class A common stock, subject to adjustment as described herein.</w:t>
      </w:r>
    </w:p>
    <w:p>
      <w:pPr>
        <w:spacing w:after="0" w:line="200" w:lineRule="exact"/>
        <w:rPr>
          <w:sz w:val="20"/>
          <w:szCs w:val="20"/>
          <w:color w:val="auto"/>
        </w:rPr>
      </w:pPr>
    </w:p>
    <w:p>
      <w:pPr>
        <w:sectPr>
          <w:pgSz w:w="11900" w:h="16838" w:orient="portrait"/>
          <w:cols w:equalWidth="0" w:num="2">
            <w:col w:w="3640" w:space="380"/>
            <w:col w:w="6119"/>
          </w:cols>
          <w:pgMar w:left="320" w:top="132" w:right="1440" w:bottom="1440" w:gutter="0" w:footer="0" w:header="0"/>
          <w:type w:val="continuous"/>
        </w:sectPr>
      </w:pPr>
    </w:p>
    <w:p>
      <w:pPr>
        <w:spacing w:after="0" w:line="109" w:lineRule="exact"/>
        <w:rPr>
          <w:sz w:val="20"/>
          <w:szCs w:val="20"/>
          <w:color w:val="auto"/>
        </w:rPr>
      </w:pPr>
    </w:p>
    <w:p>
      <w:pPr>
        <w:ind w:left="1480" w:right="1699" w:hanging="325"/>
        <w:spacing w:after="0" w:line="285" w:lineRule="auto"/>
        <w:tabs>
          <w:tab w:leader="none" w:pos="1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Assumes no exercise of the underwriters’ option to purchase additional units and the forfeiture by our sponsor of 5,625,000 founder shares.</w:t>
      </w:r>
    </w:p>
    <w:p>
      <w:pPr>
        <w:spacing w:after="0" w:line="52" w:lineRule="exact"/>
        <w:rPr>
          <w:rFonts w:ascii="Arial" w:cs="Arial" w:eastAsia="Arial" w:hAnsi="Arial"/>
          <w:sz w:val="16"/>
          <w:szCs w:val="16"/>
          <w:color w:val="auto"/>
        </w:rPr>
      </w:pPr>
    </w:p>
    <w:p>
      <w:pPr>
        <w:jc w:val="both"/>
        <w:ind w:left="1480" w:right="1739" w:hanging="325"/>
        <w:spacing w:after="0" w:line="270" w:lineRule="auto"/>
        <w:tabs>
          <w:tab w:leader="none" w:pos="1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Consists solely of founder shares and includes up to 5,625,000 shares that are subject to forfeiture by our sponsor depending on the extent to which the underwriters’ option to purchase additional units is exercised.</w:t>
      </w:r>
    </w:p>
    <w:p>
      <w:pPr>
        <w:spacing w:after="0" w:line="63" w:lineRule="exact"/>
        <w:rPr>
          <w:rFonts w:ascii="Arial" w:cs="Arial" w:eastAsia="Arial" w:hAnsi="Arial"/>
          <w:sz w:val="16"/>
          <w:szCs w:val="16"/>
          <w:color w:val="auto"/>
        </w:rPr>
      </w:pPr>
    </w:p>
    <w:p>
      <w:pPr>
        <w:ind w:left="1480" w:hanging="325"/>
        <w:spacing w:after="0"/>
        <w:tabs>
          <w:tab w:leader="none" w:pos="1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150,000,000 public shares and 37,500,000 founder shares.</w:t>
      </w:r>
    </w:p>
    <w:p>
      <w:pPr>
        <w:spacing w:after="0" w:line="109" w:lineRule="exact"/>
        <w:rPr>
          <w:rFonts w:ascii="Arial" w:cs="Arial" w:eastAsia="Arial" w:hAnsi="Arial"/>
          <w:sz w:val="16"/>
          <w:szCs w:val="16"/>
          <w:color w:val="auto"/>
        </w:rPr>
      </w:pPr>
    </w:p>
    <w:p>
      <w:pPr>
        <w:ind w:left="1480" w:right="1699" w:hanging="325"/>
        <w:spacing w:after="0" w:line="265" w:lineRule="auto"/>
        <w:tabs>
          <w:tab w:leader="none" w:pos="1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Founder shares are classified as shares of Class B common stock, which shares will automatically convert into shares of Class A common stock at the time of our initial business combination on a one-for-one basis, subject to adjustment as described below adjacent to the caption “Founder shares conversion and anti-dilution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4" w:name="page15"/>
    <w:bookmarkEnd w:id="14"/>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578"/>
        </w:trPr>
        <w:tc>
          <w:tcPr>
            <w:tcW w:w="940" w:type="dxa"/>
            <w:vAlign w:val="bottom"/>
            <w:tcBorders>
              <w:right w:val="single" w:sz="8" w:color="auto"/>
            </w:tcBorders>
          </w:tcPr>
          <w:p>
            <w:pPr>
              <w:spacing w:after="0"/>
              <w:rPr>
                <w:sz w:val="24"/>
                <w:szCs w:val="24"/>
                <w:color w:val="auto"/>
              </w:rPr>
            </w:pPr>
          </w:p>
        </w:tc>
        <w:tc>
          <w:tcPr>
            <w:tcW w:w="2460" w:type="dxa"/>
            <w:vAlign w:val="bottom"/>
            <w:tcBorders>
              <w:top w:val="single" w:sz="8" w:color="auto"/>
            </w:tcBorders>
          </w:tcPr>
          <w:p>
            <w:pPr>
              <w:ind w:left="220"/>
              <w:spacing w:after="0"/>
              <w:rPr>
                <w:sz w:val="20"/>
                <w:szCs w:val="20"/>
                <w:color w:val="auto"/>
              </w:rPr>
            </w:pPr>
            <w:r>
              <w:rPr>
                <w:rFonts w:ascii="Arial" w:cs="Arial" w:eastAsia="Arial" w:hAnsi="Arial"/>
                <w:sz w:val="16"/>
                <w:szCs w:val="16"/>
                <w:b w:val="1"/>
                <w:bCs w:val="1"/>
                <w:color w:val="auto"/>
              </w:rPr>
              <w:t>Exercise period</w:t>
            </w:r>
          </w:p>
        </w:tc>
        <w:tc>
          <w:tcPr>
            <w:tcW w:w="5460" w:type="dxa"/>
            <w:vAlign w:val="bottom"/>
            <w:tcBorders>
              <w:top w:val="single" w:sz="8" w:color="auto"/>
              <w:right w:val="single" w:sz="8" w:color="auto"/>
            </w:tcBorders>
            <w:gridSpan w:val="2"/>
          </w:tcPr>
          <w:p>
            <w:pPr>
              <w:ind w:left="620"/>
              <w:spacing w:after="0"/>
              <w:rPr>
                <w:sz w:val="20"/>
                <w:szCs w:val="20"/>
                <w:color w:val="auto"/>
              </w:rPr>
            </w:pPr>
            <w:r>
              <w:rPr>
                <w:rFonts w:ascii="Arial" w:cs="Arial" w:eastAsia="Arial" w:hAnsi="Arial"/>
                <w:sz w:val="16"/>
                <w:szCs w:val="16"/>
                <w:color w:val="auto"/>
              </w:rPr>
              <w:t>The warrants will become exercisable on the warrant exercise</w:t>
            </w:r>
          </w:p>
        </w:tc>
        <w:tc>
          <w:tcPr>
            <w:tcW w:w="840" w:type="dxa"/>
            <w:vAlign w:val="bottom"/>
          </w:tcPr>
          <w:p>
            <w:pPr>
              <w:spacing w:after="0"/>
              <w:rPr>
                <w:sz w:val="24"/>
                <w:szCs w:val="24"/>
                <w:color w:val="auto"/>
              </w:rPr>
            </w:pPr>
          </w:p>
        </w:tc>
      </w:tr>
      <w:tr>
        <w:trPr>
          <w:trHeight w:val="207"/>
        </w:trPr>
        <w:tc>
          <w:tcPr>
            <w:tcW w:w="940" w:type="dxa"/>
            <w:vAlign w:val="bottom"/>
            <w:tcBorders>
              <w:right w:val="single" w:sz="8" w:color="auto"/>
            </w:tcBorders>
          </w:tcPr>
          <w:p>
            <w:pPr>
              <w:spacing w:after="0"/>
              <w:rPr>
                <w:sz w:val="18"/>
                <w:szCs w:val="18"/>
                <w:color w:val="auto"/>
              </w:rPr>
            </w:pPr>
          </w:p>
        </w:tc>
        <w:tc>
          <w:tcPr>
            <w:tcW w:w="2460" w:type="dxa"/>
            <w:vAlign w:val="bottom"/>
          </w:tcPr>
          <w:p>
            <w:pPr>
              <w:spacing w:after="0"/>
              <w:rPr>
                <w:sz w:val="18"/>
                <w:szCs w:val="18"/>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date, which is the later of:</w:t>
            </w:r>
          </w:p>
        </w:tc>
        <w:tc>
          <w:tcPr>
            <w:tcW w:w="840" w:type="dxa"/>
            <w:vAlign w:val="bottom"/>
          </w:tcPr>
          <w:p>
            <w:pPr>
              <w:spacing w:after="0"/>
              <w:rPr>
                <w:sz w:val="18"/>
                <w:szCs w:val="18"/>
                <w:color w:val="auto"/>
              </w:rPr>
            </w:pPr>
          </w:p>
        </w:tc>
      </w:tr>
      <w:tr>
        <w:trPr>
          <w:trHeight w:val="282"/>
        </w:trPr>
        <w:tc>
          <w:tcPr>
            <w:tcW w:w="940" w:type="dxa"/>
            <w:vAlign w:val="bottom"/>
            <w:tcBorders>
              <w:right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1140" w:type="dxa"/>
            <w:vAlign w:val="bottom"/>
          </w:tcPr>
          <w:p>
            <w:pPr>
              <w:ind w:left="960"/>
              <w:spacing w:after="0"/>
              <w:rPr>
                <w:sz w:val="20"/>
                <w:szCs w:val="20"/>
                <w:color w:val="auto"/>
              </w:rPr>
            </w:pPr>
            <w:r>
              <w:rPr>
                <w:rFonts w:ascii="Arial" w:cs="Arial" w:eastAsia="Arial" w:hAnsi="Arial"/>
                <w:sz w:val="16"/>
                <w:szCs w:val="16"/>
                <w:color w:val="auto"/>
              </w:rPr>
              <w:t>•</w:t>
            </w:r>
          </w:p>
        </w:tc>
        <w:tc>
          <w:tcPr>
            <w:tcW w:w="43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30 days after the completion of our initial business</w:t>
            </w:r>
          </w:p>
        </w:tc>
        <w:tc>
          <w:tcPr>
            <w:tcW w:w="840" w:type="dxa"/>
            <w:vAlign w:val="bottom"/>
          </w:tcPr>
          <w:p>
            <w:pPr>
              <w:spacing w:after="0"/>
              <w:rPr>
                <w:sz w:val="24"/>
                <w:szCs w:val="24"/>
                <w:color w:val="auto"/>
              </w:rPr>
            </w:pPr>
          </w:p>
        </w:tc>
      </w:tr>
      <w:tr>
        <w:trPr>
          <w:trHeight w:val="207"/>
        </w:trPr>
        <w:tc>
          <w:tcPr>
            <w:tcW w:w="940" w:type="dxa"/>
            <w:vAlign w:val="bottom"/>
            <w:tcBorders>
              <w:right w:val="single" w:sz="8" w:color="auto"/>
            </w:tcBorders>
          </w:tcPr>
          <w:p>
            <w:pPr>
              <w:spacing w:after="0"/>
              <w:rPr>
                <w:sz w:val="18"/>
                <w:szCs w:val="18"/>
                <w:color w:val="auto"/>
              </w:rPr>
            </w:pPr>
          </w:p>
        </w:tc>
        <w:tc>
          <w:tcPr>
            <w:tcW w:w="2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3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combination; and</w:t>
            </w:r>
          </w:p>
        </w:tc>
        <w:tc>
          <w:tcPr>
            <w:tcW w:w="840" w:type="dxa"/>
            <w:vAlign w:val="bottom"/>
          </w:tcPr>
          <w:p>
            <w:pPr>
              <w:spacing w:after="0"/>
              <w:rPr>
                <w:sz w:val="18"/>
                <w:szCs w:val="18"/>
                <w:color w:val="auto"/>
              </w:rPr>
            </w:pPr>
          </w:p>
        </w:tc>
      </w:tr>
      <w:tr>
        <w:trPr>
          <w:trHeight w:val="294"/>
        </w:trPr>
        <w:tc>
          <w:tcPr>
            <w:tcW w:w="940" w:type="dxa"/>
            <w:vAlign w:val="bottom"/>
            <w:tcBorders>
              <w:right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1140" w:type="dxa"/>
            <w:vAlign w:val="bottom"/>
          </w:tcPr>
          <w:p>
            <w:pPr>
              <w:ind w:left="960"/>
              <w:spacing w:after="0"/>
              <w:rPr>
                <w:sz w:val="20"/>
                <w:szCs w:val="20"/>
                <w:color w:val="auto"/>
              </w:rPr>
            </w:pPr>
            <w:r>
              <w:rPr>
                <w:rFonts w:ascii="Arial" w:cs="Arial" w:eastAsia="Arial" w:hAnsi="Arial"/>
                <w:sz w:val="16"/>
                <w:szCs w:val="16"/>
                <w:color w:val="auto"/>
              </w:rPr>
              <w:t>•</w:t>
            </w:r>
          </w:p>
        </w:tc>
        <w:tc>
          <w:tcPr>
            <w:tcW w:w="43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12 months from the closing of this offering;</w:t>
            </w:r>
          </w:p>
        </w:tc>
        <w:tc>
          <w:tcPr>
            <w:tcW w:w="840" w:type="dxa"/>
            <w:vAlign w:val="bottom"/>
          </w:tcPr>
          <w:p>
            <w:pPr>
              <w:spacing w:after="0"/>
              <w:rPr>
                <w:sz w:val="24"/>
                <w:szCs w:val="24"/>
                <w:color w:val="auto"/>
              </w:rPr>
            </w:pPr>
          </w:p>
        </w:tc>
      </w:tr>
      <w:tr>
        <w:trPr>
          <w:trHeight w:val="282"/>
        </w:trPr>
        <w:tc>
          <w:tcPr>
            <w:tcW w:w="940" w:type="dxa"/>
            <w:vAlign w:val="bottom"/>
            <w:tcBorders>
              <w:right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provided in each case that we have an effective registration</w:t>
            </w:r>
          </w:p>
        </w:tc>
        <w:tc>
          <w:tcPr>
            <w:tcW w:w="840" w:type="dxa"/>
            <w:vAlign w:val="bottom"/>
          </w:tcPr>
          <w:p>
            <w:pPr>
              <w:spacing w:after="0"/>
              <w:rPr>
                <w:sz w:val="24"/>
                <w:szCs w:val="24"/>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statement under the Securities Act covering the issuance of the</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shares of common stock issuable upon exercise of the warrants</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and a current prospectus relating to them is available (or we</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permit holders to exercise their warrants on a cashless basis under</w:t>
            </w:r>
          </w:p>
        </w:tc>
        <w:tc>
          <w:tcPr>
            <w:tcW w:w="840" w:type="dxa"/>
            <w:vAlign w:val="bottom"/>
          </w:tcPr>
          <w:p>
            <w:pPr>
              <w:spacing w:after="0"/>
              <w:rPr>
                <w:sz w:val="17"/>
                <w:szCs w:val="17"/>
                <w:color w:val="auto"/>
              </w:rPr>
            </w:pPr>
          </w:p>
        </w:tc>
      </w:tr>
      <w:tr>
        <w:trPr>
          <w:trHeight w:val="207"/>
        </w:trPr>
        <w:tc>
          <w:tcPr>
            <w:tcW w:w="940" w:type="dxa"/>
            <w:vAlign w:val="bottom"/>
            <w:tcBorders>
              <w:right w:val="single" w:sz="8" w:color="auto"/>
            </w:tcBorders>
          </w:tcPr>
          <w:p>
            <w:pPr>
              <w:spacing w:after="0"/>
              <w:rPr>
                <w:sz w:val="18"/>
                <w:szCs w:val="18"/>
                <w:color w:val="auto"/>
              </w:rPr>
            </w:pPr>
          </w:p>
        </w:tc>
        <w:tc>
          <w:tcPr>
            <w:tcW w:w="2460" w:type="dxa"/>
            <w:vAlign w:val="bottom"/>
          </w:tcPr>
          <w:p>
            <w:pPr>
              <w:spacing w:after="0"/>
              <w:rPr>
                <w:sz w:val="18"/>
                <w:szCs w:val="18"/>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the circumstances specified in the warrant agreement).</w:t>
            </w:r>
          </w:p>
        </w:tc>
        <w:tc>
          <w:tcPr>
            <w:tcW w:w="840" w:type="dxa"/>
            <w:vAlign w:val="bottom"/>
          </w:tcPr>
          <w:p>
            <w:pPr>
              <w:spacing w:after="0"/>
              <w:rPr>
                <w:sz w:val="18"/>
                <w:szCs w:val="18"/>
                <w:color w:val="auto"/>
              </w:rPr>
            </w:pPr>
          </w:p>
        </w:tc>
      </w:tr>
      <w:tr>
        <w:trPr>
          <w:trHeight w:val="282"/>
        </w:trPr>
        <w:tc>
          <w:tcPr>
            <w:tcW w:w="940" w:type="dxa"/>
            <w:vAlign w:val="bottom"/>
            <w:tcBorders>
              <w:right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We are not registering the shares of Class A common stock</w:t>
            </w:r>
          </w:p>
        </w:tc>
        <w:tc>
          <w:tcPr>
            <w:tcW w:w="840" w:type="dxa"/>
            <w:vAlign w:val="bottom"/>
          </w:tcPr>
          <w:p>
            <w:pPr>
              <w:spacing w:after="0"/>
              <w:rPr>
                <w:sz w:val="24"/>
                <w:szCs w:val="24"/>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issuable upon exercise of the warrants at this time. However, we</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have agreed that as soon as practicable, but in no event later than</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15 business days after the closing of our initial business</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combination, we will use our reasonable best efforts to file with</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the SEC, and within 60 business days following our initial</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business combination to have declared effective, a registration</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statement covering the issuance of the shares of Class A common</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stock issuable upon exercise of the warrants and to maintain a</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current prospectus relating to those shares of Class A common</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stock until the warrants expire or are redeemed, as specified in the</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warrant agreement. If a registration statement covering the shares</w:t>
            </w:r>
          </w:p>
        </w:tc>
        <w:tc>
          <w:tcPr>
            <w:tcW w:w="840" w:type="dxa"/>
            <w:vAlign w:val="bottom"/>
          </w:tcPr>
          <w:p>
            <w:pPr>
              <w:spacing w:after="0"/>
              <w:rPr>
                <w:sz w:val="17"/>
                <w:szCs w:val="17"/>
                <w:color w:val="auto"/>
              </w:rPr>
            </w:pPr>
          </w:p>
        </w:tc>
      </w:tr>
      <w:tr>
        <w:trPr>
          <w:trHeight w:val="163"/>
        </w:trPr>
        <w:tc>
          <w:tcPr>
            <w:tcW w:w="940" w:type="dxa"/>
            <w:vAlign w:val="bottom"/>
            <w:tcBorders>
              <w:right w:val="single" w:sz="8" w:color="auto"/>
            </w:tcBorders>
          </w:tcPr>
          <w:p>
            <w:pPr>
              <w:spacing w:after="0"/>
              <w:rPr>
                <w:sz w:val="14"/>
                <w:szCs w:val="14"/>
                <w:color w:val="auto"/>
              </w:rPr>
            </w:pPr>
          </w:p>
        </w:tc>
        <w:tc>
          <w:tcPr>
            <w:tcW w:w="2460" w:type="dxa"/>
            <w:vAlign w:val="bottom"/>
          </w:tcPr>
          <w:p>
            <w:pPr>
              <w:spacing w:after="0"/>
              <w:rPr>
                <w:sz w:val="14"/>
                <w:szCs w:val="14"/>
                <w:color w:val="auto"/>
              </w:rPr>
            </w:pPr>
          </w:p>
        </w:tc>
        <w:tc>
          <w:tcPr>
            <w:tcW w:w="5460" w:type="dxa"/>
            <w:vAlign w:val="bottom"/>
            <w:tcBorders>
              <w:right w:val="single" w:sz="8" w:color="auto"/>
            </w:tcBorders>
            <w:gridSpan w:val="2"/>
          </w:tcPr>
          <w:p>
            <w:pPr>
              <w:ind w:left="620"/>
              <w:spacing w:after="0" w:line="163" w:lineRule="exact"/>
              <w:rPr>
                <w:sz w:val="20"/>
                <w:szCs w:val="20"/>
                <w:color w:val="auto"/>
              </w:rPr>
            </w:pPr>
            <w:r>
              <w:rPr>
                <w:rFonts w:ascii="Arial" w:cs="Arial" w:eastAsia="Arial" w:hAnsi="Arial"/>
                <w:sz w:val="16"/>
                <w:szCs w:val="16"/>
                <w:color w:val="auto"/>
              </w:rPr>
              <w:t>of Class A common stock issuable upon exercise of the warrants is</w:t>
            </w:r>
          </w:p>
        </w:tc>
        <w:tc>
          <w:tcPr>
            <w:tcW w:w="840" w:type="dxa"/>
            <w:vAlign w:val="bottom"/>
          </w:tcPr>
          <w:p>
            <w:pPr>
              <w:spacing w:after="0"/>
              <w:rPr>
                <w:sz w:val="14"/>
                <w:szCs w:val="14"/>
                <w:color w:val="auto"/>
              </w:rPr>
            </w:pPr>
          </w:p>
        </w:tc>
      </w:tr>
      <w:tr>
        <w:trPr>
          <w:trHeight w:val="241"/>
        </w:trPr>
        <w:tc>
          <w:tcPr>
            <w:tcW w:w="940" w:type="dxa"/>
            <w:vAlign w:val="bottom"/>
            <w:tcBorders>
              <w:right w:val="single" w:sz="8" w:color="auto"/>
            </w:tcBorders>
          </w:tcPr>
          <w:p>
            <w:pPr>
              <w:spacing w:after="0"/>
              <w:rPr>
                <w:sz w:val="20"/>
                <w:szCs w:val="20"/>
                <w:color w:val="auto"/>
              </w:rPr>
            </w:pPr>
          </w:p>
        </w:tc>
        <w:tc>
          <w:tcPr>
            <w:tcW w:w="2460" w:type="dxa"/>
            <w:vAlign w:val="bottom"/>
          </w:tcPr>
          <w:p>
            <w:pPr>
              <w:spacing w:after="0"/>
              <w:rPr>
                <w:sz w:val="20"/>
                <w:szCs w:val="20"/>
                <w:color w:val="auto"/>
              </w:rPr>
            </w:pPr>
          </w:p>
        </w:tc>
        <w:tc>
          <w:tcPr>
            <w:tcW w:w="5460" w:type="dxa"/>
            <w:vAlign w:val="bottom"/>
            <w:tcBorders>
              <w:right w:val="single" w:sz="8" w:color="auto"/>
            </w:tcBorders>
            <w:gridSpan w:val="2"/>
          </w:tcPr>
          <w:p>
            <w:pPr>
              <w:ind w:left="620"/>
              <w:spacing w:after="0" w:line="241" w:lineRule="exact"/>
              <w:rPr>
                <w:sz w:val="20"/>
                <w:szCs w:val="20"/>
                <w:color w:val="auto"/>
              </w:rPr>
            </w:pPr>
            <w:r>
              <w:rPr>
                <w:rFonts w:ascii="Arial" w:cs="Arial" w:eastAsia="Arial" w:hAnsi="Arial"/>
                <w:sz w:val="16"/>
                <w:szCs w:val="16"/>
                <w:color w:val="auto"/>
              </w:rPr>
              <w:t>not effective by the 60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business day after the closing of our</w:t>
            </w:r>
          </w:p>
        </w:tc>
        <w:tc>
          <w:tcPr>
            <w:tcW w:w="840" w:type="dxa"/>
            <w:vAlign w:val="bottom"/>
          </w:tcPr>
          <w:p>
            <w:pPr>
              <w:spacing w:after="0"/>
              <w:rPr>
                <w:sz w:val="20"/>
                <w:szCs w:val="20"/>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initial business combination, warrant holders may, until such time</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as there is an effective registration statement and during any</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period when we will have failed to maintain an effective</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registration statement, exercise warrants on a “cashless basis” in</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accordance with Section 3(a)(9) of the Securities Act or another</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exemption. Notwithstanding the above, if our Class A common</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stock is at the time of any exercise of a warrant not listed on a</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national securities exchange such that it satisfies the definition of</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a “covered security” under Section 18(b)(1) of the Securities Act,</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we may, at our option, require holders of public warrants who</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exercise their warrants to do so on a “cashless basis” in</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accordance with Section 3(a)(9) of the Securities Act and, in the</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event we so elect, we will not be required to file or maintain in</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effect a registration statement, and in the event we do not so elect,</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we will use our best efforts to register or qualify the shares under</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applicable blue sky laws to the extent an exemption is not</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available. The warrants will expire at 5:00 p.m., New York City</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time on the warrant expiration date, which is five years after the</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completion of our initial business combination or earlier upon</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redemption or liquidation. On the exercise of any warrant, the</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warrant exercise price will be paid directly to us and not placed in</w:t>
            </w:r>
          </w:p>
        </w:tc>
        <w:tc>
          <w:tcPr>
            <w:tcW w:w="840" w:type="dxa"/>
            <w:vAlign w:val="bottom"/>
          </w:tcPr>
          <w:p>
            <w:pPr>
              <w:spacing w:after="0"/>
              <w:rPr>
                <w:sz w:val="17"/>
                <w:szCs w:val="17"/>
                <w:color w:val="auto"/>
              </w:rPr>
            </w:pPr>
          </w:p>
        </w:tc>
      </w:tr>
      <w:tr>
        <w:trPr>
          <w:trHeight w:val="207"/>
        </w:trPr>
        <w:tc>
          <w:tcPr>
            <w:tcW w:w="940" w:type="dxa"/>
            <w:vAlign w:val="bottom"/>
            <w:tcBorders>
              <w:right w:val="single" w:sz="8" w:color="auto"/>
            </w:tcBorders>
          </w:tcPr>
          <w:p>
            <w:pPr>
              <w:spacing w:after="0"/>
              <w:rPr>
                <w:sz w:val="18"/>
                <w:szCs w:val="18"/>
                <w:color w:val="auto"/>
              </w:rPr>
            </w:pPr>
          </w:p>
        </w:tc>
        <w:tc>
          <w:tcPr>
            <w:tcW w:w="2460" w:type="dxa"/>
            <w:vAlign w:val="bottom"/>
          </w:tcPr>
          <w:p>
            <w:pPr>
              <w:spacing w:after="0"/>
              <w:rPr>
                <w:sz w:val="18"/>
                <w:szCs w:val="18"/>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the trust account.</w:t>
            </w:r>
          </w:p>
        </w:tc>
        <w:tc>
          <w:tcPr>
            <w:tcW w:w="840" w:type="dxa"/>
            <w:vAlign w:val="bottom"/>
          </w:tcPr>
          <w:p>
            <w:pPr>
              <w:spacing w:after="0"/>
              <w:rPr>
                <w:sz w:val="18"/>
                <w:szCs w:val="18"/>
                <w:color w:val="auto"/>
              </w:rPr>
            </w:pPr>
          </w:p>
        </w:tc>
      </w:tr>
      <w:tr>
        <w:trPr>
          <w:trHeight w:val="282"/>
        </w:trPr>
        <w:tc>
          <w:tcPr>
            <w:tcW w:w="940" w:type="dxa"/>
            <w:vAlign w:val="bottom"/>
            <w:tcBorders>
              <w:right w:val="single" w:sz="8" w:color="auto"/>
            </w:tcBorders>
          </w:tcPr>
          <w:p>
            <w:pPr>
              <w:spacing w:after="0"/>
              <w:rPr>
                <w:sz w:val="24"/>
                <w:szCs w:val="24"/>
                <w:color w:val="auto"/>
              </w:rPr>
            </w:pPr>
          </w:p>
        </w:tc>
        <w:tc>
          <w:tcPr>
            <w:tcW w:w="2460" w:type="dxa"/>
            <w:vAlign w:val="bottom"/>
          </w:tcPr>
          <w:p>
            <w:pPr>
              <w:ind w:left="220"/>
              <w:spacing w:after="0"/>
              <w:rPr>
                <w:sz w:val="20"/>
                <w:szCs w:val="20"/>
                <w:color w:val="auto"/>
              </w:rPr>
            </w:pPr>
            <w:r>
              <w:rPr>
                <w:rFonts w:ascii="Arial" w:cs="Arial" w:eastAsia="Arial" w:hAnsi="Arial"/>
                <w:sz w:val="16"/>
                <w:szCs w:val="16"/>
                <w:b w:val="1"/>
                <w:bCs w:val="1"/>
                <w:color w:val="auto"/>
              </w:rPr>
              <w:t>Redemption of warrants</w:t>
            </w: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Once the warrants become exercisable, we may redeem the</w:t>
            </w:r>
          </w:p>
        </w:tc>
        <w:tc>
          <w:tcPr>
            <w:tcW w:w="840" w:type="dxa"/>
            <w:vAlign w:val="bottom"/>
          </w:tcPr>
          <w:p>
            <w:pPr>
              <w:spacing w:after="0"/>
              <w:rPr>
                <w:sz w:val="24"/>
                <w:szCs w:val="24"/>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outstanding warrants (except as described herein with respect to</w:t>
            </w:r>
          </w:p>
        </w:tc>
        <w:tc>
          <w:tcPr>
            <w:tcW w:w="840" w:type="dxa"/>
            <w:vAlign w:val="bottom"/>
          </w:tcPr>
          <w:p>
            <w:pPr>
              <w:spacing w:after="0"/>
              <w:rPr>
                <w:sz w:val="17"/>
                <w:szCs w:val="17"/>
                <w:color w:val="auto"/>
              </w:rPr>
            </w:pPr>
          </w:p>
        </w:tc>
      </w:tr>
      <w:tr>
        <w:trPr>
          <w:trHeight w:val="207"/>
        </w:trPr>
        <w:tc>
          <w:tcPr>
            <w:tcW w:w="940" w:type="dxa"/>
            <w:vAlign w:val="bottom"/>
            <w:tcBorders>
              <w:right w:val="single" w:sz="8" w:color="auto"/>
            </w:tcBorders>
          </w:tcPr>
          <w:p>
            <w:pPr>
              <w:spacing w:after="0"/>
              <w:rPr>
                <w:sz w:val="18"/>
                <w:szCs w:val="18"/>
                <w:color w:val="auto"/>
              </w:rPr>
            </w:pPr>
          </w:p>
        </w:tc>
        <w:tc>
          <w:tcPr>
            <w:tcW w:w="2460" w:type="dxa"/>
            <w:vAlign w:val="bottom"/>
          </w:tcPr>
          <w:p>
            <w:pPr>
              <w:spacing w:after="0"/>
              <w:rPr>
                <w:sz w:val="18"/>
                <w:szCs w:val="18"/>
                <w:color w:val="auto"/>
              </w:rPr>
            </w:pPr>
          </w:p>
        </w:tc>
        <w:tc>
          <w:tcPr>
            <w:tcW w:w="5460" w:type="dxa"/>
            <w:vAlign w:val="bottom"/>
            <w:tcBorders>
              <w:right w:val="single" w:sz="8" w:color="auto"/>
            </w:tcBorders>
            <w:gridSpan w:val="2"/>
          </w:tcPr>
          <w:p>
            <w:pPr>
              <w:ind w:left="620"/>
              <w:spacing w:after="0"/>
              <w:rPr>
                <w:sz w:val="20"/>
                <w:szCs w:val="20"/>
                <w:color w:val="auto"/>
              </w:rPr>
            </w:pPr>
            <w:r>
              <w:rPr>
                <w:rFonts w:ascii="Arial" w:cs="Arial" w:eastAsia="Arial" w:hAnsi="Arial"/>
                <w:sz w:val="16"/>
                <w:szCs w:val="16"/>
                <w:color w:val="auto"/>
              </w:rPr>
              <w:t>the private placement warrants):</w:t>
            </w:r>
          </w:p>
        </w:tc>
        <w:tc>
          <w:tcPr>
            <w:tcW w:w="840" w:type="dxa"/>
            <w:vAlign w:val="bottom"/>
          </w:tcPr>
          <w:p>
            <w:pPr>
              <w:spacing w:after="0"/>
              <w:rPr>
                <w:sz w:val="18"/>
                <w:szCs w:val="18"/>
                <w:color w:val="auto"/>
              </w:rPr>
            </w:pPr>
          </w:p>
        </w:tc>
      </w:tr>
      <w:tr>
        <w:trPr>
          <w:trHeight w:val="294"/>
        </w:trPr>
        <w:tc>
          <w:tcPr>
            <w:tcW w:w="940" w:type="dxa"/>
            <w:vAlign w:val="bottom"/>
            <w:tcBorders>
              <w:right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1140" w:type="dxa"/>
            <w:vAlign w:val="bottom"/>
          </w:tcPr>
          <w:p>
            <w:pPr>
              <w:ind w:left="960"/>
              <w:spacing w:after="0"/>
              <w:rPr>
                <w:sz w:val="20"/>
                <w:szCs w:val="20"/>
                <w:color w:val="auto"/>
              </w:rPr>
            </w:pPr>
            <w:r>
              <w:rPr>
                <w:rFonts w:ascii="Arial" w:cs="Arial" w:eastAsia="Arial" w:hAnsi="Arial"/>
                <w:sz w:val="16"/>
                <w:szCs w:val="16"/>
                <w:color w:val="auto"/>
              </w:rPr>
              <w:t>•</w:t>
            </w:r>
          </w:p>
        </w:tc>
        <w:tc>
          <w:tcPr>
            <w:tcW w:w="43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in whole and not in part;</w:t>
            </w:r>
          </w:p>
        </w:tc>
        <w:tc>
          <w:tcPr>
            <w:tcW w:w="840" w:type="dxa"/>
            <w:vAlign w:val="bottom"/>
          </w:tcPr>
          <w:p>
            <w:pPr>
              <w:spacing w:after="0"/>
              <w:rPr>
                <w:sz w:val="24"/>
                <w:szCs w:val="24"/>
                <w:color w:val="auto"/>
              </w:rPr>
            </w:pPr>
          </w:p>
        </w:tc>
      </w:tr>
      <w:tr>
        <w:trPr>
          <w:trHeight w:val="523"/>
        </w:trPr>
        <w:tc>
          <w:tcPr>
            <w:tcW w:w="940" w:type="dxa"/>
            <w:vAlign w:val="bottom"/>
            <w:tcBorders>
              <w:right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320" w:type="dxa"/>
            <w:vAlign w:val="bottom"/>
            <w:tcBorders>
              <w:bottom w:val="single" w:sz="8" w:color="auto"/>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264"/>
        </w:trPr>
        <w:tc>
          <w:tcPr>
            <w:tcW w:w="94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320" w:type="dxa"/>
            <w:vAlign w:val="bottom"/>
          </w:tcPr>
          <w:p>
            <w:pPr>
              <w:ind w:left="240"/>
              <w:spacing w:after="0"/>
              <w:rPr>
                <w:sz w:val="20"/>
                <w:szCs w:val="20"/>
                <w:color w:val="auto"/>
              </w:rPr>
            </w:pPr>
            <w:r>
              <w:rPr>
                <w:rFonts w:ascii="Arial" w:cs="Arial" w:eastAsia="Arial" w:hAnsi="Arial"/>
                <w:sz w:val="16"/>
                <w:szCs w:val="16"/>
                <w:color w:val="auto"/>
              </w:rPr>
              <w:t>12</w:t>
            </w:r>
          </w:p>
        </w:tc>
        <w:tc>
          <w:tcPr>
            <w:tcW w:w="840" w:type="dxa"/>
            <w:vAlign w:val="bottom"/>
          </w:tcPr>
          <w:p>
            <w:pPr>
              <w:spacing w:after="0"/>
              <w:rPr>
                <w:sz w:val="22"/>
                <w:szCs w:val="22"/>
                <w:color w:val="auto"/>
              </w:rPr>
            </w:pPr>
          </w:p>
        </w:tc>
      </w:tr>
      <w:tr>
        <w:trPr>
          <w:trHeight w:val="348"/>
        </w:trPr>
        <w:tc>
          <w:tcPr>
            <w:tcW w:w="9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6157595</wp:posOffset>
            </wp:positionH>
            <wp:positionV relativeFrom="paragraph">
              <wp:posOffset>-6985</wp:posOffset>
            </wp:positionV>
            <wp:extent cx="762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-14605</wp:posOffset>
            </wp:positionV>
            <wp:extent cx="762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 w:name="page16"/>
    <w:bookmarkEnd w:id="15"/>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140970</wp:posOffset>
            </wp:positionV>
            <wp:extent cx="5053330" cy="73132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53330" cy="731329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4360"/>
        <w:spacing w:after="0"/>
        <w:tabs>
          <w:tab w:leader="none" w:pos="46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at a price of $0.01 per warrant;</w:t>
      </w:r>
    </w:p>
    <w:p>
      <w:pPr>
        <w:spacing w:after="0" w:line="110" w:lineRule="exact"/>
        <w:rPr>
          <w:sz w:val="20"/>
          <w:szCs w:val="20"/>
          <w:color w:val="auto"/>
        </w:rPr>
      </w:pPr>
    </w:p>
    <w:p>
      <w:pPr>
        <w:ind w:left="4360"/>
        <w:spacing w:after="0"/>
        <w:tabs>
          <w:tab w:leader="none" w:pos="46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upon a minimum of 30 days’ prior written notice of</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redemption, which we refer to as the 30-day redemption</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period; and</w:t>
      </w:r>
    </w:p>
    <w:p>
      <w:pPr>
        <w:spacing w:after="0" w:line="98" w:lineRule="exact"/>
        <w:rPr>
          <w:sz w:val="20"/>
          <w:szCs w:val="20"/>
          <w:color w:val="auto"/>
        </w:rPr>
      </w:pPr>
    </w:p>
    <w:p>
      <w:pPr>
        <w:ind w:left="4360"/>
        <w:spacing w:after="0"/>
        <w:tabs>
          <w:tab w:leader="none" w:pos="46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if, and only if, the closing price of our Class A common</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stock equals or exceeds $18.00 per share (as adjusted for</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stock splits, stock dividends, reorganizations,</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recapitalizations and the like) for any 20 trading days</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within a 30-trading day period ending on the third</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trading day prior to the date on which we send the notice</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of redemption to the warrant holders.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We will not redeem the warrants for cash unless a registration</w:t>
            </w:r>
          </w:p>
        </w:tc>
        <w:tc>
          <w:tcPr>
            <w:tcW w:w="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statement under the Securities Act covering the issuance of the</w:t>
            </w:r>
          </w:p>
        </w:tc>
        <w:tc>
          <w:tcPr>
            <w:tcW w:w="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shares of Class A common stock issuable upon exercise of the</w:t>
            </w:r>
          </w:p>
        </w:tc>
        <w:tc>
          <w:tcPr>
            <w:tcW w:w="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warrants is then effective and a current prospectus relating to</w:t>
            </w:r>
          </w:p>
        </w:tc>
        <w:tc>
          <w:tcPr>
            <w:tcW w:w="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those shares of common stock is available throughout the 30-day</w:t>
            </w:r>
          </w:p>
        </w:tc>
        <w:tc>
          <w:tcPr>
            <w:tcW w:w="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redemption period, except if the warrants may be exercised on a</w:t>
            </w:r>
          </w:p>
        </w:tc>
        <w:tc>
          <w:tcPr>
            <w:tcW w:w="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cashless basis and such cashless exercise is exempt from</w:t>
            </w:r>
          </w:p>
        </w:tc>
        <w:tc>
          <w:tcPr>
            <w:tcW w:w="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registration under the Securities Act. If and when the warrants</w:t>
            </w:r>
          </w:p>
        </w:tc>
        <w:tc>
          <w:tcPr>
            <w:tcW w:w="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become redeemable by us, we may exercise our redemption right</w:t>
            </w:r>
          </w:p>
        </w:tc>
        <w:tc>
          <w:tcPr>
            <w:tcW w:w="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even if we are unable to register or qualify the underlying</w:t>
            </w:r>
          </w:p>
        </w:tc>
        <w:tc>
          <w:tcPr>
            <w:tcW w:w="840" w:type="dxa"/>
            <w:vAlign w:val="bottom"/>
          </w:tcPr>
          <w:p>
            <w:pPr>
              <w:spacing w:after="0"/>
              <w:rPr>
                <w:sz w:val="17"/>
                <w:szCs w:val="17"/>
                <w:color w:val="auto"/>
              </w:rPr>
            </w:pPr>
          </w:p>
        </w:tc>
      </w:tr>
      <w:tr>
        <w:trPr>
          <w:trHeight w:val="207"/>
        </w:trPr>
        <w:tc>
          <w:tcPr>
            <w:tcW w:w="9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securities for sale under all applicable state securities laws.</w:t>
            </w:r>
          </w:p>
        </w:tc>
        <w:tc>
          <w:tcPr>
            <w:tcW w:w="840" w:type="dxa"/>
            <w:vAlign w:val="bottom"/>
          </w:tcPr>
          <w:p>
            <w:pPr>
              <w:spacing w:after="0"/>
              <w:rPr>
                <w:sz w:val="18"/>
                <w:szCs w:val="18"/>
                <w:color w:val="auto"/>
              </w:rPr>
            </w:pPr>
          </w:p>
        </w:tc>
      </w:tr>
      <w:tr>
        <w:trPr>
          <w:trHeight w:val="282"/>
        </w:trPr>
        <w:tc>
          <w:tcPr>
            <w:tcW w:w="920" w:type="dxa"/>
            <w:vAlign w:val="bottom"/>
          </w:tcPr>
          <w:p>
            <w:pPr>
              <w:spacing w:after="0"/>
              <w:rPr>
                <w:sz w:val="24"/>
                <w:szCs w:val="24"/>
                <w:color w:val="auto"/>
              </w:rPr>
            </w:pPr>
          </w:p>
        </w:tc>
        <w:tc>
          <w:tcPr>
            <w:tcW w:w="2600" w:type="dxa"/>
            <w:vAlign w:val="bottom"/>
          </w:tcPr>
          <w:p>
            <w:pPr>
              <w:ind w:left="240"/>
              <w:spacing w:after="0"/>
              <w:rPr>
                <w:sz w:val="20"/>
                <w:szCs w:val="20"/>
                <w:color w:val="auto"/>
              </w:rPr>
            </w:pPr>
            <w:r>
              <w:rPr>
                <w:rFonts w:ascii="Arial" w:cs="Arial" w:eastAsia="Arial" w:hAnsi="Arial"/>
                <w:sz w:val="16"/>
                <w:szCs w:val="16"/>
                <w:b w:val="1"/>
                <w:bCs w:val="1"/>
                <w:color w:val="auto"/>
              </w:rPr>
              <w:t>Cashless Exercise</w:t>
            </w:r>
          </w:p>
        </w:tc>
        <w:tc>
          <w:tcPr>
            <w:tcW w:w="5340" w:type="dxa"/>
            <w:vAlign w:val="bottom"/>
          </w:tcPr>
          <w:p>
            <w:pPr>
              <w:ind w:left="500"/>
              <w:spacing w:after="0"/>
              <w:rPr>
                <w:sz w:val="20"/>
                <w:szCs w:val="20"/>
                <w:color w:val="auto"/>
              </w:rPr>
            </w:pPr>
            <w:r>
              <w:rPr>
                <w:rFonts w:ascii="Arial" w:cs="Arial" w:eastAsia="Arial" w:hAnsi="Arial"/>
                <w:sz w:val="16"/>
                <w:szCs w:val="16"/>
                <w:color w:val="auto"/>
              </w:rPr>
              <w:t>If we call the warrants for redemption for cash, as described</w:t>
            </w:r>
          </w:p>
        </w:tc>
        <w:tc>
          <w:tcPr>
            <w:tcW w:w="8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above, our management will have the option to require all holders</w:t>
            </w:r>
          </w:p>
        </w:tc>
        <w:tc>
          <w:tcPr>
            <w:tcW w:w="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that wish to exercise warrants to do so on a “cashless basis.” In</w:t>
            </w:r>
          </w:p>
        </w:tc>
        <w:tc>
          <w:tcPr>
            <w:tcW w:w="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determining whether to require all holders to exercise their</w:t>
            </w:r>
          </w:p>
        </w:tc>
        <w:tc>
          <w:tcPr>
            <w:tcW w:w="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warrants on a “cashless basis,” our management will consider,</w:t>
            </w:r>
          </w:p>
        </w:tc>
        <w:tc>
          <w:tcPr>
            <w:tcW w:w="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among other factors, our cash position, the number of warrants</w:t>
            </w:r>
          </w:p>
        </w:tc>
        <w:tc>
          <w:tcPr>
            <w:tcW w:w="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that are outstanding and the dilutive effect on our stockholders of</w:t>
            </w:r>
          </w:p>
        </w:tc>
        <w:tc>
          <w:tcPr>
            <w:tcW w:w="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issuing the maximum number of shares of Class A common stock</w:t>
            </w:r>
          </w:p>
        </w:tc>
        <w:tc>
          <w:tcPr>
            <w:tcW w:w="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issuable upon the exercise of our warrants. In such event, each</w:t>
            </w:r>
          </w:p>
        </w:tc>
        <w:tc>
          <w:tcPr>
            <w:tcW w:w="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holder would pay the exercise price by surrendering the warrants</w:t>
            </w:r>
          </w:p>
        </w:tc>
        <w:tc>
          <w:tcPr>
            <w:tcW w:w="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for that number of shares of Class A common stock equal to the</w:t>
            </w:r>
          </w:p>
        </w:tc>
        <w:tc>
          <w:tcPr>
            <w:tcW w:w="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quotient obtained by dividing (x) the product of the number of</w:t>
            </w:r>
          </w:p>
        </w:tc>
        <w:tc>
          <w:tcPr>
            <w:tcW w:w="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shares of Class A common stock underlying the warrants,</w:t>
            </w:r>
          </w:p>
        </w:tc>
        <w:tc>
          <w:tcPr>
            <w:tcW w:w="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multiplied by the excess of the “fair market value” of our Class A</w:t>
            </w:r>
          </w:p>
        </w:tc>
        <w:tc>
          <w:tcPr>
            <w:tcW w:w="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common stock (defined above) over the exercise price of the</w:t>
            </w:r>
          </w:p>
        </w:tc>
        <w:tc>
          <w:tcPr>
            <w:tcW w:w="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warrants by (y) the fair market value. Please see “Description of</w:t>
            </w:r>
          </w:p>
        </w:tc>
        <w:tc>
          <w:tcPr>
            <w:tcW w:w="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Securities — Warrants — Public Stockholders’ Warrants” for</w:t>
            </w:r>
          </w:p>
        </w:tc>
        <w:tc>
          <w:tcPr>
            <w:tcW w:w="840" w:type="dxa"/>
            <w:vAlign w:val="bottom"/>
          </w:tcPr>
          <w:p>
            <w:pPr>
              <w:spacing w:after="0"/>
              <w:rPr>
                <w:sz w:val="17"/>
                <w:szCs w:val="17"/>
                <w:color w:val="auto"/>
              </w:rPr>
            </w:pPr>
          </w:p>
        </w:tc>
      </w:tr>
      <w:tr>
        <w:trPr>
          <w:trHeight w:val="207"/>
        </w:trPr>
        <w:tc>
          <w:tcPr>
            <w:tcW w:w="9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additional information.</w:t>
            </w:r>
          </w:p>
        </w:tc>
        <w:tc>
          <w:tcPr>
            <w:tcW w:w="840" w:type="dxa"/>
            <w:vAlign w:val="bottom"/>
          </w:tcPr>
          <w:p>
            <w:pPr>
              <w:spacing w:after="0"/>
              <w:rPr>
                <w:sz w:val="18"/>
                <w:szCs w:val="18"/>
                <w:color w:val="auto"/>
              </w:rPr>
            </w:pPr>
          </w:p>
        </w:tc>
      </w:tr>
      <w:tr>
        <w:trPr>
          <w:trHeight w:val="278"/>
        </w:trPr>
        <w:tc>
          <w:tcPr>
            <w:tcW w:w="920" w:type="dxa"/>
            <w:vAlign w:val="bottom"/>
          </w:tcPr>
          <w:p>
            <w:pPr>
              <w:spacing w:after="0"/>
              <w:rPr>
                <w:sz w:val="24"/>
                <w:szCs w:val="24"/>
                <w:color w:val="auto"/>
              </w:rPr>
            </w:pPr>
          </w:p>
        </w:tc>
        <w:tc>
          <w:tcPr>
            <w:tcW w:w="2600" w:type="dxa"/>
            <w:vAlign w:val="bottom"/>
          </w:tcPr>
          <w:p>
            <w:pPr>
              <w:ind w:left="240"/>
              <w:spacing w:after="0"/>
              <w:rPr>
                <w:sz w:val="20"/>
                <w:szCs w:val="20"/>
                <w:color w:val="auto"/>
              </w:rPr>
            </w:pPr>
            <w:r>
              <w:rPr>
                <w:rFonts w:ascii="Arial" w:cs="Arial" w:eastAsia="Arial" w:hAnsi="Arial"/>
                <w:sz w:val="16"/>
                <w:szCs w:val="16"/>
                <w:b w:val="1"/>
                <w:bCs w:val="1"/>
                <w:color w:val="auto"/>
              </w:rPr>
              <w:t>Election of directors; voting</w:t>
            </w:r>
          </w:p>
        </w:tc>
        <w:tc>
          <w:tcPr>
            <w:tcW w:w="5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0"/>
        </w:trPr>
        <w:tc>
          <w:tcPr>
            <w:tcW w:w="920" w:type="dxa"/>
            <w:vAlign w:val="bottom"/>
          </w:tcPr>
          <w:p>
            <w:pPr>
              <w:spacing w:after="0"/>
              <w:rPr>
                <w:sz w:val="17"/>
                <w:szCs w:val="17"/>
                <w:color w:val="auto"/>
              </w:rPr>
            </w:pPr>
          </w:p>
        </w:tc>
        <w:tc>
          <w:tcPr>
            <w:tcW w:w="2600" w:type="dxa"/>
            <w:vAlign w:val="bottom"/>
          </w:tcPr>
          <w:p>
            <w:pPr>
              <w:ind w:left="400"/>
              <w:spacing w:after="0"/>
              <w:rPr>
                <w:sz w:val="20"/>
                <w:szCs w:val="20"/>
                <w:color w:val="auto"/>
              </w:rPr>
            </w:pPr>
            <w:r>
              <w:rPr>
                <w:rFonts w:ascii="Arial" w:cs="Arial" w:eastAsia="Arial" w:hAnsi="Arial"/>
                <w:sz w:val="16"/>
                <w:szCs w:val="16"/>
                <w:b w:val="1"/>
                <w:bCs w:val="1"/>
                <w:color w:val="auto"/>
              </w:rPr>
              <w:t>rights</w:t>
            </w:r>
          </w:p>
        </w:tc>
        <w:tc>
          <w:tcPr>
            <w:tcW w:w="5340" w:type="dxa"/>
            <w:vAlign w:val="bottom"/>
          </w:tcPr>
          <w:p>
            <w:pPr>
              <w:ind w:left="500"/>
              <w:spacing w:after="0"/>
              <w:rPr>
                <w:sz w:val="20"/>
                <w:szCs w:val="20"/>
                <w:color w:val="auto"/>
              </w:rPr>
            </w:pPr>
            <w:r>
              <w:rPr>
                <w:rFonts w:ascii="Arial" w:cs="Arial" w:eastAsia="Arial" w:hAnsi="Arial"/>
                <w:sz w:val="16"/>
                <w:szCs w:val="16"/>
                <w:color w:val="auto"/>
              </w:rPr>
              <w:t>Prior to the consummation of our initial business combination,</w:t>
            </w:r>
          </w:p>
        </w:tc>
        <w:tc>
          <w:tcPr>
            <w:tcW w:w="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only holders of our Class B common stock will have the right to</w:t>
            </w:r>
          </w:p>
        </w:tc>
        <w:tc>
          <w:tcPr>
            <w:tcW w:w="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vote on the election of directors. Holders of the Class A common</w:t>
            </w:r>
          </w:p>
        </w:tc>
        <w:tc>
          <w:tcPr>
            <w:tcW w:w="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stock will not be entitled to vote on the election of directors</w:t>
            </w:r>
          </w:p>
        </w:tc>
        <w:tc>
          <w:tcPr>
            <w:tcW w:w="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during such time. These provisions of our amended and restated</w:t>
            </w:r>
          </w:p>
        </w:tc>
        <w:tc>
          <w:tcPr>
            <w:tcW w:w="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certificate of incorporation may only be amended if approved by a</w:t>
            </w:r>
          </w:p>
        </w:tc>
        <w:tc>
          <w:tcPr>
            <w:tcW w:w="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majority of at least 90% of our common stock voting at a</w:t>
            </w:r>
          </w:p>
        </w:tc>
        <w:tc>
          <w:tcPr>
            <w:tcW w:w="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stockholder meeting. With respect to any other matter submitted</w:t>
            </w:r>
          </w:p>
        </w:tc>
        <w:tc>
          <w:tcPr>
            <w:tcW w:w="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to a vote of our stockholders, including any vote in connection</w:t>
            </w:r>
          </w:p>
        </w:tc>
        <w:tc>
          <w:tcPr>
            <w:tcW w:w="840" w:type="dxa"/>
            <w:vAlign w:val="bottom"/>
          </w:tcPr>
          <w:p>
            <w:pPr>
              <w:spacing w:after="0"/>
              <w:rPr>
                <w:sz w:val="17"/>
                <w:szCs w:val="17"/>
                <w:color w:val="auto"/>
              </w:rPr>
            </w:pPr>
          </w:p>
        </w:tc>
      </w:tr>
      <w:tr>
        <w:trPr>
          <w:trHeight w:val="207"/>
        </w:trPr>
        <w:tc>
          <w:tcPr>
            <w:tcW w:w="9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340" w:type="dxa"/>
            <w:vAlign w:val="bottom"/>
          </w:tcPr>
          <w:p>
            <w:pPr>
              <w:ind w:left="500"/>
              <w:spacing w:after="0"/>
              <w:rPr>
                <w:sz w:val="20"/>
                <w:szCs w:val="20"/>
                <w:color w:val="auto"/>
              </w:rPr>
            </w:pPr>
            <w:r>
              <w:rPr>
                <w:rFonts w:ascii="Arial" w:cs="Arial" w:eastAsia="Arial" w:hAnsi="Arial"/>
                <w:sz w:val="16"/>
                <w:szCs w:val="16"/>
                <w:color w:val="auto"/>
              </w:rPr>
              <w:t>with our initial business combination, except as required by</w:t>
            </w:r>
          </w:p>
        </w:tc>
        <w:tc>
          <w:tcPr>
            <w:tcW w:w="840" w:type="dxa"/>
            <w:vAlign w:val="bottom"/>
          </w:tcPr>
          <w:p>
            <w:pPr>
              <w:spacing w:after="0"/>
              <w:rPr>
                <w:sz w:val="18"/>
                <w:szCs w:val="18"/>
                <w:color w:val="auto"/>
              </w:rPr>
            </w:pPr>
          </w:p>
        </w:tc>
      </w:tr>
      <w:tr>
        <w:trPr>
          <w:trHeight w:val="633"/>
        </w:trPr>
        <w:tc>
          <w:tcPr>
            <w:tcW w:w="920" w:type="dxa"/>
            <w:vAlign w:val="bottom"/>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264"/>
        </w:trPr>
        <w:tc>
          <w:tcPr>
            <w:tcW w:w="9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5340" w:type="dxa"/>
            <w:vAlign w:val="bottom"/>
          </w:tcPr>
          <w:p>
            <w:pPr>
              <w:ind w:left="1260"/>
              <w:spacing w:after="0"/>
              <w:rPr>
                <w:sz w:val="20"/>
                <w:szCs w:val="20"/>
                <w:color w:val="auto"/>
              </w:rPr>
            </w:pPr>
            <w:r>
              <w:rPr>
                <w:rFonts w:ascii="Arial" w:cs="Arial" w:eastAsia="Arial" w:hAnsi="Arial"/>
                <w:sz w:val="16"/>
                <w:szCs w:val="16"/>
                <w:color w:val="auto"/>
              </w:rPr>
              <w:t>13</w:t>
            </w:r>
          </w:p>
        </w:tc>
        <w:tc>
          <w:tcPr>
            <w:tcW w:w="840" w:type="dxa"/>
            <w:vAlign w:val="bottom"/>
          </w:tcPr>
          <w:p>
            <w:pPr>
              <w:spacing w:after="0"/>
              <w:rPr>
                <w:sz w:val="22"/>
                <w:szCs w:val="22"/>
                <w:color w:val="auto"/>
              </w:rPr>
            </w:pPr>
          </w:p>
        </w:tc>
      </w:tr>
      <w:tr>
        <w:trPr>
          <w:trHeight w:val="348"/>
        </w:trPr>
        <w:tc>
          <w:tcPr>
            <w:tcW w:w="9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6157595</wp:posOffset>
            </wp:positionH>
            <wp:positionV relativeFrom="paragraph">
              <wp:posOffset>-6985</wp:posOffset>
            </wp:positionV>
            <wp:extent cx="762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-14605</wp:posOffset>
            </wp:positionV>
            <wp:extent cx="762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6" w:name="page17"/>
    <w:bookmarkEnd w:id="16"/>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140970</wp:posOffset>
            </wp:positionV>
            <wp:extent cx="5053330" cy="73132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53330" cy="731329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applicable law or stock exchange rule, holders of our Class A</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common stock and holders of our Class B common stock will vote</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together as a single class, with each share entitling the holder to</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one vote.</w:t>
      </w:r>
    </w:p>
    <w:p>
      <w:pPr>
        <w:sectPr>
          <w:pgSz w:w="11900" w:h="16838" w:orient="portrait"/>
          <w:cols w:equalWidth="0" w:num="1">
            <w:col w:w="10139"/>
          </w:cols>
          <w:pgMar w:left="320" w:top="131" w:right="1440" w:bottom="1440" w:gutter="0" w:footer="0" w:header="0"/>
        </w:sectPr>
      </w:pPr>
    </w:p>
    <w:p>
      <w:pPr>
        <w:spacing w:after="0" w:line="94"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auto"/>
        </w:rPr>
        <w:t>Founder shares</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1559"/>
        <w:spacing w:after="0" w:line="274" w:lineRule="auto"/>
        <w:rPr>
          <w:sz w:val="20"/>
          <w:szCs w:val="20"/>
          <w:color w:val="auto"/>
        </w:rPr>
      </w:pPr>
      <w:r>
        <w:rPr>
          <w:rFonts w:ascii="Arial" w:cs="Arial" w:eastAsia="Arial" w:hAnsi="Arial"/>
          <w:sz w:val="15"/>
          <w:szCs w:val="15"/>
          <w:color w:val="auto"/>
        </w:rPr>
        <w:t>In May 2020, our sponsor purchased an aggregate of 21,562,500 founder shares for an aggregate purchase price of $25,000, or approximately $0.001 per share. On July 14, 2020, we effected a stock dividend of one-third of a share of Class B common stock for each outstanding share of Class B common stock, resulting in our initial stockholders holding an aggregate of 28,750,000 founder shares. On July 27, 2020, we effected a stock dividend of 0.50 of a share of Class B common stock for each outstanding share of Class B common stock, resulting in our initial stockholders holding an aggregate of 43,125,000 founder shares. The number of founder shares issued was determined based on the expectation that the founder shares would represent 20% of the outstanding shares of common stock upon the completion of this offering. Prior to the initial investment in the company of $25,000 by our sponsor, the company had no assets, tangible or intangible. The purchase price of the founder shares was determined by dividing the amount of cash contributed to us by the number of founder shares issued. If we increase or decrease the size of this offering, we will effect a stock dividend or a share contribution back to capital or other appropriate mechanism, as applicable, with respect to our Class B common stock immediately prior to the consummation of this offering in such amount as to maintain the ownership of founder shares by our initial stockholders at 20% of our issued and outstanding shares of our common stock upon the consummation of this offering.</w:t>
      </w:r>
    </w:p>
    <w:p>
      <w:pPr>
        <w:spacing w:after="0" w:line="200" w:lineRule="exact"/>
        <w:rPr>
          <w:sz w:val="20"/>
          <w:szCs w:val="20"/>
          <w:color w:val="auto"/>
        </w:rPr>
      </w:pPr>
    </w:p>
    <w:p>
      <w:pPr>
        <w:sectPr>
          <w:pgSz w:w="11900" w:h="16838" w:orient="portrait"/>
          <w:cols w:equalWidth="0" w:num="2">
            <w:col w:w="3300" w:space="720"/>
            <w:col w:w="6119"/>
          </w:cols>
          <w:pgMar w:left="320" w:top="131" w:right="1440" w:bottom="1440" w:gutter="0" w:footer="0" w:header="0"/>
          <w:type w:val="continuous"/>
        </w:sectPr>
      </w:pPr>
    </w:p>
    <w:p>
      <w:pPr>
        <w:spacing w:after="0" w:line="64"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The founder shares are subject to forfeiture by our sponsor</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depending on the extent to which the underwriters’ option to</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purchase additional units is exercised.</w:t>
      </w:r>
    </w:p>
    <w:p>
      <w:pPr>
        <w:spacing w:after="0" w:line="98"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The founder shares are identical to the shares of Class A common</w:t>
      </w:r>
    </w:p>
    <w:p>
      <w:pPr>
        <w:spacing w:after="0" w:line="35"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stock included in the units being sold in this offering, except that:</w:t>
      </w:r>
    </w:p>
    <w:p>
      <w:pPr>
        <w:sectPr>
          <w:pgSz w:w="11900" w:h="16838" w:orient="portrait"/>
          <w:cols w:equalWidth="0" w:num="1">
            <w:col w:w="10139"/>
          </w:cols>
          <w:pgMar w:left="320" w:top="131" w:right="1440" w:bottom="1440" w:gutter="0" w:footer="0" w:header="0"/>
          <w:type w:val="continuous"/>
        </w:sectPr>
      </w:pPr>
    </w:p>
    <w:p>
      <w:pPr>
        <w:spacing w:after="0" w:line="109" w:lineRule="exact"/>
        <w:rPr>
          <w:sz w:val="20"/>
          <w:szCs w:val="20"/>
          <w:color w:val="auto"/>
        </w:rPr>
      </w:pPr>
    </w:p>
    <w:p>
      <w:pPr>
        <w:ind w:left="436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right="1639"/>
        <w:spacing w:after="0" w:line="270" w:lineRule="auto"/>
        <w:rPr>
          <w:sz w:val="20"/>
          <w:szCs w:val="20"/>
          <w:color w:val="auto"/>
        </w:rPr>
      </w:pPr>
      <w:r>
        <w:rPr>
          <w:rFonts w:ascii="Arial" w:cs="Arial" w:eastAsia="Arial" w:hAnsi="Arial"/>
          <w:sz w:val="16"/>
          <w:szCs w:val="16"/>
          <w:color w:val="auto"/>
        </w:rPr>
        <w:t>only holders of the founder shares have the right to vote on the election and removal of directors prior to the consummation of our initial business combination;</w:t>
      </w:r>
    </w:p>
    <w:p>
      <w:pPr>
        <w:spacing w:after="0" w:line="64" w:lineRule="exact"/>
        <w:rPr>
          <w:sz w:val="20"/>
          <w:szCs w:val="20"/>
          <w:color w:val="auto"/>
        </w:rPr>
      </w:pPr>
    </w:p>
    <w:p>
      <w:pPr>
        <w:sectPr>
          <w:pgSz w:w="11900" w:h="16838" w:orient="portrait"/>
          <w:cols w:equalWidth="0" w:num="2">
            <w:col w:w="4400" w:space="280"/>
            <w:col w:w="5459"/>
          </w:cols>
          <w:pgMar w:left="320" w:top="131" w:right="1440" w:bottom="1440" w:gutter="0" w:footer="0" w:header="0"/>
          <w:type w:val="continuous"/>
        </w:sectPr>
      </w:pPr>
    </w:p>
    <w:p>
      <w:pPr>
        <w:ind w:left="436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ind w:right="2179"/>
        <w:spacing w:after="0" w:line="320" w:lineRule="auto"/>
        <w:rPr>
          <w:sz w:val="20"/>
          <w:szCs w:val="20"/>
          <w:color w:val="auto"/>
        </w:rPr>
      </w:pPr>
      <w:r>
        <w:rPr>
          <w:rFonts w:ascii="Arial" w:cs="Arial" w:eastAsia="Arial" w:hAnsi="Arial"/>
          <w:sz w:val="15"/>
          <w:szCs w:val="15"/>
          <w:color w:val="auto"/>
        </w:rPr>
        <w:t>the founder shares are subject to certain transfer restrictions, as described in more detail below;</w:t>
      </w:r>
    </w:p>
    <w:p>
      <w:pPr>
        <w:spacing w:after="0" w:line="29" w:lineRule="exact"/>
        <w:rPr>
          <w:sz w:val="20"/>
          <w:szCs w:val="20"/>
          <w:color w:val="auto"/>
        </w:rPr>
      </w:pPr>
    </w:p>
    <w:p>
      <w:pPr>
        <w:sectPr>
          <w:pgSz w:w="11900" w:h="16838" w:orient="portrait"/>
          <w:cols w:equalWidth="0" w:num="2">
            <w:col w:w="4400" w:space="280"/>
            <w:col w:w="5459"/>
          </w:cols>
          <w:pgMar w:left="320" w:top="131" w:right="1440" w:bottom="1440" w:gutter="0" w:footer="0" w:header="0"/>
          <w:type w:val="continuous"/>
        </w:sectPr>
      </w:pPr>
    </w:p>
    <w:p>
      <w:pPr>
        <w:ind w:left="436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ind w:right="1599"/>
        <w:spacing w:after="0" w:line="276" w:lineRule="auto"/>
        <w:rPr>
          <w:sz w:val="20"/>
          <w:szCs w:val="20"/>
          <w:color w:val="auto"/>
        </w:rPr>
      </w:pPr>
      <w:r>
        <w:rPr>
          <w:rFonts w:ascii="Arial" w:cs="Arial" w:eastAsia="Arial" w:hAnsi="Arial"/>
          <w:sz w:val="15"/>
          <w:szCs w:val="15"/>
          <w:color w:val="auto"/>
        </w:rPr>
        <w:t>our sponsor, officers and directors have entered into letter agreements with us, pursuant to which they have agreed: (1) to waive their redemption rights with respect to any founder shares and public shares held by them, as</w:t>
      </w:r>
    </w:p>
    <w:p>
      <w:pPr>
        <w:spacing w:after="0" w:line="1" w:lineRule="exact"/>
        <w:rPr>
          <w:sz w:val="20"/>
          <w:szCs w:val="20"/>
          <w:color w:val="auto"/>
        </w:rPr>
      </w:pPr>
    </w:p>
    <w:p>
      <w:pPr>
        <w:sectPr>
          <w:pgSz w:w="11900" w:h="16838" w:orient="portrait"/>
          <w:cols w:equalWidth="0" w:num="2">
            <w:col w:w="4400" w:space="280"/>
            <w:col w:w="5459"/>
          </w:cols>
          <w:pgMar w:left="320" w:top="131" w:right="1440" w:bottom="1440" w:gutter="0" w:footer="0" w:header="0"/>
          <w:type w:val="continuous"/>
        </w:sectPr>
      </w:pPr>
    </w:p>
    <w:p>
      <w:pPr>
        <w:ind w:left="4680"/>
        <w:spacing w:after="0"/>
        <w:rPr>
          <w:sz w:val="20"/>
          <w:szCs w:val="20"/>
          <w:color w:val="auto"/>
        </w:rPr>
      </w:pPr>
      <w:r>
        <w:rPr>
          <w:rFonts w:ascii="Arial" w:cs="Arial" w:eastAsia="Arial" w:hAnsi="Arial"/>
          <w:sz w:val="16"/>
          <w:szCs w:val="16"/>
          <w:color w:val="auto"/>
        </w:rPr>
        <w:t>applicable, in connection with the completion of our</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initial business combination; (2) to waive their</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5"/>
          <w:szCs w:val="15"/>
          <w:color w:val="auto"/>
        </w:rPr>
        <w:t>redemption rights with respect to any founder shares and</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public shares held by them in connection with a</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stockholder vote to approve an amendment to our</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amended and restated certificate of incorporation to</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modify the substance or timing of our obligation to</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provide for the redemption of our public shares in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7" w:name="page18"/>
    <w:bookmarkEnd w:id="17"/>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140970</wp:posOffset>
            </wp:positionV>
            <wp:extent cx="5053330" cy="73132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53330" cy="731329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connection with an initial business combination or to</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redeem 100% of our public shares if we have not</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5"/>
          <w:szCs w:val="15"/>
          <w:color w:val="auto"/>
        </w:rPr>
        <w:t>consummated our initial business combination within the</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completion window; and (3) to waive their rights to</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liquidating distributions from the trust account with</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respect to any founder shares they hold if we fail to</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complete our initial business combination within the</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completion window (although they will be entitled to</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liquidating distributions from the trust account with</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respect to any public shares they hold if we fail to</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complete our initial business combination within the</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completion window). If we submit our initial business</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combination to our public stockholders for a vote, our</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5"/>
          <w:szCs w:val="15"/>
          <w:color w:val="auto"/>
        </w:rPr>
        <w:t>initial stockholders, officers and directors have agreed to</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vote any founder shares and any public shares held by</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them in favor of our initial business combination. As a</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result, in addition to our initial stockholders’ founder</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shares, we would need 56,250,001, or 37.5%, of the</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150,000,000 public shares sold in this offering to be</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voted in favor of an initial business combination</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(assuming all issued and outstanding shares are voted</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5"/>
          <w:szCs w:val="15"/>
          <w:color w:val="auto"/>
        </w:rPr>
        <w:t>and the underwriters’ option to purchase additional units</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is not exercised) in order to have such initial business</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combination approved;</w:t>
      </w:r>
    </w:p>
    <w:p>
      <w:pPr>
        <w:spacing w:after="0" w:line="98" w:lineRule="exact"/>
        <w:rPr>
          <w:sz w:val="20"/>
          <w:szCs w:val="20"/>
          <w:color w:val="auto"/>
        </w:rPr>
      </w:pPr>
    </w:p>
    <w:p>
      <w:pPr>
        <w:ind w:left="4360"/>
        <w:spacing w:after="0"/>
        <w:tabs>
          <w:tab w:leader="none" w:pos="46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founder shares are automatically convertible into</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shares of our Class A common stock at the time of our</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initial business combination, on a one-for-one basis,</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subject to adjustment pursuant to certain anti-dilution</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rights, as described in more detail below; and</w:t>
      </w:r>
    </w:p>
    <w:p>
      <w:pPr>
        <w:spacing w:after="0" w:line="98" w:lineRule="exact"/>
        <w:rPr>
          <w:sz w:val="20"/>
          <w:szCs w:val="20"/>
          <w:color w:val="auto"/>
        </w:rPr>
      </w:pPr>
    </w:p>
    <w:p>
      <w:pPr>
        <w:ind w:left="4360"/>
        <w:spacing w:after="0"/>
        <w:tabs>
          <w:tab w:leader="none" w:pos="46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holders of the founder shares are entitled to</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registration rights.</w:t>
      </w:r>
    </w:p>
    <w:p>
      <w:pPr>
        <w:spacing w:after="0" w:line="94"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Transfer restrictions on founder</w:t>
      </w:r>
    </w:p>
    <w:p>
      <w:pPr>
        <w:spacing w:after="0" w:line="27" w:lineRule="exact"/>
        <w:rPr>
          <w:sz w:val="20"/>
          <w:szCs w:val="20"/>
          <w:color w:val="auto"/>
        </w:rPr>
      </w:pPr>
    </w:p>
    <w:p>
      <w:pPr>
        <w:ind w:left="4020" w:right="1559" w:hanging="2699"/>
        <w:spacing w:after="0" w:line="256" w:lineRule="auto"/>
        <w:tabs>
          <w:tab w:leader="none" w:pos="4000" w:val="left"/>
        </w:tabs>
        <w:rPr>
          <w:sz w:val="20"/>
          <w:szCs w:val="20"/>
          <w:color w:val="auto"/>
        </w:rPr>
      </w:pPr>
      <w:r>
        <w:rPr>
          <w:rFonts w:ascii="Arial" w:cs="Arial" w:eastAsia="Arial" w:hAnsi="Arial"/>
          <w:sz w:val="16"/>
          <w:szCs w:val="16"/>
          <w:b w:val="1"/>
          <w:bCs w:val="1"/>
          <w:color w:val="auto"/>
        </w:rPr>
        <w:t>share</w:t>
      </w:r>
      <w:r>
        <w:rPr>
          <w:sz w:val="20"/>
          <w:szCs w:val="20"/>
          <w:color w:val="auto"/>
        </w:rPr>
        <w:tab/>
      </w:r>
      <w:r>
        <w:rPr>
          <w:rFonts w:ascii="Arial" w:cs="Arial" w:eastAsia="Arial" w:hAnsi="Arial"/>
          <w:sz w:val="16"/>
          <w:szCs w:val="16"/>
          <w:color w:val="auto"/>
        </w:rPr>
        <w:t>Our sponsor, founder, officers and directors have agreed not to transfer, assign or sell any founder shares held by them until the earlier to occur of: (1) one year after the completion of our initial business combination; or (2) the date on which we complete a liquidation, merger, stock exchange, reorganization or other similar transaction after our initial business combination that results in all of our public stockholders having the right to exchange their shares of common stock for cash, securities or other property (except as described herein under “Principal Stockholders — Transfers of Founder Shares and Private Placement Warrants”). Any permitted transferees would be subject to the same restrictions and other agreements of our sponsor with respect to any founder shares. We refer to such transfer restrictions throughout this prospectus as the lock-up.</w:t>
      </w:r>
    </w:p>
    <w:p>
      <w:pPr>
        <w:spacing w:after="0" w:line="78"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Notwithstanding the foregoing, if the closing price of our common</w:t>
      </w:r>
    </w:p>
    <w:p>
      <w:pPr>
        <w:spacing w:after="0" w:line="35"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stock equals or exceeds $12.00 per share (as adjusted for stock</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splits, stock dividends, reorganizations, recapitalizations and the</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like) for any 20 trading days within any 30-trading day period</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commencing at least 150 days after our initial business</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combination, the founder shares will be released from the lock-up.</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8" w:name="page19"/>
    <w:bookmarkEnd w:id="18"/>
    <w:p>
      <w:pPr>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147955</wp:posOffset>
            </wp:positionV>
            <wp:extent cx="5053330" cy="73132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53330" cy="731329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auto"/>
        </w:rPr>
        <w:t>Founder shares conversation and</w:t>
      </w:r>
    </w:p>
    <w:p>
      <w:pPr>
        <w:spacing w:after="0" w:line="62"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anti-dilution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559"/>
        <w:spacing w:after="0" w:line="274" w:lineRule="auto"/>
        <w:rPr>
          <w:sz w:val="20"/>
          <w:szCs w:val="20"/>
          <w:color w:val="auto"/>
        </w:rPr>
      </w:pPr>
      <w:r>
        <w:rPr>
          <w:rFonts w:ascii="Arial" w:cs="Arial" w:eastAsia="Arial" w:hAnsi="Arial"/>
          <w:sz w:val="15"/>
          <w:szCs w:val="15"/>
          <w:color w:val="auto"/>
        </w:rPr>
        <w:t>The shares of Class B common stock will automatically convert into shares of Class A common stock at the time of our initial business combination on a one-for-one basis, subject to adjustment as provided herein. In the case that additional shares of Class A common stock, or equity-linked securities, are issued or deemed issued in excess of the amounts sold in this offering and related to the closing of our initial business combination, the ratio at which shares of Class B common stock shall convert into shares of Class A common stock will be adjusted (unless the holders of a majority of the outstanding shares of Class B common stock agree to waive such anti-dilution adjustment with respect to any such issuance or deemed issuance) so that the number of shares of Class A common stock issuable upon conversion of all shares of Class B common stock will equal, in the aggregate, on an as-converted basis, 20% of the total number of all shares of common stock outstanding upon completion of this offering plus all shares of Class A common stock and equity-linked securities issued or deemed issued in connection with our initial business combination (net of the number of shares of Class A common stock redeemed in connection with our initial business combination), excluding any shares or equity-linked securities issued, or to be issued, to any seller in our initial business combination in consideration for such seller’s interest in the business combination target and any private placement warrants issued upon the conversion of working capital loans made to us.</w:t>
      </w:r>
    </w:p>
    <w:p>
      <w:pPr>
        <w:spacing w:after="0" w:line="200" w:lineRule="exact"/>
        <w:rPr>
          <w:sz w:val="20"/>
          <w:szCs w:val="20"/>
          <w:color w:val="auto"/>
        </w:rPr>
      </w:pPr>
    </w:p>
    <w:p>
      <w:pPr>
        <w:sectPr>
          <w:pgSz w:w="11900" w:h="16838" w:orient="portrait"/>
          <w:cols w:equalWidth="0" w:num="2">
            <w:col w:w="3360" w:space="660"/>
            <w:col w:w="6119"/>
          </w:cols>
          <w:pgMar w:left="320" w:top="132" w:right="1440" w:bottom="1440" w:gutter="0" w:footer="0" w:header="0"/>
          <w:type w:val="continuous"/>
        </w:sectPr>
      </w:pPr>
    </w:p>
    <w:p>
      <w:pPr>
        <w:spacing w:after="0" w:line="60"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Private placement warrants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right="1599"/>
        <w:spacing w:after="0" w:line="274" w:lineRule="auto"/>
        <w:rPr>
          <w:sz w:val="20"/>
          <w:szCs w:val="20"/>
          <w:color w:val="auto"/>
        </w:rPr>
      </w:pPr>
      <w:r>
        <w:rPr>
          <w:rFonts w:ascii="Arial" w:cs="Arial" w:eastAsia="Arial" w:hAnsi="Arial"/>
          <w:sz w:val="15"/>
          <w:szCs w:val="15"/>
          <w:color w:val="auto"/>
        </w:rPr>
        <w:t>Our sponsor has subscribed to purchase an aggregate of 31,350,000 private placement warrants (or 35,850,000 if the underwriters’ option to purchase additional units is exercised in full) at a price of $1.00 per warrant ($31,350,000 in the aggregate or $35,850,000 in the aggregate if the underwriters’ option to purchase additional units is exercised in full) in the Private Placement. Each private placement warrant entitles the holder thereof to purchase one share of Class A common stock at a price of $11.50 per share, subject to adjustment as provided herein. A portion of the purchase price of the private placement warrants will be added to the proceeds from this offering to be held in the trust account. If we do not complete our initial business combination within the completion window, the proceeds of the sale of the private placement warrants held in the trust account will be used to fund the redemption of our public shares (subject to the requirements of applicable law) and the private placement warrants will expire worthless. The private placement warrants will not be redeemable by us so long as they are held by our sponsor or its permitted transferees (except as described below under “Principal Stockholders — Transfers of Founder Shares and Private Placement Warrants”). If the private placement warrants are held by holders other than our sponsor or its permitted transferees, the private placement warrants will be redeemable by us and exercisable by the holders on the same basis</w:t>
      </w:r>
    </w:p>
    <w:p>
      <w:pPr>
        <w:spacing w:after="0" w:line="200" w:lineRule="exact"/>
        <w:rPr>
          <w:sz w:val="20"/>
          <w:szCs w:val="20"/>
          <w:color w:val="auto"/>
        </w:rPr>
      </w:pPr>
    </w:p>
    <w:p>
      <w:pPr>
        <w:sectPr>
          <w:pgSz w:w="11900" w:h="16838" w:orient="portrait"/>
          <w:cols w:equalWidth="0" w:num="2">
            <w:col w:w="3300" w:space="720"/>
            <w:col w:w="611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247650</wp:posOffset>
            </wp:positionV>
            <wp:extent cx="616648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 w:name="page20"/>
    <w:bookmarkEnd w:id="19"/>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140970</wp:posOffset>
            </wp:positionV>
            <wp:extent cx="5053330" cy="73132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053330" cy="731329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as the warrants included in the units being sold as part of this</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offering. Our sponsor, as well as its permitted transferees, have</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the option to exercise the private placement warrants on a cashless</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basis.</w:t>
      </w:r>
    </w:p>
    <w:p>
      <w:pPr>
        <w:spacing w:after="0" w:line="94"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Transfer restrictions on private</w:t>
      </w:r>
    </w:p>
    <w:p>
      <w:pPr>
        <w:spacing w:after="0" w:line="27" w:lineRule="exact"/>
        <w:rPr>
          <w:sz w:val="20"/>
          <w:szCs w:val="20"/>
          <w:color w:val="auto"/>
        </w:rPr>
      </w:pPr>
    </w:p>
    <w:p>
      <w:pPr>
        <w:ind w:left="4020" w:right="1699" w:hanging="2706"/>
        <w:spacing w:after="0" w:line="257" w:lineRule="auto"/>
        <w:tabs>
          <w:tab w:leader="none" w:pos="4000" w:val="left"/>
        </w:tabs>
        <w:rPr>
          <w:sz w:val="20"/>
          <w:szCs w:val="20"/>
          <w:color w:val="auto"/>
        </w:rPr>
      </w:pPr>
      <w:r>
        <w:rPr>
          <w:rFonts w:ascii="Arial" w:cs="Arial" w:eastAsia="Arial" w:hAnsi="Arial"/>
          <w:sz w:val="16"/>
          <w:szCs w:val="16"/>
          <w:b w:val="1"/>
          <w:bCs w:val="1"/>
          <w:color w:val="auto"/>
        </w:rPr>
        <w:t>placement warrants</w:t>
      </w:r>
      <w:r>
        <w:rPr>
          <w:sz w:val="20"/>
          <w:szCs w:val="20"/>
          <w:color w:val="auto"/>
        </w:rPr>
        <w:tab/>
      </w:r>
      <w:r>
        <w:rPr>
          <w:rFonts w:ascii="Arial" w:cs="Arial" w:eastAsia="Arial" w:hAnsi="Arial"/>
          <w:sz w:val="16"/>
          <w:szCs w:val="16"/>
          <w:color w:val="auto"/>
        </w:rPr>
        <w:t>The private placement warrants (including the Class A common stock issuable upon exercise of the private placement warrants) will not be transferable, assignable or salable until 30 days after the completion of our initial business combination (except as described under the section of this prospectus entitled “Principal Stockholders — Transfers of Founder Shares and Private Placement Warrants”).</w:t>
      </w:r>
    </w:p>
    <w:p>
      <w:pPr>
        <w:spacing w:after="0" w:line="73"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Proceeds to be held in trust</w:t>
      </w:r>
    </w:p>
    <w:p>
      <w:pPr>
        <w:spacing w:after="0" w:line="27" w:lineRule="exact"/>
        <w:rPr>
          <w:sz w:val="20"/>
          <w:szCs w:val="20"/>
          <w:color w:val="auto"/>
        </w:rPr>
      </w:pPr>
    </w:p>
    <w:p>
      <w:pPr>
        <w:ind w:left="4020" w:right="1619" w:hanging="2699"/>
        <w:spacing w:after="0" w:line="274" w:lineRule="auto"/>
        <w:tabs>
          <w:tab w:leader="none" w:pos="4000" w:val="left"/>
        </w:tabs>
        <w:rPr>
          <w:sz w:val="20"/>
          <w:szCs w:val="20"/>
          <w:color w:val="auto"/>
        </w:rPr>
      </w:pPr>
      <w:r>
        <w:rPr>
          <w:rFonts w:ascii="Arial" w:cs="Arial" w:eastAsia="Arial" w:hAnsi="Arial"/>
          <w:sz w:val="15"/>
          <w:szCs w:val="15"/>
          <w:b w:val="1"/>
          <w:bCs w:val="1"/>
          <w:color w:val="auto"/>
        </w:rPr>
        <w:t>account</w:t>
      </w:r>
      <w:r>
        <w:rPr>
          <w:sz w:val="20"/>
          <w:szCs w:val="20"/>
          <w:color w:val="auto"/>
        </w:rPr>
        <w:tab/>
      </w:r>
      <w:r>
        <w:rPr>
          <w:rFonts w:ascii="Arial" w:cs="Arial" w:eastAsia="Arial" w:hAnsi="Arial"/>
          <w:sz w:val="15"/>
          <w:szCs w:val="15"/>
          <w:color w:val="auto"/>
        </w:rPr>
        <w:t>The rules of the NYSE provide that at least 90% of the gross proceeds from this offering and the sale of the private placement warrants be deposited in a trust account. Of the net proceeds we will receive from this offering and the sale of the private placement warrants described in this prospectus, $1,500.0 million ($10.00 per unit), or $1,725.0 million ($10.00 per unit) if the underwriters’ option to purchase additional units is exercised in full, will be deposited into a segregated trust account located in the United States with Continental Stock Transfer &amp; Trust Company acting as trustee and an aggregate of approximately $1.35 million will be used to pay expenses in connection with the closing of this offering and for working capital following this offering. The proceeds to be placed in the trust account include $52,500,000 (or up to $60,375,000 if the underwriters’ option to purchase additional units is exercised in full) in deferred underwriting commissions. The funds in the trust account will be invested only in U.S. government treasury bills with a maturity of 185 days or less or in money market funds that meet certain conditions under Rule 2a-7 under the Investment Company Act and that invest only in direct U.S. government obligations.</w:t>
      </w:r>
    </w:p>
    <w:p>
      <w:pPr>
        <w:spacing w:after="0" w:line="259"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Except with respect to interest earned on the funds held in the</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trust account that may be released to us as described below, the</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funds held in the trust account will not be released from the trust</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account until the earliest of: (1) the completion of our initial</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business combination; (2) the redemption of any public shares</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properly submitted in connection with a stockholder vote to</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amend our amended and restated certificate of incorporation (i) to</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modify the substance or timing of our obligation to provide for the</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redemption of our public shares in connection with an initial</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business combination or to redeem 100% of our public shares if</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we do not complete our initial business combination within the</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completion window or (ii) with respect to any other material</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provisions relating to the rights of holders of our Class A</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Common Stock prior to our initial business combination or pre-</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initial business combination business activity; and (3) the</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redemption of all of our public shares if we are unable to complete</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our initial business combination within the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0" w:name="page21"/>
    <w:bookmarkEnd w:id="20"/>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140970</wp:posOffset>
            </wp:positionV>
            <wp:extent cx="5053330" cy="73132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053330" cy="731329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window, subject to applicable law. The proceeds deposited in the</w:t>
      </w:r>
    </w:p>
    <w:p>
      <w:pPr>
        <w:spacing w:after="0" w:line="35"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trust account could become subject to the claims of our creditors,</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if any, which could have priority over the claims of our public</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stockholders.</w:t>
      </w:r>
    </w:p>
    <w:p>
      <w:pPr>
        <w:spacing w:after="0" w:line="94"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Anticipated expenses and funding</w:t>
      </w:r>
    </w:p>
    <w:p>
      <w:pPr>
        <w:spacing w:after="0" w:line="27" w:lineRule="exact"/>
        <w:rPr>
          <w:sz w:val="20"/>
          <w:szCs w:val="20"/>
          <w:color w:val="auto"/>
        </w:rPr>
      </w:pPr>
    </w:p>
    <w:p>
      <w:pPr>
        <w:ind w:left="4020" w:right="1579" w:hanging="2699"/>
        <w:spacing w:after="0" w:line="273" w:lineRule="auto"/>
        <w:tabs>
          <w:tab w:leader="none" w:pos="4000" w:val="left"/>
        </w:tabs>
        <w:rPr>
          <w:sz w:val="20"/>
          <w:szCs w:val="20"/>
          <w:color w:val="auto"/>
        </w:rPr>
      </w:pPr>
      <w:r>
        <w:rPr>
          <w:rFonts w:ascii="Arial" w:cs="Arial" w:eastAsia="Arial" w:hAnsi="Arial"/>
          <w:sz w:val="15"/>
          <w:szCs w:val="15"/>
          <w:b w:val="1"/>
          <w:bCs w:val="1"/>
          <w:color w:val="auto"/>
        </w:rPr>
        <w:t>sources</w:t>
      </w:r>
      <w:r>
        <w:rPr>
          <w:sz w:val="20"/>
          <w:szCs w:val="20"/>
          <w:color w:val="auto"/>
        </w:rPr>
        <w:tab/>
      </w:r>
      <w:r>
        <w:rPr>
          <w:rFonts w:ascii="Arial" w:cs="Arial" w:eastAsia="Arial" w:hAnsi="Arial"/>
          <w:sz w:val="15"/>
          <w:szCs w:val="15"/>
          <w:color w:val="auto"/>
        </w:rPr>
        <w:t>Unless and until we complete our initial business combination, no proceeds held in the trust account will be available for our use, except permitted withdrawals. The funds in the trust account will be invested only in U.S. government treasury bills with a maturity of 185 days or less or in money market funds that meet certain conditions under Rule 2a-7 under the Investment Company Act and that invest only in direct U.S. government obligations. Based upon current interest rates, we expect the trust account to generate approximately $7,500,000 of interest annually (assuming an interest rate of 0.50% per year); however, we can provide no assurances regarding this amount. Unless and until we complete our initial business combination, we may pay our expenses only from such interest withdrawn from the trust account and any loans or additional investments from our sponsor, members of our management team or any of their respective affiliates or other third parties, although they are under no obligation or other duty to loan funds to, or invest in, us, and provided that any such loans will not have any claim on the proceeds held in the trust account unless such proceeds are released to us upon completion of our initial business combination. If we complete our initial business combination, we expect to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to repay such loaned amounts. Up to $1,500,000 of all loans made to us by our sponsor, an affiliate of our sponsor or our officers and directors may be convertible into warrants at a price of $1.00 per warrant at the option of the lender at the time of the business combination. The warrants would be identical to the private placement warrants issued to our sponsor.</w:t>
      </w:r>
    </w:p>
    <w:p>
      <w:pPr>
        <w:spacing w:after="0" w:line="67"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Conditions to completing our initial</w:t>
      </w:r>
    </w:p>
    <w:p>
      <w:pPr>
        <w:spacing w:after="0" w:line="27" w:lineRule="exact"/>
        <w:rPr>
          <w:sz w:val="20"/>
          <w:szCs w:val="20"/>
          <w:color w:val="auto"/>
        </w:rPr>
      </w:pPr>
    </w:p>
    <w:p>
      <w:pPr>
        <w:ind w:left="4020" w:right="1559" w:hanging="2706"/>
        <w:spacing w:after="0" w:line="275" w:lineRule="auto"/>
        <w:tabs>
          <w:tab w:leader="none" w:pos="4000" w:val="left"/>
        </w:tabs>
        <w:rPr>
          <w:sz w:val="20"/>
          <w:szCs w:val="20"/>
          <w:color w:val="auto"/>
        </w:rPr>
      </w:pPr>
      <w:r>
        <w:rPr>
          <w:rFonts w:ascii="Arial" w:cs="Arial" w:eastAsia="Arial" w:hAnsi="Arial"/>
          <w:sz w:val="16"/>
          <w:szCs w:val="16"/>
          <w:b w:val="1"/>
          <w:bCs w:val="1"/>
          <w:color w:val="auto"/>
        </w:rPr>
        <w:t>business combination</w:t>
      </w:r>
      <w:r>
        <w:rPr>
          <w:sz w:val="20"/>
          <w:szCs w:val="20"/>
          <w:color w:val="auto"/>
        </w:rPr>
        <w:tab/>
      </w:r>
      <w:r>
        <w:rPr>
          <w:rFonts w:ascii="Arial" w:cs="Arial" w:eastAsia="Arial" w:hAnsi="Arial"/>
          <w:sz w:val="15"/>
          <w:szCs w:val="15"/>
          <w:color w:val="auto"/>
        </w:rPr>
        <w:t>There is no limitation on our ability to raise funds privately or through loans in connection with our initial business combination. The NYSE rules require that an initial business combination must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 We do not currently intend to purchase multiple businesses in unrelated industries in conjunction with our initial business combination, although there is no assurance that will be the case.</w:t>
      </w:r>
    </w:p>
    <w:p>
      <w:pPr>
        <w:spacing w:after="0" w:line="65"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If our board of directors is not able to independently determine the</w:t>
      </w:r>
    </w:p>
    <w:p>
      <w:pPr>
        <w:spacing w:after="0" w:line="35"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fair market value of the target business or businesses, we will</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obtain an opinion from an independent investment banking firm</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that is a member of FINRA or from an independent accounting</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firm. We will complete our initial business combination only if the</w:t>
      </w:r>
    </w:p>
    <w:p>
      <w:pPr>
        <w:spacing w:after="0" w:line="200" w:lineRule="exact"/>
        <w:rPr>
          <w:sz w:val="20"/>
          <w:szCs w:val="20"/>
          <w:color w:val="auto"/>
        </w:rPr>
      </w:pPr>
    </w:p>
    <w:p>
      <w:pPr>
        <w:spacing w:after="0" w:line="326"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1" w:name="page22"/>
    <w:bookmarkEnd w:id="21"/>
    <w:p>
      <w:pPr>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147955</wp:posOffset>
            </wp:positionV>
            <wp:extent cx="5053330" cy="73132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053330" cy="731329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320" w:hanging="162"/>
        <w:spacing w:after="0" w:line="273" w:lineRule="auto"/>
        <w:rPr>
          <w:sz w:val="20"/>
          <w:szCs w:val="20"/>
          <w:color w:val="auto"/>
        </w:rPr>
      </w:pPr>
      <w:r>
        <w:rPr>
          <w:rFonts w:ascii="Arial" w:cs="Arial" w:eastAsia="Arial" w:hAnsi="Arial"/>
          <w:sz w:val="16"/>
          <w:szCs w:val="16"/>
          <w:b w:val="1"/>
          <w:bCs w:val="1"/>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ind w:right="1559"/>
        <w:spacing w:after="0" w:line="275" w:lineRule="auto"/>
        <w:rPr>
          <w:sz w:val="20"/>
          <w:szCs w:val="20"/>
          <w:color w:val="auto"/>
        </w:rPr>
      </w:pPr>
      <w:r>
        <w:rPr>
          <w:rFonts w:ascii="Arial" w:cs="Arial" w:eastAsia="Arial" w:hAnsi="Arial"/>
          <w:sz w:val="15"/>
          <w:szCs w:val="15"/>
          <w:color w:val="auto"/>
        </w:rPr>
        <w:t>post-transaction company in which our public stockholders own shares will own or acquire 50% or more of the outstanding voting securities of the target or otherwise acquires a controlling interest in the target business sufficient for it not to be required to register as an investment company under the Investment Company Act. Even if the post-transaction company owns or acquires 50% or more of the voting securities of the target, our stockholders prior to our initial business combination may collectively own a minority interest in the post-transaction company, depending on valuations ascribed to the target and us in our initial business combination transaction. If less than 100% of the equity interests or assets of a target business or businesses are owned or acquired by the post-transaction company, the portion of such business or businesses that is owned or acquired is what will be valued for purposes of the 80% of net assets test, provided that in the event that our initial business combination involves more than one target business, the 80% of net assets test will be based on the aggregate value of all of the target businesses.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559"/>
        <w:spacing w:after="0" w:line="274" w:lineRule="auto"/>
        <w:rPr>
          <w:sz w:val="20"/>
          <w:szCs w:val="20"/>
          <w:color w:val="auto"/>
        </w:rPr>
      </w:pPr>
      <w:r>
        <w:rPr>
          <w:rFonts w:ascii="Arial" w:cs="Arial" w:eastAsia="Arial" w:hAnsi="Arial"/>
          <w:sz w:val="15"/>
          <w:szCs w:val="15"/>
          <w:color w:val="auto"/>
        </w:rPr>
        <w:t>If we seek stockholder approval of our initial business combination and we do not conduct redemptions in connection with our initial business combination pursuant to the tender offer rules, our sponsor, directors, officers, advisors or any of their respective affiliates may purchase public shares or public warrants or a combination thereof in privately negotiated transactions or in the open market either prior to or following the completion of our initial business combination, although they are under no obligation or other duty to do so. Please see “Proposed Business</w:t>
      </w:r>
    </w:p>
    <w:p>
      <w:pPr>
        <w:spacing w:after="0" w:line="1" w:lineRule="exact"/>
        <w:rPr>
          <w:sz w:val="20"/>
          <w:szCs w:val="20"/>
          <w:color w:val="auto"/>
        </w:rPr>
      </w:pPr>
    </w:p>
    <w:p>
      <w:pPr>
        <w:ind w:right="1559"/>
        <w:spacing w:after="0" w:line="273" w:lineRule="auto"/>
        <w:rPr>
          <w:sz w:val="20"/>
          <w:szCs w:val="20"/>
          <w:color w:val="auto"/>
        </w:rPr>
      </w:pPr>
      <w:r>
        <w:rPr>
          <w:rFonts w:ascii="Arial" w:cs="Arial" w:eastAsia="Arial" w:hAnsi="Arial"/>
          <w:sz w:val="15"/>
          <w:szCs w:val="15"/>
          <w:color w:val="auto"/>
        </w:rPr>
        <w:t>— Permitted purchases of our securities” for a description of how such persons will determine from which stockholders to seek to acquire securities. There is no limit on the number of shares or warrants such persons may purchase, or any restriction on the price that they may pay. Any such price per share may be different than the amount per share a public stockholder would receive if it elected to redeem its shares in connection with our initial business combination. However, such persons have no current commitments, plans or intentions to engage in such transactions and have not formulated any terms or conditions for any such transactions. In the event our sponsor, directors, officers, advisors or any of their affiliates determine to make any such purchases at the time of a stockholder vote relating to our initial business combination, such purchases could have the effect of influencing the vote necessary to approve such transaction. None of the funds in the trust account will be used to purchase public shares or public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Prior to the consummation of this offering, we will adopt an insider trading policy which will require insiders to:</w:t>
      </w:r>
    </w:p>
    <w:p>
      <w:pPr>
        <w:spacing w:after="0" w:line="271" w:lineRule="exact"/>
        <w:rPr>
          <w:sz w:val="20"/>
          <w:szCs w:val="20"/>
          <w:color w:val="auto"/>
        </w:rPr>
      </w:pPr>
    </w:p>
    <w:p>
      <w:pPr>
        <w:ind w:right="1599" w:firstLine="5"/>
        <w:spacing w:after="0" w:line="285" w:lineRule="auto"/>
        <w:tabs>
          <w:tab w:leader="none" w:pos="244"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refrain from purchasing securities when they are in possession of any material non-public information; and</w:t>
      </w:r>
    </w:p>
    <w:p>
      <w:pPr>
        <w:spacing w:after="0" w:line="200" w:lineRule="exact"/>
        <w:rPr>
          <w:sz w:val="20"/>
          <w:szCs w:val="20"/>
          <w:color w:val="auto"/>
        </w:rPr>
      </w:pPr>
    </w:p>
    <w:p>
      <w:pPr>
        <w:sectPr>
          <w:pgSz w:w="11900" w:h="16838" w:orient="portrait"/>
          <w:cols w:equalWidth="0" w:num="2">
            <w:col w:w="3600" w:space="420"/>
            <w:col w:w="6119"/>
          </w:cols>
          <w:pgMar w:left="320" w:top="131" w:right="1440" w:bottom="1440" w:gutter="0" w:footer="0" w:header="0"/>
          <w:type w:val="continuous"/>
        </w:sectPr>
      </w:pPr>
    </w:p>
    <w:p>
      <w:pPr>
        <w:spacing w:after="0" w:line="182"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247650</wp:posOffset>
            </wp:positionV>
            <wp:extent cx="616648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2" w:name="page23"/>
    <w:bookmarkEnd w:id="22"/>
    <w:p>
      <w:pPr>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147955</wp:posOffset>
            </wp:positionV>
            <wp:extent cx="5053330" cy="73132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053330" cy="731329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320" w:hanging="162"/>
        <w:spacing w:after="0" w:line="363" w:lineRule="auto"/>
        <w:rPr>
          <w:sz w:val="20"/>
          <w:szCs w:val="20"/>
          <w:color w:val="auto"/>
        </w:rPr>
      </w:pPr>
      <w:r>
        <w:rPr>
          <w:rFonts w:ascii="Arial" w:cs="Arial" w:eastAsia="Arial" w:hAnsi="Arial"/>
          <w:sz w:val="13"/>
          <w:szCs w:val="13"/>
          <w:b w:val="1"/>
          <w:bCs w:val="1"/>
          <w:color w:val="auto"/>
        </w:rPr>
        <w:t>Redemption rights for public stockholders upon completion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ind w:right="1559" w:firstLine="5"/>
        <w:spacing w:after="0" w:line="259" w:lineRule="auto"/>
        <w:tabs>
          <w:tab w:leader="none" w:pos="244"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clear all trades with our compliance personnel or legal counsel prior to execution. We cannot currently determine whether our insiders will make such purchases pursuant to a Rule 10b5-1 plan, as it will be dependent upon several factors, including but not limited to, the timing and size of such purchases. Depending on such circumstances, our insiders may either make such purchases pursuant to a Rule 10b5-1 plan or determine that such a plan is not necessary.</w:t>
      </w:r>
    </w:p>
    <w:p>
      <w:pPr>
        <w:spacing w:after="0" w:line="75" w:lineRule="exact"/>
        <w:rPr>
          <w:sz w:val="20"/>
          <w:szCs w:val="20"/>
          <w:color w:val="auto"/>
        </w:rPr>
      </w:pPr>
    </w:p>
    <w:p>
      <w:pPr>
        <w:ind w:right="1579"/>
        <w:spacing w:after="0" w:line="258" w:lineRule="auto"/>
        <w:rPr>
          <w:sz w:val="20"/>
          <w:szCs w:val="20"/>
          <w:color w:val="auto"/>
        </w:rPr>
      </w:pPr>
      <w:r>
        <w:rPr>
          <w:rFonts w:ascii="Arial" w:cs="Arial" w:eastAsia="Arial" w:hAnsi="Arial"/>
          <w:sz w:val="16"/>
          <w:szCs w:val="16"/>
          <w:color w:val="auto"/>
        </w:rPr>
        <w:t>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Our sponsor, directors, officers, advisors or any of their respective affiliates will be restricted from making purchases if such purchases would violate Section 9(a)(2) or Rule 10b-5 of the Exchange Act.</w:t>
      </w:r>
    </w:p>
    <w:p>
      <w:pPr>
        <w:spacing w:after="0" w:line="77" w:lineRule="exact"/>
        <w:rPr>
          <w:sz w:val="20"/>
          <w:szCs w:val="20"/>
          <w:color w:val="auto"/>
        </w:rPr>
      </w:pPr>
    </w:p>
    <w:p>
      <w:pPr>
        <w:ind w:right="1559"/>
        <w:spacing w:after="0" w:line="258" w:lineRule="auto"/>
        <w:rPr>
          <w:sz w:val="20"/>
          <w:szCs w:val="20"/>
          <w:color w:val="auto"/>
        </w:rPr>
      </w:pPr>
      <w:r>
        <w:rPr>
          <w:rFonts w:ascii="Arial" w:cs="Arial" w:eastAsia="Arial" w:hAnsi="Arial"/>
          <w:sz w:val="16"/>
          <w:szCs w:val="16"/>
          <w:color w:val="auto"/>
        </w:rPr>
        <w:t>We expect that any such purchases will be reported pursuant to Section 13 and Section 16 of the Exchange Act to the extent such purchasers are subject to such reporting requirements. None of the funds held in the trust account will be used to purchase shares or public warrants in such transactions prior to completion of our initial business combination. Please see “Proposed Business — Permitted purchases of our securities” for a description of how our sponsor, directors, officers, advisors or any of their respective affiliates will select which stockholders to purchase securities from in any private transaction.</w:t>
      </w:r>
    </w:p>
    <w:p>
      <w:pPr>
        <w:spacing w:after="0" w:line="77" w:lineRule="exact"/>
        <w:rPr>
          <w:sz w:val="20"/>
          <w:szCs w:val="20"/>
          <w:color w:val="auto"/>
        </w:rPr>
      </w:pPr>
    </w:p>
    <w:p>
      <w:pPr>
        <w:ind w:right="1559"/>
        <w:spacing w:after="0" w:line="274" w:lineRule="auto"/>
        <w:rPr>
          <w:sz w:val="20"/>
          <w:szCs w:val="20"/>
          <w:color w:val="auto"/>
        </w:rPr>
      </w:pPr>
      <w:r>
        <w:rPr>
          <w:rFonts w:ascii="Arial" w:cs="Arial" w:eastAsia="Arial" w:hAnsi="Arial"/>
          <w:sz w:val="15"/>
          <w:szCs w:val="15"/>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shares of Class A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200" w:lineRule="exact"/>
        <w:rPr>
          <w:sz w:val="20"/>
          <w:szCs w:val="20"/>
          <w:color w:val="auto"/>
        </w:rPr>
      </w:pPr>
    </w:p>
    <w:p>
      <w:pPr>
        <w:spacing w:after="0" w:line="266" w:lineRule="exact"/>
        <w:rPr>
          <w:sz w:val="20"/>
          <w:szCs w:val="20"/>
          <w:color w:val="auto"/>
        </w:rPr>
      </w:pPr>
    </w:p>
    <w:p>
      <w:pPr>
        <w:ind w:right="1599"/>
        <w:spacing w:after="0" w:line="296" w:lineRule="auto"/>
        <w:rPr>
          <w:sz w:val="20"/>
          <w:szCs w:val="20"/>
          <w:color w:val="auto"/>
        </w:rPr>
      </w:pPr>
      <w:r>
        <w:rPr>
          <w:rFonts w:ascii="Arial" w:cs="Arial" w:eastAsia="Arial" w:hAnsi="Arial"/>
          <w:sz w:val="15"/>
          <w:szCs w:val="15"/>
          <w:color w:val="auto"/>
        </w:rPr>
        <w:t>We will provide our public stockholders with the opportunity to redeem all or a portion of their public shares upon the completion of our initial business combination at a per share price, payable in</w:t>
      </w:r>
    </w:p>
    <w:p>
      <w:pPr>
        <w:spacing w:after="0" w:line="200" w:lineRule="exact"/>
        <w:rPr>
          <w:sz w:val="20"/>
          <w:szCs w:val="20"/>
          <w:color w:val="auto"/>
        </w:rPr>
      </w:pPr>
    </w:p>
    <w:p>
      <w:pPr>
        <w:sectPr>
          <w:pgSz w:w="11900" w:h="16838" w:orient="portrait"/>
          <w:cols w:equalWidth="0" w:num="2">
            <w:col w:w="3480" w:space="540"/>
            <w:col w:w="6119"/>
          </w:cols>
          <w:pgMar w:left="320" w:top="131" w:right="1440" w:bottom="1440" w:gutter="0" w:footer="0" w:header="0"/>
          <w:type w:val="continuous"/>
        </w:sectPr>
      </w:pPr>
    </w:p>
    <w:p>
      <w:pPr>
        <w:spacing w:after="0" w:line="373"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247650</wp:posOffset>
            </wp:positionV>
            <wp:extent cx="616648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3" w:name="page24"/>
    <w:bookmarkEnd w:id="23"/>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140970</wp:posOffset>
            </wp:positionV>
            <wp:extent cx="5053330" cy="73132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053330" cy="731329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cash, equal to the aggregate amount then on deposit in the trust</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account as of two business days prior to the consummation of our</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initial business combination, including interest (net of permitted</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withdrawals), divided by the number of then outstanding public</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shares, subject to the limitations described herein. The amount in</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the trust account is initially anticipated to be $10.00 per public</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share. The per share amount we will distribute to investors who</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properly redeem their shares will not be reduced by the deferred</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underwriting commissions we will pay to the underwriters. The</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redemption right will include the requirement that any beneficial</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owner on whose behalf a redemption right is being exercised must</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identify itself in order to validly redeem its shares. Each public</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stockholder may elect to redeem its public shares without voting,</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and if they do vote, irrespective of whether they vote for or</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against the proposed transaction. There will be no redemption</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rights upon the completion of our initial business combination</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with respect to our warrants. Our sponsor, officers and directors</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have entered into a letter agreement with us, pursuant to which</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they have agreed to waive their redemption rights with respect to</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any founder shares and any public shares held by them in</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connection with the completion of our initial business</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combination.</w:t>
      </w:r>
    </w:p>
    <w:p>
      <w:pPr>
        <w:spacing w:after="0" w:line="94"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Manner of conducting</w:t>
      </w:r>
    </w:p>
    <w:p>
      <w:pPr>
        <w:spacing w:after="0" w:line="27" w:lineRule="exact"/>
        <w:rPr>
          <w:sz w:val="20"/>
          <w:szCs w:val="20"/>
          <w:color w:val="auto"/>
        </w:rPr>
      </w:pPr>
    </w:p>
    <w:p>
      <w:pPr>
        <w:ind w:left="4020" w:right="1579" w:hanging="2699"/>
        <w:spacing w:after="0" w:line="255" w:lineRule="auto"/>
        <w:tabs>
          <w:tab w:leader="none" w:pos="4000" w:val="left"/>
        </w:tabs>
        <w:rPr>
          <w:sz w:val="20"/>
          <w:szCs w:val="20"/>
          <w:color w:val="auto"/>
        </w:rPr>
      </w:pPr>
      <w:r>
        <w:rPr>
          <w:rFonts w:ascii="Arial" w:cs="Arial" w:eastAsia="Arial" w:hAnsi="Arial"/>
          <w:sz w:val="16"/>
          <w:szCs w:val="16"/>
          <w:b w:val="1"/>
          <w:bCs w:val="1"/>
          <w:color w:val="auto"/>
        </w:rPr>
        <w:t>redemptions</w:t>
      </w:r>
      <w:r>
        <w:rPr>
          <w:sz w:val="20"/>
          <w:szCs w:val="20"/>
          <w:color w:val="auto"/>
        </w:rPr>
        <w:tab/>
      </w:r>
      <w:r>
        <w:rPr>
          <w:rFonts w:ascii="Arial" w:cs="Arial" w:eastAsia="Arial" w:hAnsi="Arial"/>
          <w:sz w:val="16"/>
          <w:szCs w:val="16"/>
          <w:color w:val="auto"/>
        </w:rPr>
        <w:t>We will provide our public stockholders with the opportunity to redeem all or a portion of their public shares upon the completion of our initial business combination either: (1) in connection with a stockholder meeting called to approve the business combination; or (2) by means of a tender offer. The decision as to whether we will seek stockholder approval of a proposed business combination or conduct a tender offer will be made by us, solely in our discretion, and will be based on a variety of factors such as the timing of the transaction and whether the terms of the transaction would require us to seek stockholder approval under applicable law or stock exchange listing requirement.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typically require stockholder approval. We currently intend to conduct redemptions pursuant to a stockholder vote unless stockholder approval is not required by applicable law or stock exchange listing requirement and we choose to conduct redemptions pursuant to the tender offer rules of the SEC for business or other reasons.</w:t>
      </w:r>
    </w:p>
    <w:p>
      <w:pPr>
        <w:spacing w:after="0" w:line="91"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If a stockholder vote is not required and we do not decide to hold</w:t>
      </w:r>
    </w:p>
    <w:p>
      <w:pPr>
        <w:spacing w:after="0" w:line="35"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a stockholder vote for business or other reasons, we will, pursuant</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to our amended and restated certificate of incorporation:</w:t>
      </w:r>
    </w:p>
    <w:p>
      <w:pPr>
        <w:spacing w:after="0" w:line="98" w:lineRule="exact"/>
        <w:rPr>
          <w:sz w:val="20"/>
          <w:szCs w:val="20"/>
          <w:color w:val="auto"/>
        </w:rPr>
      </w:pPr>
    </w:p>
    <w:p>
      <w:pPr>
        <w:ind w:left="4360"/>
        <w:spacing w:after="0"/>
        <w:tabs>
          <w:tab w:leader="none" w:pos="46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conduct the redemptions pursuant to Rule 13e-4 and</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Regulation 14E of the Exchange Act, which regulate</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issuer tender offers; and</w:t>
      </w:r>
    </w:p>
    <w:p>
      <w:pPr>
        <w:spacing w:after="0" w:line="98" w:lineRule="exact"/>
        <w:rPr>
          <w:sz w:val="20"/>
          <w:szCs w:val="20"/>
          <w:color w:val="auto"/>
        </w:rPr>
      </w:pPr>
    </w:p>
    <w:p>
      <w:pPr>
        <w:ind w:left="4360"/>
        <w:spacing w:after="0"/>
        <w:tabs>
          <w:tab w:leader="none" w:pos="46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file tender offer documents with the SEC prior to</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completing our initial business combination which</w:t>
      </w:r>
    </w:p>
    <w:p>
      <w:pPr>
        <w:spacing w:after="0" w:line="200" w:lineRule="exact"/>
        <w:rPr>
          <w:sz w:val="20"/>
          <w:szCs w:val="20"/>
          <w:color w:val="auto"/>
        </w:rPr>
      </w:pPr>
    </w:p>
    <w:p>
      <w:pPr>
        <w:spacing w:after="0" w:line="228"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4" w:name="page25"/>
    <w:bookmarkEnd w:id="24"/>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140970</wp:posOffset>
            </wp:positionV>
            <wp:extent cx="5053330" cy="73132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053330" cy="731329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contain substantially the same financial and other</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information about the initial business combination and</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the redemption rights as is required under</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Regulation 14A of the Exchange Act, which regulates</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the solicitation of proxies.</w:t>
      </w:r>
    </w:p>
    <w:p>
      <w:pPr>
        <w:spacing w:after="0" w:line="98"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Upon the public announcement of our initial business</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combination, if we elect to conduct redemptions pursuant to the</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tender offer rules, we and our sponsor will terminate any plan</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established in accordance with Rule 10b5-1 to purchase shares of</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our Class A common stock in the open market, in order to comply</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with Rule 14e-5 under the Exchange Act.</w:t>
      </w:r>
    </w:p>
    <w:p>
      <w:pPr>
        <w:spacing w:after="0" w:line="98"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In the event we conduct redemptions pursuant to the tender offer</w:t>
      </w:r>
    </w:p>
    <w:p>
      <w:pPr>
        <w:spacing w:after="0" w:line="35"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rules, our offer to redeem will remain open for at least 20 business</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days, in accordance with Rule 14e-1(a) under the Exchange Act,</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and we will not be permitted to complete our initial business</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combination until the expiration of the tender offer period. In</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addition, the tender offer will be conditioned on public</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stockholders not tendering more than a specified number of public</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shares, which number will be based on the requirement that we</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may not redeem public shares in an amount that would cause our</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net tangible assets, after payment of the deferred underwriting</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commissions, to be less than $5,000,001 (so that we do not then</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become subject to the SEC’s “penny stock” rules), or any greater</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net tangible asset or cash requirement which may be contained in</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the agreement relating to our initial business combination. If</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public stockholders tender more shares than we have offered to</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purchase, we will withdraw the tender offer and not complete such</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initial business combination.</w:t>
      </w:r>
    </w:p>
    <w:p>
      <w:pPr>
        <w:spacing w:after="0" w:line="98"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If, however, stockholder approval of the transaction is required by</w:t>
      </w:r>
    </w:p>
    <w:p>
      <w:pPr>
        <w:spacing w:after="0" w:line="35"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applicable law or stock exchange listing requirement, or we</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decide to obtain stockholder approval for business or other</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reasons, we will:</w:t>
      </w:r>
    </w:p>
    <w:p>
      <w:pPr>
        <w:spacing w:after="0" w:line="98" w:lineRule="exact"/>
        <w:rPr>
          <w:sz w:val="20"/>
          <w:szCs w:val="20"/>
          <w:color w:val="auto"/>
        </w:rPr>
      </w:pPr>
    </w:p>
    <w:p>
      <w:pPr>
        <w:ind w:left="4360"/>
        <w:spacing w:after="0"/>
        <w:tabs>
          <w:tab w:leader="none" w:pos="46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conduct the redemptions in conjunction with a proxy</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5"/>
          <w:szCs w:val="15"/>
          <w:color w:val="auto"/>
        </w:rPr>
        <w:t>solicitation pursuant to Regulation 14A of the Exchange</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Act, which regulates the solicitation of proxies, and not</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pursuant to the tender offer rules; and</w:t>
      </w:r>
    </w:p>
    <w:p>
      <w:pPr>
        <w:spacing w:after="0" w:line="98" w:lineRule="exact"/>
        <w:rPr>
          <w:sz w:val="20"/>
          <w:szCs w:val="20"/>
          <w:color w:val="auto"/>
        </w:rPr>
      </w:pPr>
    </w:p>
    <w:p>
      <w:pPr>
        <w:ind w:left="4360"/>
        <w:spacing w:after="0"/>
        <w:tabs>
          <w:tab w:leader="none" w:pos="46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file proxy materials with the SEC.</w:t>
      </w:r>
    </w:p>
    <w:p>
      <w:pPr>
        <w:spacing w:after="0" w:line="110"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We expect that a final proxy statement would be mailed to public</w:t>
      </w:r>
    </w:p>
    <w:p>
      <w:pPr>
        <w:spacing w:after="0" w:line="35"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stockholders at least 10 days prior to the stockholder vote.</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However, we expect that a draft proxy statement would be made</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available to such stockholders well in advance of such time,</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providing additional notice of redemption if we conduct</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redemptions in conjunction with a proxy solicitation. Although we</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are not required to do so, we currently intend to comply with the</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substantive and procedural requirements of Regulation 14A in</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connection with any stockholder vote even if we are not able to</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maintain our NYSE listing or Exchange Act registration.</w:t>
      </w:r>
    </w:p>
    <w:p>
      <w:pPr>
        <w:spacing w:after="0" w:line="98"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If we seek stockholder approval, unless otherwise required by</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applicable law, regulation or stock exchange rules, we will</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complete our initial business combination only if a majority of the</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outstanding shares of common stock voted are voted in favor</w:t>
      </w:r>
    </w:p>
    <w:p>
      <w:pPr>
        <w:spacing w:after="0" w:line="200" w:lineRule="exact"/>
        <w:rPr>
          <w:sz w:val="20"/>
          <w:szCs w:val="20"/>
          <w:color w:val="auto"/>
        </w:rPr>
      </w:pPr>
    </w:p>
    <w:p>
      <w:pPr>
        <w:spacing w:after="0" w:line="326"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5" w:name="page26"/>
    <w:bookmarkEnd w:id="25"/>
    <w:p>
      <w:pPr>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147955</wp:posOffset>
            </wp:positionV>
            <wp:extent cx="5053330" cy="73132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053330" cy="731329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320" w:hanging="162"/>
        <w:spacing w:after="0" w:line="273" w:lineRule="auto"/>
        <w:rPr>
          <w:sz w:val="20"/>
          <w:szCs w:val="20"/>
          <w:color w:val="auto"/>
        </w:rPr>
      </w:pPr>
      <w:r>
        <w:rPr>
          <w:rFonts w:ascii="Arial" w:cs="Arial" w:eastAsia="Arial" w:hAnsi="Arial"/>
          <w:sz w:val="16"/>
          <w:szCs w:val="16"/>
          <w:b w:val="1"/>
          <w:bCs w:val="1"/>
          <w:color w:val="auto"/>
        </w:rPr>
        <w:t>Tendering share certificates in connection with a tender offer or redemption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ind w:right="1599"/>
        <w:spacing w:after="0" w:line="256" w:lineRule="auto"/>
        <w:rPr>
          <w:sz w:val="20"/>
          <w:szCs w:val="20"/>
          <w:color w:val="auto"/>
        </w:rPr>
      </w:pPr>
      <w:r>
        <w:rPr>
          <w:rFonts w:ascii="Arial" w:cs="Arial" w:eastAsia="Arial" w:hAnsi="Arial"/>
          <w:sz w:val="16"/>
          <w:szCs w:val="16"/>
          <w:color w:val="auto"/>
        </w:rPr>
        <w:t>of the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officers and directors will count towards this quorum and have agreed to vote any founder shares and any public shares held by them in favor of our initial business combination. We expect that at the time of any stockholder vote relating to our initial business combination, our initial stockholders and their permitted transferees will own at least 20% of our outstanding shares of common stock entitled to vote thereon. As a result, in addition to our initial stockholders’ founder shares, we would need 56,250,001, or 37.5%, of the 150,000,000 public shares sold in this offering to be voted in favor of a transaction (assuming all issued and outstanding shares are voted and the option to purchase additional units is not exercised) in order to have such initial business combination approved. These quorum and voting thresholds and agreements may make it more likely that we will consummate our initial business combination.</w:t>
      </w:r>
    </w:p>
    <w:p>
      <w:pPr>
        <w:spacing w:after="0" w:line="86" w:lineRule="exact"/>
        <w:rPr>
          <w:sz w:val="20"/>
          <w:szCs w:val="20"/>
          <w:color w:val="auto"/>
        </w:rPr>
      </w:pPr>
    </w:p>
    <w:p>
      <w:pPr>
        <w:ind w:right="1559"/>
        <w:spacing w:after="0" w:line="274" w:lineRule="auto"/>
        <w:rPr>
          <w:sz w:val="20"/>
          <w:szCs w:val="20"/>
          <w:color w:val="auto"/>
        </w:rPr>
      </w:pPr>
      <w:r>
        <w:rPr>
          <w:rFonts w:ascii="Arial" w:cs="Arial" w:eastAsia="Arial" w:hAnsi="Arial"/>
          <w:sz w:val="15"/>
          <w:szCs w:val="15"/>
          <w:color w:val="auto"/>
        </w:rPr>
        <w:t>Our amended and restated certificate of incorporation will provide that in no event will we redeem our public shares in an amount that would cause our net tangible assets, after payment of the deferred underwriting commissions, to be less than $5,000,001 (so that we do not then become subject to the SEC’s “penny stock” rules). Redemptions of our public shares may also be subject to a higher net tangible asset test or cash requirement pursuant to an agreement relating to our initial business combination. For example, the proposed business combination may require: (1) cash consideration to be paid to the target or its owners; (2) cash to be transferred to the target for working capital or other general corporate purposes; or (3) the retention of cash to satisfy other conditions in accordance with the terms of the proposed business combination. In the event the aggregate cash consideration we would be required to pay for all shares of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shares of common stock submitted for redemption will be returned to the holders thereof.</w:t>
      </w:r>
    </w:p>
    <w:p>
      <w:pPr>
        <w:spacing w:after="0" w:line="200" w:lineRule="exact"/>
        <w:rPr>
          <w:sz w:val="20"/>
          <w:szCs w:val="20"/>
          <w:color w:val="auto"/>
        </w:rPr>
      </w:pPr>
    </w:p>
    <w:p>
      <w:pPr>
        <w:spacing w:after="0" w:line="263" w:lineRule="exact"/>
        <w:rPr>
          <w:sz w:val="20"/>
          <w:szCs w:val="20"/>
          <w:color w:val="auto"/>
        </w:rPr>
      </w:pPr>
    </w:p>
    <w:p>
      <w:pPr>
        <w:ind w:right="1579"/>
        <w:spacing w:after="0" w:line="259" w:lineRule="auto"/>
        <w:rPr>
          <w:sz w:val="20"/>
          <w:szCs w:val="20"/>
          <w:color w:val="auto"/>
        </w:rPr>
      </w:pPr>
      <w:r>
        <w:rPr>
          <w:rFonts w:ascii="Arial" w:cs="Arial" w:eastAsia="Arial" w:hAnsi="Arial"/>
          <w:sz w:val="16"/>
          <w:szCs w:val="16"/>
          <w:color w:val="auto"/>
        </w:rPr>
        <w:t>We may require our public stockholders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vote on the proposal to approve our initial business combination in the event we distribute proxy materials, or to deliver their shares to the transfer agent electronically using The Depository Trust Company’s DWAC</w:t>
      </w:r>
    </w:p>
    <w:p>
      <w:pPr>
        <w:spacing w:after="0" w:line="200" w:lineRule="exact"/>
        <w:rPr>
          <w:sz w:val="20"/>
          <w:szCs w:val="20"/>
          <w:color w:val="auto"/>
        </w:rPr>
      </w:pPr>
    </w:p>
    <w:p>
      <w:pPr>
        <w:sectPr>
          <w:pgSz w:w="11900" w:h="16838" w:orient="portrait"/>
          <w:cols w:equalWidth="0" w:num="2">
            <w:col w:w="3500" w:space="520"/>
            <w:col w:w="6119"/>
          </w:cols>
          <w:pgMar w:left="320" w:top="131" w:right="1440" w:bottom="1440" w:gutter="0" w:footer="0" w:header="0"/>
          <w:type w:val="continuous"/>
        </w:sectPr>
      </w:pPr>
    </w:p>
    <w:p>
      <w:pPr>
        <w:spacing w:after="0" w:line="398"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247650</wp:posOffset>
            </wp:positionV>
            <wp:extent cx="616648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6" w:name="page27"/>
    <w:bookmarkEnd w:id="26"/>
    <w:p>
      <w:pPr>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147955</wp:posOffset>
            </wp:positionV>
            <wp:extent cx="5053330" cy="73132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053330" cy="731329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20" w:right="120" w:hanging="162"/>
        <w:spacing w:after="0" w:line="285" w:lineRule="auto"/>
        <w:rPr>
          <w:sz w:val="20"/>
          <w:szCs w:val="20"/>
          <w:color w:val="auto"/>
        </w:rPr>
      </w:pPr>
      <w:r>
        <w:rPr>
          <w:rFonts w:ascii="Arial" w:cs="Arial" w:eastAsia="Arial" w:hAnsi="Arial"/>
          <w:sz w:val="15"/>
          <w:szCs w:val="15"/>
          <w:b w:val="1"/>
          <w:bCs w:val="1"/>
          <w:color w:val="auto"/>
        </w:rPr>
        <w:t>Limitation on redemption rights of stockholders holding more than 15% of the shares sold in this offering if we hold a stockholder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320" w:hanging="162"/>
        <w:spacing w:after="0" w:line="299" w:lineRule="auto"/>
        <w:rPr>
          <w:sz w:val="20"/>
          <w:szCs w:val="20"/>
          <w:color w:val="auto"/>
        </w:rPr>
      </w:pPr>
      <w:r>
        <w:rPr>
          <w:rFonts w:ascii="Arial" w:cs="Arial" w:eastAsia="Arial" w:hAnsi="Arial"/>
          <w:sz w:val="15"/>
          <w:szCs w:val="15"/>
          <w:b w:val="1"/>
          <w:bCs w:val="1"/>
          <w:color w:val="auto"/>
        </w:rPr>
        <w:t>Redemption rights in connection with proposed amendments to our certificate of 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ind w:right="1579"/>
        <w:spacing w:after="0" w:line="278" w:lineRule="auto"/>
        <w:rPr>
          <w:sz w:val="20"/>
          <w:szCs w:val="20"/>
          <w:color w:val="auto"/>
        </w:rPr>
      </w:pPr>
      <w:r>
        <w:rPr>
          <w:rFonts w:ascii="Arial" w:cs="Arial" w:eastAsia="Arial" w:hAnsi="Arial"/>
          <w:sz w:val="15"/>
          <w:szCs w:val="15"/>
          <w:color w:val="auto"/>
        </w:rPr>
        <w:t>(Deposit/Withdrawal At Custodian) System, at the holder’s option, rather than simply voting against the initial business combination. The tender offer or proxy materials, as applicable, that we will furnish to holders of our public shares in connection with our initial business combination will indicate whether we are requiring public stockholders to satisfy such delivery requirements, which will include the requirement that any beneficial owner on whose behalf a redemption right is being exercised must identify itself in order to validly redeem its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559"/>
        <w:spacing w:after="0" w:line="273" w:lineRule="auto"/>
        <w:rPr>
          <w:sz w:val="20"/>
          <w:szCs w:val="20"/>
          <w:color w:val="auto"/>
        </w:rPr>
      </w:pPr>
      <w:r>
        <w:rPr>
          <w:rFonts w:ascii="Arial" w:cs="Arial" w:eastAsia="Arial" w:hAnsi="Arial"/>
          <w:sz w:val="15"/>
          <w:szCs w:val="15"/>
          <w:color w:val="auto"/>
        </w:rPr>
        <w:t>Notwithstanding the foregoing redemption rights, 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15% of the shares sold in this offering, without our prior consent. We believe the restriction described above will discourage stockholders from accumulating large blocks of shares and subsequent attempts by such holders to use their ability to redeem their shares as a means to force us or our affiliates to purchase their shares at a significant premium to the then-current market price or on other undesirable terms. Absent this provision, a public stockholder holding more than an aggregate of 15% of the shares sold in this offering could threaten to exercise its redemption rights against a business combination if such holder’s shares are not purchased by us or our affiliates at a premium to the then-current market price or on other undesirable terms. By limiting our stockholders’ ability to redeem to no more than 15% of the shares sold in this offering,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stockholders’ ability to vote all of their shares (including all shares held by those stockholders that hold more than 15% of the shares sold in this offering) for or against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579"/>
        <w:spacing w:after="0" w:line="281" w:lineRule="auto"/>
        <w:rPr>
          <w:sz w:val="20"/>
          <w:szCs w:val="20"/>
          <w:color w:val="auto"/>
        </w:rPr>
      </w:pPr>
      <w:r>
        <w:rPr>
          <w:rFonts w:ascii="Arial" w:cs="Arial" w:eastAsia="Arial" w:hAnsi="Arial"/>
          <w:sz w:val="15"/>
          <w:szCs w:val="15"/>
          <w:color w:val="auto"/>
        </w:rPr>
        <w:t>Our amended and restated certificate of incorporation will provide that any of its provisions related to pre-business combination activity (including the requirement to fund the trust account and not release such amounts except in specified circumstances and to provide redemption rights to public stockholders as described herein) may be amended if approved by</w:t>
      </w:r>
    </w:p>
    <w:p>
      <w:pPr>
        <w:spacing w:after="0" w:line="200" w:lineRule="exact"/>
        <w:rPr>
          <w:sz w:val="20"/>
          <w:szCs w:val="20"/>
          <w:color w:val="auto"/>
        </w:rPr>
      </w:pPr>
    </w:p>
    <w:p>
      <w:pPr>
        <w:sectPr>
          <w:pgSz w:w="11900" w:h="16838" w:orient="portrait"/>
          <w:cols w:equalWidth="0" w:num="2">
            <w:col w:w="3600" w:space="420"/>
            <w:col w:w="6119"/>
          </w:cols>
          <w:pgMar w:left="320" w:top="131" w:right="1440" w:bottom="1440" w:gutter="0" w:footer="0" w:header="0"/>
          <w:type w:val="continuous"/>
        </w:sectPr>
      </w:pPr>
    </w:p>
    <w:p>
      <w:pPr>
        <w:spacing w:after="0" w:line="386"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247650</wp:posOffset>
            </wp:positionV>
            <wp:extent cx="616648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7" w:name="page28"/>
    <w:bookmarkEnd w:id="27"/>
    <w:p>
      <w:pPr>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147955</wp:posOffset>
            </wp:positionV>
            <wp:extent cx="5053330" cy="73132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053330" cy="731329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320" w:hanging="162"/>
        <w:spacing w:after="0" w:line="273" w:lineRule="auto"/>
        <w:rPr>
          <w:sz w:val="20"/>
          <w:szCs w:val="20"/>
          <w:color w:val="auto"/>
        </w:rPr>
      </w:pPr>
      <w:r>
        <w:rPr>
          <w:rFonts w:ascii="Arial" w:cs="Arial" w:eastAsia="Arial" w:hAnsi="Arial"/>
          <w:sz w:val="16"/>
          <w:szCs w:val="16"/>
          <w:b w:val="1"/>
          <w:bCs w:val="1"/>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ind w:right="1559"/>
        <w:spacing w:after="0" w:line="273" w:lineRule="auto"/>
        <w:rPr>
          <w:sz w:val="20"/>
          <w:szCs w:val="20"/>
          <w:color w:val="auto"/>
        </w:rPr>
      </w:pPr>
      <w:r>
        <w:rPr>
          <w:rFonts w:ascii="Arial" w:cs="Arial" w:eastAsia="Arial" w:hAnsi="Arial"/>
          <w:sz w:val="15"/>
          <w:szCs w:val="15"/>
          <w:color w:val="auto"/>
        </w:rPr>
        <w:t>holders of at least 65% of our common stock, and corresponding provisions of the trust agreement governing the release of funds from our trust account may be amended if approved by holders of 65% of our common stock. In all other instances (other than the election of directors), our amended and restated certificate of incorporation will provide that it may be amended by holders of a majority of our common stock entitled to vote thereon, subject to applicable provisions of the Delaware General Corporation Law, or DGCL, or applicable stock exchange rules. Prior to an initial business combination, we may not issue additional securities that can vote on amendments to our amended and restated certificate of incorporation or on our initial business combination or that would entitle holders thereof to receive funds from the trust account. Our initial stockholders, who will beneficially own 20% of our common stock upon the closing of this offering (assuming they do not purchase any units in this offering), may participate in any vote to amend our amended and restated certificate of incorporation and/or trust agreement and will have the discretion to vote in any manner they may choose. Our sponsor, officers and directors have agreed, pursuant to a written agreement with us, that they will not propose any amendment to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unless we provide our public stockholders with the opportunity to redeem their shares of common stock upon approval of any such amendment at a per share price, payable in cash, equal to the aggregate amount then on deposit in the trust account, including interest (net of permitted withdrawals), divided by the number of then outstanding public shares. Our sponsor, officers and directors have entered into a letter agreement with us, pursuant to which they have agreed to waive their redemption rights with respect to any founder shares and any public shares held by them in connection with the completion of our initial business combination. Any permitted transferees would be subject to the same restrictions and other agreements of our initial stockholders with respect to any founder shares.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619"/>
        <w:spacing w:after="0" w:line="276" w:lineRule="auto"/>
        <w:rPr>
          <w:sz w:val="20"/>
          <w:szCs w:val="20"/>
          <w:color w:val="auto"/>
        </w:rPr>
      </w:pPr>
      <w:r>
        <w:rPr>
          <w:rFonts w:ascii="Arial" w:cs="Arial" w:eastAsia="Arial" w:hAnsi="Arial"/>
          <w:sz w:val="15"/>
          <w:szCs w:val="15"/>
          <w:color w:val="auto"/>
        </w:rPr>
        <w:t>On the completion of our initial business combination, the funds held in the trust account will be used to pay amounts due to any public stockholders who exercise their redemption rights as described above under “Proposed Business — Redemption rights for public stockholders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or used for</w:t>
      </w:r>
    </w:p>
    <w:p>
      <w:pPr>
        <w:spacing w:after="0" w:line="200" w:lineRule="exact"/>
        <w:rPr>
          <w:sz w:val="20"/>
          <w:szCs w:val="20"/>
          <w:color w:val="auto"/>
        </w:rPr>
      </w:pPr>
    </w:p>
    <w:p>
      <w:pPr>
        <w:sectPr>
          <w:pgSz w:w="11900" w:h="16838" w:orient="portrait"/>
          <w:cols w:equalWidth="0" w:num="2">
            <w:col w:w="3520" w:space="500"/>
            <w:col w:w="6119"/>
          </w:cols>
          <w:pgMar w:left="320" w:top="131" w:right="1440" w:bottom="1440" w:gutter="0" w:footer="0" w:header="0"/>
          <w:type w:val="continuous"/>
        </w:sectPr>
      </w:pPr>
    </w:p>
    <w:p>
      <w:pPr>
        <w:spacing w:after="0" w:line="291"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247650</wp:posOffset>
            </wp:positionV>
            <wp:extent cx="616648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8" w:name="page29"/>
    <w:bookmarkEnd w:id="28"/>
    <w:p>
      <w:pPr>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147955</wp:posOffset>
            </wp:positionV>
            <wp:extent cx="5053330" cy="73132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053330" cy="731329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320" w:hanging="162"/>
        <w:spacing w:after="0" w:line="329" w:lineRule="auto"/>
        <w:rPr>
          <w:sz w:val="20"/>
          <w:szCs w:val="20"/>
          <w:color w:val="auto"/>
        </w:rPr>
      </w:pPr>
      <w:r>
        <w:rPr>
          <w:rFonts w:ascii="Arial" w:cs="Arial" w:eastAsia="Arial" w:hAnsi="Arial"/>
          <w:sz w:val="14"/>
          <w:szCs w:val="14"/>
          <w:b w:val="1"/>
          <w:bCs w:val="1"/>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ind w:right="1579"/>
        <w:spacing w:after="0" w:line="260" w:lineRule="auto"/>
        <w:rPr>
          <w:sz w:val="20"/>
          <w:szCs w:val="20"/>
          <w:color w:val="auto"/>
        </w:rPr>
      </w:pPr>
      <w:r>
        <w:rPr>
          <w:rFonts w:ascii="Arial" w:cs="Arial" w:eastAsia="Arial" w:hAnsi="Arial"/>
          <w:sz w:val="16"/>
          <w:szCs w:val="16"/>
          <w:color w:val="auto"/>
        </w:rPr>
        <w:t>redemption of our public shares,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200" w:lineRule="exact"/>
        <w:rPr>
          <w:sz w:val="20"/>
          <w:szCs w:val="20"/>
          <w:color w:val="auto"/>
        </w:rPr>
      </w:pPr>
    </w:p>
    <w:p>
      <w:pPr>
        <w:spacing w:after="0" w:line="264" w:lineRule="exact"/>
        <w:rPr>
          <w:sz w:val="20"/>
          <w:szCs w:val="20"/>
          <w:color w:val="auto"/>
        </w:rPr>
      </w:pPr>
    </w:p>
    <w:p>
      <w:pPr>
        <w:ind w:right="1559"/>
        <w:spacing w:after="0" w:line="275" w:lineRule="auto"/>
        <w:rPr>
          <w:sz w:val="20"/>
          <w:szCs w:val="20"/>
          <w:color w:val="auto"/>
        </w:rPr>
      </w:pPr>
      <w:r>
        <w:rPr>
          <w:rFonts w:ascii="Arial" w:cs="Arial" w:eastAsia="Arial" w:hAnsi="Arial"/>
          <w:sz w:val="15"/>
          <w:szCs w:val="15"/>
          <w:color w:val="auto"/>
        </w:rPr>
        <w:t>Our amended and restated certificate of incorporation provides that we will have only the completion window to complete our initial business combination. If we are unable to complete our initial business combination within the completion window, we will: (1) cease all operations except for the purpose of winding up;</w:t>
      </w:r>
    </w:p>
    <w:p>
      <w:pPr>
        <w:spacing w:after="0" w:line="2" w:lineRule="exact"/>
        <w:rPr>
          <w:sz w:val="20"/>
          <w:szCs w:val="20"/>
          <w:color w:val="auto"/>
        </w:rPr>
      </w:pPr>
    </w:p>
    <w:p>
      <w:pPr>
        <w:ind w:right="1559" w:firstLine="5"/>
        <w:spacing w:after="0" w:line="274" w:lineRule="auto"/>
        <w:tabs>
          <w:tab w:leader="none" w:pos="244" w:val="left"/>
        </w:tabs>
        <w:numPr>
          <w:ilvl w:val="0"/>
          <w:numId w:val="16"/>
        </w:numPr>
        <w:rPr>
          <w:rFonts w:ascii="Arial" w:cs="Arial" w:eastAsia="Arial" w:hAnsi="Arial"/>
          <w:sz w:val="15"/>
          <w:szCs w:val="15"/>
          <w:color w:val="auto"/>
        </w:rPr>
      </w:pPr>
      <w:r>
        <w:rPr>
          <w:rFonts w:ascii="Arial" w:cs="Arial" w:eastAsia="Arial" w:hAnsi="Arial"/>
          <w:sz w:val="15"/>
          <w:szCs w:val="15"/>
          <w:color w:val="auto"/>
        </w:rPr>
        <w:t>as promptly as reasonably possible but not more than ten business days thereafter, redeem the public shares, at a per share price, payable in cash, equal to the aggregate amount then on deposit in the trust account, including interest (net of permitted withdrawals and up to $100,000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such completion window.</w:t>
      </w:r>
    </w:p>
    <w:p>
      <w:pPr>
        <w:spacing w:after="0" w:line="65" w:lineRule="exact"/>
        <w:rPr>
          <w:sz w:val="20"/>
          <w:szCs w:val="20"/>
          <w:color w:val="auto"/>
        </w:rPr>
      </w:pPr>
    </w:p>
    <w:p>
      <w:pPr>
        <w:ind w:right="1559"/>
        <w:spacing w:after="0" w:line="257" w:lineRule="auto"/>
        <w:rPr>
          <w:sz w:val="20"/>
          <w:szCs w:val="20"/>
          <w:color w:val="auto"/>
        </w:rPr>
      </w:pPr>
      <w:r>
        <w:rPr>
          <w:rFonts w:ascii="Arial" w:cs="Arial" w:eastAsia="Arial" w:hAnsi="Arial"/>
          <w:sz w:val="16"/>
          <w:szCs w:val="16"/>
          <w:color w:val="auto"/>
        </w:rPr>
        <w:t>Our initial stockholders,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the completion window. However, if our sponsor or any of our officers, directors or any of their respective affiliates acquires public shares after this offering, they will be entitled to liquidating distributions from the trust account with respect to such public shares if we fail to complete our initial business combination within the completion window. The underwriters have agreed to waive their rights to their deferred underwriting commission held in the trust account in the event we do not complete our initial business combination and, in such event, such amounts will be included with the funds held in the trust account that will be available to fund the redemption of our public shares.</w:t>
      </w:r>
    </w:p>
    <w:p>
      <w:pPr>
        <w:spacing w:after="0" w:line="77" w:lineRule="exact"/>
        <w:rPr>
          <w:sz w:val="20"/>
          <w:szCs w:val="20"/>
          <w:color w:val="auto"/>
        </w:rPr>
      </w:pPr>
    </w:p>
    <w:p>
      <w:pPr>
        <w:ind w:right="1659"/>
        <w:spacing w:after="0" w:line="281" w:lineRule="auto"/>
        <w:rPr>
          <w:sz w:val="20"/>
          <w:szCs w:val="20"/>
          <w:color w:val="auto"/>
        </w:rPr>
      </w:pPr>
      <w:r>
        <w:rPr>
          <w:rFonts w:ascii="Arial" w:cs="Arial" w:eastAsia="Arial" w:hAnsi="Arial"/>
          <w:sz w:val="15"/>
          <w:szCs w:val="15"/>
          <w:color w:val="auto"/>
        </w:rPr>
        <w:t>Our sponsor, officers and directors have agreed, pursuant to a written agreement with us, that they will not propose any amendment to our amended and restated certificate of incorporation to modify the substance or timing of our obligation to provide for the redemption of our public shares in connection with an initial business combination or to redeem 100% of our</w:t>
      </w:r>
    </w:p>
    <w:p>
      <w:pPr>
        <w:spacing w:after="0" w:line="200" w:lineRule="exact"/>
        <w:rPr>
          <w:sz w:val="20"/>
          <w:szCs w:val="20"/>
          <w:color w:val="auto"/>
        </w:rPr>
      </w:pPr>
    </w:p>
    <w:p>
      <w:pPr>
        <w:sectPr>
          <w:pgSz w:w="11900" w:h="16838" w:orient="portrait"/>
          <w:cols w:equalWidth="0" w:num="2">
            <w:col w:w="3500" w:space="520"/>
            <w:col w:w="6119"/>
          </w:cols>
          <w:pgMar w:left="320" w:top="131" w:right="1440" w:bottom="1440" w:gutter="0" w:footer="0" w:header="0"/>
          <w:type w:val="continuous"/>
        </w:sectPr>
      </w:pPr>
    </w:p>
    <w:p>
      <w:pPr>
        <w:spacing w:after="0" w:line="288"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247650</wp:posOffset>
            </wp:positionV>
            <wp:extent cx="616648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9" w:name="page30"/>
    <w:bookmarkEnd w:id="29"/>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140335</wp:posOffset>
            </wp:positionV>
            <wp:extent cx="5053330" cy="73132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053330" cy="731329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public shares if we do not complete our initial business</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combination within the completion window, unless we provide our</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public stockholders with the opportunity to redeem their shares of</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common stock upon approval of any such amendment at a per</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share price, payable in cash, equal to the aggregate amount then</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on deposit in the trust account, including interest (net of permitted</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withdrawals and up to $100,000 of interest to pay dissolution</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expenses), divided by the number of then outstanding public</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shares.</w:t>
      </w:r>
    </w:p>
    <w:p>
      <w:pPr>
        <w:sectPr>
          <w:pgSz w:w="11900" w:h="16838" w:orient="portrait"/>
          <w:cols w:equalWidth="0" w:num="1">
            <w:col w:w="10139"/>
          </w:cols>
          <w:pgMar w:left="320" w:top="131" w:right="1440" w:bottom="1440" w:gutter="0" w:footer="0" w:header="0"/>
        </w:sectPr>
      </w:pPr>
    </w:p>
    <w:p>
      <w:pPr>
        <w:spacing w:after="0" w:line="94"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Limited payments to insiders</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1579"/>
        <w:spacing w:after="0" w:line="277" w:lineRule="auto"/>
        <w:rPr>
          <w:sz w:val="20"/>
          <w:szCs w:val="20"/>
          <w:color w:val="auto"/>
        </w:rPr>
      </w:pPr>
      <w:r>
        <w:rPr>
          <w:rFonts w:ascii="Arial" w:cs="Arial" w:eastAsia="Arial" w:hAnsi="Arial"/>
          <w:sz w:val="15"/>
          <w:szCs w:val="15"/>
          <w:color w:val="auto"/>
        </w:rPr>
        <w:t>There will be no finder’s fees, reimbursement, consulting fee, monies in respect of any payment of a loan or other compensation paid by us to our sponsor, officers or directors or our or any of their respective affiliates, for services rendered to us prior to or in connection with the completion of our initial business combination (regardless of the type of transaction that it is). However, the following payments may be made to our sponsor, officers or directors, or our or their affiliates, and, if made prior to our initial business combination will be made from (i) funds held outside the trust account or (ii) permitted withdrawals:</w:t>
      </w:r>
    </w:p>
    <w:p>
      <w:pPr>
        <w:spacing w:after="0" w:line="64" w:lineRule="exact"/>
        <w:rPr>
          <w:sz w:val="20"/>
          <w:szCs w:val="20"/>
          <w:color w:val="auto"/>
        </w:rPr>
      </w:pPr>
    </w:p>
    <w:p>
      <w:pPr>
        <w:sectPr>
          <w:pgSz w:w="11900" w:h="16838" w:orient="portrait"/>
          <w:cols w:equalWidth="0" w:num="2">
            <w:col w:w="3300" w:space="720"/>
            <w:col w:w="6119"/>
          </w:cols>
          <w:pgMar w:left="320" w:top="131" w:right="1440" w:bottom="1440" w:gutter="0" w:footer="0" w:header="0"/>
          <w:type w:val="continuous"/>
        </w:sectPr>
      </w:pPr>
    </w:p>
    <w:p>
      <w:pPr>
        <w:ind w:left="436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ind w:right="1659"/>
        <w:spacing w:after="0" w:line="270" w:lineRule="auto"/>
        <w:rPr>
          <w:sz w:val="20"/>
          <w:szCs w:val="20"/>
          <w:color w:val="auto"/>
        </w:rPr>
      </w:pPr>
      <w:r>
        <w:rPr>
          <w:rFonts w:ascii="Arial" w:cs="Arial" w:eastAsia="Arial" w:hAnsi="Arial"/>
          <w:sz w:val="16"/>
          <w:szCs w:val="16"/>
          <w:color w:val="auto"/>
        </w:rPr>
        <w:t>repayment of an aggregate of up to $600,000 in loans made to us by our sponsor to cover offering-related and organizational expenses;</w:t>
      </w:r>
    </w:p>
    <w:p>
      <w:pPr>
        <w:spacing w:after="0" w:line="64" w:lineRule="exact"/>
        <w:rPr>
          <w:sz w:val="20"/>
          <w:szCs w:val="20"/>
          <w:color w:val="auto"/>
        </w:rPr>
      </w:pPr>
    </w:p>
    <w:p>
      <w:pPr>
        <w:sectPr>
          <w:pgSz w:w="11900" w:h="16838" w:orient="portrait"/>
          <w:cols w:equalWidth="0" w:num="2">
            <w:col w:w="4400" w:space="280"/>
            <w:col w:w="5459"/>
          </w:cols>
          <w:pgMar w:left="320" w:top="131" w:right="1440" w:bottom="1440" w:gutter="0" w:footer="0" w:header="0"/>
          <w:type w:val="continuous"/>
        </w:sectPr>
      </w:pPr>
    </w:p>
    <w:p>
      <w:pPr>
        <w:ind w:left="436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ind w:right="1959"/>
        <w:spacing w:after="0" w:line="284" w:lineRule="auto"/>
        <w:rPr>
          <w:sz w:val="20"/>
          <w:szCs w:val="20"/>
          <w:color w:val="auto"/>
        </w:rPr>
      </w:pPr>
      <w:r>
        <w:rPr>
          <w:rFonts w:ascii="Arial" w:cs="Arial" w:eastAsia="Arial" w:hAnsi="Arial"/>
          <w:sz w:val="15"/>
          <w:szCs w:val="15"/>
          <w:color w:val="auto"/>
        </w:rPr>
        <w:t>at the closing of our initial business combination, a customary financial advisory fee to M. Klein and Company, or another affiliate of our sponsor, in an amount that constitutes a market standard financial advisory fee for comparable transactions;</w:t>
      </w:r>
    </w:p>
    <w:p>
      <w:pPr>
        <w:spacing w:after="0" w:line="56" w:lineRule="exact"/>
        <w:rPr>
          <w:sz w:val="20"/>
          <w:szCs w:val="20"/>
          <w:color w:val="auto"/>
        </w:rPr>
      </w:pPr>
    </w:p>
    <w:p>
      <w:pPr>
        <w:sectPr>
          <w:pgSz w:w="11900" w:h="16838" w:orient="portrait"/>
          <w:cols w:equalWidth="0" w:num="2">
            <w:col w:w="4400" w:space="280"/>
            <w:col w:w="5459"/>
          </w:cols>
          <w:pgMar w:left="320" w:top="131" w:right="1440" w:bottom="1440" w:gutter="0" w:footer="0" w:header="0"/>
          <w:type w:val="continuous"/>
        </w:sectPr>
      </w:pPr>
    </w:p>
    <w:p>
      <w:pPr>
        <w:ind w:left="436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jc w:val="both"/>
        <w:ind w:right="1999"/>
        <w:spacing w:after="0" w:line="296" w:lineRule="auto"/>
        <w:rPr>
          <w:sz w:val="20"/>
          <w:szCs w:val="20"/>
          <w:color w:val="auto"/>
        </w:rPr>
      </w:pPr>
      <w:r>
        <w:rPr>
          <w:rFonts w:ascii="Arial" w:cs="Arial" w:eastAsia="Arial" w:hAnsi="Arial"/>
          <w:sz w:val="15"/>
          <w:szCs w:val="15"/>
          <w:color w:val="auto"/>
        </w:rPr>
        <w:t>payment to an affiliate of our sponsor of a total of $50,000 per month, for up to 27 months, for office space, administrative and support services;</w:t>
      </w:r>
    </w:p>
    <w:p>
      <w:pPr>
        <w:spacing w:after="0" w:line="47" w:lineRule="exact"/>
        <w:rPr>
          <w:sz w:val="20"/>
          <w:szCs w:val="20"/>
          <w:color w:val="auto"/>
        </w:rPr>
      </w:pPr>
    </w:p>
    <w:p>
      <w:pPr>
        <w:sectPr>
          <w:pgSz w:w="11900" w:h="16838" w:orient="portrait"/>
          <w:cols w:equalWidth="0" w:num="2">
            <w:col w:w="4400" w:space="280"/>
            <w:col w:w="5459"/>
          </w:cols>
          <w:pgMar w:left="320" w:top="131" w:right="1440" w:bottom="1440" w:gutter="0" w:footer="0" w:header="0"/>
          <w:type w:val="continuous"/>
        </w:sectPr>
      </w:pPr>
    </w:p>
    <w:p>
      <w:pPr>
        <w:ind w:left="436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ind w:right="1599"/>
        <w:spacing w:after="0" w:line="270" w:lineRule="auto"/>
        <w:rPr>
          <w:sz w:val="20"/>
          <w:szCs w:val="20"/>
          <w:color w:val="auto"/>
        </w:rPr>
      </w:pPr>
      <w:r>
        <w:rPr>
          <w:rFonts w:ascii="Arial" w:cs="Arial" w:eastAsia="Arial" w:hAnsi="Arial"/>
          <w:sz w:val="16"/>
          <w:szCs w:val="16"/>
          <w:color w:val="auto"/>
        </w:rPr>
        <w:t>reimbursement for any out-of-pocket expenses related to identifying, investigating and completing an initial business combination; and</w:t>
      </w:r>
    </w:p>
    <w:p>
      <w:pPr>
        <w:spacing w:after="0" w:line="64" w:lineRule="exact"/>
        <w:rPr>
          <w:sz w:val="20"/>
          <w:szCs w:val="20"/>
          <w:color w:val="auto"/>
        </w:rPr>
      </w:pPr>
    </w:p>
    <w:p>
      <w:pPr>
        <w:sectPr>
          <w:pgSz w:w="11900" w:h="16838" w:orient="portrait"/>
          <w:cols w:equalWidth="0" w:num="2">
            <w:col w:w="4400" w:space="280"/>
            <w:col w:w="5459"/>
          </w:cols>
          <w:pgMar w:left="320" w:top="131" w:right="1440" w:bottom="1440" w:gutter="0" w:footer="0" w:header="0"/>
          <w:type w:val="continuous"/>
        </w:sectPr>
      </w:pPr>
    </w:p>
    <w:p>
      <w:pPr>
        <w:ind w:left="436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ind w:right="1559"/>
        <w:spacing w:after="0" w:line="278" w:lineRule="auto"/>
        <w:rPr>
          <w:sz w:val="20"/>
          <w:szCs w:val="20"/>
          <w:color w:val="auto"/>
        </w:rPr>
      </w:pPr>
      <w:r>
        <w:rPr>
          <w:rFonts w:ascii="Arial" w:cs="Arial" w:eastAsia="Arial" w:hAnsi="Arial"/>
          <w:sz w:val="15"/>
          <w:szCs w:val="15"/>
          <w:color w:val="auto"/>
        </w:rPr>
        <w:t>repayment of loans which may be made by our sponsor, an affiliate of our sponsor or our officers and directors to finance transaction costs in connection with an intended initial business combination, the terms of which have not been determined nor have any written agreements been executed with respect thereto. Up to $1,500,000 of such loans may be convertible into warrants of the post-business combination entity at a price of $1.00 per warrant at the option of the lender.</w:t>
      </w:r>
    </w:p>
    <w:p>
      <w:pPr>
        <w:spacing w:after="0" w:line="61" w:lineRule="exact"/>
        <w:rPr>
          <w:sz w:val="20"/>
          <w:szCs w:val="20"/>
          <w:color w:val="auto"/>
        </w:rPr>
      </w:pPr>
    </w:p>
    <w:p>
      <w:pPr>
        <w:sectPr>
          <w:pgSz w:w="11900" w:h="16838" w:orient="portrait"/>
          <w:cols w:equalWidth="0" w:num="2">
            <w:col w:w="4400" w:space="280"/>
            <w:col w:w="5459"/>
          </w:cols>
          <w:pgMar w:left="320" w:top="131" w:right="1440" w:bottom="1440" w:gutter="0" w:footer="0" w:header="0"/>
          <w:type w:val="continuous"/>
        </w:sectPr>
      </w:pPr>
    </w:p>
    <w:p>
      <w:pPr>
        <w:ind w:left="4020"/>
        <w:spacing w:after="0"/>
        <w:rPr>
          <w:sz w:val="20"/>
          <w:szCs w:val="20"/>
          <w:color w:val="auto"/>
        </w:rPr>
      </w:pPr>
      <w:r>
        <w:rPr>
          <w:rFonts w:ascii="Arial" w:cs="Arial" w:eastAsia="Arial" w:hAnsi="Arial"/>
          <w:sz w:val="15"/>
          <w:szCs w:val="15"/>
          <w:color w:val="auto"/>
        </w:rPr>
        <w:t>Our audit committee will review on a quarterly basis all payments</w:t>
      </w:r>
    </w:p>
    <w:p>
      <w:pPr>
        <w:spacing w:after="0" w:line="35"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that were made by us to our sponsor, officers or directors or our or</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any of their respective affiliates.</w:t>
      </w:r>
    </w:p>
    <w:p>
      <w:pPr>
        <w:sectPr>
          <w:pgSz w:w="11900" w:h="16838" w:orient="portrait"/>
          <w:cols w:equalWidth="0" w:num="1">
            <w:col w:w="10139"/>
          </w:cols>
          <w:pgMar w:left="320" w:top="131" w:right="1440" w:bottom="1440" w:gutter="0" w:footer="0" w:header="0"/>
          <w:type w:val="continuous"/>
        </w:sectPr>
      </w:pPr>
    </w:p>
    <w:p>
      <w:pPr>
        <w:spacing w:after="0" w:line="94"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Audit Committee</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1679"/>
        <w:spacing w:after="0" w:line="280" w:lineRule="auto"/>
        <w:rPr>
          <w:sz w:val="20"/>
          <w:szCs w:val="20"/>
          <w:color w:val="auto"/>
        </w:rPr>
      </w:pPr>
      <w:r>
        <w:rPr>
          <w:rFonts w:ascii="Arial" w:cs="Arial" w:eastAsia="Arial" w:hAnsi="Arial"/>
          <w:sz w:val="15"/>
          <w:szCs w:val="15"/>
          <w:color w:val="auto"/>
        </w:rPr>
        <w:t>Prior to the effectiveness of this registration statement, we will have established and will maintain an audit committee to, among</w:t>
      </w:r>
    </w:p>
    <w:p>
      <w:pPr>
        <w:spacing w:after="0" w:line="1" w:lineRule="exact"/>
        <w:rPr>
          <w:sz w:val="20"/>
          <w:szCs w:val="20"/>
          <w:color w:val="auto"/>
        </w:rPr>
      </w:pPr>
    </w:p>
    <w:p>
      <w:pPr>
        <w:sectPr>
          <w:pgSz w:w="11900" w:h="16838" w:orient="portrait"/>
          <w:cols w:equalWidth="0" w:num="2">
            <w:col w:w="3300" w:space="720"/>
            <w:col w:w="6119"/>
          </w:cols>
          <w:pgMar w:left="320" w:top="131" w:right="1440" w:bottom="1440" w:gutter="0" w:footer="0" w:header="0"/>
          <w:type w:val="continuous"/>
        </w:sectPr>
      </w:pPr>
    </w:p>
    <w:p>
      <w:pPr>
        <w:ind w:left="4020"/>
        <w:spacing w:after="0"/>
        <w:rPr>
          <w:sz w:val="20"/>
          <w:szCs w:val="20"/>
          <w:color w:val="auto"/>
        </w:rPr>
      </w:pPr>
      <w:r>
        <w:rPr>
          <w:rFonts w:ascii="Arial" w:cs="Arial" w:eastAsia="Arial" w:hAnsi="Arial"/>
          <w:sz w:val="15"/>
          <w:szCs w:val="15"/>
          <w:color w:val="auto"/>
        </w:rPr>
        <w:t>other things, monitor compliance with the terms described above</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and the other terms relating to this offering.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0" w:name="page31"/>
    <w:bookmarkEnd w:id="30"/>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578"/>
        </w:trPr>
        <w:tc>
          <w:tcPr>
            <w:tcW w:w="94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c>
          <w:tcPr>
            <w:tcW w:w="5620" w:type="dxa"/>
            <w:vAlign w:val="bottom"/>
            <w:tcBorders>
              <w:top w:val="single" w:sz="8" w:color="auto"/>
              <w:right w:val="single" w:sz="8" w:color="auto"/>
            </w:tcBorders>
          </w:tcPr>
          <w:p>
            <w:pPr>
              <w:ind w:left="780"/>
              <w:spacing w:after="0"/>
              <w:rPr>
                <w:sz w:val="20"/>
                <w:szCs w:val="20"/>
                <w:color w:val="auto"/>
              </w:rPr>
            </w:pPr>
            <w:r>
              <w:rPr>
                <w:rFonts w:ascii="Arial" w:cs="Arial" w:eastAsia="Arial" w:hAnsi="Arial"/>
                <w:sz w:val="16"/>
                <w:szCs w:val="16"/>
                <w:color w:val="auto"/>
              </w:rPr>
              <w:t>noncompliance is identified, then the audit committee will be</w:t>
            </w:r>
          </w:p>
        </w:tc>
        <w:tc>
          <w:tcPr>
            <w:tcW w:w="840" w:type="dxa"/>
            <w:vAlign w:val="bottom"/>
          </w:tcPr>
          <w:p>
            <w:pPr>
              <w:spacing w:after="0"/>
              <w:rPr>
                <w:sz w:val="24"/>
                <w:szCs w:val="24"/>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charged with the responsibility to immediately take all action</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necessary to rectify such noncompliance or otherwise to cause</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compliance with the terms of this offering. Please see</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“Management — Committees of the Board of Directors — Audit</w:t>
            </w:r>
          </w:p>
        </w:tc>
        <w:tc>
          <w:tcPr>
            <w:tcW w:w="840" w:type="dxa"/>
            <w:vAlign w:val="bottom"/>
          </w:tcPr>
          <w:p>
            <w:pPr>
              <w:spacing w:after="0"/>
              <w:rPr>
                <w:sz w:val="17"/>
                <w:szCs w:val="17"/>
                <w:color w:val="auto"/>
              </w:rPr>
            </w:pPr>
          </w:p>
        </w:tc>
      </w:tr>
      <w:tr>
        <w:trPr>
          <w:trHeight w:val="207"/>
        </w:trPr>
        <w:tc>
          <w:tcPr>
            <w:tcW w:w="940" w:type="dxa"/>
            <w:vAlign w:val="bottom"/>
            <w:tcBorders>
              <w:right w:val="single" w:sz="8" w:color="auto"/>
            </w:tcBorders>
          </w:tcPr>
          <w:p>
            <w:pPr>
              <w:spacing w:after="0"/>
              <w:rPr>
                <w:sz w:val="18"/>
                <w:szCs w:val="18"/>
                <w:color w:val="auto"/>
              </w:rPr>
            </w:pPr>
          </w:p>
        </w:tc>
        <w:tc>
          <w:tcPr>
            <w:tcW w:w="2300" w:type="dxa"/>
            <w:vAlign w:val="bottom"/>
          </w:tcPr>
          <w:p>
            <w:pPr>
              <w:spacing w:after="0"/>
              <w:rPr>
                <w:sz w:val="18"/>
                <w:szCs w:val="18"/>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Committee” for additional information.</w:t>
            </w:r>
          </w:p>
        </w:tc>
        <w:tc>
          <w:tcPr>
            <w:tcW w:w="840" w:type="dxa"/>
            <w:vAlign w:val="bottom"/>
          </w:tcPr>
          <w:p>
            <w:pPr>
              <w:spacing w:after="0"/>
              <w:rPr>
                <w:sz w:val="18"/>
                <w:szCs w:val="18"/>
                <w:color w:val="auto"/>
              </w:rPr>
            </w:pPr>
          </w:p>
        </w:tc>
      </w:tr>
      <w:tr>
        <w:trPr>
          <w:trHeight w:val="282"/>
        </w:trPr>
        <w:tc>
          <w:tcPr>
            <w:tcW w:w="940" w:type="dxa"/>
            <w:vAlign w:val="bottom"/>
            <w:tcBorders>
              <w:right w:val="single" w:sz="8" w:color="auto"/>
            </w:tcBorders>
          </w:tcPr>
          <w:p>
            <w:pPr>
              <w:spacing w:after="0"/>
              <w:rPr>
                <w:sz w:val="24"/>
                <w:szCs w:val="24"/>
                <w:color w:val="auto"/>
              </w:rPr>
            </w:pPr>
          </w:p>
        </w:tc>
        <w:tc>
          <w:tcPr>
            <w:tcW w:w="2300" w:type="dxa"/>
            <w:vAlign w:val="bottom"/>
          </w:tcPr>
          <w:p>
            <w:pPr>
              <w:ind w:left="220"/>
              <w:spacing w:after="0"/>
              <w:rPr>
                <w:sz w:val="20"/>
                <w:szCs w:val="20"/>
                <w:color w:val="auto"/>
              </w:rPr>
            </w:pPr>
            <w:r>
              <w:rPr>
                <w:rFonts w:ascii="Arial" w:cs="Arial" w:eastAsia="Arial" w:hAnsi="Arial"/>
                <w:sz w:val="16"/>
                <w:szCs w:val="16"/>
                <w:b w:val="1"/>
                <w:bCs w:val="1"/>
                <w:color w:val="auto"/>
              </w:rPr>
              <w:t>Conflicts of Interest</w:t>
            </w: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Mr. Klein is the founder and managing partner of M. Klein and</w:t>
            </w:r>
          </w:p>
        </w:tc>
        <w:tc>
          <w:tcPr>
            <w:tcW w:w="840" w:type="dxa"/>
            <w:vAlign w:val="bottom"/>
          </w:tcPr>
          <w:p>
            <w:pPr>
              <w:spacing w:after="0"/>
              <w:rPr>
                <w:sz w:val="24"/>
                <w:szCs w:val="24"/>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Company and acts as a strategic advisor to its clients. M. Klein</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and Company is an affiliate of our sponsor. Mr. Klein has a</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fiduciary duty to M. Klein and Company. As a result, Mr. Klein</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may have a duty to offer acquisition opportunities to clients of</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M. Klein and Company. Mr. Klein will have no duty to offer</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acquisition opportunities to the Company unless presented to him</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solely in his capacity as an officer or director of the Company and</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after he has satisfied his contractual and fiduciary obligations to</w:t>
            </w:r>
          </w:p>
        </w:tc>
        <w:tc>
          <w:tcPr>
            <w:tcW w:w="840" w:type="dxa"/>
            <w:vAlign w:val="bottom"/>
          </w:tcPr>
          <w:p>
            <w:pPr>
              <w:spacing w:after="0"/>
              <w:rPr>
                <w:sz w:val="17"/>
                <w:szCs w:val="17"/>
                <w:color w:val="auto"/>
              </w:rPr>
            </w:pPr>
          </w:p>
        </w:tc>
      </w:tr>
      <w:tr>
        <w:trPr>
          <w:trHeight w:val="207"/>
        </w:trPr>
        <w:tc>
          <w:tcPr>
            <w:tcW w:w="940" w:type="dxa"/>
            <w:vAlign w:val="bottom"/>
            <w:tcBorders>
              <w:right w:val="single" w:sz="8" w:color="auto"/>
            </w:tcBorders>
          </w:tcPr>
          <w:p>
            <w:pPr>
              <w:spacing w:after="0"/>
              <w:rPr>
                <w:sz w:val="18"/>
                <w:szCs w:val="18"/>
                <w:color w:val="auto"/>
              </w:rPr>
            </w:pPr>
          </w:p>
        </w:tc>
        <w:tc>
          <w:tcPr>
            <w:tcW w:w="2300" w:type="dxa"/>
            <w:vAlign w:val="bottom"/>
          </w:tcPr>
          <w:p>
            <w:pPr>
              <w:spacing w:after="0"/>
              <w:rPr>
                <w:sz w:val="18"/>
                <w:szCs w:val="18"/>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other parties.</w:t>
            </w:r>
          </w:p>
        </w:tc>
        <w:tc>
          <w:tcPr>
            <w:tcW w:w="840" w:type="dxa"/>
            <w:vAlign w:val="bottom"/>
          </w:tcPr>
          <w:p>
            <w:pPr>
              <w:spacing w:after="0"/>
              <w:rPr>
                <w:sz w:val="18"/>
                <w:szCs w:val="18"/>
                <w:color w:val="auto"/>
              </w:rPr>
            </w:pPr>
          </w:p>
        </w:tc>
      </w:tr>
      <w:tr>
        <w:trPr>
          <w:trHeight w:val="282"/>
        </w:trPr>
        <w:tc>
          <w:tcPr>
            <w:tcW w:w="940" w:type="dxa"/>
            <w:vAlign w:val="bottom"/>
            <w:tcBorders>
              <w:right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As a result, M. Klein and Company’s clients may compete with us</w:t>
            </w:r>
          </w:p>
        </w:tc>
        <w:tc>
          <w:tcPr>
            <w:tcW w:w="840" w:type="dxa"/>
            <w:vAlign w:val="bottom"/>
          </w:tcPr>
          <w:p>
            <w:pPr>
              <w:spacing w:after="0"/>
              <w:rPr>
                <w:sz w:val="24"/>
                <w:szCs w:val="24"/>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for acquisition opportunities in the same industries and sectors as</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we may target for our initial business combination. If any of them</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decide to pursue any such opportunity, we may be precluded from</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procuring such opportunities. In addition, investment ideas</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generated within M. Klein and Company, including by Mr. Klein</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and other persons who may make decisions for the company, may</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be suitable both for us and for M. Klein and Company or any of</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its clients, and will be directed initially to such persons rather than</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to us. None of Mr. Klein, M. Klein and Company or members of</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our management team who are also employed by M. Klein and</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Company have any obligation to present us with any opportunity</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for a potential business combination of which they become aware</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unless it is offered to them solely in their capacity as a director or</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officer of the Company and after they have satisfied their</w:t>
            </w:r>
          </w:p>
        </w:tc>
        <w:tc>
          <w:tcPr>
            <w:tcW w:w="840" w:type="dxa"/>
            <w:vAlign w:val="bottom"/>
          </w:tcPr>
          <w:p>
            <w:pPr>
              <w:spacing w:after="0"/>
              <w:rPr>
                <w:sz w:val="17"/>
                <w:szCs w:val="17"/>
                <w:color w:val="auto"/>
              </w:rPr>
            </w:pPr>
          </w:p>
        </w:tc>
      </w:tr>
      <w:tr>
        <w:trPr>
          <w:trHeight w:val="207"/>
        </w:trPr>
        <w:tc>
          <w:tcPr>
            <w:tcW w:w="940" w:type="dxa"/>
            <w:vAlign w:val="bottom"/>
            <w:tcBorders>
              <w:right w:val="single" w:sz="8" w:color="auto"/>
            </w:tcBorders>
          </w:tcPr>
          <w:p>
            <w:pPr>
              <w:spacing w:after="0"/>
              <w:rPr>
                <w:sz w:val="18"/>
                <w:szCs w:val="18"/>
                <w:color w:val="auto"/>
              </w:rPr>
            </w:pPr>
          </w:p>
        </w:tc>
        <w:tc>
          <w:tcPr>
            <w:tcW w:w="2300" w:type="dxa"/>
            <w:vAlign w:val="bottom"/>
          </w:tcPr>
          <w:p>
            <w:pPr>
              <w:spacing w:after="0"/>
              <w:rPr>
                <w:sz w:val="18"/>
                <w:szCs w:val="18"/>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contractual and fiduciary obligations to other parties.</w:t>
            </w:r>
          </w:p>
        </w:tc>
        <w:tc>
          <w:tcPr>
            <w:tcW w:w="840" w:type="dxa"/>
            <w:vAlign w:val="bottom"/>
          </w:tcPr>
          <w:p>
            <w:pPr>
              <w:spacing w:after="0"/>
              <w:rPr>
                <w:sz w:val="18"/>
                <w:szCs w:val="18"/>
                <w:color w:val="auto"/>
              </w:rPr>
            </w:pPr>
          </w:p>
        </w:tc>
      </w:tr>
      <w:tr>
        <w:trPr>
          <w:trHeight w:val="282"/>
        </w:trPr>
        <w:tc>
          <w:tcPr>
            <w:tcW w:w="940" w:type="dxa"/>
            <w:vAlign w:val="bottom"/>
            <w:tcBorders>
              <w:right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Our Strategic and Operating Partners and their personnel, if any,</w:t>
            </w:r>
          </w:p>
        </w:tc>
        <w:tc>
          <w:tcPr>
            <w:tcW w:w="840" w:type="dxa"/>
            <w:vAlign w:val="bottom"/>
          </w:tcPr>
          <w:p>
            <w:pPr>
              <w:spacing w:after="0"/>
              <w:rPr>
                <w:sz w:val="24"/>
                <w:szCs w:val="24"/>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may have a duty to offer acquisition opportunities to clients or</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other parties. Such persons will have no duty to offer acquisition</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opportunities to the Company unless presented to them solely in</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their capacity as a director of the Company and after they have</w:t>
            </w:r>
          </w:p>
        </w:tc>
        <w:tc>
          <w:tcPr>
            <w:tcW w:w="840" w:type="dxa"/>
            <w:vAlign w:val="bottom"/>
          </w:tcPr>
          <w:p>
            <w:pPr>
              <w:spacing w:after="0"/>
              <w:rPr>
                <w:sz w:val="17"/>
                <w:szCs w:val="17"/>
                <w:color w:val="auto"/>
              </w:rPr>
            </w:pPr>
          </w:p>
        </w:tc>
      </w:tr>
      <w:tr>
        <w:trPr>
          <w:trHeight w:val="207"/>
        </w:trPr>
        <w:tc>
          <w:tcPr>
            <w:tcW w:w="940" w:type="dxa"/>
            <w:vAlign w:val="bottom"/>
            <w:tcBorders>
              <w:right w:val="single" w:sz="8" w:color="auto"/>
            </w:tcBorders>
          </w:tcPr>
          <w:p>
            <w:pPr>
              <w:spacing w:after="0"/>
              <w:rPr>
                <w:sz w:val="18"/>
                <w:szCs w:val="18"/>
                <w:color w:val="auto"/>
              </w:rPr>
            </w:pPr>
          </w:p>
        </w:tc>
        <w:tc>
          <w:tcPr>
            <w:tcW w:w="2300" w:type="dxa"/>
            <w:vAlign w:val="bottom"/>
          </w:tcPr>
          <w:p>
            <w:pPr>
              <w:spacing w:after="0"/>
              <w:rPr>
                <w:sz w:val="18"/>
                <w:szCs w:val="18"/>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satisfied any contractual and fiduciary obligations to other parties.</w:t>
            </w:r>
          </w:p>
        </w:tc>
        <w:tc>
          <w:tcPr>
            <w:tcW w:w="840" w:type="dxa"/>
            <w:vAlign w:val="bottom"/>
          </w:tcPr>
          <w:p>
            <w:pPr>
              <w:spacing w:after="0"/>
              <w:rPr>
                <w:sz w:val="18"/>
                <w:szCs w:val="18"/>
                <w:color w:val="auto"/>
              </w:rPr>
            </w:pPr>
          </w:p>
        </w:tc>
      </w:tr>
      <w:tr>
        <w:trPr>
          <w:trHeight w:val="282"/>
        </w:trPr>
        <w:tc>
          <w:tcPr>
            <w:tcW w:w="940" w:type="dxa"/>
            <w:vAlign w:val="bottom"/>
            <w:tcBorders>
              <w:right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As a result, such persons may compete with us for acquisition</w:t>
            </w:r>
          </w:p>
        </w:tc>
        <w:tc>
          <w:tcPr>
            <w:tcW w:w="840" w:type="dxa"/>
            <w:vAlign w:val="bottom"/>
          </w:tcPr>
          <w:p>
            <w:pPr>
              <w:spacing w:after="0"/>
              <w:rPr>
                <w:sz w:val="24"/>
                <w:szCs w:val="24"/>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opportunities in the same industries and sectors as we may target</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for our initial business combination. Consequently, we may be</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precluded from procuring such opportunities. In addition,</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investment ideas may be suitable both for us and for a Strategic</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Partner or Operating Partner or any of its clients, and will be</w:t>
            </w:r>
          </w:p>
        </w:tc>
        <w:tc>
          <w:tcPr>
            <w:tcW w:w="840" w:type="dxa"/>
            <w:vAlign w:val="bottom"/>
          </w:tcPr>
          <w:p>
            <w:pPr>
              <w:spacing w:after="0"/>
              <w:rPr>
                <w:sz w:val="17"/>
                <w:szCs w:val="17"/>
                <w:color w:val="auto"/>
              </w:rPr>
            </w:pPr>
          </w:p>
        </w:tc>
      </w:tr>
      <w:tr>
        <w:trPr>
          <w:trHeight w:val="207"/>
        </w:trPr>
        <w:tc>
          <w:tcPr>
            <w:tcW w:w="940" w:type="dxa"/>
            <w:vAlign w:val="bottom"/>
            <w:tcBorders>
              <w:right w:val="single" w:sz="8" w:color="auto"/>
            </w:tcBorders>
          </w:tcPr>
          <w:p>
            <w:pPr>
              <w:spacing w:after="0"/>
              <w:rPr>
                <w:sz w:val="18"/>
                <w:szCs w:val="18"/>
                <w:color w:val="auto"/>
              </w:rPr>
            </w:pPr>
          </w:p>
        </w:tc>
        <w:tc>
          <w:tcPr>
            <w:tcW w:w="2300" w:type="dxa"/>
            <w:vAlign w:val="bottom"/>
          </w:tcPr>
          <w:p>
            <w:pPr>
              <w:spacing w:after="0"/>
              <w:rPr>
                <w:sz w:val="18"/>
                <w:szCs w:val="18"/>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directed initially to such persons rather than to us.</w:t>
            </w:r>
          </w:p>
        </w:tc>
        <w:tc>
          <w:tcPr>
            <w:tcW w:w="840" w:type="dxa"/>
            <w:vAlign w:val="bottom"/>
          </w:tcPr>
          <w:p>
            <w:pPr>
              <w:spacing w:after="0"/>
              <w:rPr>
                <w:sz w:val="18"/>
                <w:szCs w:val="18"/>
                <w:color w:val="auto"/>
              </w:rPr>
            </w:pPr>
          </w:p>
        </w:tc>
      </w:tr>
      <w:tr>
        <w:trPr>
          <w:trHeight w:val="282"/>
        </w:trPr>
        <w:tc>
          <w:tcPr>
            <w:tcW w:w="940" w:type="dxa"/>
            <w:vAlign w:val="bottom"/>
            <w:tcBorders>
              <w:right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In addition, Mr. Klein, M. Klein and Company and any of our</w:t>
            </w:r>
          </w:p>
        </w:tc>
        <w:tc>
          <w:tcPr>
            <w:tcW w:w="840" w:type="dxa"/>
            <w:vAlign w:val="bottom"/>
          </w:tcPr>
          <w:p>
            <w:pPr>
              <w:spacing w:after="0"/>
              <w:rPr>
                <w:sz w:val="24"/>
                <w:szCs w:val="24"/>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Strategic and Operating Partners or their personnel may sponsor</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or form other blank check companies similar to ours during the</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period in which we are seeking an initial business combination. In</w:t>
            </w:r>
          </w:p>
        </w:tc>
        <w:tc>
          <w:tcPr>
            <w:tcW w:w="840" w:type="dxa"/>
            <w:vAlign w:val="bottom"/>
          </w:tcPr>
          <w:p>
            <w:pPr>
              <w:spacing w:after="0"/>
              <w:rPr>
                <w:sz w:val="17"/>
                <w:szCs w:val="17"/>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particular, Mr. Klein, M. Klein and Company, our Strategic and</w:t>
            </w:r>
          </w:p>
        </w:tc>
        <w:tc>
          <w:tcPr>
            <w:tcW w:w="840" w:type="dxa"/>
            <w:vAlign w:val="bottom"/>
          </w:tcPr>
          <w:p>
            <w:pPr>
              <w:spacing w:after="0"/>
              <w:rPr>
                <w:sz w:val="17"/>
                <w:szCs w:val="17"/>
                <w:color w:val="auto"/>
              </w:rPr>
            </w:pPr>
          </w:p>
        </w:tc>
      </w:tr>
      <w:tr>
        <w:trPr>
          <w:trHeight w:val="207"/>
        </w:trPr>
        <w:tc>
          <w:tcPr>
            <w:tcW w:w="940" w:type="dxa"/>
            <w:vAlign w:val="bottom"/>
            <w:tcBorders>
              <w:right w:val="single" w:sz="8" w:color="auto"/>
            </w:tcBorders>
          </w:tcPr>
          <w:p>
            <w:pPr>
              <w:spacing w:after="0"/>
              <w:rPr>
                <w:sz w:val="18"/>
                <w:szCs w:val="18"/>
                <w:color w:val="auto"/>
              </w:rPr>
            </w:pPr>
          </w:p>
        </w:tc>
        <w:tc>
          <w:tcPr>
            <w:tcW w:w="2300" w:type="dxa"/>
            <w:vAlign w:val="bottom"/>
          </w:tcPr>
          <w:p>
            <w:pPr>
              <w:spacing w:after="0"/>
              <w:rPr>
                <w:sz w:val="18"/>
                <w:szCs w:val="18"/>
                <w:color w:val="auto"/>
              </w:rPr>
            </w:pPr>
          </w:p>
        </w:tc>
        <w:tc>
          <w:tcPr>
            <w:tcW w:w="5620" w:type="dxa"/>
            <w:vAlign w:val="bottom"/>
            <w:tcBorders>
              <w:right w:val="single" w:sz="8" w:color="auto"/>
            </w:tcBorders>
          </w:tcPr>
          <w:p>
            <w:pPr>
              <w:ind w:left="780"/>
              <w:spacing w:after="0"/>
              <w:rPr>
                <w:sz w:val="20"/>
                <w:szCs w:val="20"/>
                <w:color w:val="auto"/>
              </w:rPr>
            </w:pPr>
            <w:r>
              <w:rPr>
                <w:rFonts w:ascii="Arial" w:cs="Arial" w:eastAsia="Arial" w:hAnsi="Arial"/>
                <w:sz w:val="16"/>
                <w:szCs w:val="16"/>
                <w:color w:val="auto"/>
              </w:rPr>
              <w:t>Operating Partners and our board of directors, actively engaged</w:t>
            </w:r>
          </w:p>
        </w:tc>
        <w:tc>
          <w:tcPr>
            <w:tcW w:w="840" w:type="dxa"/>
            <w:vAlign w:val="bottom"/>
          </w:tcPr>
          <w:p>
            <w:pPr>
              <w:spacing w:after="0"/>
              <w:rPr>
                <w:sz w:val="18"/>
                <w:szCs w:val="18"/>
                <w:color w:val="auto"/>
              </w:rPr>
            </w:pPr>
          </w:p>
        </w:tc>
      </w:tr>
      <w:tr>
        <w:trPr>
          <w:trHeight w:val="633"/>
        </w:trPr>
        <w:tc>
          <w:tcPr>
            <w:tcW w:w="940" w:type="dxa"/>
            <w:vAlign w:val="bottom"/>
            <w:tcBorders>
              <w:right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620" w:type="dxa"/>
            <w:vAlign w:val="bottom"/>
            <w:tcBorders>
              <w:bottom w:val="single" w:sz="8" w:color="auto"/>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264"/>
        </w:trPr>
        <w:tc>
          <w:tcPr>
            <w:tcW w:w="9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5620" w:type="dxa"/>
            <w:vAlign w:val="bottom"/>
          </w:tcPr>
          <w:p>
            <w:pPr>
              <w:ind w:left="1540"/>
              <w:spacing w:after="0"/>
              <w:rPr>
                <w:sz w:val="20"/>
                <w:szCs w:val="20"/>
                <w:color w:val="auto"/>
              </w:rPr>
            </w:pPr>
            <w:r>
              <w:rPr>
                <w:rFonts w:ascii="Arial" w:cs="Arial" w:eastAsia="Arial" w:hAnsi="Arial"/>
                <w:sz w:val="16"/>
                <w:szCs w:val="16"/>
                <w:color w:val="auto"/>
              </w:rPr>
              <w:t>28</w:t>
            </w:r>
          </w:p>
        </w:tc>
        <w:tc>
          <w:tcPr>
            <w:tcW w:w="840" w:type="dxa"/>
            <w:vAlign w:val="bottom"/>
          </w:tcPr>
          <w:p>
            <w:pPr>
              <w:spacing w:after="0"/>
              <w:rPr>
                <w:sz w:val="22"/>
                <w:szCs w:val="22"/>
                <w:color w:val="auto"/>
              </w:rPr>
            </w:pPr>
          </w:p>
        </w:tc>
      </w:tr>
      <w:tr>
        <w:trPr>
          <w:trHeight w:val="348"/>
        </w:trPr>
        <w:tc>
          <w:tcPr>
            <w:tcW w:w="9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6157595</wp:posOffset>
            </wp:positionH>
            <wp:positionV relativeFrom="paragraph">
              <wp:posOffset>-6985</wp:posOffset>
            </wp:positionV>
            <wp:extent cx="762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-14605</wp:posOffset>
            </wp:positionV>
            <wp:extent cx="7620"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1" w:name="page32"/>
    <w:bookmarkEnd w:id="31"/>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140335</wp:posOffset>
            </wp:positionV>
            <wp:extent cx="5053330" cy="73132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053330" cy="731329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in Churchill Capital Corp II and Churchill Capital Corp III,</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special purpose acquisition corporations that completed their</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initial public offerings in July 2019 and February 2020,</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respectively. Churchill Capital Corp II and Churchill Capital Corp</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III, like us, may pursue initial business combination targets in any</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businesses or industries and have until July 1, 2021 and</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February 19, 2022, respectively, to do so (absent an extension in</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accordance with their charters). Any such companies, including</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Churchill Capital Corp II and Churchill Capital Corp III, may</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present additional conflicts of interest in pursuing an acquisition</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target.</w:t>
      </w:r>
    </w:p>
    <w:p>
      <w:pPr>
        <w:spacing w:after="0" w:line="98"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Furthermore, our sponsor, officers and directors may participate in</w:t>
      </w:r>
    </w:p>
    <w:p>
      <w:pPr>
        <w:spacing w:after="0" w:line="35"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the formation of, or become an officer or director of, any other</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blank check company prior to completion of our initial business</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combination. As a result, our sponsor, officers or directors could</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have conflicts of interest in determining whether to present</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business combination opportunities to us or to any other blank</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check company with which they may become involved.</w:t>
      </w:r>
    </w:p>
    <w:p>
      <w:pPr>
        <w:spacing w:after="0" w:line="98"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We also may engage M. Klein and Company, or another affiliate</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of our sponsor, as our lead financial advisor in connection with</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our initial business combination and may pay such affiliate a</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customary financial advisory fee in an amount that constitutes a</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market standard financial advisory fee for comparable</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transactions. See “Risk Factors — We may engage M. Klein and</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Company, or another affiliate of our sponsor, as our lead financial</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advisor on our business combinations and other transactions. Any</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fee in connection with such engagement may be conditioned upon</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the completion of such transactions. This financial interest in the</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completion of such transactions may influence the advice such</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affiliate provides.”</w:t>
      </w:r>
    </w:p>
    <w:p>
      <w:pPr>
        <w:spacing w:after="0" w:line="98"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As described in “Proposed Business — Sourcing of Potential</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Business Combination Targets” and “Management — Conflicts of</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Interest,” each of our officers and directors presently has, and any</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of them in the future may have additional, fiduciary, contractual or</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other obligations or duties to one or more other entities pursuant</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to which such officer or director is or will be required to present a</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business combination opportunity to such entities. Accordingly, if</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any of our officers or directors becomes aware of a business</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combination opportunity which is suitable for one or more entities</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to which he or she has fiduciary, contractual or other obligations</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or duties, he or she will honor these obligations and duties to</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present such business combination opportunity to such entities</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first, and only present it to us if such entities reject the</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opportunity and he or she determines to present the opportunity to</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us (including as described above). These conflicts may not be</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resolved in our favor and a potential target business may be</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presented to another entity prior to its presentation to us.</w:t>
      </w:r>
    </w:p>
    <w:p>
      <w:pPr>
        <w:spacing w:after="0" w:line="98"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In addition, none of the Operating Partners are officers or</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directors of our company and therefore owe us no fiduciary duties</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as such. While we expect that they will assist us in identifying</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business combination targets, they have no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2" w:name="page33"/>
    <w:bookmarkEnd w:id="32"/>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140335</wp:posOffset>
            </wp:positionV>
            <wp:extent cx="5053330" cy="73132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053330" cy="731329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to do so and may devote a substantial portion of their business</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time to activities unrelated to us. Each Operating Partner may</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have fiduciary, contractual or other obligations or duties to other</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organizations to present business combination opportunities to</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such other organizations rather than to us. Accordingly, if any</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Operating Partner becomes aware of a business combination</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opportunity which is suitable for one or more entities to which he</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or she has fiduciary, contractual or other obligations or duties, he</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or she will honor those obligations and duties to present such</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business combination opportunity to such entities first and only</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present it to us if such entities reject the opportunity and he or she</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determines to present the opportunity to us. These conflicts may</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not be resolved in our favor and a potential business may be</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presented to another entity prior to its presentation to us.</w:t>
      </w:r>
    </w:p>
    <w:p>
      <w:pPr>
        <w:spacing w:after="0" w:line="98"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The potential conflicts described above may limit our ability to</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enter into a business combination or other transactions. These</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circumstances could give rise to numerous situations where</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interests may conflict. There can be no assurance that these or</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other conflicts of interest with the potential for adverse effects on</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the Company and investors will not arise.</w:t>
      </w:r>
    </w:p>
    <w:p>
      <w:pPr>
        <w:sectPr>
          <w:pgSz w:w="11900" w:h="16838" w:orient="portrait"/>
          <w:cols w:equalWidth="0" w:num="1">
            <w:col w:w="10139"/>
          </w:cols>
          <w:pgMar w:left="320" w:top="131" w:right="1440" w:bottom="1440" w:gutter="0" w:footer="0" w:header="0"/>
        </w:sectPr>
      </w:pPr>
    </w:p>
    <w:p>
      <w:pPr>
        <w:spacing w:after="0" w:line="94"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Indemnity</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1559"/>
        <w:spacing w:after="0" w:line="274" w:lineRule="auto"/>
        <w:rPr>
          <w:sz w:val="20"/>
          <w:szCs w:val="20"/>
          <w:color w:val="auto"/>
        </w:rPr>
      </w:pPr>
      <w:r>
        <w:rPr>
          <w:rFonts w:ascii="Arial" w:cs="Arial" w:eastAsia="Arial" w:hAnsi="Arial"/>
          <w:sz w:val="15"/>
          <w:szCs w:val="15"/>
          <w:color w:val="auto"/>
        </w:rPr>
        <w:t>Our sponsor has agreed that it will be liable to us if and to the extent any claims by a third party (other than our independent registered public accounting firm) for services rendered or products sold to us, or a prospective target business with which we have entered into a written letter of intent, confidentiality or similar agreement or business combination agreement, reduce the amount of funds in the trust account to below: (1) $10.00 per public share; or (2) the actual amount per public share held in the trust account as of the date of the liquidation of the trust account, if less than $10.00 per share due to reductions in the value of the trust assets, in each case net of permitted withdrawals, except as to any claims by a third party that executed a waiver of any and all rights to the monies held in the trust account (whether any such waiver is enforceable) and except as to any claims under our indemnity of the underwriters of this offering against certain liabilities, including liabilities under the Securities Act.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w:t>
      </w:r>
    </w:p>
    <w:p>
      <w:pPr>
        <w:spacing w:after="0" w:line="154" w:lineRule="exact"/>
        <w:rPr>
          <w:sz w:val="20"/>
          <w:szCs w:val="20"/>
          <w:color w:val="auto"/>
        </w:rPr>
      </w:pPr>
    </w:p>
    <w:p>
      <w:pPr>
        <w:sectPr>
          <w:pgSz w:w="11900" w:h="16838" w:orient="portrait"/>
          <w:cols w:equalWidth="0" w:num="2">
            <w:col w:w="3300" w:space="720"/>
            <w:col w:w="6119"/>
          </w:cols>
          <w:pgMar w:left="320" w:top="131" w:right="1440" w:bottom="1440" w:gutter="0" w:footer="0" w:header="0"/>
          <w:type w:val="continuous"/>
        </w:sectPr>
      </w:pPr>
    </w:p>
    <w:p>
      <w:pPr>
        <w:ind w:left="1160"/>
        <w:spacing w:after="0"/>
        <w:rPr>
          <w:sz w:val="20"/>
          <w:szCs w:val="20"/>
          <w:color w:val="auto"/>
        </w:rPr>
      </w:pPr>
      <w:r>
        <w:rPr>
          <w:rFonts w:ascii="Arial" w:cs="Arial" w:eastAsia="Arial" w:hAnsi="Arial"/>
          <w:sz w:val="16"/>
          <w:szCs w:val="16"/>
          <w:b w:val="1"/>
          <w:bCs w:val="1"/>
          <w:color w:val="auto"/>
        </w:rPr>
        <w:t>Risks</w:t>
      </w:r>
    </w:p>
    <w:p>
      <w:pPr>
        <w:spacing w:after="0" w:line="101" w:lineRule="exact"/>
        <w:rPr>
          <w:sz w:val="20"/>
          <w:szCs w:val="20"/>
          <w:color w:val="auto"/>
        </w:rPr>
      </w:pPr>
    </w:p>
    <w:p>
      <w:pPr>
        <w:ind w:left="1160" w:right="1579" w:firstLine="326"/>
        <w:spacing w:after="0" w:line="281" w:lineRule="auto"/>
        <w:rPr>
          <w:sz w:val="20"/>
          <w:szCs w:val="20"/>
          <w:color w:val="auto"/>
        </w:rPr>
      </w:pPr>
      <w:r>
        <w:rPr>
          <w:rFonts w:ascii="Arial" w:cs="Arial" w:eastAsia="Arial" w:hAnsi="Arial"/>
          <w:sz w:val="15"/>
          <w:szCs w:val="15"/>
          <w:color w:val="auto"/>
        </w:rPr>
        <w:t>We are a newly incorporated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3" w:name="page34"/>
    <w:bookmarkEnd w:id="33"/>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140970</wp:posOffset>
            </wp:positionV>
            <wp:extent cx="5053330" cy="73132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053330" cy="731329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1160" w:right="1599"/>
        <w:spacing w:after="0" w:line="265" w:lineRule="auto"/>
        <w:rPr>
          <w:sz w:val="20"/>
          <w:szCs w:val="20"/>
          <w:color w:val="auto"/>
        </w:rPr>
      </w:pPr>
      <w:r>
        <w:rPr>
          <w:rFonts w:ascii="Arial" w:cs="Arial" w:eastAsia="Arial" w:hAnsi="Arial"/>
          <w:sz w:val="16"/>
          <w:szCs w:val="16"/>
          <w:color w:val="auto"/>
        </w:rPr>
        <w:t>Rule 419 blank check offerings. Please see “Proposed Business — Comparison of This Offering to Those of Blank Check Companies Subject to Rule 419” for additional information concerning how Rule 419 blank check offerings differ from this offering. You should carefully consider these and the other risks set forth in the section entitled “Risk Factors”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4" w:name="page35"/>
    <w:bookmarkEnd w:id="34"/>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Summary Financial Data</w:t>
      </w:r>
    </w:p>
    <w:p>
      <w:pPr>
        <w:spacing w:after="0" w:line="175" w:lineRule="exact"/>
        <w:rPr>
          <w:sz w:val="20"/>
          <w:szCs w:val="20"/>
          <w:color w:val="auto"/>
        </w:rPr>
      </w:pPr>
    </w:p>
    <w:p>
      <w:pPr>
        <w:ind w:left="1140" w:right="1559" w:firstLine="326"/>
        <w:spacing w:after="0" w:line="270" w:lineRule="auto"/>
        <w:rPr>
          <w:sz w:val="20"/>
          <w:szCs w:val="20"/>
          <w:color w:val="auto"/>
        </w:rPr>
      </w:pPr>
      <w:r>
        <w:rPr>
          <w:rFonts w:ascii="Arial" w:cs="Arial" w:eastAsia="Arial" w:hAnsi="Arial"/>
          <w:sz w:val="16"/>
          <w:szCs w:val="16"/>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69" w:lineRule="exact"/>
        <w:rPr>
          <w:sz w:val="20"/>
          <w:szCs w:val="20"/>
          <w:color w:val="auto"/>
        </w:rPr>
      </w:pPr>
    </w:p>
    <w:tbl>
      <w:tblPr>
        <w:tblLayout w:type="fixed"/>
        <w:tblInd w:w="1140" w:type="dxa"/>
        <w:tblCellMar>
          <w:top w:w="0" w:type="dxa"/>
          <w:left w:w="0" w:type="dxa"/>
          <w:bottom w:w="0" w:type="dxa"/>
          <w:right w:w="0" w:type="dxa"/>
        </w:tblCellMar>
      </w:tblPr>
      <w:tr>
        <w:trPr>
          <w:trHeight w:val="168"/>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jc w:val="right"/>
              <w:ind w:right="341"/>
              <w:spacing w:after="0"/>
              <w:rPr>
                <w:sz w:val="20"/>
                <w:szCs w:val="20"/>
                <w:color w:val="auto"/>
              </w:rPr>
            </w:pPr>
            <w:r>
              <w:rPr>
                <w:rFonts w:ascii="Arial" w:cs="Arial" w:eastAsia="Arial" w:hAnsi="Arial"/>
                <w:sz w:val="13"/>
                <w:szCs w:val="13"/>
                <w:b w:val="1"/>
                <w:bCs w:val="1"/>
                <w:color w:val="auto"/>
              </w:rPr>
              <w:t>As of May 22, 2020</w:t>
            </w:r>
          </w:p>
        </w:tc>
      </w:tr>
      <w:tr>
        <w:trPr>
          <w:trHeight w:val="23"/>
        </w:trPr>
        <w:tc>
          <w:tcPr>
            <w:tcW w:w="5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7"/>
        </w:trPr>
        <w:tc>
          <w:tcPr>
            <w:tcW w:w="5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0"/>
              </w:rPr>
              <w:t>Actual</w:t>
            </w:r>
          </w:p>
        </w:tc>
        <w:tc>
          <w:tcPr>
            <w:tcW w:w="100" w:type="dxa"/>
            <w:vAlign w:val="bottom"/>
          </w:tcPr>
          <w:p>
            <w:pPr>
              <w:spacing w:after="0"/>
              <w:rPr>
                <w:sz w:val="15"/>
                <w:szCs w:val="15"/>
                <w:color w:val="auto"/>
              </w:rPr>
            </w:pPr>
          </w:p>
        </w:tc>
        <w:tc>
          <w:tcPr>
            <w:tcW w:w="940" w:type="dxa"/>
            <w:vAlign w:val="bottom"/>
          </w:tcPr>
          <w:p>
            <w:pPr>
              <w:jc w:val="right"/>
              <w:ind w:right="121"/>
              <w:spacing w:after="0"/>
              <w:rPr>
                <w:sz w:val="20"/>
                <w:szCs w:val="20"/>
                <w:color w:val="auto"/>
              </w:rPr>
            </w:pPr>
            <w:r>
              <w:rPr>
                <w:rFonts w:ascii="Arial" w:cs="Arial" w:eastAsia="Arial" w:hAnsi="Arial"/>
                <w:sz w:val="13"/>
                <w:szCs w:val="13"/>
                <w:b w:val="1"/>
                <w:bCs w:val="1"/>
                <w:color w:val="auto"/>
                <w:w w:val="94"/>
              </w:rPr>
              <w:t>As Adjusted</w:t>
            </w:r>
          </w:p>
        </w:tc>
      </w:tr>
      <w:tr>
        <w:trPr>
          <w:trHeight w:val="23"/>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5"/>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Balance Sheet Data:</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5"/>
        </w:trPr>
        <w:tc>
          <w:tcPr>
            <w:tcW w:w="5580" w:type="dxa"/>
            <w:vAlign w:val="bottom"/>
          </w:tcPr>
          <w:p>
            <w:pPr>
              <w:spacing w:after="0" w:line="244" w:lineRule="exact"/>
              <w:rPr>
                <w:sz w:val="20"/>
                <w:szCs w:val="20"/>
                <w:color w:val="auto"/>
              </w:rPr>
            </w:pPr>
            <w:r>
              <w:rPr>
                <w:rFonts w:ascii="Arial" w:cs="Arial" w:eastAsia="Arial" w:hAnsi="Arial"/>
                <w:sz w:val="16"/>
                <w:szCs w:val="16"/>
                <w:color w:val="auto"/>
              </w:rPr>
              <w:t>Working capital deficit</w:t>
            </w:r>
            <w:r>
              <w:rPr>
                <w:rFonts w:ascii="Arial" w:cs="Arial" w:eastAsia="Arial" w:hAnsi="Arial"/>
                <w:sz w:val="24"/>
                <w:szCs w:val="24"/>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(34,000)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w w:val="89"/>
              </w:rPr>
              <w:t>1,447,524,000</w:t>
            </w:r>
          </w:p>
        </w:tc>
      </w:tr>
      <w:tr>
        <w:trPr>
          <w:trHeight w:val="245"/>
        </w:trPr>
        <w:tc>
          <w:tcPr>
            <w:tcW w:w="5580" w:type="dxa"/>
            <w:vAlign w:val="bottom"/>
            <w:shd w:val="clear" w:color="auto" w:fill="CCEEFF"/>
          </w:tcPr>
          <w:p>
            <w:pPr>
              <w:spacing w:after="0" w:line="244" w:lineRule="exact"/>
              <w:rPr>
                <w:sz w:val="20"/>
                <w:szCs w:val="20"/>
                <w:color w:val="auto"/>
              </w:rPr>
            </w:pPr>
            <w:r>
              <w:rPr>
                <w:rFonts w:ascii="Arial" w:cs="Arial" w:eastAsia="Arial" w:hAnsi="Arial"/>
                <w:sz w:val="16"/>
                <w:szCs w:val="16"/>
                <w:color w:val="auto"/>
              </w:rPr>
              <w:t>Total assets</w:t>
            </w:r>
            <w:r>
              <w:rPr>
                <w:rFonts w:ascii="Arial" w:cs="Arial" w:eastAsia="Arial" w:hAnsi="Arial"/>
                <w:sz w:val="24"/>
                <w:szCs w:val="24"/>
                <w:color w:val="auto"/>
                <w:vertAlign w:val="superscript"/>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8"/>
              </w:rPr>
              <w:t>83,000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1,500,024,000</w:t>
            </w:r>
          </w:p>
        </w:tc>
      </w:tr>
      <w:tr>
        <w:trPr>
          <w:trHeight w:val="245"/>
        </w:trPr>
        <w:tc>
          <w:tcPr>
            <w:tcW w:w="5580" w:type="dxa"/>
            <w:vAlign w:val="bottom"/>
          </w:tcPr>
          <w:p>
            <w:pPr>
              <w:spacing w:after="0" w:line="244" w:lineRule="exact"/>
              <w:rPr>
                <w:sz w:val="20"/>
                <w:szCs w:val="20"/>
                <w:color w:val="auto"/>
              </w:rPr>
            </w:pPr>
            <w:r>
              <w:rPr>
                <w:rFonts w:ascii="Arial" w:cs="Arial" w:eastAsia="Arial" w:hAnsi="Arial"/>
                <w:sz w:val="16"/>
                <w:szCs w:val="16"/>
                <w:color w:val="auto"/>
              </w:rPr>
              <w:t>Total liabilities</w:t>
            </w:r>
            <w:r>
              <w:rPr>
                <w:rFonts w:ascii="Arial" w:cs="Arial" w:eastAsia="Arial" w:hAnsi="Arial"/>
                <w:sz w:val="24"/>
                <w:szCs w:val="24"/>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w w:val="98"/>
              </w:rPr>
              <w:t>59,000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52,500,000</w:t>
            </w:r>
          </w:p>
        </w:tc>
      </w:tr>
      <w:tr>
        <w:trPr>
          <w:trHeight w:val="245"/>
        </w:trPr>
        <w:tc>
          <w:tcPr>
            <w:tcW w:w="5580" w:type="dxa"/>
            <w:vAlign w:val="bottom"/>
            <w:shd w:val="clear" w:color="auto" w:fill="CCEEFF"/>
          </w:tcPr>
          <w:p>
            <w:pPr>
              <w:spacing w:after="0" w:line="244" w:lineRule="exact"/>
              <w:rPr>
                <w:sz w:val="20"/>
                <w:szCs w:val="20"/>
                <w:color w:val="auto"/>
              </w:rPr>
            </w:pPr>
            <w:r>
              <w:rPr>
                <w:rFonts w:ascii="Arial" w:cs="Arial" w:eastAsia="Arial" w:hAnsi="Arial"/>
                <w:sz w:val="16"/>
                <w:szCs w:val="16"/>
                <w:color w:val="auto"/>
              </w:rPr>
              <w:t>Value of common stock subject to possible redemption</w:t>
            </w:r>
            <w:r>
              <w:rPr>
                <w:rFonts w:ascii="Arial" w:cs="Arial" w:eastAsia="Arial" w:hAnsi="Arial"/>
                <w:sz w:val="24"/>
                <w:szCs w:val="24"/>
                <w:color w:val="auto"/>
                <w:vertAlign w:val="superscript"/>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1,442,523,990</w:t>
            </w:r>
          </w:p>
        </w:tc>
      </w:tr>
      <w:tr>
        <w:trPr>
          <w:trHeight w:val="322"/>
        </w:trPr>
        <w:tc>
          <w:tcPr>
            <w:tcW w:w="5580" w:type="dxa"/>
            <w:vAlign w:val="bottom"/>
          </w:tcPr>
          <w:p>
            <w:pPr>
              <w:spacing w:after="0"/>
              <w:rPr>
                <w:sz w:val="20"/>
                <w:szCs w:val="20"/>
                <w:color w:val="auto"/>
              </w:rPr>
            </w:pPr>
            <w:r>
              <w:rPr>
                <w:rFonts w:ascii="Arial" w:cs="Arial" w:eastAsia="Arial" w:hAnsi="Arial"/>
                <w:sz w:val="16"/>
                <w:szCs w:val="16"/>
                <w:color w:val="auto"/>
              </w:rPr>
              <w:t>Total stockholder’s equity</w:t>
            </w:r>
            <w:r>
              <w:rPr>
                <w:rFonts w:ascii="Arial" w:cs="Arial" w:eastAsia="Arial" w:hAnsi="Arial"/>
                <w:sz w:val="24"/>
                <w:szCs w:val="24"/>
                <w:color w:val="auto"/>
                <w:vertAlign w:val="superscript"/>
              </w:rPr>
              <w:t>(5)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w w:val="98"/>
              </w:rPr>
              <w:t>24,000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5,000,010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-980440</wp:posOffset>
            </wp:positionV>
            <wp:extent cx="406209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062095" cy="762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106045</wp:posOffset>
            </wp:positionV>
            <wp:extent cx="111823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8235" cy="7620"/>
                    </a:xfrm>
                    <a:prstGeom prst="rect">
                      <a:avLst/>
                    </a:prstGeom>
                    <a:noFill/>
                  </pic:spPr>
                </pic:pic>
              </a:graphicData>
            </a:graphic>
          </wp:anchor>
        </w:drawing>
      </w:r>
    </w:p>
    <w:p>
      <w:pPr>
        <w:spacing w:after="0" w:line="343" w:lineRule="exact"/>
        <w:rPr>
          <w:sz w:val="20"/>
          <w:szCs w:val="20"/>
          <w:color w:val="auto"/>
        </w:rPr>
      </w:pPr>
    </w:p>
    <w:p>
      <w:pPr>
        <w:ind w:left="1460" w:right="1719" w:hanging="321"/>
        <w:spacing w:after="0" w:line="270" w:lineRule="auto"/>
        <w:tabs>
          <w:tab w:leader="none" w:pos="1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“as adjusted” calculation includes $1,500,000,000 cash held in trust from the proceeds of this offering and the sale of the private placement warrants, plus $24,000 of actual stockholders’ equity as of May 22, 2020, less $52,500,000 of deferred underwriting commissions.</w:t>
      </w:r>
    </w:p>
    <w:p>
      <w:pPr>
        <w:spacing w:after="0" w:line="125" w:lineRule="exact"/>
        <w:rPr>
          <w:rFonts w:ascii="Arial" w:cs="Arial" w:eastAsia="Arial" w:hAnsi="Arial"/>
          <w:sz w:val="16"/>
          <w:szCs w:val="16"/>
          <w:color w:val="auto"/>
        </w:rPr>
      </w:pPr>
    </w:p>
    <w:p>
      <w:pPr>
        <w:ind w:left="1460" w:right="1719" w:hanging="321"/>
        <w:spacing w:after="0" w:line="270" w:lineRule="auto"/>
        <w:tabs>
          <w:tab w:leader="none" w:pos="1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“as adjusted” calculation equals $1,500,000,000 cash held in trust from the proceeds of this offering and the sale of the private placement warrants, plus $24,000 of actual stockholders’ equity as of May 22, 2020.</w:t>
      </w:r>
    </w:p>
    <w:p>
      <w:pPr>
        <w:spacing w:after="0" w:line="125" w:lineRule="exact"/>
        <w:rPr>
          <w:rFonts w:ascii="Arial" w:cs="Arial" w:eastAsia="Arial" w:hAnsi="Arial"/>
          <w:sz w:val="16"/>
          <w:szCs w:val="16"/>
          <w:color w:val="auto"/>
        </w:rPr>
      </w:pPr>
    </w:p>
    <w:p>
      <w:pPr>
        <w:ind w:left="1460" w:hanging="321"/>
        <w:spacing w:after="0"/>
        <w:tabs>
          <w:tab w:leader="none" w:pos="1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“as adjusted” calculation includes $52,500,000 of deferred underwriting commissions.</w:t>
      </w:r>
    </w:p>
    <w:p>
      <w:pPr>
        <w:spacing w:after="0" w:line="182" w:lineRule="exact"/>
        <w:rPr>
          <w:rFonts w:ascii="Arial" w:cs="Arial" w:eastAsia="Arial" w:hAnsi="Arial"/>
          <w:sz w:val="16"/>
          <w:szCs w:val="16"/>
          <w:color w:val="auto"/>
        </w:rPr>
      </w:pPr>
    </w:p>
    <w:p>
      <w:pPr>
        <w:ind w:left="1460" w:right="1879" w:hanging="321"/>
        <w:spacing w:after="0" w:line="270" w:lineRule="auto"/>
        <w:tabs>
          <w:tab w:leader="none" w:pos="1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“as adjusted” calculation equals the “as adjusted” total assets, less the “as adjusted” total liabilities, less the “as adjusted” stockholders’ equity, which is set to approximate the minimum net tangible assets threshold of at least $5,000,001.</w:t>
      </w:r>
    </w:p>
    <w:p>
      <w:pPr>
        <w:spacing w:after="0" w:line="125" w:lineRule="exact"/>
        <w:rPr>
          <w:rFonts w:ascii="Arial" w:cs="Arial" w:eastAsia="Arial" w:hAnsi="Arial"/>
          <w:sz w:val="16"/>
          <w:szCs w:val="16"/>
          <w:color w:val="auto"/>
        </w:rPr>
      </w:pPr>
    </w:p>
    <w:p>
      <w:pPr>
        <w:ind w:left="1460" w:right="1559" w:hanging="321"/>
        <w:spacing w:after="0" w:line="281" w:lineRule="auto"/>
        <w:tabs>
          <w:tab w:leader="none" w:pos="1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Excludes 144,252,399 public shares which are subject to redemption in connection with our initial business combination. The “as adjusted” calculation equals the “as adjusted” total assets, less the “as adjusted” total liabilities, less the value of Class A common stock that may be redeemed in connection with our initial business combination (initially $10.00 per share). The actual number of public shares that may be redeemed may exceed the aforementioned amount provided that we will not consummate an initial business combination unless we satisfy the $5,000,001 minimum net tangible assets threshold.</w:t>
      </w:r>
    </w:p>
    <w:p>
      <w:pPr>
        <w:spacing w:after="0" w:line="146" w:lineRule="exact"/>
        <w:rPr>
          <w:sz w:val="20"/>
          <w:szCs w:val="20"/>
          <w:color w:val="auto"/>
        </w:rPr>
      </w:pPr>
    </w:p>
    <w:p>
      <w:pPr>
        <w:ind w:left="1140" w:right="1579" w:firstLine="326"/>
        <w:spacing w:after="0" w:line="258" w:lineRule="auto"/>
        <w:rPr>
          <w:sz w:val="20"/>
          <w:szCs w:val="20"/>
          <w:color w:val="auto"/>
        </w:rPr>
      </w:pPr>
      <w:r>
        <w:rPr>
          <w:rFonts w:ascii="Arial" w:cs="Arial" w:eastAsia="Arial" w:hAnsi="Arial"/>
          <w:sz w:val="16"/>
          <w:szCs w:val="16"/>
          <w:color w:val="auto"/>
        </w:rPr>
        <w:t>The “as adjusted” information gives effect to the sale of the units in this offering, the sale of the private placement warrants, and the payment of the estimated expenses of this offering and assumes no exercise of the underwriters’ over-allotment option. The “as adjusted” total assets amount includes the $1,500,000,000 held in the trust account (which would be $1,725,000,000 if the underwriters’ over-allotment option is exercised in full) for the benefit of our public stockholders, which amount, less deferred underwriting commissions, will be available to us only upon the completion of our initial business combination within the completion window. The “as adjusted” total assets include $52,500,000 being held in the trust account (which would be $60,375,000 if the underwriters’ over-allotment option is exercised in full) representing deferred underwriting commissions. The underwriters will not be entitled to any interest accrued on the deferred underwriting discounts and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5" w:name="page36"/>
    <w:bookmarkEnd w:id="35"/>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RISK FACTORS</w:t>
      </w:r>
    </w:p>
    <w:p>
      <w:pPr>
        <w:spacing w:after="0" w:line="101" w:lineRule="exact"/>
        <w:rPr>
          <w:sz w:val="20"/>
          <w:szCs w:val="20"/>
          <w:color w:val="auto"/>
        </w:rPr>
      </w:pPr>
    </w:p>
    <w:p>
      <w:pPr>
        <w:ind w:left="1140" w:right="1579" w:firstLine="326"/>
        <w:spacing w:after="0" w:line="262" w:lineRule="auto"/>
        <w:rPr>
          <w:sz w:val="20"/>
          <w:szCs w:val="20"/>
          <w:color w:val="auto"/>
        </w:rPr>
      </w:pPr>
      <w:r>
        <w:rPr>
          <w:rFonts w:ascii="Arial" w:cs="Arial" w:eastAsia="Arial" w:hAnsi="Arial"/>
          <w:sz w:val="16"/>
          <w:szCs w:val="16"/>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58" w:lineRule="exact"/>
        <w:rPr>
          <w:sz w:val="20"/>
          <w:szCs w:val="20"/>
          <w:color w:val="auto"/>
        </w:rPr>
      </w:pPr>
    </w:p>
    <w:p>
      <w:pPr>
        <w:ind w:left="1140" w:right="1679"/>
        <w:spacing w:after="0" w:line="253" w:lineRule="auto"/>
        <w:rPr>
          <w:sz w:val="20"/>
          <w:szCs w:val="20"/>
          <w:color w:val="auto"/>
        </w:rPr>
      </w:pPr>
      <w:r>
        <w:rPr>
          <w:rFonts w:ascii="Arial" w:cs="Arial" w:eastAsia="Arial" w:hAnsi="Arial"/>
          <w:sz w:val="16"/>
          <w:szCs w:val="16"/>
          <w:b w:val="1"/>
          <w:bCs w:val="1"/>
          <w:i w:val="1"/>
          <w:iCs w:val="1"/>
          <w:color w:val="auto"/>
        </w:rPr>
        <w:t>We are a newly incorporated company with no operating history and no revenues, and you have no basis on which to evaluate our ability to achieve our business objective.</w:t>
      </w:r>
    </w:p>
    <w:p>
      <w:pPr>
        <w:spacing w:after="0" w:line="65" w:lineRule="exact"/>
        <w:rPr>
          <w:sz w:val="20"/>
          <w:szCs w:val="20"/>
          <w:color w:val="auto"/>
        </w:rPr>
      </w:pPr>
    </w:p>
    <w:p>
      <w:pPr>
        <w:ind w:left="1140" w:right="1639" w:firstLine="326"/>
        <w:spacing w:after="0" w:line="260" w:lineRule="auto"/>
        <w:rPr>
          <w:sz w:val="20"/>
          <w:szCs w:val="20"/>
          <w:color w:val="auto"/>
        </w:rPr>
      </w:pPr>
      <w:r>
        <w:rPr>
          <w:rFonts w:ascii="Arial" w:cs="Arial" w:eastAsia="Arial" w:hAnsi="Arial"/>
          <w:sz w:val="16"/>
          <w:szCs w:val="16"/>
          <w:color w:val="auto"/>
        </w:rPr>
        <w:t>We are a newly incorporated company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158" w:lineRule="exact"/>
        <w:rPr>
          <w:sz w:val="20"/>
          <w:szCs w:val="20"/>
          <w:color w:val="auto"/>
        </w:rPr>
      </w:pPr>
    </w:p>
    <w:p>
      <w:pPr>
        <w:ind w:left="1140" w:right="1559"/>
        <w:spacing w:after="0" w:line="286" w:lineRule="auto"/>
        <w:rPr>
          <w:sz w:val="20"/>
          <w:szCs w:val="20"/>
          <w:color w:val="auto"/>
        </w:rPr>
      </w:pPr>
      <w:r>
        <w:rPr>
          <w:rFonts w:ascii="Arial" w:cs="Arial" w:eastAsia="Arial" w:hAnsi="Arial"/>
          <w:sz w:val="15"/>
          <w:szCs w:val="15"/>
          <w:b w:val="1"/>
          <w:bCs w:val="1"/>
          <w:i w:val="1"/>
          <w:iCs w:val="1"/>
          <w:color w:val="auto"/>
        </w:rPr>
        <w:t>Past performance by M. Klein and Company and members of our management team or our Strategic and Operating Partners may not be indicative of future performance of an investment in us.</w:t>
      </w:r>
    </w:p>
    <w:p>
      <w:pPr>
        <w:spacing w:after="0" w:line="41" w:lineRule="exact"/>
        <w:rPr>
          <w:sz w:val="20"/>
          <w:szCs w:val="20"/>
          <w:color w:val="auto"/>
        </w:rPr>
      </w:pPr>
    </w:p>
    <w:p>
      <w:pPr>
        <w:ind w:left="1140" w:right="1599" w:firstLine="326"/>
        <w:spacing w:after="0" w:line="277" w:lineRule="auto"/>
        <w:rPr>
          <w:sz w:val="20"/>
          <w:szCs w:val="20"/>
          <w:color w:val="auto"/>
        </w:rPr>
      </w:pPr>
      <w:r>
        <w:rPr>
          <w:rFonts w:ascii="Arial" w:cs="Arial" w:eastAsia="Arial" w:hAnsi="Arial"/>
          <w:sz w:val="15"/>
          <w:szCs w:val="15"/>
          <w:color w:val="auto"/>
        </w:rPr>
        <w:t>Information regarding performance by, or businesses associated with, M. Klein and Company and other members of our management team or our Strategic and Operating Partners is presented for informational purposes only. Any past experience and performance, including related to acquisitions, of M. Klein and Company and members of our management team or our Strategic and Operating Partners is not a guarantee either: (1) that we will be able to successfully identify a suitable candidate for our initial business combination; or (2) of any results with respect to any initial business combination we may consummate. You should not rely on the historical record and performance of M. Klein and Company and members of our management team or our Strategic and Operating Partners as indicative of the future performance of an investment in us or the returns we will, or are likely to, generate going forward. An investment in us is not an investment in M. Klein and Company or our Strategic and Operating Partners.</w:t>
      </w:r>
    </w:p>
    <w:p>
      <w:pPr>
        <w:spacing w:after="0" w:line="150" w:lineRule="exact"/>
        <w:rPr>
          <w:sz w:val="20"/>
          <w:szCs w:val="20"/>
          <w:color w:val="auto"/>
        </w:rPr>
      </w:pPr>
    </w:p>
    <w:p>
      <w:pPr>
        <w:ind w:left="1140" w:right="1679"/>
        <w:spacing w:after="0" w:line="235" w:lineRule="auto"/>
        <w:rPr>
          <w:sz w:val="20"/>
          <w:szCs w:val="20"/>
          <w:color w:val="auto"/>
        </w:rPr>
      </w:pPr>
      <w:r>
        <w:rPr>
          <w:rFonts w:ascii="Arial" w:cs="Arial" w:eastAsia="Arial" w:hAnsi="Arial"/>
          <w:sz w:val="16"/>
          <w:szCs w:val="16"/>
          <w:b w:val="1"/>
          <w:bCs w:val="1"/>
          <w:i w:val="1"/>
          <w:iCs w:val="1"/>
          <w:color w:val="auto"/>
        </w:rPr>
        <w:t>Our public stockholders may not be afforded an opportunity to vote on our proposed initial business combination, and even if we hold a vote, holders of our founder shares will participate in such vote, which means we may complete our initial business combination even though a majority of our public stockholders do not support such a combination.</w:t>
      </w:r>
    </w:p>
    <w:p>
      <w:pPr>
        <w:spacing w:after="0" w:line="74" w:lineRule="exact"/>
        <w:rPr>
          <w:sz w:val="20"/>
          <w:szCs w:val="20"/>
          <w:color w:val="auto"/>
        </w:rPr>
      </w:pPr>
    </w:p>
    <w:p>
      <w:pPr>
        <w:ind w:left="1140" w:right="1599" w:firstLine="326"/>
        <w:spacing w:after="0" w:line="257" w:lineRule="auto"/>
        <w:rPr>
          <w:sz w:val="20"/>
          <w:szCs w:val="20"/>
          <w:color w:val="auto"/>
        </w:rPr>
      </w:pPr>
      <w:r>
        <w:rPr>
          <w:rFonts w:ascii="Arial" w:cs="Arial" w:eastAsia="Arial" w:hAnsi="Arial"/>
          <w:sz w:val="16"/>
          <w:szCs w:val="16"/>
          <w:color w:val="auto"/>
        </w:rPr>
        <w:t>We may not hold a stockholder vote to approve our initial business combination unless the business combination would require stockholder approval under applicable law or stock exchange listing requirements or if we decide to hold a stockholder vote for business or other reasons. For instance, the NYSE rules currently allow us to engage in a tender offer in lieu of a stockholder meeting but would still require us to obtain stockholder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stockholder approval of such business combination. However, except as required by applicable law or stock exchange rules,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Even if we seek stockholder approval, the holders of our founder shares will participate in the vote on such approval. Accordingly, we may consummate our initial business combination even if holders of a majority of our outstanding public shares do not approve of the business combination we consummate. Please see “Proposed Business — Stockholders may not have the ability to approve our initial business combination” for additional information.</w:t>
      </w:r>
    </w:p>
    <w:p>
      <w:pPr>
        <w:spacing w:after="0" w:line="198"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6" w:name="page37"/>
    <w:bookmarkEnd w:id="36"/>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140" w:right="1639"/>
        <w:spacing w:after="0" w:line="324" w:lineRule="auto"/>
        <w:rPr>
          <w:sz w:val="20"/>
          <w:szCs w:val="20"/>
          <w:color w:val="auto"/>
        </w:rPr>
      </w:pPr>
      <w:r>
        <w:rPr>
          <w:rFonts w:ascii="Arial" w:cs="Arial" w:eastAsia="Arial" w:hAnsi="Arial"/>
          <w:sz w:val="14"/>
          <w:szCs w:val="14"/>
          <w:b w:val="1"/>
          <w:bCs w:val="1"/>
          <w:i w:val="1"/>
          <w:iCs w:val="1"/>
          <w:color w:val="auto"/>
        </w:rPr>
        <w:t>If we seek stockholder approval of our initial business combination, our sponsor, officers and directors have agreed to vote in favor of such initial business combination, regardless of how our public stockholders vote.</w:t>
      </w:r>
    </w:p>
    <w:p>
      <w:pPr>
        <w:spacing w:after="0" w:line="18" w:lineRule="exact"/>
        <w:rPr>
          <w:sz w:val="20"/>
          <w:szCs w:val="20"/>
          <w:color w:val="auto"/>
        </w:rPr>
      </w:pPr>
    </w:p>
    <w:p>
      <w:pPr>
        <w:ind w:left="1140" w:right="1619" w:firstLine="326"/>
        <w:spacing w:after="0" w:line="258" w:lineRule="auto"/>
        <w:rPr>
          <w:sz w:val="20"/>
          <w:szCs w:val="20"/>
          <w:color w:val="auto"/>
        </w:rPr>
      </w:pPr>
      <w:r>
        <w:rPr>
          <w:rFonts w:ascii="Arial" w:cs="Arial" w:eastAsia="Arial" w:hAnsi="Arial"/>
          <w:sz w:val="16"/>
          <w:szCs w:val="16"/>
          <w:color w:val="auto"/>
        </w:rPr>
        <w:t>Our initial stockholders, officers and directors have agreed (and their permitted transferees will agree) to vote any founder shares and any public shares held by them in favor of our initial business combination. As a result, in addition to our initial stockholders’ founder shares, we would need 56,250,001, or 37.5%, of the 150,000,000 public shares sold in this offering to be voted in favor of a transaction (assuming all issued and outstanding shares are voted and the option to purchase additional units is not exercised) in order to have such initial business combination approved. We expect that our initial stockholders and their permitted transferees will own at least 20% of our outstanding shares of common stock at the time of any such stockholder vote. Accordingly, if we seek stockholder approval of our initial business combination, it is more likely that the necessary stockholder approval will be received than would be the case if our initial stockholders and their permitted transferees agreed to vote their founder shares in accordance with the majority of the votes cast by our public stockholders.</w:t>
      </w:r>
    </w:p>
    <w:p>
      <w:pPr>
        <w:spacing w:after="0" w:line="160" w:lineRule="exact"/>
        <w:rPr>
          <w:sz w:val="20"/>
          <w:szCs w:val="20"/>
          <w:color w:val="auto"/>
        </w:rPr>
      </w:pPr>
    </w:p>
    <w:p>
      <w:pPr>
        <w:ind w:left="1140" w:right="1619"/>
        <w:spacing w:after="0" w:line="239" w:lineRule="auto"/>
        <w:rPr>
          <w:sz w:val="20"/>
          <w:szCs w:val="20"/>
          <w:color w:val="auto"/>
        </w:rPr>
      </w:pPr>
      <w:r>
        <w:rPr>
          <w:rFonts w:ascii="Arial" w:cs="Arial" w:eastAsia="Arial" w:hAnsi="Arial"/>
          <w:sz w:val="16"/>
          <w:szCs w:val="16"/>
          <w:b w:val="1"/>
          <w:bCs w:val="1"/>
          <w:i w:val="1"/>
          <w:iCs w:val="1"/>
          <w:color w:val="auto"/>
        </w:rPr>
        <w:t>Your only opportunity to affect the investment decision regarding a potential business combination will be limited to the exercise of your right to redeem your shares from us for cash, unless we seek stockholder approval of such business combination.</w:t>
      </w:r>
    </w:p>
    <w:p>
      <w:pPr>
        <w:spacing w:after="0" w:line="74" w:lineRule="exact"/>
        <w:rPr>
          <w:sz w:val="20"/>
          <w:szCs w:val="20"/>
          <w:color w:val="auto"/>
        </w:rPr>
      </w:pPr>
    </w:p>
    <w:p>
      <w:pPr>
        <w:ind w:left="1140" w:right="1639" w:firstLine="326"/>
        <w:spacing w:after="0" w:line="259" w:lineRule="auto"/>
        <w:rPr>
          <w:sz w:val="20"/>
          <w:szCs w:val="20"/>
          <w:color w:val="auto"/>
        </w:rPr>
      </w:pPr>
      <w:r>
        <w:rPr>
          <w:rFonts w:ascii="Arial" w:cs="Arial" w:eastAsia="Arial" w:hAnsi="Arial"/>
          <w:sz w:val="16"/>
          <w:szCs w:val="16"/>
          <w:color w:val="auto"/>
        </w:rPr>
        <w:t>At the time of your investment in us, you will not be provided with an opportunity to evaluate the specific merits or risks of any target businesses. Additionally, since our board of directors may complete a business combination without seeking stockholder approval, public stockholders may not have the right or opportunity to vote on the business combination. Accordingly, if we do not seek stockholder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161" w:lineRule="exact"/>
        <w:rPr>
          <w:sz w:val="20"/>
          <w:szCs w:val="20"/>
          <w:color w:val="auto"/>
        </w:rPr>
      </w:pPr>
    </w:p>
    <w:p>
      <w:pPr>
        <w:ind w:left="1140" w:right="1579"/>
        <w:spacing w:after="0" w:line="239" w:lineRule="auto"/>
        <w:rPr>
          <w:sz w:val="20"/>
          <w:szCs w:val="20"/>
          <w:color w:val="auto"/>
        </w:rPr>
      </w:pPr>
      <w:r>
        <w:rPr>
          <w:rFonts w:ascii="Arial" w:cs="Arial" w:eastAsia="Arial" w:hAnsi="Arial"/>
          <w:sz w:val="16"/>
          <w:szCs w:val="16"/>
          <w:b w:val="1"/>
          <w:bCs w:val="1"/>
          <w:i w:val="1"/>
          <w:iCs w:val="1"/>
          <w:color w:val="auto"/>
        </w:rPr>
        <w:t>The ability of our public stockholders to redeem their shares for cash may make our financial condition unattractive to potential business combination targets, which may make it difficult for us to enter into a business combination with a target.</w:t>
      </w:r>
    </w:p>
    <w:p>
      <w:pPr>
        <w:spacing w:after="0" w:line="74" w:lineRule="exact"/>
        <w:rPr>
          <w:sz w:val="20"/>
          <w:szCs w:val="20"/>
          <w:color w:val="auto"/>
        </w:rPr>
      </w:pPr>
    </w:p>
    <w:p>
      <w:pPr>
        <w:ind w:left="1140" w:right="1619" w:firstLine="326"/>
        <w:spacing w:after="0" w:line="257" w:lineRule="auto"/>
        <w:rPr>
          <w:sz w:val="20"/>
          <w:szCs w:val="20"/>
          <w:color w:val="auto"/>
        </w:rPr>
      </w:pPr>
      <w:r>
        <w:rPr>
          <w:rFonts w:ascii="Arial" w:cs="Arial" w:eastAsia="Arial" w:hAnsi="Arial"/>
          <w:sz w:val="16"/>
          <w:szCs w:val="16"/>
          <w:color w:val="auto"/>
        </w:rPr>
        <w:t>We may seek to enter into a business combination transaction agreement with a prospective target that requires as a closing condition that we have a minimum net worth or a certain amount of cash. If too many public stockholders exercise their redemption rights, we would not be able to meet such closing condition and, as a result, would not be able to proceed with the business combination. The amount of the deferred underwriting commissions payable to the underwriters will not be adjusted for any shares that are redeemed in connection with a business combination and such amount of deferred underwriting discount is not available for us to use as consideration in an initial business combination. Furthermore, in no event will we redeem our public shares in an amount that would cause our net tangible assets, after payment of the deferred underwriting commissions, to be less than $5,000,001 (so that we do not then become subject to the SEC’s “penny stock” rules) or any greater net tangible asset or cash requirement which may be contained in the agreement relating to our initial business combination.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 If we are able to consummate an initial business combination, the per-share value of shares held by non-redeeming stockholders will reflect our obligation to pay the deferred underwriting commissions.</w:t>
      </w:r>
    </w:p>
    <w:p>
      <w:pPr>
        <w:spacing w:after="0" w:line="160" w:lineRule="exact"/>
        <w:rPr>
          <w:sz w:val="20"/>
          <w:szCs w:val="20"/>
          <w:color w:val="auto"/>
        </w:rPr>
      </w:pPr>
    </w:p>
    <w:p>
      <w:pPr>
        <w:ind w:left="1140" w:right="1859"/>
        <w:spacing w:after="0" w:line="363" w:lineRule="auto"/>
        <w:rPr>
          <w:sz w:val="20"/>
          <w:szCs w:val="20"/>
          <w:color w:val="auto"/>
        </w:rPr>
      </w:pPr>
      <w:r>
        <w:rPr>
          <w:rFonts w:ascii="Arial" w:cs="Arial" w:eastAsia="Arial" w:hAnsi="Arial"/>
          <w:sz w:val="13"/>
          <w:szCs w:val="13"/>
          <w:b w:val="1"/>
          <w:bCs w:val="1"/>
          <w:i w:val="1"/>
          <w:iCs w:val="1"/>
          <w:color w:val="auto"/>
        </w:rPr>
        <w:t>The ability of our public stockholders to exercise redemption rights with respect to a large number of our shares may not allow us to complete the most desirable business combination or optimize our capital structure.</w:t>
      </w:r>
    </w:p>
    <w:p>
      <w:pPr>
        <w:ind w:left="1140" w:right="1799" w:firstLine="326"/>
        <w:spacing w:after="0" w:line="288" w:lineRule="auto"/>
        <w:rPr>
          <w:sz w:val="20"/>
          <w:szCs w:val="20"/>
          <w:color w:val="auto"/>
        </w:rPr>
      </w:pPr>
      <w:r>
        <w:rPr>
          <w:rFonts w:ascii="Arial" w:cs="Arial" w:eastAsia="Arial" w:hAnsi="Arial"/>
          <w:sz w:val="15"/>
          <w:szCs w:val="15"/>
          <w:color w:val="auto"/>
        </w:rPr>
        <w:t>At the time we enter into an agreement for our initial business combination, we will not know how many stockholders may exercise their redemption rights and, therefore, we will need to structure the transaction based on our expectations as to the number of shares that will be submitted for redemption. If our initial business combination agreement requires us to use a portion of the cash in the trust account to</w:t>
      </w:r>
    </w:p>
    <w:p>
      <w:pPr>
        <w:spacing w:after="0" w:line="212"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7" w:name="page38"/>
    <w:bookmarkEnd w:id="37"/>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659"/>
        <w:spacing w:after="0" w:line="276" w:lineRule="auto"/>
        <w:rPr>
          <w:sz w:val="20"/>
          <w:szCs w:val="20"/>
          <w:color w:val="auto"/>
        </w:rPr>
      </w:pPr>
      <w:r>
        <w:rPr>
          <w:rFonts w:ascii="Arial" w:cs="Arial" w:eastAsia="Arial" w:hAnsi="Arial"/>
          <w:sz w:val="15"/>
          <w:szCs w:val="15"/>
          <w:color w:val="auto"/>
        </w:rPr>
        <w:t>pay the purchase price or requires us to have a minimum amount of cash at closing, we will need to reserve a portion of the cash in the trust account to meet such requirements or arrange for third-party financing. In addition, if a larger number of shares is submitted for redemption than we initially expected, we may need to restructure the transaction to reserve a greater portion of the cash in the trust account or arrange for third party financing. Raising additional third-party financing may involve dilutive equity issuances or the incurrence of indebtedness at higher than desirable levels. Furthermore, this dilution would increase to the extent that the anti-dilution provision of the Class B common stock results in the issuance of shares of Class A common stock on a greater than one-to-one basis upon conversion of the Class B common stock at the time of our initial business combination. In addition, the amount of deferred underwriting commissions payable to the underwriters is not required to be adjusted for any shares that are redeemed in connection with an initial business combination. The above considerations may limit our ability to complete the most desirable business combination available to us or optimize our capital structure.</w:t>
      </w:r>
    </w:p>
    <w:p>
      <w:pPr>
        <w:spacing w:after="0" w:line="151" w:lineRule="exact"/>
        <w:rPr>
          <w:sz w:val="20"/>
          <w:szCs w:val="20"/>
          <w:color w:val="auto"/>
        </w:rPr>
      </w:pPr>
    </w:p>
    <w:p>
      <w:pPr>
        <w:ind w:left="1140" w:right="1619"/>
        <w:spacing w:after="0" w:line="239" w:lineRule="auto"/>
        <w:rPr>
          <w:sz w:val="20"/>
          <w:szCs w:val="20"/>
          <w:color w:val="auto"/>
        </w:rPr>
      </w:pPr>
      <w:r>
        <w:rPr>
          <w:rFonts w:ascii="Arial" w:cs="Arial" w:eastAsia="Arial" w:hAnsi="Arial"/>
          <w:sz w:val="16"/>
          <w:szCs w:val="16"/>
          <w:b w:val="1"/>
          <w:bCs w:val="1"/>
          <w:i w:val="1"/>
          <w:i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74" w:lineRule="exact"/>
        <w:rPr>
          <w:sz w:val="20"/>
          <w:szCs w:val="20"/>
          <w:color w:val="auto"/>
        </w:rPr>
      </w:pPr>
    </w:p>
    <w:p>
      <w:pPr>
        <w:ind w:left="1140" w:right="1599" w:firstLine="326"/>
        <w:spacing w:after="0" w:line="259" w:lineRule="auto"/>
        <w:rPr>
          <w:sz w:val="20"/>
          <w:szCs w:val="20"/>
          <w:color w:val="auto"/>
        </w:rPr>
      </w:pPr>
      <w:r>
        <w:rPr>
          <w:rFonts w:ascii="Arial" w:cs="Arial" w:eastAsia="Arial" w:hAnsi="Arial"/>
          <w:sz w:val="16"/>
          <w:szCs w:val="16"/>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increases. If our initial business combination is unsuccessful, you would not receive your pro rata portion of the trust account until we liquidate the trust account. If you are in need of immediate liquidity, you could attempt to sell your stock in the open market; however, at such time our stock may trade at a discount to the pro rata amount per share in the trust account. In either situation, you may suffer a material loss on your investment or lose the benefit of funds expected in connection with our redemption until we liquidate or you are able to sell your stock in the open market.</w:t>
      </w:r>
    </w:p>
    <w:p>
      <w:pPr>
        <w:spacing w:after="0" w:line="158" w:lineRule="exact"/>
        <w:rPr>
          <w:sz w:val="20"/>
          <w:szCs w:val="20"/>
          <w:color w:val="auto"/>
        </w:rPr>
      </w:pPr>
    </w:p>
    <w:p>
      <w:pPr>
        <w:ind w:left="1140" w:right="1579"/>
        <w:spacing w:after="0" w:line="250" w:lineRule="auto"/>
        <w:rPr>
          <w:sz w:val="20"/>
          <w:szCs w:val="20"/>
          <w:color w:val="auto"/>
        </w:rPr>
      </w:pPr>
      <w:r>
        <w:rPr>
          <w:rFonts w:ascii="Arial" w:cs="Arial" w:eastAsia="Arial" w:hAnsi="Arial"/>
          <w:sz w:val="15"/>
          <w:szCs w:val="15"/>
          <w:b w:val="1"/>
          <w:bCs w:val="1"/>
          <w:i w:val="1"/>
          <w:iCs w:val="1"/>
          <w:color w:val="auto"/>
        </w:rPr>
        <w:t>The requirement that we complete our initial business combination within the completion window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stockholders.</w:t>
      </w:r>
    </w:p>
    <w:p>
      <w:pPr>
        <w:spacing w:after="0" w:line="68" w:lineRule="exact"/>
        <w:rPr>
          <w:sz w:val="20"/>
          <w:szCs w:val="20"/>
          <w:color w:val="auto"/>
        </w:rPr>
      </w:pPr>
    </w:p>
    <w:p>
      <w:pPr>
        <w:ind w:left="1140" w:right="1619" w:firstLine="326"/>
        <w:spacing w:after="0" w:line="259" w:lineRule="auto"/>
        <w:rPr>
          <w:sz w:val="20"/>
          <w:szCs w:val="20"/>
          <w:color w:val="auto"/>
        </w:rPr>
      </w:pPr>
      <w:r>
        <w:rPr>
          <w:rFonts w:ascii="Arial" w:cs="Arial" w:eastAsia="Arial" w:hAnsi="Arial"/>
          <w:sz w:val="16"/>
          <w:szCs w:val="16"/>
          <w:color w:val="auto"/>
        </w:rPr>
        <w:t>Any potential target business with which we enter into negotiations concerning a business combination will be aware that we must complete our initial business combination within the completion window.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61" w:lineRule="exact"/>
        <w:rPr>
          <w:sz w:val="20"/>
          <w:szCs w:val="20"/>
          <w:color w:val="auto"/>
        </w:rPr>
      </w:pPr>
    </w:p>
    <w:p>
      <w:pPr>
        <w:ind w:left="1140" w:right="1779"/>
        <w:spacing w:after="0" w:line="278" w:lineRule="auto"/>
        <w:rPr>
          <w:sz w:val="20"/>
          <w:szCs w:val="20"/>
          <w:color w:val="auto"/>
        </w:rPr>
      </w:pPr>
      <w:r>
        <w:rPr>
          <w:rFonts w:ascii="Arial" w:cs="Arial" w:eastAsia="Arial" w:hAnsi="Arial"/>
          <w:sz w:val="14"/>
          <w:szCs w:val="14"/>
          <w:b w:val="1"/>
          <w:bCs w:val="1"/>
          <w:i w:val="1"/>
          <w:iCs w:val="1"/>
          <w:color w:val="auto"/>
        </w:rPr>
        <w:t>We may not be able to complete our initial business combination within the completion window, in which case we would cease all operations except for the purpose of winding up and we would redeem our public shares and liquidate, in which case our public stockholders may receive only $10.00 per share, or less than such amount in certain circumstances, and our warrants will expire worthless.</w:t>
      </w:r>
    </w:p>
    <w:p>
      <w:pPr>
        <w:spacing w:after="0" w:line="49" w:lineRule="exact"/>
        <w:rPr>
          <w:sz w:val="20"/>
          <w:szCs w:val="20"/>
          <w:color w:val="auto"/>
        </w:rPr>
      </w:pPr>
    </w:p>
    <w:p>
      <w:pPr>
        <w:ind w:left="1140" w:right="1619" w:firstLine="326"/>
        <w:spacing w:after="0" w:line="262" w:lineRule="auto"/>
        <w:rPr>
          <w:sz w:val="20"/>
          <w:szCs w:val="20"/>
          <w:color w:val="auto"/>
        </w:rPr>
      </w:pPr>
      <w:r>
        <w:rPr>
          <w:rFonts w:ascii="Arial" w:cs="Arial" w:eastAsia="Arial" w:hAnsi="Arial"/>
          <w:sz w:val="16"/>
          <w:szCs w:val="16"/>
          <w:color w:val="auto"/>
        </w:rPr>
        <w:t>Our sponsor, officers and directors have agreed that we must complete our initial business combination within the completion window. We may not be able to find a suitable target business and complete our initial business combination within such time period. Our ability to complete our initial business combination may be negatively impacted by general market conditions, volatility in the capital and debt markets and the other risks described herein.</w:t>
      </w:r>
    </w:p>
    <w:p>
      <w:pPr>
        <w:spacing w:after="0" w:line="72" w:lineRule="exact"/>
        <w:rPr>
          <w:sz w:val="20"/>
          <w:szCs w:val="20"/>
          <w:color w:val="auto"/>
        </w:rPr>
      </w:pPr>
    </w:p>
    <w:p>
      <w:pPr>
        <w:ind w:left="1140" w:right="1619" w:firstLine="326"/>
        <w:spacing w:after="0" w:line="284" w:lineRule="auto"/>
        <w:rPr>
          <w:sz w:val="20"/>
          <w:szCs w:val="20"/>
          <w:color w:val="auto"/>
        </w:rPr>
      </w:pPr>
      <w:r>
        <w:rPr>
          <w:rFonts w:ascii="Arial" w:cs="Arial" w:eastAsia="Arial" w:hAnsi="Arial"/>
          <w:sz w:val="15"/>
          <w:szCs w:val="15"/>
          <w:color w:val="auto"/>
        </w:rPr>
        <w:t>If we have not completed our initial business combination within such time period, we will: (1) cease all operations except for the purpose of winding up; (2) as promptly as reasonably possible but not more than 10 business days thereafter, redeem the public shares, at a per share price, payable in cash, equal to the aggregate amount then on deposit in the trust account, including interest (net of permitted withdrawals and up to $100,000 of interest to pay dissolution expenses), divided by the number of then outstanding public</w:t>
      </w:r>
    </w:p>
    <w:p>
      <w:pPr>
        <w:spacing w:after="0" w:line="215"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8" w:name="page39"/>
    <w:bookmarkEnd w:id="38"/>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659"/>
        <w:spacing w:after="0" w:line="278" w:lineRule="auto"/>
        <w:rPr>
          <w:sz w:val="20"/>
          <w:szCs w:val="20"/>
          <w:color w:val="auto"/>
        </w:rPr>
      </w:pPr>
      <w:r>
        <w:rPr>
          <w:rFonts w:ascii="Arial" w:cs="Arial" w:eastAsia="Arial" w:hAnsi="Arial"/>
          <w:sz w:val="15"/>
          <w:szCs w:val="15"/>
          <w:color w:val="auto"/>
        </w:rPr>
        <w:t>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In such case, our public stockholders may receive only $10.00 per share, or less than $10.00 per share, on the redemption of their shares, and our warrants will expire worthless. Please see “— If third parties bring claims against us, the proceeds held in the trust account could be reduced and the per share redemption amount received by stockholders may be less than $10.00 per share” and other risk factors herein.</w:t>
      </w:r>
    </w:p>
    <w:p>
      <w:pPr>
        <w:spacing w:after="0" w:line="61" w:lineRule="exact"/>
        <w:rPr>
          <w:sz w:val="20"/>
          <w:szCs w:val="20"/>
          <w:color w:val="auto"/>
        </w:rPr>
      </w:pPr>
    </w:p>
    <w:p>
      <w:pPr>
        <w:ind w:left="1140" w:right="1579" w:firstLine="326"/>
        <w:spacing w:after="0" w:line="262" w:lineRule="auto"/>
        <w:rPr>
          <w:sz w:val="20"/>
          <w:szCs w:val="20"/>
          <w:color w:val="auto"/>
        </w:rPr>
      </w:pPr>
      <w:r>
        <w:rPr>
          <w:rFonts w:ascii="Arial" w:cs="Arial" w:eastAsia="Arial" w:hAnsi="Arial"/>
          <w:sz w:val="16"/>
          <w:szCs w:val="16"/>
          <w:color w:val="auto"/>
        </w:rPr>
        <w:t>If permitted withdrawals and other sources of working capital are insufficient, it could limit the amount available to fund our search for a target business or businesses and complete our initial business combination and we will depend on loans from our sponsor or management team to fund our search, to pay our taxes and to complete our initial business combination. If we are unable to obtain such loans, we may be unable to complete our initial business combination.</w:t>
      </w:r>
    </w:p>
    <w:p>
      <w:pPr>
        <w:spacing w:after="0" w:line="72" w:lineRule="exact"/>
        <w:rPr>
          <w:sz w:val="20"/>
          <w:szCs w:val="20"/>
          <w:color w:val="auto"/>
        </w:rPr>
      </w:pPr>
    </w:p>
    <w:p>
      <w:pPr>
        <w:ind w:left="1140" w:right="1579" w:firstLine="326"/>
        <w:spacing w:after="0" w:line="275" w:lineRule="auto"/>
        <w:rPr>
          <w:sz w:val="20"/>
          <w:szCs w:val="20"/>
          <w:color w:val="auto"/>
        </w:rPr>
      </w:pPr>
      <w:r>
        <w:rPr>
          <w:rFonts w:ascii="Arial" w:cs="Arial" w:eastAsia="Arial" w:hAnsi="Arial"/>
          <w:sz w:val="15"/>
          <w:szCs w:val="15"/>
          <w:color w:val="auto"/>
        </w:rPr>
        <w:t>None of the net proceeds of this offering and the sale of the private placement warrants will be available to us initially outside the trust account to fund our working capital requirements. In the event that our offering expenses exceed our estimate of $1,350,000, we may fund such excess with loans or additional investments from our sponsor, members of our management team or any of their respective affiliates or other third parties. Conversely, in the event that the offering expenses are less than our estimate of $1,350,000, the excess would be held outside of the trust account. If we are required to seek additional capital, we would need to borrow funds from our sponsor, management team or other third parties to operate or may be forced to liquidate. Neither our sponsor, members of our management team nor any of their respective affiliates is under any obligation or other duty to loan funds to us in such circumstances. Any such loans would be repaid only from funds held outside the trust account or from funds released to us upon completion of our initial business combination. If we are unable to complete our initial business combination because we do not have sufficient funds available to us, we will be forced to cease operations and liquidate the trust account. In such case, our public stockholders may receive only $10.00 per share, or less in certain circumstances, and our warrants will expire worthless. Please see “— If third parties bring claims against us, the proceeds held in the trust account could be reduced and the per-share redemption amount received by stockholders may be less than $10.00 per share” and other risk factors herein.</w:t>
      </w:r>
    </w:p>
    <w:p>
      <w:pPr>
        <w:spacing w:after="0" w:line="152" w:lineRule="exact"/>
        <w:rPr>
          <w:sz w:val="20"/>
          <w:szCs w:val="20"/>
          <w:color w:val="auto"/>
        </w:rPr>
      </w:pPr>
    </w:p>
    <w:p>
      <w:pPr>
        <w:jc w:val="both"/>
        <w:ind w:left="1140" w:right="1559"/>
        <w:spacing w:after="0" w:line="289" w:lineRule="auto"/>
        <w:rPr>
          <w:sz w:val="20"/>
          <w:szCs w:val="20"/>
          <w:color w:val="auto"/>
        </w:rPr>
      </w:pPr>
      <w:r>
        <w:rPr>
          <w:rFonts w:ascii="Arial" w:cs="Arial" w:eastAsia="Arial" w:hAnsi="Arial"/>
          <w:sz w:val="14"/>
          <w:szCs w:val="14"/>
          <w:b w:val="1"/>
          <w:bCs w:val="1"/>
          <w:i w:val="1"/>
          <w:iCs w:val="1"/>
          <w:color w:val="auto"/>
        </w:rPr>
        <w:t>If we seek stockholder approval of our initial business combination, our sponsor, directors, officers, advisors or any of their respective affiliates may elect to purchase shares or warrants from the public, which may influence a vote on a proposed business combination and reduce the public “float” of our common stock.</w:t>
      </w:r>
    </w:p>
    <w:p>
      <w:pPr>
        <w:spacing w:after="0" w:line="42" w:lineRule="exact"/>
        <w:rPr>
          <w:sz w:val="20"/>
          <w:szCs w:val="20"/>
          <w:color w:val="auto"/>
        </w:rPr>
      </w:pPr>
    </w:p>
    <w:p>
      <w:pPr>
        <w:ind w:left="1140" w:right="1579" w:firstLine="326"/>
        <w:spacing w:after="0" w:line="274" w:lineRule="auto"/>
        <w:rPr>
          <w:sz w:val="20"/>
          <w:szCs w:val="20"/>
          <w:color w:val="auto"/>
        </w:rPr>
      </w:pPr>
      <w:r>
        <w:rPr>
          <w:rFonts w:ascii="Arial" w:cs="Arial" w:eastAsia="Arial" w:hAnsi="Arial"/>
          <w:sz w:val="15"/>
          <w:szCs w:val="15"/>
          <w:color w:val="auto"/>
        </w:rPr>
        <w:t>If we seek stockholder approval of our initial business combination and we do not conduct redemptions in connection with our initial business combination pursuant to the tender offer rules, our sponsor, directors, officers, advisors or any of their respective affiliates may purchase public shares or public warrants or a combination thereof in privately negotiated transactions or in the open market either prior to or following the completion of our initial business combination, although they are under no obligation or other duty to do so. Please see “Proposed Business — Permitted purchases of our securities” for a description of how such persons will determine from which stockholders to seek to acquire shares or warrants. Such a purchase may include a contractual acknowledgement that such public stockholder, although still the record holder of our shares is no longer the beneficial owner thereof and therefore agrees not to exercise its redemption rights. In the event that our sponsor, directors, officers, advisors or any of their respective affiliates purchase public shares in privately negotiated transactions from public stockholders who have already elected to exercise their redemption rights, such selling public stockholders would be required to revoke their prior elections to redeem their shares. The price per share paid in any such transaction may be different than the amount per share a public stockholder would receive if it elected to redeem its shares in connection with our initial business combination. The purpose of such purchases could be to vote such shares in favor of the business combination and thereby increase the likelihood of obtaining stockholder approval of our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such purchases could be to vote such shares in favor of the business combination and</w:t>
      </w:r>
    </w:p>
    <w:p>
      <w:pPr>
        <w:spacing w:after="0" w:line="200" w:lineRule="exact"/>
        <w:rPr>
          <w:sz w:val="20"/>
          <w:szCs w:val="20"/>
          <w:color w:val="auto"/>
        </w:rPr>
      </w:pPr>
    </w:p>
    <w:p>
      <w:pPr>
        <w:spacing w:after="0" w:line="229"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39" w:name="page40"/>
    <w:bookmarkEnd w:id="39"/>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599"/>
        <w:spacing w:after="0" w:line="258" w:lineRule="auto"/>
        <w:rPr>
          <w:sz w:val="20"/>
          <w:szCs w:val="20"/>
          <w:color w:val="auto"/>
        </w:rPr>
      </w:pPr>
      <w:r>
        <w:rPr>
          <w:rFonts w:ascii="Arial" w:cs="Arial" w:eastAsia="Arial" w:hAnsi="Arial"/>
          <w:sz w:val="16"/>
          <w:szCs w:val="16"/>
          <w:color w:val="auto"/>
        </w:rPr>
        <w:t>thereby increase the likelihood of obtaining stockholder approval of our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 Please see “Proposed Business — Permitted purchases of our securities” for a description of how our sponsor, directors, officers, advisors or any of their respective affiliates will select which stockholders to purchase securities from in any private transaction.</w:t>
      </w:r>
    </w:p>
    <w:p>
      <w:pPr>
        <w:spacing w:after="0" w:line="73" w:lineRule="exact"/>
        <w:rPr>
          <w:sz w:val="20"/>
          <w:szCs w:val="20"/>
          <w:color w:val="auto"/>
        </w:rPr>
      </w:pPr>
    </w:p>
    <w:p>
      <w:pPr>
        <w:ind w:left="1140" w:right="1819" w:firstLine="326"/>
        <w:spacing w:after="0" w:line="270" w:lineRule="auto"/>
        <w:rPr>
          <w:sz w:val="20"/>
          <w:szCs w:val="20"/>
          <w:color w:val="auto"/>
        </w:rPr>
      </w:pPr>
      <w:r>
        <w:rPr>
          <w:rFonts w:ascii="Arial" w:cs="Arial" w:eastAsia="Arial" w:hAnsi="Arial"/>
          <w:sz w:val="16"/>
          <w:szCs w:val="16"/>
          <w:color w:val="auto"/>
        </w:rPr>
        <w:t>In addition, if such purchases are made, the public “float” of our Class A common stock and the number of beneficial holders of our securities may be reduced, possibly making it difficult to maintain or obtain the quotation, listing or trading of our securities on a national securities exchange.</w:t>
      </w:r>
    </w:p>
    <w:p>
      <w:pPr>
        <w:spacing w:after="0" w:line="150" w:lineRule="exact"/>
        <w:rPr>
          <w:sz w:val="20"/>
          <w:szCs w:val="20"/>
          <w:color w:val="auto"/>
        </w:rPr>
      </w:pPr>
    </w:p>
    <w:p>
      <w:pPr>
        <w:jc w:val="both"/>
        <w:ind w:left="1140" w:right="2039"/>
        <w:spacing w:after="0" w:line="239" w:lineRule="auto"/>
        <w:rPr>
          <w:sz w:val="20"/>
          <w:szCs w:val="20"/>
          <w:color w:val="auto"/>
        </w:rPr>
      </w:pPr>
      <w:r>
        <w:rPr>
          <w:rFonts w:ascii="Arial" w:cs="Arial" w:eastAsia="Arial" w:hAnsi="Arial"/>
          <w:sz w:val="16"/>
          <w:szCs w:val="16"/>
          <w:b w:val="1"/>
          <w:bCs w:val="1"/>
          <w:i w:val="1"/>
          <w:i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74" w:lineRule="exact"/>
        <w:rPr>
          <w:sz w:val="20"/>
          <w:szCs w:val="20"/>
          <w:color w:val="auto"/>
        </w:rPr>
      </w:pPr>
    </w:p>
    <w:p>
      <w:pPr>
        <w:ind w:left="1140" w:right="1619" w:firstLine="326"/>
        <w:spacing w:after="0" w:line="257" w:lineRule="auto"/>
        <w:rPr>
          <w:sz w:val="20"/>
          <w:szCs w:val="20"/>
          <w:color w:val="auto"/>
        </w:rPr>
      </w:pPr>
      <w:r>
        <w:rPr>
          <w:rFonts w:ascii="Arial" w:cs="Arial" w:eastAsia="Arial" w:hAnsi="Arial"/>
          <w:sz w:val="16"/>
          <w:szCs w:val="16"/>
          <w:color w:val="auto"/>
        </w:rPr>
        <w:t>We will comply with the tender offer rules or proxy rules, as applicable, when conducting redemptions in connection with our initial business combination. Despite our compliance with these rules, if a stockholder fails to receive our tender offer or proxy materials, as applicable, such stockholder may not become aware of the opportunity to redeem its shares. In addition, the tender offer documents or proxy materials, as applicable, that we will furnish to holders of our public shares in connection with our initial business combination will describe the various procedures that must be complied with in order to validly tender or redeem public shares. For example, we may require our public stockholders seeking to exercise their redemption rights, whether they are record holders or hold their shares in “street name,” to either tender their certificates to our transfer agent prior to the date set forth in the tender offer or proxy materials documents mailed to such holders, or up to two business days prior to the vote on the proposal to approve the initial business combination in the event we distribute proxy materials, or to deliver their shares to the transfer agent electronically. In the event that a stockholder fails to comply with these procedures, its shares may not be redeemed. Please see “Proposed Business — Tendering stock certificates in connection with a tender offer or redemption rights.”</w:t>
      </w:r>
    </w:p>
    <w:p>
      <w:pPr>
        <w:spacing w:after="0" w:line="165" w:lineRule="exact"/>
        <w:rPr>
          <w:sz w:val="20"/>
          <w:szCs w:val="20"/>
          <w:color w:val="auto"/>
        </w:rPr>
      </w:pPr>
    </w:p>
    <w:p>
      <w:pPr>
        <w:ind w:left="1140" w:right="1579"/>
        <w:spacing w:after="0" w:line="239" w:lineRule="auto"/>
        <w:rPr>
          <w:sz w:val="20"/>
          <w:szCs w:val="20"/>
          <w:color w:val="auto"/>
        </w:rPr>
      </w:pPr>
      <w:r>
        <w:rPr>
          <w:rFonts w:ascii="Arial" w:cs="Arial" w:eastAsia="Arial" w:hAnsi="Arial"/>
          <w:sz w:val="16"/>
          <w:szCs w:val="16"/>
          <w:b w:val="1"/>
          <w:bCs w:val="1"/>
          <w:i w:val="1"/>
          <w:i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74" w:lineRule="exact"/>
        <w:rPr>
          <w:sz w:val="20"/>
          <w:szCs w:val="20"/>
          <w:color w:val="auto"/>
        </w:rPr>
      </w:pPr>
    </w:p>
    <w:p>
      <w:pPr>
        <w:ind w:left="1140" w:right="1559" w:firstLine="326"/>
        <w:spacing w:after="0" w:line="275" w:lineRule="auto"/>
        <w:rPr>
          <w:sz w:val="20"/>
          <w:szCs w:val="20"/>
          <w:color w:val="auto"/>
        </w:rPr>
      </w:pPr>
      <w:r>
        <w:rPr>
          <w:rFonts w:ascii="Arial" w:cs="Arial" w:eastAsia="Arial" w:hAnsi="Arial"/>
          <w:sz w:val="15"/>
          <w:szCs w:val="15"/>
          <w:color w:val="auto"/>
        </w:rPr>
        <w:t>Our public stockholders will be entitled to receive funds from the trust account only upon the earlier to occur of: (1) the completion of our initial business combination, and then only in connection with those shares of Class A common stock that such stockholder properly elected to redeem, subject to the limitations described herein; (2) the redemption of any public shares properly submitted in connection with a stockholder vote to amend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and (3) the redemption of all of our public shares if we are unable to complete our initial business combination within the completion window, subject to applicable law and as further described herein. In addition, if we are unable to complete an initial business combination within the completion window for any reason, compliance with Delaware law may require that we submit a plan of dissolution to our then-existing stockholders for approval prior to the distribution of the proceeds held in our trust account. In that case, public stockholders may be forced to wait beyond the completion window before they receive funds from our trust account.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224"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0" w:name="page41"/>
    <w:bookmarkEnd w:id="40"/>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140" w:right="1999"/>
        <w:spacing w:after="0" w:line="286" w:lineRule="auto"/>
        <w:rPr>
          <w:sz w:val="20"/>
          <w:szCs w:val="20"/>
          <w:color w:val="auto"/>
        </w:rPr>
      </w:pPr>
      <w:r>
        <w:rPr>
          <w:rFonts w:ascii="Arial" w:cs="Arial" w:eastAsia="Arial" w:hAnsi="Arial"/>
          <w:sz w:val="15"/>
          <w:szCs w:val="15"/>
          <w:b w:val="1"/>
          <w:bCs w:val="1"/>
          <w:i w:val="1"/>
          <w:iCs w:val="1"/>
          <w:color w:val="auto"/>
        </w:rPr>
        <w:t>The NYSE may delist our securities from trading on its exchange, which could limit investors’ ability to make transactions in our securities and subject us to additional trading restrictions.</w:t>
      </w:r>
    </w:p>
    <w:p>
      <w:pPr>
        <w:spacing w:after="0" w:line="41" w:lineRule="exact"/>
        <w:rPr>
          <w:sz w:val="20"/>
          <w:szCs w:val="20"/>
          <w:color w:val="auto"/>
        </w:rPr>
      </w:pPr>
    </w:p>
    <w:p>
      <w:pPr>
        <w:ind w:left="1140" w:right="1559" w:firstLine="326"/>
        <w:spacing w:after="0" w:line="258" w:lineRule="auto"/>
        <w:rPr>
          <w:sz w:val="20"/>
          <w:szCs w:val="20"/>
          <w:color w:val="auto"/>
        </w:rPr>
      </w:pPr>
      <w:r>
        <w:rPr>
          <w:rFonts w:ascii="Arial" w:cs="Arial" w:eastAsia="Arial" w:hAnsi="Arial"/>
          <w:sz w:val="16"/>
          <w:szCs w:val="16"/>
          <w:color w:val="auto"/>
        </w:rPr>
        <w:t>We intend to apply to have our units listed on the NYSE on or promptly after the date of this prospectus and our Class A common stock and warrants listed on or promptly after their date of separation. Although after giving effect to this offering we expect to meet the minimum initial listing standards set forth in the NYSE listing standards, we cannot assure you that our securities will be, or will continue to be, listed on the NYSE in the future or prior to our initial business combination. In order to continue listing our securities on the NYSE prior to our initial business combination, we must maintain certain financial, distribution and stock price levels. In general, we must maintain a minimum number of holders of our securities. Additionally, in connection with our initial business combination, we will be required to demonstrate compliance with the NYSE’s initial listing requirements, which are more rigorous than the NYSE’s continued listing requirements, in order to continue to maintain the listing of our securities on the NYSE. For instance, our stock price would generally be required to be at least $4 per share. We cannot assure you that we will be able to meet those initial listing requirements at that time.</w:t>
      </w:r>
    </w:p>
    <w:p>
      <w:pPr>
        <w:spacing w:after="0" w:line="73" w:lineRule="exact"/>
        <w:rPr>
          <w:sz w:val="20"/>
          <w:szCs w:val="20"/>
          <w:color w:val="auto"/>
        </w:rPr>
      </w:pPr>
    </w:p>
    <w:p>
      <w:pPr>
        <w:ind w:left="1140" w:right="1579" w:firstLine="326"/>
        <w:spacing w:after="0" w:line="296" w:lineRule="auto"/>
        <w:rPr>
          <w:sz w:val="20"/>
          <w:szCs w:val="20"/>
          <w:color w:val="auto"/>
        </w:rPr>
      </w:pPr>
      <w:r>
        <w:rPr>
          <w:rFonts w:ascii="Arial" w:cs="Arial" w:eastAsia="Arial" w:hAnsi="Arial"/>
          <w:sz w:val="15"/>
          <w:szCs w:val="15"/>
          <w:color w:val="auto"/>
        </w:rPr>
        <w:t>If the NYSE delists any of our securities from trading on its exchange and we are not able to list such securities on another national securities exchange, we expect such securities could be quoted on an over-the-counter market. If this were to occur, we could face significant material adverse consequences, including:</w:t>
      </w:r>
    </w:p>
    <w:p>
      <w:pPr>
        <w:spacing w:after="0" w:line="59" w:lineRule="exact"/>
        <w:rPr>
          <w:sz w:val="20"/>
          <w:szCs w:val="20"/>
          <w:color w:val="auto"/>
        </w:rPr>
      </w:pPr>
    </w:p>
    <w:p>
      <w:pPr>
        <w:ind w:left="1800" w:hanging="335"/>
        <w:spacing w:after="0"/>
        <w:tabs>
          <w:tab w:leader="none" w:pos="1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limited availability of market quotations for our securities;</w:t>
      </w:r>
    </w:p>
    <w:p>
      <w:pPr>
        <w:spacing w:after="0" w:line="109" w:lineRule="exact"/>
        <w:rPr>
          <w:rFonts w:ascii="Arial" w:cs="Arial" w:eastAsia="Arial" w:hAnsi="Arial"/>
          <w:sz w:val="16"/>
          <w:szCs w:val="16"/>
          <w:color w:val="auto"/>
        </w:rPr>
      </w:pPr>
    </w:p>
    <w:p>
      <w:pPr>
        <w:ind w:left="1800" w:hanging="335"/>
        <w:spacing w:after="0"/>
        <w:tabs>
          <w:tab w:leader="none" w:pos="1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reduced liquidity for our securities;</w:t>
      </w:r>
    </w:p>
    <w:p>
      <w:pPr>
        <w:spacing w:after="0" w:line="121" w:lineRule="exact"/>
        <w:rPr>
          <w:rFonts w:ascii="Arial" w:cs="Arial" w:eastAsia="Arial" w:hAnsi="Arial"/>
          <w:sz w:val="16"/>
          <w:szCs w:val="16"/>
          <w:color w:val="auto"/>
        </w:rPr>
      </w:pPr>
    </w:p>
    <w:p>
      <w:pPr>
        <w:jc w:val="both"/>
        <w:ind w:left="1800" w:right="1919" w:hanging="335"/>
        <w:spacing w:after="0" w:line="296" w:lineRule="auto"/>
        <w:tabs>
          <w:tab w:leader="none" w:pos="18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spacing w:after="0" w:line="46" w:lineRule="exact"/>
        <w:rPr>
          <w:rFonts w:ascii="Arial" w:cs="Arial" w:eastAsia="Arial" w:hAnsi="Arial"/>
          <w:sz w:val="15"/>
          <w:szCs w:val="15"/>
          <w:color w:val="auto"/>
        </w:rPr>
      </w:pPr>
    </w:p>
    <w:p>
      <w:pPr>
        <w:ind w:left="1800" w:hanging="335"/>
        <w:spacing w:after="0"/>
        <w:tabs>
          <w:tab w:leader="none" w:pos="1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limited amount of news and analyst coverage; and</w:t>
      </w:r>
    </w:p>
    <w:p>
      <w:pPr>
        <w:spacing w:after="0" w:line="121" w:lineRule="exact"/>
        <w:rPr>
          <w:rFonts w:ascii="Arial" w:cs="Arial" w:eastAsia="Arial" w:hAnsi="Arial"/>
          <w:sz w:val="16"/>
          <w:szCs w:val="16"/>
          <w:color w:val="auto"/>
        </w:rPr>
      </w:pPr>
    </w:p>
    <w:p>
      <w:pPr>
        <w:ind w:left="1800" w:hanging="335"/>
        <w:spacing w:after="0"/>
        <w:tabs>
          <w:tab w:leader="none" w:pos="1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decreased ability to issue additional securities or obtain additional financing in the future.</w:t>
      </w:r>
    </w:p>
    <w:p>
      <w:pPr>
        <w:spacing w:after="0" w:line="110" w:lineRule="exact"/>
        <w:rPr>
          <w:sz w:val="20"/>
          <w:szCs w:val="20"/>
          <w:color w:val="auto"/>
        </w:rPr>
      </w:pPr>
    </w:p>
    <w:p>
      <w:pPr>
        <w:ind w:left="1140" w:right="1579" w:firstLine="326"/>
        <w:spacing w:after="0" w:line="257" w:lineRule="auto"/>
        <w:rPr>
          <w:sz w:val="20"/>
          <w:szCs w:val="20"/>
          <w:color w:val="auto"/>
        </w:rPr>
      </w:pPr>
      <w:r>
        <w:rPr>
          <w:rFonts w:ascii="Arial" w:cs="Arial" w:eastAsia="Arial" w:hAnsi="Arial"/>
          <w:sz w:val="16"/>
          <w:szCs w:val="16"/>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common stock and warrants will be listed on the NYSE, our units, Class A common stock and warrants will qualify as covered securities under such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the NYSE, our securities would not qualify as covered securities under such statute and we would be subject to regulation in each state in which we offer our securities.</w:t>
      </w:r>
    </w:p>
    <w:p>
      <w:pPr>
        <w:spacing w:after="0" w:line="166" w:lineRule="exact"/>
        <w:rPr>
          <w:sz w:val="20"/>
          <w:szCs w:val="20"/>
          <w:color w:val="auto"/>
        </w:rPr>
      </w:pPr>
    </w:p>
    <w:p>
      <w:pPr>
        <w:ind w:left="1140"/>
        <w:spacing w:after="0"/>
        <w:rPr>
          <w:sz w:val="20"/>
          <w:szCs w:val="20"/>
          <w:color w:val="auto"/>
        </w:rPr>
      </w:pPr>
      <w:r>
        <w:rPr>
          <w:rFonts w:ascii="Arial" w:cs="Arial" w:eastAsia="Arial" w:hAnsi="Arial"/>
          <w:sz w:val="14"/>
          <w:szCs w:val="14"/>
          <w:b w:val="1"/>
          <w:bCs w:val="1"/>
          <w:i w:val="1"/>
          <w:iCs w:val="1"/>
          <w:color w:val="auto"/>
        </w:rPr>
        <w:t>You will not be entitled to protections normally afforded to investors of many other blank check companies.</w:t>
      </w:r>
    </w:p>
    <w:p>
      <w:pPr>
        <w:spacing w:after="0" w:line="120" w:lineRule="exact"/>
        <w:rPr>
          <w:sz w:val="20"/>
          <w:szCs w:val="20"/>
          <w:color w:val="auto"/>
        </w:rPr>
      </w:pPr>
    </w:p>
    <w:p>
      <w:pPr>
        <w:ind w:left="1140" w:right="1579" w:firstLine="326"/>
        <w:spacing w:after="0" w:line="277" w:lineRule="auto"/>
        <w:rPr>
          <w:sz w:val="20"/>
          <w:szCs w:val="20"/>
          <w:color w:val="auto"/>
        </w:rPr>
      </w:pPr>
      <w:r>
        <w:rPr>
          <w:rFonts w:ascii="Arial" w:cs="Arial" w:eastAsia="Arial" w:hAnsi="Arial"/>
          <w:sz w:val="15"/>
          <w:szCs w:val="15"/>
          <w:color w:val="auto"/>
        </w:rPr>
        <w:t>Since the net proceeds of this offering and the sale of the private placement warrants are intended to be used to complete an initial business combination with a target business that has not been identified, we may be deemed to be a “blank check” company under the U.S. securities laws. However, because we will have net tangible assets in excess of $5,000,000 upon the successful completion of this offering and the sale of the private placement warrants and will file a Current Report on Form 8-K, including an audited balance sheet of our company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w:t>
      </w:r>
    </w:p>
    <w:p>
      <w:pPr>
        <w:spacing w:after="0" w:line="207"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1" w:name="page42"/>
    <w:bookmarkEnd w:id="41"/>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599"/>
        <w:spacing w:after="0" w:line="296" w:lineRule="auto"/>
        <w:rPr>
          <w:sz w:val="20"/>
          <w:szCs w:val="20"/>
          <w:color w:val="auto"/>
        </w:rPr>
      </w:pPr>
      <w:r>
        <w:rPr>
          <w:rFonts w:ascii="Arial" w:cs="Arial" w:eastAsia="Arial" w:hAnsi="Arial"/>
          <w:sz w:val="15"/>
          <w:szCs w:val="15"/>
          <w:color w:val="auto"/>
        </w:rPr>
        <w:t>trust account were released to us in connection with our completion of our initial business combination. Please see “Proposed Business — Comparison of This Offering to Those of Blank Check Companies Subject to Rule 419” for a more detailed comparison of our offering to offerings that comply with Rule 419.</w:t>
      </w:r>
    </w:p>
    <w:p>
      <w:pPr>
        <w:spacing w:after="0" w:line="132" w:lineRule="exact"/>
        <w:rPr>
          <w:sz w:val="20"/>
          <w:szCs w:val="20"/>
          <w:color w:val="auto"/>
        </w:rPr>
      </w:pPr>
    </w:p>
    <w:p>
      <w:pPr>
        <w:ind w:left="1140" w:right="1619"/>
        <w:spacing w:after="0" w:line="321" w:lineRule="auto"/>
        <w:rPr>
          <w:sz w:val="20"/>
          <w:szCs w:val="20"/>
          <w:color w:val="auto"/>
        </w:rPr>
      </w:pPr>
      <w:r>
        <w:rPr>
          <w:rFonts w:ascii="Arial" w:cs="Arial" w:eastAsia="Arial" w:hAnsi="Arial"/>
          <w:sz w:val="13"/>
          <w:szCs w:val="13"/>
          <w:b w:val="1"/>
          <w:bCs w:val="1"/>
          <w:i w:val="1"/>
          <w:iCs w:val="1"/>
          <w:color w:val="auto"/>
        </w:rPr>
        <w:t>If we seek stockholder approval of our initial business combination and we do not conduct redemptions pursuant to the tender offer rules, and if you or a “group” of stockholders are deemed to hold in excess of 15% of our Class A common stock, you will lose the ability to redeem all such shares in excess of 15% of our Class A common stock.</w:t>
      </w:r>
    </w:p>
    <w:p>
      <w:pPr>
        <w:spacing w:after="0" w:line="24" w:lineRule="exact"/>
        <w:rPr>
          <w:sz w:val="20"/>
          <w:szCs w:val="20"/>
          <w:color w:val="auto"/>
        </w:rPr>
      </w:pPr>
    </w:p>
    <w:p>
      <w:pPr>
        <w:ind w:left="1140" w:right="1579" w:firstLine="326"/>
        <w:spacing w:after="0" w:line="276" w:lineRule="auto"/>
        <w:rPr>
          <w:sz w:val="20"/>
          <w:szCs w:val="20"/>
          <w:color w:val="auto"/>
        </w:rPr>
      </w:pPr>
      <w:r>
        <w:rPr>
          <w:rFonts w:ascii="Arial" w:cs="Arial" w:eastAsia="Arial" w:hAnsi="Arial"/>
          <w:sz w:val="15"/>
          <w:szCs w:val="15"/>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without our prior consent, which we refer to as the “Excess Shares.” However, our amended and restated certificate of incorporation does not restrict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the Excess Shares and, in order to dispose of such shares, would be required to sell your Excess Shares in open market transactions, potentially at a loss.</w:t>
      </w:r>
    </w:p>
    <w:p>
      <w:pPr>
        <w:spacing w:after="0" w:line="146" w:lineRule="exact"/>
        <w:rPr>
          <w:sz w:val="20"/>
          <w:szCs w:val="20"/>
          <w:color w:val="auto"/>
        </w:rPr>
      </w:pPr>
    </w:p>
    <w:p>
      <w:pPr>
        <w:ind w:left="1140" w:right="1679"/>
        <w:spacing w:after="0" w:line="278" w:lineRule="auto"/>
        <w:rPr>
          <w:sz w:val="20"/>
          <w:szCs w:val="20"/>
          <w:color w:val="auto"/>
        </w:rPr>
      </w:pPr>
      <w:r>
        <w:rPr>
          <w:rFonts w:ascii="Arial" w:cs="Arial" w:eastAsia="Arial" w:hAnsi="Arial"/>
          <w:sz w:val="14"/>
          <w:szCs w:val="14"/>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stockholders may receive only approximately $10.00 per share, or less in certain circumstances, on our redemption of their stock, and our warrants will expire worthless.</w:t>
      </w:r>
    </w:p>
    <w:p>
      <w:pPr>
        <w:spacing w:after="0" w:line="49" w:lineRule="exact"/>
        <w:rPr>
          <w:sz w:val="20"/>
          <w:szCs w:val="20"/>
          <w:color w:val="auto"/>
        </w:rPr>
      </w:pPr>
    </w:p>
    <w:p>
      <w:pPr>
        <w:ind w:left="1140" w:right="1579" w:firstLine="326"/>
        <w:spacing w:after="0" w:line="275" w:lineRule="auto"/>
        <w:rPr>
          <w:sz w:val="20"/>
          <w:szCs w:val="20"/>
          <w:color w:val="auto"/>
        </w:rPr>
      </w:pPr>
      <w:r>
        <w:rPr>
          <w:rFonts w:ascii="Arial" w:cs="Arial" w:eastAsia="Arial" w:hAnsi="Arial"/>
          <w:sz w:val="15"/>
          <w:szCs w:val="15"/>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including, without limitation, M. Klein and Company and our Strategic and Operating Partners,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will be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Our sponsor, any of its affiliates or any of their respective clients may make additional investments in us, although our sponsor and its affiliates have no obligation or other duty to do so. Please see “Proposed Business — Certain Potential Conflicts of Interest Relating to M. Klein and Company” for a discussion on certain limitations related to other resources M. Klein and Company may, but is under no obligation or other duty to, provide us.</w:t>
      </w:r>
    </w:p>
    <w:p>
      <w:pPr>
        <w:spacing w:after="0" w:line="67" w:lineRule="exact"/>
        <w:rPr>
          <w:sz w:val="20"/>
          <w:szCs w:val="20"/>
          <w:color w:val="auto"/>
        </w:rPr>
      </w:pPr>
    </w:p>
    <w:p>
      <w:pPr>
        <w:ind w:left="1140" w:right="1599" w:firstLine="326"/>
        <w:spacing w:after="0" w:line="258" w:lineRule="auto"/>
        <w:rPr>
          <w:sz w:val="20"/>
          <w:szCs w:val="20"/>
          <w:color w:val="auto"/>
        </w:rPr>
      </w:pPr>
      <w:r>
        <w:rPr>
          <w:rFonts w:ascii="Arial" w:cs="Arial" w:eastAsia="Arial" w:hAnsi="Arial"/>
          <w:sz w:val="16"/>
          <w:szCs w:val="16"/>
          <w:color w:val="auto"/>
        </w:rPr>
        <w:t>This inherent competitive limitation gives others an advantage in pursuing the acquisition of certain target businesses. Furthermore, in the event we seek stockholder approval of our initial business combination and we are obligated to pay cash for public shares that are redeemed, it will potentially reduce the resources available to us for our initial business combination. Any of these obligations may place us at a competitive disadvantage in successfully negotiating and completing a business combination. If we are unable to complete our initial business combination, our public stockholders may receive only approximately $10.00 per share, or less in certain circumstances, on the liquidation of our trust account and our warrants will expire worthless. Please see “— If third parties bring claims against us, the proceeds held in the trust account could be reduced and the per-share redemption amount received by stockholders may be less than $10.00 per share” and other risk factors herein.</w:t>
      </w:r>
    </w:p>
    <w:p>
      <w:pPr>
        <w:spacing w:after="0" w:line="236"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42" w:name="page43"/>
    <w:bookmarkEnd w:id="42"/>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140" w:right="2159"/>
        <w:spacing w:after="0" w:line="324" w:lineRule="auto"/>
        <w:rPr>
          <w:sz w:val="20"/>
          <w:szCs w:val="20"/>
          <w:color w:val="auto"/>
        </w:rPr>
      </w:pPr>
      <w:r>
        <w:rPr>
          <w:rFonts w:ascii="Arial" w:cs="Arial" w:eastAsia="Arial" w:hAnsi="Arial"/>
          <w:sz w:val="14"/>
          <w:szCs w:val="14"/>
          <w:b w:val="1"/>
          <w:bCs w:val="1"/>
          <w:i w:val="1"/>
          <w:iCs w:val="1"/>
          <w:color w:val="auto"/>
        </w:rPr>
        <w:t>If the funds available to us outside of the trust account are insufficient to allow us to operate for at least the completion window, we may be unable to complete our initial business combination.</w:t>
      </w:r>
    </w:p>
    <w:p>
      <w:pPr>
        <w:spacing w:after="0" w:line="18" w:lineRule="exact"/>
        <w:rPr>
          <w:sz w:val="20"/>
          <w:szCs w:val="20"/>
          <w:color w:val="auto"/>
        </w:rPr>
      </w:pPr>
    </w:p>
    <w:p>
      <w:pPr>
        <w:ind w:left="1140" w:right="1599" w:firstLine="326"/>
        <w:spacing w:after="0" w:line="259" w:lineRule="auto"/>
        <w:rPr>
          <w:sz w:val="20"/>
          <w:szCs w:val="20"/>
          <w:color w:val="auto"/>
        </w:rPr>
      </w:pPr>
      <w:r>
        <w:rPr>
          <w:rFonts w:ascii="Arial" w:cs="Arial" w:eastAsia="Arial" w:hAnsi="Arial"/>
          <w:sz w:val="16"/>
          <w:szCs w:val="16"/>
          <w:color w:val="auto"/>
        </w:rPr>
        <w:t>The funds available to us outside of the trust account may not be sufficient to allow us to operate for at least the completion window, assuming that our initial business combination is not completed during that time. We expect to incur significant costs in pursuit of our acquisition plans. Management’s plans to address this need for capital through this offering and potential loans from certain of our affiliates are discussed in the section of this prospectus titled “Management’s Discussion and Analysis of Financial Condition and Results of Operations.” However, our affiliates are not obligated to make loans to us in the future, and we may not be able to raise additional financing from unaffiliated parties necessary to fund our expenses. Any such event in the future may negatively impact the analysis regarding our ability to continue as a going concern at such time.</w:t>
      </w:r>
    </w:p>
    <w:p>
      <w:pPr>
        <w:spacing w:after="0" w:line="72" w:lineRule="exact"/>
        <w:rPr>
          <w:sz w:val="20"/>
          <w:szCs w:val="20"/>
          <w:color w:val="auto"/>
        </w:rPr>
      </w:pPr>
    </w:p>
    <w:p>
      <w:pPr>
        <w:ind w:left="1140" w:right="1579" w:firstLine="326"/>
        <w:spacing w:after="0" w:line="257" w:lineRule="auto"/>
        <w:rPr>
          <w:sz w:val="20"/>
          <w:szCs w:val="20"/>
          <w:color w:val="auto"/>
        </w:rPr>
      </w:pPr>
      <w:r>
        <w:rPr>
          <w:rFonts w:ascii="Arial" w:cs="Arial" w:eastAsia="Arial" w:hAnsi="Arial"/>
          <w:sz w:val="16"/>
          <w:szCs w:val="16"/>
          <w:color w:val="auto"/>
        </w:rPr>
        <w:t>We believe that the funds available to us outside of the trust account, including permitted withdrawals and loans or additional investments from our sponsor, will be sufficient to allow us to operate for at least the completion window;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receive only approximately $10.00 per share, or less in certain circumstances, on the liquidation of our trust account and our warrants will expire worthless. Please see “— If third parties bring claims against us, the proceeds held in the trust account could be reduced and the per-share redemption amount received by stockholders may be less than $10.00 per share” and other risk factors herein.</w:t>
      </w:r>
    </w:p>
    <w:p>
      <w:pPr>
        <w:spacing w:after="0" w:line="161" w:lineRule="exact"/>
        <w:rPr>
          <w:sz w:val="20"/>
          <w:szCs w:val="20"/>
          <w:color w:val="auto"/>
        </w:rPr>
      </w:pPr>
    </w:p>
    <w:p>
      <w:pPr>
        <w:jc w:val="both"/>
        <w:ind w:left="1140" w:right="1739"/>
        <w:spacing w:after="0" w:line="239" w:lineRule="auto"/>
        <w:rPr>
          <w:sz w:val="20"/>
          <w:szCs w:val="20"/>
          <w:color w:val="auto"/>
        </w:rPr>
      </w:pPr>
      <w:r>
        <w:rPr>
          <w:rFonts w:ascii="Arial" w:cs="Arial" w:eastAsia="Arial" w:hAnsi="Arial"/>
          <w:sz w:val="16"/>
          <w:szCs w:val="16"/>
          <w:b w:val="1"/>
          <w:bCs w:val="1"/>
          <w:i w:val="1"/>
          <w:iCs w:val="1"/>
          <w:color w:val="auto"/>
        </w:rPr>
        <w:t>We will depend on permitted withdrawals and loans from our sponsor or management team to fund our search, to pay our taxes and to complete our initial business combination. If we are unable to obtain such loans, we may be unable to complete our initial business combination.</w:t>
      </w:r>
    </w:p>
    <w:p>
      <w:pPr>
        <w:spacing w:after="0" w:line="74" w:lineRule="exact"/>
        <w:rPr>
          <w:sz w:val="20"/>
          <w:szCs w:val="20"/>
          <w:color w:val="auto"/>
        </w:rPr>
      </w:pPr>
    </w:p>
    <w:p>
      <w:pPr>
        <w:ind w:left="1140" w:right="1579" w:firstLine="326"/>
        <w:spacing w:after="0" w:line="274" w:lineRule="auto"/>
        <w:rPr>
          <w:sz w:val="20"/>
          <w:szCs w:val="20"/>
          <w:color w:val="auto"/>
        </w:rPr>
      </w:pPr>
      <w:r>
        <w:rPr>
          <w:rFonts w:ascii="Arial" w:cs="Arial" w:eastAsia="Arial" w:hAnsi="Arial"/>
          <w:sz w:val="15"/>
          <w:szCs w:val="15"/>
          <w:color w:val="auto"/>
        </w:rPr>
        <w:t>None of the net proceeds of this offering and the sale of the private placement warrants will be available to us initially outside the trust account to fund our working capital requirements. In the event that our offering expenses exceed our estimate of $1,350,000, we may fund such excess with loans or additional investments from our sponsor, members of our management team or any of their respective affiliates or other third parties. Conversely, in the event that the offering expenses are less than our estimate of $1,350,000, the excess would be held outside of the trust account. We expect to fund our working capital requirements prior to the time of our initial business combination with permitted withdrawals from the interest earned on the trust account, subject to an annual limit of $1,000,000. In addition, our sponsor, an affiliate of our sponsor or our officers and directors may, but none of them is obligated to, loan us funds as may be required to fund our working capital requirements. Based upon current interest rates, we expect the trust account to generate approximately $7,500,000 of interest annually (assuming an interest rate of 0.50% per year); however, we can provide no assurances regarding this amount. If we are required to seek additional capital, we would need to borrow funds from our sponsor, management team or other third parties to operate or may be forced to liquidate. Neither our sponsor, members of our management team nor any of their respective affiliates is under any obligation or other duty to loan funds to us in such circumstances. Any such loans would be repaid only from funds held outside the trust account or from funds released to us upon completion of our initial business combination. If we are unable to complete our initial business combination because we do not have sufficient funds available to us, we will be forced to cease operations and liquidate the trust account. In such case, our public stockholders may receive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3" w:name="page44"/>
    <w:bookmarkEnd w:id="43"/>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599"/>
        <w:spacing w:after="0" w:line="265" w:lineRule="auto"/>
        <w:rPr>
          <w:sz w:val="20"/>
          <w:szCs w:val="20"/>
          <w:color w:val="auto"/>
        </w:rPr>
      </w:pPr>
      <w:r>
        <w:rPr>
          <w:rFonts w:ascii="Arial" w:cs="Arial" w:eastAsia="Arial" w:hAnsi="Arial"/>
          <w:sz w:val="16"/>
          <w:szCs w:val="16"/>
          <w:color w:val="auto"/>
        </w:rPr>
        <w:t>$10.00 per share, or less in certain circumstances, and our warrants will expire worthless. Please see “— If third parties bring claims against us, the proceeds held in the trust account could be reduced and the per-share redemption amount received by stockholders may be less than $10.00 per share” and other risk factors herein.</w:t>
      </w:r>
    </w:p>
    <w:p>
      <w:pPr>
        <w:spacing w:after="0" w:line="154" w:lineRule="exact"/>
        <w:rPr>
          <w:sz w:val="20"/>
          <w:szCs w:val="20"/>
          <w:color w:val="auto"/>
        </w:rPr>
      </w:pPr>
    </w:p>
    <w:p>
      <w:pPr>
        <w:ind w:left="1140" w:right="1619"/>
        <w:spacing w:after="0" w:line="235" w:lineRule="auto"/>
        <w:rPr>
          <w:sz w:val="20"/>
          <w:szCs w:val="20"/>
          <w:color w:val="auto"/>
        </w:rPr>
      </w:pPr>
      <w:r>
        <w:rPr>
          <w:rFonts w:ascii="Arial" w:cs="Arial" w:eastAsia="Arial" w:hAnsi="Arial"/>
          <w:sz w:val="16"/>
          <w:szCs w:val="16"/>
          <w:b w:val="1"/>
          <w:bCs w:val="1"/>
          <w:i w:val="1"/>
          <w:i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74" w:lineRule="exact"/>
        <w:rPr>
          <w:sz w:val="20"/>
          <w:szCs w:val="20"/>
          <w:color w:val="auto"/>
        </w:rPr>
      </w:pPr>
    </w:p>
    <w:p>
      <w:pPr>
        <w:ind w:left="1140" w:right="1599" w:firstLine="326"/>
        <w:spacing w:after="0" w:line="275" w:lineRule="auto"/>
        <w:rPr>
          <w:sz w:val="20"/>
          <w:szCs w:val="20"/>
          <w:color w:val="auto"/>
        </w:rPr>
      </w:pPr>
      <w:r>
        <w:rPr>
          <w:rFonts w:ascii="Arial" w:cs="Arial" w:eastAsia="Arial" w:hAnsi="Arial"/>
          <w:sz w:val="15"/>
          <w:szCs w:val="15"/>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stockholders or warrant holders who choose to remain a stockholder or warrant holder following our initial business combination could suffer a reduction in the value of their securities. Such stockholders or warrant holders are unlikely to have a remedy for such reduction in value.</w:t>
      </w:r>
    </w:p>
    <w:p>
      <w:pPr>
        <w:spacing w:after="0" w:line="154" w:lineRule="exact"/>
        <w:rPr>
          <w:sz w:val="20"/>
          <w:szCs w:val="20"/>
          <w:color w:val="auto"/>
        </w:rPr>
      </w:pPr>
    </w:p>
    <w:p>
      <w:pPr>
        <w:ind w:left="1140" w:right="1799"/>
        <w:spacing w:after="0" w:line="286" w:lineRule="auto"/>
        <w:rPr>
          <w:sz w:val="20"/>
          <w:szCs w:val="20"/>
          <w:color w:val="auto"/>
        </w:rPr>
      </w:pPr>
      <w:r>
        <w:rPr>
          <w:rFonts w:ascii="Arial" w:cs="Arial" w:eastAsia="Arial" w:hAnsi="Arial"/>
          <w:sz w:val="15"/>
          <w:szCs w:val="15"/>
          <w:b w:val="1"/>
          <w:bCs w:val="1"/>
          <w:i w:val="1"/>
          <w:iCs w:val="1"/>
          <w:color w:val="auto"/>
        </w:rPr>
        <w:t>If third parties bring claims against us, the proceeds held in the trust account could be reduced and the per share redemption amount received by stockholders may be less than $10.00 per share.</w:t>
      </w:r>
    </w:p>
    <w:p>
      <w:pPr>
        <w:spacing w:after="0" w:line="41" w:lineRule="exact"/>
        <w:rPr>
          <w:sz w:val="20"/>
          <w:szCs w:val="20"/>
          <w:color w:val="auto"/>
        </w:rPr>
      </w:pPr>
    </w:p>
    <w:p>
      <w:pPr>
        <w:ind w:left="1140" w:right="1579" w:firstLine="326"/>
        <w:spacing w:after="0" w:line="274" w:lineRule="auto"/>
        <w:rPr>
          <w:sz w:val="20"/>
          <w:szCs w:val="20"/>
          <w:color w:val="auto"/>
        </w:rPr>
      </w:pPr>
      <w:r>
        <w:rPr>
          <w:rFonts w:ascii="Arial" w:cs="Arial" w:eastAsia="Arial" w:hAnsi="Arial"/>
          <w:sz w:val="15"/>
          <w:szCs w:val="15"/>
          <w:color w:val="auto"/>
        </w:rPr>
        <w:t>Our placing of funds in the trust account may not protect those funds from third-party claims against us. Although we will seek to have all vendors, service providers (other than our independent registered public accounting firm), prospective target businesses or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Making such a request of potential target businesses may make our acquisition proposal less attractive to them and, to the extent prospective target businesses refuse to execute such a waiver, it may limit the field of potential target businesses that we might pursue.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we are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completion window, or upon the exercise of a redemption right in connection with our initial business combination, we will be required to provide for payment of claims of creditors that were not waived that may be brought against us within the 10 years following redemption. Accordingly, the per share redemption amount received by public stockholders could be less than the $10.00 per share initially held in the trust account, due to claims of such creditors.</w:t>
      </w:r>
    </w:p>
    <w:p>
      <w:pPr>
        <w:spacing w:after="0" w:line="200" w:lineRule="exact"/>
        <w:rPr>
          <w:sz w:val="20"/>
          <w:szCs w:val="20"/>
          <w:color w:val="auto"/>
        </w:rPr>
      </w:pPr>
    </w:p>
    <w:p>
      <w:pPr>
        <w:spacing w:after="0" w:line="221"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4" w:name="page45"/>
    <w:bookmarkEnd w:id="44"/>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599" w:firstLine="326"/>
        <w:spacing w:after="0" w:line="275" w:lineRule="auto"/>
        <w:rPr>
          <w:sz w:val="20"/>
          <w:szCs w:val="20"/>
          <w:color w:val="auto"/>
        </w:rPr>
      </w:pPr>
      <w:r>
        <w:rPr>
          <w:rFonts w:ascii="Arial" w:cs="Arial" w:eastAsia="Arial" w:hAnsi="Arial"/>
          <w:sz w:val="15"/>
          <w:szCs w:val="15"/>
          <w:color w:val="auto"/>
        </w:rPr>
        <w:t>Our sponsor has agreed that it will be liable to us if and to the extent any claims by a third party (other than our independent registered public accounting firm) for services rendered or products sold to us, or a prospective target business with which we have discussed entering into a transaction agreement, reduce the amount of funds in the trust account to below: (1) $10.00 per public share; or (2) the actual amount per public share held in the trust account as of the date of the liquidation of the trust account, if less than $10.00 per share due to reductions in the value of the trust assets, in each case net of permitted withdrawals, except as to any claims by a third party that executed a waiver of any and all rights to the monies held in the trust account (whether any such waiver is enforceable) and except as to any claims under our indemnity of the underwriters of this offering against certain liabilities, including liabilities under the Securities Act. We have not independently verified whether our sponsor has sufficient funds to satisfy its indemnity obligations and we have not asked our sponsor to reserve for such indemnification obligations. We have not asked our sponsor to reserve for such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50" w:lineRule="exact"/>
        <w:rPr>
          <w:sz w:val="20"/>
          <w:szCs w:val="20"/>
          <w:color w:val="auto"/>
        </w:rPr>
      </w:pPr>
    </w:p>
    <w:p>
      <w:pPr>
        <w:ind w:left="1140" w:right="1719"/>
        <w:spacing w:after="0" w:line="363" w:lineRule="auto"/>
        <w:rPr>
          <w:sz w:val="20"/>
          <w:szCs w:val="20"/>
          <w:color w:val="auto"/>
        </w:rPr>
      </w:pPr>
      <w:r>
        <w:rPr>
          <w:rFonts w:ascii="Arial" w:cs="Arial" w:eastAsia="Arial" w:hAnsi="Arial"/>
          <w:sz w:val="13"/>
          <w:szCs w:val="13"/>
          <w:b w:val="1"/>
          <w:bCs w:val="1"/>
          <w:i w:val="1"/>
          <w:iCs w:val="1"/>
          <w:color w:val="auto"/>
        </w:rPr>
        <w:t>Our independent directors may decide not to enforce the indemnification obligations of our sponsor, resulting in a reduction in the amount of funds in the trust account available for distribution to our public stockholders.</w:t>
      </w:r>
    </w:p>
    <w:p>
      <w:pPr>
        <w:ind w:left="1140" w:right="1559" w:firstLine="326"/>
        <w:spacing w:after="0" w:line="276" w:lineRule="auto"/>
        <w:rPr>
          <w:sz w:val="20"/>
          <w:szCs w:val="20"/>
          <w:color w:val="auto"/>
        </w:rPr>
      </w:pPr>
      <w:r>
        <w:rPr>
          <w:rFonts w:ascii="Arial" w:cs="Arial" w:eastAsia="Arial" w:hAnsi="Arial"/>
          <w:sz w:val="15"/>
          <w:szCs w:val="15"/>
          <w:color w:val="auto"/>
        </w:rPr>
        <w:t>In the event that the proceeds in the trust account are reduced below the lesser of: (1) $10.00 per public share; or (2) the actual amount per share held in the trust account as of the date of the liquidation of the trust account, if less than $10.00 per share due to reductions in the value of the trust assets, in each case net of permitted withdrawals,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certain instances. For example, the cost of such legal action may be deemed by the independent directors to be too high relative to the amount recoverable or the independent directors may determine that a favorable outcome is not likely. If our independent directors choose not to enforce these indemnification obligations, the amount of funds in the trust account available for distribution to our public stockholders may be reduced below $10.00 per share.</w:t>
      </w:r>
    </w:p>
    <w:p>
      <w:pPr>
        <w:spacing w:after="0" w:line="149" w:lineRule="exact"/>
        <w:rPr>
          <w:sz w:val="20"/>
          <w:szCs w:val="20"/>
          <w:color w:val="auto"/>
        </w:rPr>
      </w:pPr>
    </w:p>
    <w:p>
      <w:pPr>
        <w:jc w:val="both"/>
        <w:ind w:left="1140" w:right="1579"/>
        <w:spacing w:after="0" w:line="305" w:lineRule="auto"/>
        <w:rPr>
          <w:sz w:val="20"/>
          <w:szCs w:val="20"/>
          <w:color w:val="auto"/>
        </w:rPr>
      </w:pPr>
      <w:r>
        <w:rPr>
          <w:rFonts w:ascii="Arial" w:cs="Arial" w:eastAsia="Arial" w:hAnsi="Arial"/>
          <w:sz w:val="13"/>
          <w:szCs w:val="13"/>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35" w:lineRule="exact"/>
        <w:rPr>
          <w:sz w:val="20"/>
          <w:szCs w:val="20"/>
          <w:color w:val="auto"/>
        </w:rPr>
      </w:pPr>
    </w:p>
    <w:p>
      <w:pPr>
        <w:ind w:left="1140" w:right="1639" w:firstLine="326"/>
        <w:spacing w:after="0" w:line="259" w:lineRule="auto"/>
        <w:rPr>
          <w:sz w:val="20"/>
          <w:szCs w:val="20"/>
          <w:color w:val="auto"/>
        </w:rPr>
      </w:pPr>
      <w:r>
        <w:rPr>
          <w:rFonts w:ascii="Arial" w:cs="Arial" w:eastAsia="Arial" w:hAnsi="Arial"/>
          <w:sz w:val="16"/>
          <w:szCs w:val="16"/>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by paying public stockholders from the trust account prior to addressing the claims of creditors, thereby exposing itself and us to claims of punitive damages.</w:t>
      </w:r>
    </w:p>
    <w:p>
      <w:pPr>
        <w:spacing w:after="0" w:line="161" w:lineRule="exact"/>
        <w:rPr>
          <w:sz w:val="20"/>
          <w:szCs w:val="20"/>
          <w:color w:val="auto"/>
        </w:rPr>
      </w:pPr>
    </w:p>
    <w:p>
      <w:pPr>
        <w:ind w:left="1140" w:right="1619"/>
        <w:spacing w:after="0" w:line="278" w:lineRule="auto"/>
        <w:rPr>
          <w:sz w:val="20"/>
          <w:szCs w:val="20"/>
          <w:color w:val="auto"/>
        </w:rPr>
      </w:pPr>
      <w:r>
        <w:rPr>
          <w:rFonts w:ascii="Arial" w:cs="Arial" w:eastAsia="Arial" w:hAnsi="Arial"/>
          <w:sz w:val="14"/>
          <w:szCs w:val="14"/>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 share amount that would otherwise be received by our stockholders in connection with our liquidation may be reduced.</w:t>
      </w:r>
    </w:p>
    <w:p>
      <w:pPr>
        <w:spacing w:after="0" w:line="49" w:lineRule="exact"/>
        <w:rPr>
          <w:sz w:val="20"/>
          <w:szCs w:val="20"/>
          <w:color w:val="auto"/>
        </w:rPr>
      </w:pPr>
    </w:p>
    <w:p>
      <w:pPr>
        <w:ind w:left="1140" w:right="1639" w:firstLine="326"/>
        <w:spacing w:after="0" w:line="296" w:lineRule="auto"/>
        <w:rPr>
          <w:sz w:val="20"/>
          <w:szCs w:val="20"/>
          <w:color w:val="auto"/>
        </w:rPr>
      </w:pPr>
      <w:r>
        <w:rPr>
          <w:rFonts w:ascii="Arial" w:cs="Arial" w:eastAsia="Arial" w:hAnsi="Arial"/>
          <w:sz w:val="15"/>
          <w:szCs w:val="15"/>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w:t>
      </w:r>
    </w:p>
    <w:p>
      <w:pPr>
        <w:spacing w:after="0" w:line="206"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5" w:name="page46"/>
    <w:bookmarkEnd w:id="45"/>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939"/>
        <w:spacing w:after="0" w:line="296" w:lineRule="auto"/>
        <w:rPr>
          <w:sz w:val="20"/>
          <w:szCs w:val="20"/>
          <w:color w:val="auto"/>
        </w:rPr>
      </w:pPr>
      <w:r>
        <w:rPr>
          <w:rFonts w:ascii="Arial" w:cs="Arial" w:eastAsia="Arial" w:hAnsi="Arial"/>
          <w:sz w:val="15"/>
          <w:szCs w:val="15"/>
          <w:color w:val="auto"/>
        </w:rPr>
        <w:t>estate and subject to the claims of third parties with priority over the claims of our stockholders. To the extent any bankruptcy claims deplete the trust account, the per share amount that would otherwise be received by our public stockholders in connection with our liquidation would be reduced.</w:t>
      </w:r>
    </w:p>
    <w:p>
      <w:pPr>
        <w:spacing w:after="0" w:line="132" w:lineRule="exact"/>
        <w:rPr>
          <w:sz w:val="20"/>
          <w:szCs w:val="20"/>
          <w:color w:val="auto"/>
        </w:rPr>
      </w:pPr>
    </w:p>
    <w:p>
      <w:pPr>
        <w:ind w:left="1140" w:right="1659"/>
        <w:spacing w:after="0" w:line="239" w:lineRule="auto"/>
        <w:rPr>
          <w:sz w:val="20"/>
          <w:szCs w:val="20"/>
          <w:color w:val="auto"/>
        </w:rPr>
      </w:pPr>
      <w:r>
        <w:rPr>
          <w:rFonts w:ascii="Arial" w:cs="Arial" w:eastAsia="Arial" w:hAnsi="Arial"/>
          <w:sz w:val="16"/>
          <w:szCs w:val="16"/>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74" w:lineRule="exact"/>
        <w:rPr>
          <w:sz w:val="20"/>
          <w:szCs w:val="20"/>
          <w:color w:val="auto"/>
        </w:rPr>
      </w:pPr>
    </w:p>
    <w:p>
      <w:pPr>
        <w:ind w:left="1140" w:right="1659" w:firstLine="326"/>
        <w:spacing w:after="0" w:line="285" w:lineRule="auto"/>
        <w:rPr>
          <w:sz w:val="20"/>
          <w:szCs w:val="20"/>
          <w:color w:val="auto"/>
        </w:rPr>
      </w:pPr>
      <w:r>
        <w:rPr>
          <w:rFonts w:ascii="Arial" w:cs="Arial" w:eastAsia="Arial" w:hAnsi="Arial"/>
          <w:sz w:val="16"/>
          <w:szCs w:val="16"/>
          <w:color w:val="auto"/>
        </w:rPr>
        <w:t>If we are deemed to be an investment company under the Investment Company Act, our activities may be restricted, including:</w:t>
      </w:r>
    </w:p>
    <w:p>
      <w:pPr>
        <w:spacing w:after="0" w:line="126" w:lineRule="exact"/>
        <w:rPr>
          <w:sz w:val="20"/>
          <w:szCs w:val="20"/>
          <w:color w:val="auto"/>
        </w:rPr>
      </w:pPr>
    </w:p>
    <w:p>
      <w:pPr>
        <w:ind w:left="1800" w:hanging="335"/>
        <w:spacing w:after="0"/>
        <w:tabs>
          <w:tab w:leader="none" w:pos="18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restrictions on the nature of our investments; and</w:t>
      </w:r>
    </w:p>
    <w:p>
      <w:pPr>
        <w:spacing w:after="0" w:line="170" w:lineRule="exact"/>
        <w:rPr>
          <w:rFonts w:ascii="Arial" w:cs="Arial" w:eastAsia="Arial" w:hAnsi="Arial"/>
          <w:sz w:val="16"/>
          <w:szCs w:val="16"/>
          <w:color w:val="auto"/>
        </w:rPr>
      </w:pPr>
    </w:p>
    <w:p>
      <w:pPr>
        <w:ind w:left="1800" w:hanging="335"/>
        <w:spacing w:after="0"/>
        <w:tabs>
          <w:tab w:leader="none" w:pos="18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restrictions on the issuance of securities;</w:t>
      </w:r>
    </w:p>
    <w:p>
      <w:pPr>
        <w:spacing w:after="0" w:line="110" w:lineRule="exact"/>
        <w:rPr>
          <w:sz w:val="20"/>
          <w:szCs w:val="20"/>
          <w:color w:val="auto"/>
        </w:rPr>
      </w:pPr>
    </w:p>
    <w:p>
      <w:pPr>
        <w:ind w:left="1140" w:right="1599"/>
        <w:spacing w:after="0" w:line="285" w:lineRule="auto"/>
        <w:rPr>
          <w:sz w:val="20"/>
          <w:szCs w:val="20"/>
          <w:color w:val="auto"/>
        </w:rPr>
      </w:pPr>
      <w:r>
        <w:rPr>
          <w:rFonts w:ascii="Arial" w:cs="Arial" w:eastAsia="Arial" w:hAnsi="Arial"/>
          <w:sz w:val="16"/>
          <w:szCs w:val="16"/>
          <w:color w:val="auto"/>
        </w:rPr>
        <w:t>each of which may make it difficult for us to complete our initial business combination. In addition, we may have imposed upon us burdensome requirements, including:</w:t>
      </w:r>
    </w:p>
    <w:p>
      <w:pPr>
        <w:spacing w:after="0" w:line="113" w:lineRule="exact"/>
        <w:rPr>
          <w:sz w:val="20"/>
          <w:szCs w:val="20"/>
          <w:color w:val="auto"/>
        </w:rPr>
      </w:pPr>
    </w:p>
    <w:p>
      <w:pPr>
        <w:ind w:left="1800" w:hanging="335"/>
        <w:spacing w:after="0"/>
        <w:tabs>
          <w:tab w:leader="none" w:pos="1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registration as an investment company with the SEC;</w:t>
      </w:r>
    </w:p>
    <w:p>
      <w:pPr>
        <w:spacing w:after="0" w:line="182" w:lineRule="exact"/>
        <w:rPr>
          <w:rFonts w:ascii="Arial" w:cs="Arial" w:eastAsia="Arial" w:hAnsi="Arial"/>
          <w:sz w:val="16"/>
          <w:szCs w:val="16"/>
          <w:color w:val="auto"/>
        </w:rPr>
      </w:pPr>
    </w:p>
    <w:p>
      <w:pPr>
        <w:ind w:left="1800" w:hanging="335"/>
        <w:spacing w:after="0"/>
        <w:tabs>
          <w:tab w:leader="none" w:pos="1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adoption of a specific form of corporate structure; and</w:t>
      </w:r>
    </w:p>
    <w:p>
      <w:pPr>
        <w:spacing w:after="0" w:line="170" w:lineRule="exact"/>
        <w:rPr>
          <w:rFonts w:ascii="Arial" w:cs="Arial" w:eastAsia="Arial" w:hAnsi="Arial"/>
          <w:sz w:val="16"/>
          <w:szCs w:val="16"/>
          <w:color w:val="auto"/>
        </w:rPr>
      </w:pPr>
    </w:p>
    <w:p>
      <w:pPr>
        <w:ind w:left="1800" w:right="1779" w:hanging="335"/>
        <w:spacing w:after="0" w:line="285" w:lineRule="auto"/>
        <w:tabs>
          <w:tab w:leader="none" w:pos="1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reporting, record keeping, voting, proxy and disclosure requirements and compliance with other rules and regulations that we are currently not subject to.</w:t>
      </w:r>
    </w:p>
    <w:p>
      <w:pPr>
        <w:spacing w:after="0" w:line="52" w:lineRule="exact"/>
        <w:rPr>
          <w:sz w:val="20"/>
          <w:szCs w:val="20"/>
          <w:color w:val="auto"/>
        </w:rPr>
      </w:pPr>
    </w:p>
    <w:p>
      <w:pPr>
        <w:ind w:left="1140" w:right="1599" w:firstLine="326"/>
        <w:spacing w:after="0" w:line="280" w:lineRule="auto"/>
        <w:rPr>
          <w:sz w:val="20"/>
          <w:szCs w:val="20"/>
          <w:color w:val="auto"/>
        </w:rPr>
      </w:pPr>
      <w:r>
        <w:rPr>
          <w:rFonts w:ascii="Arial" w:cs="Arial" w:eastAsia="Arial" w:hAnsi="Arial"/>
          <w:sz w:val="15"/>
          <w:szCs w:val="15"/>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 business combination and thereafter to operate the post-transaction business or assets for the long-term. We do not plan to buy businesses or assets with a view to resale or profit from their resale.</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We do not plan to buy unrelated businesses or assets or to be a passive investor.</w:t>
      </w:r>
    </w:p>
    <w:p>
      <w:pPr>
        <w:spacing w:after="0" w:line="110" w:lineRule="exact"/>
        <w:rPr>
          <w:sz w:val="20"/>
          <w:szCs w:val="20"/>
          <w:color w:val="auto"/>
        </w:rPr>
      </w:pPr>
    </w:p>
    <w:p>
      <w:pPr>
        <w:ind w:left="1140" w:right="1699" w:firstLine="326"/>
        <w:spacing w:after="0" w:line="277" w:lineRule="auto"/>
        <w:rPr>
          <w:sz w:val="20"/>
          <w:szCs w:val="20"/>
          <w:color w:val="auto"/>
        </w:rPr>
      </w:pPr>
      <w:r>
        <w:rPr>
          <w:rFonts w:ascii="Arial" w:cs="Arial" w:eastAsia="Arial" w:hAnsi="Arial"/>
          <w:sz w:val="15"/>
          <w:szCs w:val="15"/>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w:t>
      </w:r>
    </w:p>
    <w:p>
      <w:pPr>
        <w:spacing w:after="0" w:line="1" w:lineRule="exact"/>
        <w:rPr>
          <w:sz w:val="20"/>
          <w:szCs w:val="20"/>
          <w:color w:val="auto"/>
        </w:rPr>
      </w:pPr>
    </w:p>
    <w:p>
      <w:pPr>
        <w:ind w:left="1140" w:right="1579"/>
        <w:spacing w:after="0" w:line="273" w:lineRule="auto"/>
        <w:rPr>
          <w:sz w:val="20"/>
          <w:szCs w:val="20"/>
          <w:color w:val="auto"/>
        </w:rPr>
      </w:pPr>
      <w:r>
        <w:rPr>
          <w:rFonts w:ascii="Arial" w:cs="Arial" w:eastAsia="Arial" w:hAnsi="Arial"/>
          <w:sz w:val="15"/>
          <w:szCs w:val="15"/>
          <w:color w:val="auto"/>
        </w:rPr>
        <w:t>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(i) the completion of our primary business objective, which is a business combination; (ii) the redemption of any public shares properly submitted in connection with a stockholder vote to amend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and (iii) absent a business combination,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consummate our initial business combination. If we are unable to complete our initial business combination, our public stockholders may receive only approximately $10.00 per share on the liquidation of our trust account and our warrants will expire</w:t>
      </w:r>
    </w:p>
    <w:p>
      <w:pPr>
        <w:spacing w:after="0" w:line="200" w:lineRule="exact"/>
        <w:rPr>
          <w:sz w:val="20"/>
          <w:szCs w:val="20"/>
          <w:color w:val="auto"/>
        </w:rPr>
      </w:pP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46" w:name="page47"/>
    <w:bookmarkEnd w:id="46"/>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1140" w:right="1739"/>
        <w:spacing w:after="0" w:line="265" w:lineRule="auto"/>
        <w:rPr>
          <w:sz w:val="20"/>
          <w:szCs w:val="20"/>
          <w:color w:val="auto"/>
        </w:rPr>
      </w:pPr>
      <w:r>
        <w:rPr>
          <w:rFonts w:ascii="Arial" w:cs="Arial" w:eastAsia="Arial" w:hAnsi="Arial"/>
          <w:sz w:val="16"/>
          <w:szCs w:val="16"/>
          <w:color w:val="auto"/>
        </w:rPr>
        <w:t>worthless. In certain circumstances, our public stockholders may receive less than $10.00 per share on the redemption of their shares. Please see “— If third parties bring claims against us, the proceeds held in the trust account could be reduced and the per-share redemption amount received by stockholders may be less than $10.00 per share” and other risk factors herein.</w:t>
      </w:r>
    </w:p>
    <w:p>
      <w:pPr>
        <w:spacing w:after="0" w:line="154" w:lineRule="exact"/>
        <w:rPr>
          <w:sz w:val="20"/>
          <w:szCs w:val="20"/>
          <w:color w:val="auto"/>
        </w:rPr>
      </w:pPr>
    </w:p>
    <w:p>
      <w:pPr>
        <w:ind w:left="1140" w:right="1599"/>
        <w:spacing w:after="0" w:line="363" w:lineRule="auto"/>
        <w:rPr>
          <w:sz w:val="20"/>
          <w:szCs w:val="20"/>
          <w:color w:val="auto"/>
        </w:rPr>
      </w:pPr>
      <w:r>
        <w:rPr>
          <w:rFonts w:ascii="Arial" w:cs="Arial" w:eastAsia="Arial" w:hAnsi="Arial"/>
          <w:sz w:val="13"/>
          <w:szCs w:val="13"/>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ind w:left="1140" w:right="1619" w:firstLine="326"/>
        <w:spacing w:after="0" w:line="259" w:lineRule="auto"/>
        <w:rPr>
          <w:sz w:val="20"/>
          <w:szCs w:val="20"/>
          <w:color w:val="auto"/>
        </w:rPr>
      </w:pPr>
      <w:r>
        <w:rPr>
          <w:rFonts w:ascii="Arial" w:cs="Arial" w:eastAsia="Arial" w:hAnsi="Arial"/>
          <w:sz w:val="16"/>
          <w:szCs w:val="16"/>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61" w:lineRule="exact"/>
        <w:rPr>
          <w:sz w:val="20"/>
          <w:szCs w:val="20"/>
          <w:color w:val="auto"/>
        </w:rPr>
      </w:pPr>
    </w:p>
    <w:p>
      <w:pPr>
        <w:ind w:left="1140" w:right="1759"/>
        <w:spacing w:after="0" w:line="253" w:lineRule="auto"/>
        <w:rPr>
          <w:sz w:val="20"/>
          <w:szCs w:val="20"/>
          <w:color w:val="auto"/>
        </w:rPr>
      </w:pPr>
      <w:r>
        <w:rPr>
          <w:rFonts w:ascii="Arial" w:cs="Arial" w:eastAsia="Arial" w:hAnsi="Arial"/>
          <w:sz w:val="16"/>
          <w:szCs w:val="16"/>
          <w:b w:val="1"/>
          <w:bCs w:val="1"/>
          <w:i w:val="1"/>
          <w:iCs w:val="1"/>
          <w:color w:val="auto"/>
        </w:rPr>
        <w:t>Our stockholders may be held liable for claims by third parties against us to the extent of distributions received by them upon redemption of their shares.</w:t>
      </w:r>
    </w:p>
    <w:p>
      <w:pPr>
        <w:spacing w:after="0" w:line="65" w:lineRule="exact"/>
        <w:rPr>
          <w:sz w:val="20"/>
          <w:szCs w:val="20"/>
          <w:color w:val="auto"/>
        </w:rPr>
      </w:pPr>
    </w:p>
    <w:p>
      <w:pPr>
        <w:ind w:left="1140" w:right="1679" w:firstLine="326"/>
        <w:spacing w:after="0" w:line="249" w:lineRule="auto"/>
        <w:rPr>
          <w:sz w:val="20"/>
          <w:szCs w:val="20"/>
          <w:color w:val="auto"/>
        </w:rPr>
      </w:pPr>
      <w:r>
        <w:rPr>
          <w:rFonts w:ascii="Arial" w:cs="Arial" w:eastAsia="Arial" w:hAnsi="Arial"/>
          <w:sz w:val="16"/>
          <w:szCs w:val="16"/>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the completion window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the 24</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month from the closing of this offering in the event we do not complete our initial business combination and, therefore, we do not intend to comply with the foregoing procedures.</w:t>
      </w:r>
    </w:p>
    <w:p>
      <w:pPr>
        <w:spacing w:after="0" w:line="87" w:lineRule="exact"/>
        <w:rPr>
          <w:sz w:val="20"/>
          <w:szCs w:val="20"/>
          <w:color w:val="auto"/>
        </w:rPr>
      </w:pPr>
    </w:p>
    <w:p>
      <w:pPr>
        <w:ind w:left="1140" w:right="1639" w:firstLine="326"/>
        <w:spacing w:after="0" w:line="256" w:lineRule="auto"/>
        <w:rPr>
          <w:sz w:val="20"/>
          <w:szCs w:val="20"/>
          <w:color w:val="auto"/>
        </w:rPr>
      </w:pPr>
      <w:r>
        <w:rPr>
          <w:rFonts w:ascii="Arial" w:cs="Arial" w:eastAsia="Arial" w:hAnsi="Arial"/>
          <w:sz w:val="16"/>
          <w:szCs w:val="16"/>
          <w:color w:val="auto"/>
        </w:rPr>
        <w:t>Because we do not intend to comply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consultants,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the completion window is not considered a liquidating distribution under Delaware law and such redemption distribution is deemed to be unlawful, then pursuant to Section 174 of the DGCL, the statute of limitations for claims of creditors could then be six years after the unlawful redemption distribution, instead of three years, as in the case of a liquidating distribution.</w:t>
      </w:r>
    </w:p>
    <w:p>
      <w:pPr>
        <w:spacing w:after="0" w:line="246"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7" w:name="page48"/>
    <w:bookmarkEnd w:id="47"/>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140" w:right="1819"/>
        <w:spacing w:after="0" w:line="324" w:lineRule="auto"/>
        <w:rPr>
          <w:sz w:val="20"/>
          <w:szCs w:val="20"/>
          <w:color w:val="auto"/>
        </w:rPr>
      </w:pPr>
      <w:r>
        <w:rPr>
          <w:rFonts w:ascii="Arial" w:cs="Arial" w:eastAsia="Arial" w:hAnsi="Arial"/>
          <w:sz w:val="14"/>
          <w:szCs w:val="14"/>
          <w:b w:val="1"/>
          <w:bCs w:val="1"/>
          <w:i w:val="1"/>
          <w:iCs w:val="1"/>
          <w:color w:val="auto"/>
        </w:rPr>
        <w:t>We may not hold an annual meeting of stockholders until after we consummate our initial business combination and you will not be entitled to any of the corporate protections provided by such a meeting.</w:t>
      </w:r>
    </w:p>
    <w:p>
      <w:pPr>
        <w:spacing w:after="0" w:line="18" w:lineRule="exact"/>
        <w:rPr>
          <w:sz w:val="20"/>
          <w:szCs w:val="20"/>
          <w:color w:val="auto"/>
        </w:rPr>
      </w:pPr>
    </w:p>
    <w:p>
      <w:pPr>
        <w:ind w:left="1140" w:right="1599" w:firstLine="326"/>
        <w:spacing w:after="0" w:line="280" w:lineRule="auto"/>
        <w:rPr>
          <w:sz w:val="20"/>
          <w:szCs w:val="20"/>
          <w:color w:val="auto"/>
        </w:rPr>
      </w:pPr>
      <w:r>
        <w:rPr>
          <w:rFonts w:ascii="Arial" w:cs="Arial" w:eastAsia="Arial" w:hAnsi="Arial"/>
          <w:sz w:val="15"/>
          <w:szCs w:val="15"/>
          <w:color w:val="auto"/>
        </w:rPr>
        <w:t>We may not hold an annual meeting of stockholders until after we consummate our initial business combination (unless required by the NYSE) and thus may not be in compliance with Section 211(b) of the DGCL, which requires an annual meeting of stockholders be held for the purposes of electing directors in accordance with a company’s bylaws unless such election is made by written consent in lieu of such a meeting. Therefore, if our stockholders want us to hold an annual meeting prior to our consummation of our initial business combination, they may attempt to force us to hold one by submitting an application to the Delaware Court of Chancery in accordance with Section 211(c) of the DGCL.</w:t>
      </w:r>
    </w:p>
    <w:p>
      <w:pPr>
        <w:spacing w:after="0" w:line="145" w:lineRule="exact"/>
        <w:rPr>
          <w:sz w:val="20"/>
          <w:szCs w:val="20"/>
          <w:color w:val="auto"/>
        </w:rPr>
      </w:pPr>
    </w:p>
    <w:p>
      <w:pPr>
        <w:ind w:left="1140" w:right="1779"/>
        <w:spacing w:after="0" w:line="278" w:lineRule="auto"/>
        <w:rPr>
          <w:sz w:val="20"/>
          <w:szCs w:val="20"/>
          <w:color w:val="auto"/>
        </w:rPr>
      </w:pPr>
      <w:r>
        <w:rPr>
          <w:rFonts w:ascii="Arial" w:cs="Arial" w:eastAsia="Arial" w:hAnsi="Arial"/>
          <w:sz w:val="14"/>
          <w:szCs w:val="14"/>
          <w:b w:val="1"/>
          <w:bCs w:val="1"/>
          <w:i w:val="1"/>
          <w:iCs w:val="1"/>
          <w:color w:val="auto"/>
        </w:rPr>
        <w:t>We are not registering the shares of Class A common stock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 and potentially causing such warrants to expire worthless.</w:t>
      </w:r>
    </w:p>
    <w:p>
      <w:pPr>
        <w:spacing w:after="0" w:line="49" w:lineRule="exact"/>
        <w:rPr>
          <w:sz w:val="20"/>
          <w:szCs w:val="20"/>
          <w:color w:val="auto"/>
        </w:rPr>
      </w:pPr>
    </w:p>
    <w:p>
      <w:pPr>
        <w:ind w:left="1140" w:right="1579" w:firstLine="326"/>
        <w:spacing w:after="0" w:line="273" w:lineRule="auto"/>
        <w:rPr>
          <w:sz w:val="20"/>
          <w:szCs w:val="20"/>
          <w:color w:val="auto"/>
        </w:rPr>
      </w:pPr>
      <w:r>
        <w:rPr>
          <w:rFonts w:ascii="Arial" w:cs="Arial" w:eastAsia="Arial" w:hAnsi="Arial"/>
          <w:sz w:val="15"/>
          <w:szCs w:val="15"/>
          <w:color w:val="auto"/>
        </w:rPr>
        <w:t>We are not registering the shares of Class A common stock issuable upon exercise of the warrants under the Securities Act or any state securities laws at this time. However, under the terms of the warrant agreement, we have agreed that as soon as practicable, but in no event later than 15 business days after the closing of our initial business combination, we will use our reasonable best efforts to file with the SEC, and within 60 business days following our initial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 Notwithstanding the above, if our Class A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reasonable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under applicable state securities laws and no exemption is available. If the issuance of the shares upon exercise of the warrants is not so registered or qualified or exempt from registration or qualification, the holder of such warrant shall not be entitled to exercise such warrant and such warrant may have no value and expire worthless. In such event, holders who acquired their warrants as part of a purchase of units will have paid the full unit purchase price solely for the shares of Class A common stock included in the units. If and when the warrants become redeemable by us, we may exercise our redemption right even if we are unable to register or qualify the underlying shares of Class A common stock for sale under all applicable state securities laws.</w:t>
      </w:r>
    </w:p>
    <w:p>
      <w:pPr>
        <w:spacing w:after="0" w:line="363" w:lineRule="exact"/>
        <w:rPr>
          <w:sz w:val="20"/>
          <w:szCs w:val="20"/>
          <w:color w:val="auto"/>
        </w:rPr>
      </w:pPr>
    </w:p>
    <w:p>
      <w:pPr>
        <w:jc w:val="both"/>
        <w:ind w:left="1140" w:right="1599"/>
        <w:spacing w:after="0" w:line="239" w:lineRule="auto"/>
        <w:rPr>
          <w:sz w:val="20"/>
          <w:szCs w:val="20"/>
          <w:color w:val="auto"/>
        </w:rPr>
      </w:pPr>
      <w:r>
        <w:rPr>
          <w:rFonts w:ascii="Arial" w:cs="Arial" w:eastAsia="Arial" w:hAnsi="Arial"/>
          <w:sz w:val="16"/>
          <w:szCs w:val="16"/>
          <w:b w:val="1"/>
          <w:bCs w:val="1"/>
          <w:i w:val="1"/>
          <w:iCs w:val="1"/>
          <w:color w:val="auto"/>
        </w:rPr>
        <w:t>The grant of registration rights to our initial stockholders and their permitted transferees may make it more difficult to complete our initial business combination, and the future exercise of such rights may adversely affect the market price of our Class A common stock.</w:t>
      </w:r>
    </w:p>
    <w:p>
      <w:pPr>
        <w:spacing w:after="0" w:line="74" w:lineRule="exact"/>
        <w:rPr>
          <w:sz w:val="20"/>
          <w:szCs w:val="20"/>
          <w:color w:val="auto"/>
        </w:rPr>
      </w:pPr>
    </w:p>
    <w:p>
      <w:pPr>
        <w:jc w:val="both"/>
        <w:ind w:left="1140" w:right="1679" w:firstLine="326"/>
        <w:spacing w:after="0" w:line="288" w:lineRule="auto"/>
        <w:rPr>
          <w:sz w:val="20"/>
          <w:szCs w:val="20"/>
          <w:color w:val="auto"/>
        </w:rPr>
      </w:pPr>
      <w:r>
        <w:rPr>
          <w:rFonts w:ascii="Arial" w:cs="Arial" w:eastAsia="Arial" w:hAnsi="Arial"/>
          <w:sz w:val="15"/>
          <w:szCs w:val="15"/>
          <w:color w:val="auto"/>
        </w:rPr>
        <w:t>Pursuant to an agreement to be entered into concurrently with the issuance and sale of the securities in this offering, our initial stockholders and their permitted transferees can demand that we register the resale of their founder shares after those shares convert to shares of our Class A common stock at the time of our initial business combination. In addition, our sponsor and its permitted transferees can demand that we</w:t>
      </w:r>
    </w:p>
    <w:p>
      <w:pPr>
        <w:spacing w:after="0" w:line="212"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8" w:name="page49"/>
    <w:bookmarkEnd w:id="48"/>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599"/>
        <w:spacing w:after="0" w:line="258" w:lineRule="auto"/>
        <w:rPr>
          <w:sz w:val="20"/>
          <w:szCs w:val="20"/>
          <w:color w:val="auto"/>
        </w:rPr>
      </w:pPr>
      <w:r>
        <w:rPr>
          <w:rFonts w:ascii="Arial" w:cs="Arial" w:eastAsia="Arial" w:hAnsi="Arial"/>
          <w:sz w:val="16"/>
          <w:szCs w:val="16"/>
          <w:color w:val="auto"/>
        </w:rPr>
        <w:t>register the resale of the private placement warrants and the shares of Class A common stock issuable upon exercise of the private placement warrants, and holders of warrants that may be issued upon conversion of working capital loans may demand that we register the resale of such warrants or the Class A common stock issuable upon exercise of such warrants. We will bear the cost of registering these securities. The registration and availability of such a significant number of securities for trading in the public market may have an adverse effect on the market price of our Class A common stock. In addition, the existence of the registration rights may make our initial business combination more costly or difficult to complete. This is because the stockholders of the target business may increase the equity stake they seek in the combined entity or ask for more cash consideration to offset the negative impact on the market price of our Class A common stock that is expected when the common stock owned by our initial stockholders or their permitted transferees, the private placement warrants owned by our sponsor or warrants issued in connection with working capital loans are registered for resale.</w:t>
      </w:r>
    </w:p>
    <w:p>
      <w:pPr>
        <w:spacing w:after="0" w:line="158" w:lineRule="exact"/>
        <w:rPr>
          <w:sz w:val="20"/>
          <w:szCs w:val="20"/>
          <w:color w:val="auto"/>
        </w:rPr>
      </w:pPr>
    </w:p>
    <w:p>
      <w:pPr>
        <w:ind w:left="1140" w:right="1739"/>
        <w:spacing w:after="0" w:line="363" w:lineRule="auto"/>
        <w:rPr>
          <w:sz w:val="20"/>
          <w:szCs w:val="20"/>
          <w:color w:val="auto"/>
        </w:rPr>
      </w:pPr>
      <w:r>
        <w:rPr>
          <w:rFonts w:ascii="Arial" w:cs="Arial" w:eastAsia="Arial" w:hAnsi="Arial"/>
          <w:sz w:val="13"/>
          <w:szCs w:val="13"/>
          <w:b w:val="1"/>
          <w:bCs w:val="1"/>
          <w:i w:val="1"/>
          <w:iCs w:val="1"/>
          <w:color w:val="auto"/>
        </w:rPr>
        <w:t>Our search for a business combination, and any target business with which we ultimately consummate a business combination, may be materially adversely affected by the recent novel coronavirus (“COVID-19”) outbreak.</w:t>
      </w:r>
    </w:p>
    <w:p>
      <w:pPr>
        <w:ind w:left="1140" w:right="1619" w:firstLine="326"/>
        <w:spacing w:after="0" w:line="257" w:lineRule="auto"/>
        <w:rPr>
          <w:sz w:val="20"/>
          <w:szCs w:val="20"/>
          <w:color w:val="auto"/>
        </w:rPr>
      </w:pPr>
      <w:r>
        <w:rPr>
          <w:rFonts w:ascii="Arial" w:cs="Arial" w:eastAsia="Arial" w:hAnsi="Arial"/>
          <w:sz w:val="16"/>
          <w:szCs w:val="16"/>
          <w:color w:val="auto"/>
        </w:rPr>
        <w:t>On March 11, 2020, the World Health Organization officially declared the outbreak of the COVID-19 a “pandemic.” A significant outbreak of COVID-19 and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65" w:lineRule="exact"/>
        <w:rPr>
          <w:sz w:val="20"/>
          <w:szCs w:val="20"/>
          <w:color w:val="auto"/>
        </w:rPr>
      </w:pPr>
    </w:p>
    <w:p>
      <w:pPr>
        <w:ind w:left="1140" w:right="1659"/>
        <w:spacing w:after="0" w:line="262" w:lineRule="auto"/>
        <w:rPr>
          <w:sz w:val="20"/>
          <w:szCs w:val="20"/>
          <w:color w:val="auto"/>
        </w:rPr>
      </w:pPr>
      <w:r>
        <w:rPr>
          <w:rFonts w:ascii="Arial" w:cs="Arial" w:eastAsia="Arial" w:hAnsi="Arial"/>
          <w:sz w:val="15"/>
          <w:szCs w:val="15"/>
          <w:b w:val="1"/>
          <w:bCs w:val="1"/>
          <w:i w:val="1"/>
          <w:iCs w:val="1"/>
          <w:color w:val="auto"/>
        </w:rPr>
        <w:t>Because we are neither limited to evaluating target businesses in a particular industry nor have we identified any specific target businesses with which to pursue our initial business combination, you will be unable to ascertain the merits or risks of any particular target business’s operations.</w:t>
      </w:r>
    </w:p>
    <w:p>
      <w:pPr>
        <w:spacing w:after="0" w:line="59" w:lineRule="exact"/>
        <w:rPr>
          <w:sz w:val="20"/>
          <w:szCs w:val="20"/>
          <w:color w:val="auto"/>
        </w:rPr>
      </w:pPr>
    </w:p>
    <w:p>
      <w:pPr>
        <w:ind w:left="1140" w:right="1599" w:firstLine="326"/>
        <w:spacing w:after="0" w:line="274" w:lineRule="auto"/>
        <w:rPr>
          <w:sz w:val="20"/>
          <w:szCs w:val="20"/>
          <w:color w:val="auto"/>
        </w:rPr>
      </w:pPr>
      <w:r>
        <w:rPr>
          <w:rFonts w:ascii="Arial" w:cs="Arial" w:eastAsia="Arial" w:hAnsi="Arial"/>
          <w:sz w:val="15"/>
          <w:szCs w:val="15"/>
          <w:color w:val="auto"/>
        </w:rPr>
        <w:t>We may seek to complete a business combination with an operating company in any industry or sector. However, we will not, under our amended and restated certificate of incorporation, be permitted to effectuate our initial business combination with another blank check company or similar company with nominal operations. Because we have not yet identified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stockholders or warrant holders who choose to remain a stockholder or warrant holder following our initial business combination could suffer a reduction in the value of their securities. Such stockholders or warrant holders are unlikely to have a remedy for such reduction in value.</w:t>
      </w:r>
    </w:p>
    <w:p>
      <w:pPr>
        <w:spacing w:after="0" w:line="234"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9" w:name="page50"/>
    <w:bookmarkEnd w:id="49"/>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140" w:right="1939"/>
        <w:spacing w:after="0" w:line="253" w:lineRule="auto"/>
        <w:rPr>
          <w:sz w:val="20"/>
          <w:szCs w:val="20"/>
          <w:color w:val="auto"/>
        </w:rPr>
      </w:pPr>
      <w:r>
        <w:rPr>
          <w:rFonts w:ascii="Arial" w:cs="Arial" w:eastAsia="Arial" w:hAnsi="Arial"/>
          <w:sz w:val="16"/>
          <w:szCs w:val="16"/>
          <w:b w:val="1"/>
          <w:bCs w:val="1"/>
          <w:i w:val="1"/>
          <w:iCs w:val="1"/>
          <w:color w:val="auto"/>
        </w:rPr>
        <w:t>We may seek acquisition opportunities in acquisition targets that may be outside of our management’s areas of expertise.</w:t>
      </w:r>
    </w:p>
    <w:p>
      <w:pPr>
        <w:spacing w:after="0" w:line="65" w:lineRule="exact"/>
        <w:rPr>
          <w:sz w:val="20"/>
          <w:szCs w:val="20"/>
          <w:color w:val="auto"/>
        </w:rPr>
      </w:pPr>
    </w:p>
    <w:p>
      <w:pPr>
        <w:ind w:left="1140" w:right="1579" w:firstLine="326"/>
        <w:spacing w:after="0" w:line="258" w:lineRule="auto"/>
        <w:rPr>
          <w:sz w:val="20"/>
          <w:szCs w:val="20"/>
          <w:color w:val="auto"/>
        </w:rPr>
      </w:pPr>
      <w:r>
        <w:rPr>
          <w:rFonts w:ascii="Arial" w:cs="Arial" w:eastAsia="Arial" w:hAnsi="Arial"/>
          <w:sz w:val="16"/>
          <w:szCs w:val="16"/>
          <w:color w:val="auto"/>
        </w:rPr>
        <w:t>We will consider a business combination in sectors which may be outside of our management’s areas of expertise if such business combination candidate is presented to us and we determine that such candidate offers an attractive acquisition opportunity for our company. In the event we elect to pursue an acquisition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relevant to such acquisition. Accordingly, any stockholders or warrant holders who choose to remain a stockholder or warrant holder following our initial business combination could suffer a reduction in the value of their securities. Such stockholders or warrant holders are unlikely to have a remedy for such reduction in value.</w:t>
      </w:r>
    </w:p>
    <w:p>
      <w:pPr>
        <w:spacing w:after="0" w:line="160" w:lineRule="exact"/>
        <w:rPr>
          <w:sz w:val="20"/>
          <w:szCs w:val="20"/>
          <w:color w:val="auto"/>
        </w:rPr>
      </w:pPr>
    </w:p>
    <w:p>
      <w:pPr>
        <w:ind w:left="1140" w:right="1679"/>
        <w:spacing w:after="0" w:line="278" w:lineRule="auto"/>
        <w:rPr>
          <w:sz w:val="20"/>
          <w:szCs w:val="20"/>
          <w:color w:val="auto"/>
        </w:rPr>
      </w:pPr>
      <w:r>
        <w:rPr>
          <w:rFonts w:ascii="Arial" w:cs="Arial" w:eastAsia="Arial" w:hAnsi="Arial"/>
          <w:sz w:val="14"/>
          <w:szCs w:val="14"/>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49" w:lineRule="exact"/>
        <w:rPr>
          <w:sz w:val="20"/>
          <w:szCs w:val="20"/>
          <w:color w:val="auto"/>
        </w:rPr>
      </w:pPr>
    </w:p>
    <w:p>
      <w:pPr>
        <w:ind w:left="1140" w:right="1559" w:firstLine="326"/>
        <w:spacing w:after="0" w:line="276" w:lineRule="auto"/>
        <w:rPr>
          <w:sz w:val="20"/>
          <w:szCs w:val="20"/>
          <w:color w:val="auto"/>
        </w:rPr>
      </w:pPr>
      <w:r>
        <w:rPr>
          <w:rFonts w:ascii="Arial" w:cs="Arial" w:eastAsia="Arial" w:hAnsi="Arial"/>
          <w:sz w:val="15"/>
          <w:szCs w:val="15"/>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and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applicable law or stock exchange rules, or we decide to obtain stockholder approval for business or other reasons, it may be more difficult for us to attain stockholder approval of our initial business combination if the target business does not meet our general criteria and guidelines. If we are unable to complete our initial business combination, our public stockholders may receive only approximately $10.00 per share, or less in certain circumstances, on the liquidation of our trust account and our warrants will expire worthless.</w:t>
      </w:r>
    </w:p>
    <w:p>
      <w:pPr>
        <w:spacing w:after="0" w:line="146" w:lineRule="exact"/>
        <w:rPr>
          <w:sz w:val="20"/>
          <w:szCs w:val="20"/>
          <w:color w:val="auto"/>
        </w:rPr>
      </w:pPr>
    </w:p>
    <w:p>
      <w:pPr>
        <w:ind w:left="1140" w:right="1879"/>
        <w:spacing w:after="0" w:line="289" w:lineRule="auto"/>
        <w:rPr>
          <w:sz w:val="20"/>
          <w:szCs w:val="20"/>
          <w:color w:val="auto"/>
        </w:rPr>
      </w:pPr>
      <w:r>
        <w:rPr>
          <w:rFonts w:ascii="Arial" w:cs="Arial" w:eastAsia="Arial" w:hAnsi="Arial"/>
          <w:sz w:val="14"/>
          <w:szCs w:val="14"/>
          <w:b w:val="1"/>
          <w:bCs w:val="1"/>
          <w:i w:val="1"/>
          <w:iCs w:val="1"/>
          <w:color w:val="auto"/>
        </w:rPr>
        <w:t>We may seek acquisition opportunities with an early stage company, a financially unstable business or an entity lacking an established record of revenue or earnings, which could subject us to volatile revenues or earnings, intense competition and difficulties in obtaining and retaining key personnel.</w:t>
      </w:r>
    </w:p>
    <w:p>
      <w:pPr>
        <w:spacing w:after="0" w:line="42" w:lineRule="exact"/>
        <w:rPr>
          <w:sz w:val="20"/>
          <w:szCs w:val="20"/>
          <w:color w:val="auto"/>
        </w:rPr>
      </w:pPr>
    </w:p>
    <w:p>
      <w:pPr>
        <w:ind w:left="1140" w:right="1659" w:firstLine="326"/>
        <w:spacing w:after="0" w:line="258" w:lineRule="auto"/>
        <w:rPr>
          <w:sz w:val="20"/>
          <w:szCs w:val="20"/>
          <w:color w:val="auto"/>
        </w:rPr>
      </w:pPr>
      <w:r>
        <w:rPr>
          <w:rFonts w:ascii="Arial" w:cs="Arial" w:eastAsia="Arial" w:hAnsi="Arial"/>
          <w:sz w:val="16"/>
          <w:szCs w:val="16"/>
          <w:color w:val="auto"/>
        </w:rPr>
        <w:t>To the extent we complete our initial business combination with an early 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63" w:lineRule="exact"/>
        <w:rPr>
          <w:sz w:val="20"/>
          <w:szCs w:val="20"/>
          <w:color w:val="auto"/>
        </w:rPr>
      </w:pPr>
    </w:p>
    <w:p>
      <w:pPr>
        <w:ind w:left="1140" w:right="1739"/>
        <w:spacing w:after="0" w:line="289" w:lineRule="auto"/>
        <w:rPr>
          <w:sz w:val="20"/>
          <w:szCs w:val="20"/>
          <w:color w:val="auto"/>
        </w:rPr>
      </w:pPr>
      <w:r>
        <w:rPr>
          <w:rFonts w:ascii="Arial" w:cs="Arial" w:eastAsia="Arial" w:hAnsi="Arial"/>
          <w:sz w:val="14"/>
          <w:szCs w:val="14"/>
          <w:b w:val="1"/>
          <w:bCs w:val="1"/>
          <w:i w:val="1"/>
          <w:iCs w:val="1"/>
          <w:color w:val="auto"/>
        </w:rPr>
        <w:t>We are not required to obtain an opinion from an independent investment banking firm or from an independent accounting firm, and consequently, you may have no assurance from an independent source that the price we are paying for the business is fair to our stockholders from a financial point of view.</w:t>
      </w:r>
    </w:p>
    <w:p>
      <w:pPr>
        <w:spacing w:after="0" w:line="42" w:lineRule="exact"/>
        <w:rPr>
          <w:sz w:val="20"/>
          <w:szCs w:val="20"/>
          <w:color w:val="auto"/>
        </w:rPr>
      </w:pPr>
    </w:p>
    <w:p>
      <w:pPr>
        <w:ind w:left="1140" w:right="1579" w:firstLine="326"/>
        <w:spacing w:after="0" w:line="265" w:lineRule="auto"/>
        <w:rPr>
          <w:sz w:val="20"/>
          <w:szCs w:val="20"/>
          <w:color w:val="auto"/>
        </w:rPr>
      </w:pPr>
      <w:r>
        <w:rPr>
          <w:rFonts w:ascii="Arial" w:cs="Arial" w:eastAsia="Arial" w:hAnsi="Arial"/>
          <w:sz w:val="16"/>
          <w:szCs w:val="16"/>
          <w:color w:val="auto"/>
        </w:rPr>
        <w:t>Unless we complete our initial business combination with an affiliated entity, we are not required to obtain an opinion from an independent investment banking firm that is a member of FINRA or from an independent accounting firm that the price we are paying is fair to our stockholders from a financial point of view.</w:t>
      </w:r>
    </w:p>
    <w:p>
      <w:pPr>
        <w:spacing w:after="0" w:line="227"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0" w:name="page51"/>
    <w:bookmarkEnd w:id="50"/>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599" w:firstLine="326"/>
        <w:spacing w:after="0" w:line="260" w:lineRule="auto"/>
        <w:rPr>
          <w:sz w:val="20"/>
          <w:szCs w:val="20"/>
          <w:color w:val="auto"/>
        </w:rPr>
      </w:pPr>
      <w:r>
        <w:rPr>
          <w:rFonts w:ascii="Arial" w:cs="Arial" w:eastAsia="Arial" w:hAnsi="Arial"/>
          <w:sz w:val="16"/>
          <w:szCs w:val="16"/>
          <w:color w:val="auto"/>
        </w:rPr>
        <w:t>In addition, if our board of directors is not able to determine the fair market value of the target business or businesses, in connection with the NYSE rules that require that an initial business combination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 we will obtain an opinion from an independent investment banking firm that is a member of FINRA or from an independent accounting firm with respect to the satisfaction of such criteria.</w:t>
      </w:r>
    </w:p>
    <w:p>
      <w:pPr>
        <w:spacing w:after="0" w:line="72" w:lineRule="exact"/>
        <w:rPr>
          <w:sz w:val="20"/>
          <w:szCs w:val="20"/>
          <w:color w:val="auto"/>
        </w:rPr>
      </w:pPr>
    </w:p>
    <w:p>
      <w:pPr>
        <w:ind w:left="1140" w:right="1599" w:firstLine="326"/>
        <w:spacing w:after="0" w:line="261" w:lineRule="auto"/>
        <w:rPr>
          <w:sz w:val="20"/>
          <w:szCs w:val="20"/>
          <w:color w:val="auto"/>
        </w:rPr>
      </w:pPr>
      <w:r>
        <w:rPr>
          <w:rFonts w:ascii="Arial" w:cs="Arial" w:eastAsia="Arial" w:hAnsi="Arial"/>
          <w:sz w:val="16"/>
          <w:szCs w:val="16"/>
          <w:color w:val="auto"/>
        </w:rPr>
        <w:t>Other than the two circumstances described above, we are not required to obtain an opinion from an independent investment banking firm that is a member of FINRA or from an independent accounting firm. If no opinion is obtained, our stockholders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pacing w:after="0" w:line="157" w:lineRule="exact"/>
        <w:rPr>
          <w:sz w:val="20"/>
          <w:szCs w:val="20"/>
          <w:color w:val="auto"/>
        </w:rPr>
      </w:pPr>
    </w:p>
    <w:p>
      <w:pPr>
        <w:ind w:left="1140" w:right="1579"/>
        <w:spacing w:after="0" w:line="298" w:lineRule="auto"/>
        <w:rPr>
          <w:sz w:val="20"/>
          <w:szCs w:val="20"/>
          <w:color w:val="auto"/>
        </w:rPr>
      </w:pPr>
      <w:r>
        <w:rPr>
          <w:rFonts w:ascii="Arial" w:cs="Arial" w:eastAsia="Arial" w:hAnsi="Arial"/>
          <w:sz w:val="13"/>
          <w:szCs w:val="13"/>
          <w:b w:val="1"/>
          <w:bCs w:val="1"/>
          <w:i w:val="1"/>
          <w:iCs w:val="1"/>
          <w:color w:val="auto"/>
        </w:rPr>
        <w:t>We may issue additional shares of Class A common stock or preferred stock to complete our initial business combination or under an employee incentive plan after completion of our initial business combination. We may also issue shares of Class A common stock upon the conversion of the Class B common stock at a ratio greater than one-to-one at the time of our initial business combination as a result of the anti-dilution provisions described herein. Any such issuances would dilute the interest of our stockholders and likely present other risks.</w:t>
      </w:r>
    </w:p>
    <w:p>
      <w:pPr>
        <w:spacing w:after="0" w:line="38" w:lineRule="exact"/>
        <w:rPr>
          <w:sz w:val="20"/>
          <w:szCs w:val="20"/>
          <w:color w:val="auto"/>
        </w:rPr>
      </w:pPr>
    </w:p>
    <w:p>
      <w:pPr>
        <w:ind w:left="1140" w:right="1579" w:firstLine="326"/>
        <w:spacing w:after="0" w:line="258" w:lineRule="auto"/>
        <w:rPr>
          <w:sz w:val="20"/>
          <w:szCs w:val="20"/>
          <w:color w:val="auto"/>
        </w:rPr>
      </w:pPr>
      <w:r>
        <w:rPr>
          <w:rFonts w:ascii="Arial" w:cs="Arial" w:eastAsia="Arial" w:hAnsi="Arial"/>
          <w:sz w:val="16"/>
          <w:szCs w:val="16"/>
          <w:color w:val="auto"/>
        </w:rPr>
        <w:t>Our amended and restated certificate of incorporation will authorize the issuance of up to 240,000,000 shares of Class A common stock, par value $0.0001 per share, and 60,000,000 shares of Class B common stock, par value $0.0001 per share and 1,000,000 shares of undesignated preferred stock, par value $0.0001 per share. Immediately after this offering, there will be 28,650,000 and 22,500,000 (assuming in each case, that the underwriters have not exercised their option to purchase additional units) authorized but unissued shares of Class A and Class B common stock, respectively, available for issuance, which amount takes into account shares reserved for issuance upon exercise of outstanding warrants but not upon the conversion of the Class B common stock. Shares of Class B common stock are automatically convertible into shares of our Class A common stock at the time of our initial business combination, initially at a one-for-one ratio but subject to adjustment as set forth herein. Immediately after this offering, there will be no shares of preferred stock issued and outstanding.</w:t>
      </w:r>
    </w:p>
    <w:p>
      <w:pPr>
        <w:spacing w:after="0" w:line="75" w:lineRule="exact"/>
        <w:rPr>
          <w:sz w:val="20"/>
          <w:szCs w:val="20"/>
          <w:color w:val="auto"/>
        </w:rPr>
      </w:pPr>
    </w:p>
    <w:p>
      <w:pPr>
        <w:ind w:left="1140" w:right="1579" w:firstLine="326"/>
        <w:spacing w:after="0" w:line="258" w:lineRule="auto"/>
        <w:rPr>
          <w:sz w:val="20"/>
          <w:szCs w:val="20"/>
          <w:color w:val="auto"/>
        </w:rPr>
      </w:pPr>
      <w:r>
        <w:rPr>
          <w:rFonts w:ascii="Arial" w:cs="Arial" w:eastAsia="Arial" w:hAnsi="Arial"/>
          <w:sz w:val="16"/>
          <w:szCs w:val="16"/>
          <w:color w:val="auto"/>
        </w:rPr>
        <w:t>We may issue a substantial number of additional shares of Class A common stock, and may issue shares of preferred stock, in order to complete our initial business combination or under an employee incentive plan after completion of our initial business combination (although our amended and restated certificate of incorporation will provide that we may not issue additional securities that can vote on amendments to our amended and restated certificate of incorporation or on our initial business combination or that would entitle holders thereof to receive funds from the trust account). We may also issue shares upon conversion of the Class B common stock at a ratio greater than one-to-one at the time of our initial business combination as a result of the anti-dilution provisions described herein. However, our amended and restated certificate of incorporation will provide, among other things, that prior to our initial business combination, we may not issue additional shares of capital stock that would entitle the holders thereof to (1) receive funds from the trust account or (2) vote on any initial business combination. The issuance of additional shares of common or preferred stock:</w:t>
      </w:r>
    </w:p>
    <w:p>
      <w:pPr>
        <w:spacing w:after="0" w:line="146" w:lineRule="exact"/>
        <w:rPr>
          <w:sz w:val="20"/>
          <w:szCs w:val="20"/>
          <w:color w:val="auto"/>
        </w:rPr>
      </w:pPr>
    </w:p>
    <w:p>
      <w:pPr>
        <w:ind w:left="1800" w:hanging="335"/>
        <w:spacing w:after="0"/>
        <w:tabs>
          <w:tab w:leader="none" w:pos="18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may significantly dilute the equity interest of investors in this offering;</w:t>
      </w:r>
    </w:p>
    <w:p>
      <w:pPr>
        <w:spacing w:after="0" w:line="170" w:lineRule="exact"/>
        <w:rPr>
          <w:rFonts w:ascii="Arial" w:cs="Arial" w:eastAsia="Arial" w:hAnsi="Arial"/>
          <w:sz w:val="16"/>
          <w:szCs w:val="16"/>
          <w:color w:val="auto"/>
        </w:rPr>
      </w:pPr>
    </w:p>
    <w:p>
      <w:pPr>
        <w:ind w:left="1800" w:right="1939" w:hanging="335"/>
        <w:spacing w:after="0" w:line="285" w:lineRule="auto"/>
        <w:tabs>
          <w:tab w:leader="none" w:pos="18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may subordinate the rights of holders of common stock if preferred stock is issued with rights senior to those afforded our common stock;</w:t>
      </w:r>
    </w:p>
    <w:p>
      <w:pPr>
        <w:spacing w:after="0" w:line="113" w:lineRule="exact"/>
        <w:rPr>
          <w:rFonts w:ascii="Arial" w:cs="Arial" w:eastAsia="Arial" w:hAnsi="Arial"/>
          <w:sz w:val="16"/>
          <w:szCs w:val="16"/>
          <w:color w:val="auto"/>
        </w:rPr>
      </w:pPr>
    </w:p>
    <w:p>
      <w:pPr>
        <w:ind w:left="1800" w:right="1759" w:hanging="335"/>
        <w:spacing w:after="0" w:line="296" w:lineRule="auto"/>
        <w:tabs>
          <w:tab w:leader="none" w:pos="18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could cause a change in control if a substantial number of shares of common stock are issued, which may affect, among other things, our ability to use our net operating loss carry forwards, if any, and could result in the resignation or removal of our present officers and directors; and</w:t>
      </w:r>
    </w:p>
    <w:p>
      <w:pPr>
        <w:spacing w:after="0" w:line="120" w:lineRule="exact"/>
        <w:rPr>
          <w:rFonts w:ascii="Arial" w:cs="Arial" w:eastAsia="Arial" w:hAnsi="Arial"/>
          <w:sz w:val="15"/>
          <w:szCs w:val="15"/>
          <w:color w:val="auto"/>
        </w:rPr>
      </w:pPr>
    </w:p>
    <w:p>
      <w:pPr>
        <w:ind w:left="1800" w:hanging="335"/>
        <w:spacing w:after="0"/>
        <w:tabs>
          <w:tab w:leader="none" w:pos="18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may adversely affect prevailing market prices for our units, common stock and/or warrants.</w:t>
      </w:r>
    </w:p>
    <w:p>
      <w:pPr>
        <w:spacing w:after="0" w:line="256"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1" w:name="page52"/>
    <w:bookmarkEnd w:id="51"/>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140" w:right="1579"/>
        <w:spacing w:after="0" w:line="250" w:lineRule="auto"/>
        <w:rPr>
          <w:sz w:val="20"/>
          <w:szCs w:val="20"/>
          <w:color w:val="auto"/>
        </w:rPr>
      </w:pPr>
      <w:r>
        <w:rPr>
          <w:rFonts w:ascii="Arial" w:cs="Arial" w:eastAsia="Arial" w:hAnsi="Arial"/>
          <w:sz w:val="15"/>
          <w:szCs w:val="15"/>
          <w:b w:val="1"/>
          <w:bCs w:val="1"/>
          <w:i w:val="1"/>
          <w:iCs w:val="1"/>
          <w:color w:val="auto"/>
        </w:rPr>
        <w:t>Resources could be wasted in researching initial business combinations that are not completed, which could materially adversely affect subsequent attempts to locate and acquire or merge with another business. If we are unable to complete our initial business combination, our public stockholders may receive only approximately $10.00 per share, or less than such amount in certain circumstances, on the liquidation of our trust account and our warrants will expire worthless.</w:t>
      </w:r>
    </w:p>
    <w:p>
      <w:pPr>
        <w:spacing w:after="0" w:line="68" w:lineRule="exact"/>
        <w:rPr>
          <w:sz w:val="20"/>
          <w:szCs w:val="20"/>
          <w:color w:val="auto"/>
        </w:rPr>
      </w:pPr>
    </w:p>
    <w:p>
      <w:pPr>
        <w:ind w:left="1140" w:right="1579" w:firstLine="326"/>
        <w:spacing w:after="0" w:line="257" w:lineRule="auto"/>
        <w:rPr>
          <w:sz w:val="20"/>
          <w:szCs w:val="20"/>
          <w:color w:val="auto"/>
        </w:rPr>
      </w:pPr>
      <w:r>
        <w:rPr>
          <w:rFonts w:ascii="Arial" w:cs="Arial" w:eastAsia="Arial" w:hAnsi="Arial"/>
          <w:sz w:val="16"/>
          <w:szCs w:val="16"/>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approximately $10.00 per share, or less in certain circumstances, on the liquidation of our trust account and our warrants will expire worthless. Please see “— If third parties bring claims against us, the proceeds held in the trust account could be reduced and the per-share redemption amount received by stockholders may be less than $10.00 per share” and other risk factors herein.</w:t>
      </w:r>
    </w:p>
    <w:p>
      <w:pPr>
        <w:spacing w:after="0" w:line="166" w:lineRule="exact"/>
        <w:rPr>
          <w:sz w:val="20"/>
          <w:szCs w:val="20"/>
          <w:color w:val="auto"/>
        </w:rPr>
      </w:pPr>
    </w:p>
    <w:p>
      <w:pPr>
        <w:ind w:left="1140" w:right="1599"/>
        <w:spacing w:after="0" w:line="239" w:lineRule="auto"/>
        <w:rPr>
          <w:sz w:val="20"/>
          <w:szCs w:val="20"/>
          <w:color w:val="auto"/>
        </w:rPr>
      </w:pPr>
      <w:r>
        <w:rPr>
          <w:rFonts w:ascii="Arial" w:cs="Arial" w:eastAsia="Arial" w:hAnsi="Arial"/>
          <w:sz w:val="16"/>
          <w:szCs w:val="16"/>
          <w:b w:val="1"/>
          <w:bCs w:val="1"/>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74" w:lineRule="exact"/>
        <w:rPr>
          <w:sz w:val="20"/>
          <w:szCs w:val="20"/>
          <w:color w:val="auto"/>
        </w:rPr>
      </w:pPr>
    </w:p>
    <w:p>
      <w:pPr>
        <w:ind w:left="1140" w:right="1599" w:firstLine="326"/>
        <w:spacing w:after="0" w:line="281" w:lineRule="auto"/>
        <w:rPr>
          <w:sz w:val="20"/>
          <w:szCs w:val="20"/>
          <w:color w:val="auto"/>
        </w:rPr>
      </w:pPr>
      <w:r>
        <w:rPr>
          <w:rFonts w:ascii="Arial" w:cs="Arial" w:eastAsia="Arial" w:hAnsi="Arial"/>
          <w:sz w:val="15"/>
          <w:szCs w:val="15"/>
          <w:color w:val="auto"/>
        </w:rPr>
        <w:t>Our officers and directors are not required to, and will not, commit their full time to our affairs, which may result in a conflict of interest in allocating their time between our operations and our search for a business combination and their other responsibilities. We do not intend to have any full-time employees prior to the completion of our business combination. Each of our officers and directors is engaged in several other business endeavors for which he or she may be entitled to substantial compensation and our officers and directors are not obligated to contribute any specific number of hours per week to our affairs.</w:t>
      </w:r>
    </w:p>
    <w:p>
      <w:pPr>
        <w:spacing w:after="0" w:line="60" w:lineRule="exact"/>
        <w:rPr>
          <w:sz w:val="20"/>
          <w:szCs w:val="20"/>
          <w:color w:val="auto"/>
        </w:rPr>
      </w:pPr>
    </w:p>
    <w:p>
      <w:pPr>
        <w:ind w:left="1140" w:right="1579" w:firstLine="326"/>
        <w:spacing w:after="0" w:line="262" w:lineRule="auto"/>
        <w:rPr>
          <w:sz w:val="20"/>
          <w:szCs w:val="20"/>
          <w:color w:val="auto"/>
        </w:rPr>
      </w:pPr>
      <w:r>
        <w:rPr>
          <w:rFonts w:ascii="Arial" w:cs="Arial" w:eastAsia="Arial" w:hAnsi="Arial"/>
          <w:sz w:val="16"/>
          <w:szCs w:val="16"/>
          <w:color w:val="auto"/>
        </w:rPr>
        <w:t>Mr. Klein is the founder and managing partner of M. Klein and Company and acts as a strategic advisor to its clients. Mr. Klein has a fiduciary duty to M. Klein and Company. As a result, Mr. Klein may have a duty to offer acquisition opportunities to clients of M. Klein and Company. Mr. Klein will have no duty to offer acquisition opportunities to the Company unless presented to him solely in his capacity as an officer or director of the Company.</w:t>
      </w:r>
    </w:p>
    <w:p>
      <w:pPr>
        <w:spacing w:after="0" w:line="72" w:lineRule="exact"/>
        <w:rPr>
          <w:sz w:val="20"/>
          <w:szCs w:val="20"/>
          <w:color w:val="auto"/>
        </w:rPr>
      </w:pPr>
    </w:p>
    <w:p>
      <w:pPr>
        <w:ind w:left="1140" w:right="1759" w:firstLine="326"/>
        <w:spacing w:after="0" w:line="265" w:lineRule="auto"/>
        <w:rPr>
          <w:sz w:val="20"/>
          <w:szCs w:val="20"/>
          <w:color w:val="auto"/>
        </w:rPr>
      </w:pPr>
      <w:r>
        <w:rPr>
          <w:rFonts w:ascii="Arial" w:cs="Arial" w:eastAsia="Arial" w:hAnsi="Arial"/>
          <w:sz w:val="16"/>
          <w:szCs w:val="16"/>
          <w:color w:val="auto"/>
        </w:rPr>
        <w:t>Mr. August is the Founder and CEO of OHA and acts as a strategic advisor to its clients. Mr. August has a fiduciary duty to OHA. As a result, Mr. August may have a duty to offer acquisition opportunities to clients of OHA. Mr. August will have no duty to offer acquisition opportunities to the Company unless presented to him solely in his capacity as a director of the Company.</w:t>
      </w:r>
    </w:p>
    <w:p>
      <w:pPr>
        <w:spacing w:after="0" w:line="68" w:lineRule="exact"/>
        <w:rPr>
          <w:sz w:val="20"/>
          <w:szCs w:val="20"/>
          <w:color w:val="auto"/>
        </w:rPr>
      </w:pPr>
    </w:p>
    <w:p>
      <w:pPr>
        <w:jc w:val="both"/>
        <w:ind w:left="1140" w:right="1579" w:firstLine="326"/>
        <w:spacing w:after="0" w:line="262" w:lineRule="auto"/>
        <w:rPr>
          <w:sz w:val="20"/>
          <w:szCs w:val="20"/>
          <w:color w:val="auto"/>
        </w:rPr>
      </w:pPr>
      <w:r>
        <w:rPr>
          <w:rFonts w:ascii="Arial" w:cs="Arial" w:eastAsia="Arial" w:hAnsi="Arial"/>
          <w:sz w:val="16"/>
          <w:szCs w:val="16"/>
          <w:color w:val="auto"/>
        </w:rPr>
        <w:t>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Please see “Management — Directors, Director Nominees and Executive Officers” for a discussion of our officers’ and directors’ other business affairs.</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3"/>
          <w:szCs w:val="13"/>
          <w:b w:val="1"/>
          <w:bCs w:val="1"/>
          <w:i w:val="1"/>
          <w:iCs w:val="1"/>
          <w:color w:val="auto"/>
        </w:rPr>
        <w:t>We are dependent upon our officers and directors and their departure could adversely affect our ability to operate.</w:t>
      </w:r>
    </w:p>
    <w:p>
      <w:pPr>
        <w:spacing w:after="0" w:line="132" w:lineRule="exact"/>
        <w:rPr>
          <w:sz w:val="20"/>
          <w:szCs w:val="20"/>
          <w:color w:val="auto"/>
        </w:rPr>
      </w:pPr>
    </w:p>
    <w:p>
      <w:pPr>
        <w:ind w:left="1140" w:right="1639" w:firstLine="326"/>
        <w:spacing w:after="0" w:line="262" w:lineRule="auto"/>
        <w:rPr>
          <w:sz w:val="20"/>
          <w:szCs w:val="20"/>
          <w:color w:val="auto"/>
        </w:rPr>
      </w:pPr>
      <w:r>
        <w:rPr>
          <w:rFonts w:ascii="Arial" w:cs="Arial" w:eastAsia="Arial" w:hAnsi="Arial"/>
          <w:sz w:val="16"/>
          <w:szCs w:val="16"/>
          <w:color w:val="auto"/>
        </w:rPr>
        <w:t>Our operations are dependent upon a relatively small group of individuals. We believe that our success depends on the continued service of our officers and directors, at least until we have completed our initial business combination. We do not have an employment agreement with, or key-man insurance on the life of any of our other directors or officers. The unexpected loss of the services of one or more of our directors or officers could have a detrimental effect on us.</w:t>
      </w:r>
    </w:p>
    <w:p>
      <w:pPr>
        <w:spacing w:after="0" w:line="231"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52" w:name="page53"/>
    <w:bookmarkEnd w:id="52"/>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1140" w:right="1719"/>
        <w:spacing w:after="0" w:line="321" w:lineRule="auto"/>
        <w:rPr>
          <w:sz w:val="20"/>
          <w:szCs w:val="20"/>
          <w:color w:val="auto"/>
        </w:rPr>
      </w:pPr>
      <w:r>
        <w:rPr>
          <w:rFonts w:ascii="Arial" w:cs="Arial" w:eastAsia="Arial" w:hAnsi="Arial"/>
          <w:sz w:val="13"/>
          <w:szCs w:val="13"/>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24" w:lineRule="exact"/>
        <w:rPr>
          <w:sz w:val="20"/>
          <w:szCs w:val="20"/>
          <w:color w:val="auto"/>
        </w:rPr>
      </w:pPr>
    </w:p>
    <w:p>
      <w:pPr>
        <w:ind w:left="1140" w:right="1599" w:firstLine="326"/>
        <w:spacing w:after="0" w:line="279" w:lineRule="auto"/>
        <w:rPr>
          <w:sz w:val="20"/>
          <w:szCs w:val="20"/>
          <w:color w:val="auto"/>
        </w:rPr>
      </w:pPr>
      <w:r>
        <w:rPr>
          <w:rFonts w:ascii="Arial" w:cs="Arial" w:eastAsia="Arial" w:hAnsi="Arial"/>
          <w:sz w:val="15"/>
          <w:szCs w:val="15"/>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we do not currently expect that any of them will do so.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59" w:lineRule="exact"/>
        <w:rPr>
          <w:sz w:val="20"/>
          <w:szCs w:val="20"/>
          <w:color w:val="auto"/>
        </w:rPr>
      </w:pPr>
    </w:p>
    <w:p>
      <w:pPr>
        <w:ind w:left="1140" w:right="1799" w:firstLine="326"/>
        <w:spacing w:after="0" w:line="259" w:lineRule="auto"/>
        <w:rPr>
          <w:sz w:val="20"/>
          <w:szCs w:val="20"/>
          <w:color w:val="auto"/>
        </w:rPr>
      </w:pPr>
      <w:r>
        <w:rPr>
          <w:rFonts w:ascii="Arial" w:cs="Arial" w:eastAsia="Arial" w:hAnsi="Arial"/>
          <w:sz w:val="16"/>
          <w:szCs w:val="16"/>
          <w:color w:val="auto"/>
        </w:rPr>
        <w:t>In addition, the officers and directors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 The loss of key personnel could negatively impact the operations and profitability of our post-combination business.</w:t>
      </w:r>
    </w:p>
    <w:p>
      <w:pPr>
        <w:spacing w:after="0" w:line="158" w:lineRule="exact"/>
        <w:rPr>
          <w:sz w:val="20"/>
          <w:szCs w:val="20"/>
          <w:color w:val="auto"/>
        </w:rPr>
      </w:pPr>
    </w:p>
    <w:p>
      <w:pPr>
        <w:ind w:left="1140" w:right="1639"/>
        <w:spacing w:after="0" w:line="298" w:lineRule="auto"/>
        <w:rPr>
          <w:sz w:val="20"/>
          <w:szCs w:val="20"/>
          <w:color w:val="auto"/>
        </w:rPr>
      </w:pPr>
      <w:r>
        <w:rPr>
          <w:rFonts w:ascii="Arial" w:cs="Arial" w:eastAsia="Arial" w:hAnsi="Arial"/>
          <w:sz w:val="13"/>
          <w:szCs w:val="13"/>
          <w:b w:val="1"/>
          <w:bCs w:val="1"/>
          <w:i w:val="1"/>
          <w:i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cause our key personnel to have conflicts of interest in determining whether to proceed with a particular business combination. However, we do not expect that any of our key personnel will remain with us after the completion of our initial business combination.</w:t>
      </w:r>
    </w:p>
    <w:p>
      <w:pPr>
        <w:spacing w:after="0" w:line="38" w:lineRule="exact"/>
        <w:rPr>
          <w:sz w:val="20"/>
          <w:szCs w:val="20"/>
          <w:color w:val="auto"/>
        </w:rPr>
      </w:pPr>
    </w:p>
    <w:p>
      <w:pPr>
        <w:ind w:left="1140" w:right="1599" w:firstLine="326"/>
        <w:spacing w:after="0" w:line="257" w:lineRule="auto"/>
        <w:rPr>
          <w:sz w:val="20"/>
          <w:szCs w:val="20"/>
          <w:color w:val="auto"/>
        </w:rPr>
      </w:pPr>
      <w:r>
        <w:rPr>
          <w:rFonts w:ascii="Arial" w:cs="Arial" w:eastAsia="Arial" w:hAnsi="Arial"/>
          <w:sz w:val="16"/>
          <w:szCs w:val="16"/>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However, we believe the ability of such individuals to remain with us after the completion of our initial business combination will not be the determining factor in our decision as to whether or not we will proceed with any potential business combination, as we do not expect that any of our key personnel will remain with us after the completion of our initial business combination. The determination as to whether any of our key personnel will remain with us will be made at the time of our initial business combination.</w:t>
      </w:r>
    </w:p>
    <w:p>
      <w:pPr>
        <w:spacing w:after="0" w:line="166" w:lineRule="exact"/>
        <w:rPr>
          <w:sz w:val="20"/>
          <w:szCs w:val="20"/>
          <w:color w:val="auto"/>
        </w:rPr>
      </w:pPr>
    </w:p>
    <w:p>
      <w:pPr>
        <w:jc w:val="both"/>
        <w:ind w:left="1140" w:right="1579"/>
        <w:spacing w:after="0" w:line="239" w:lineRule="auto"/>
        <w:rPr>
          <w:sz w:val="20"/>
          <w:szCs w:val="20"/>
          <w:color w:val="auto"/>
        </w:rPr>
      </w:pPr>
      <w:r>
        <w:rPr>
          <w:rFonts w:ascii="Arial" w:cs="Arial" w:eastAsia="Arial" w:hAnsi="Arial"/>
          <w:sz w:val="16"/>
          <w:szCs w:val="16"/>
          <w:b w:val="1"/>
          <w:bCs w:val="1"/>
          <w:i w:val="1"/>
          <w:iCs w:val="1"/>
          <w:color w:val="auto"/>
        </w:rPr>
        <w:t>We may have a limited ability to assess the management of a prospective target business and, as a result, may affect our initial business combination with a target business whose management may not have the skills, qualifications or abilities to manage a public company.</w:t>
      </w:r>
    </w:p>
    <w:p>
      <w:pPr>
        <w:spacing w:after="0" w:line="74" w:lineRule="exact"/>
        <w:rPr>
          <w:sz w:val="20"/>
          <w:szCs w:val="20"/>
          <w:color w:val="auto"/>
        </w:rPr>
      </w:pPr>
    </w:p>
    <w:p>
      <w:pPr>
        <w:ind w:left="1140" w:right="1579" w:firstLine="326"/>
        <w:spacing w:after="0" w:line="278" w:lineRule="auto"/>
        <w:rPr>
          <w:sz w:val="20"/>
          <w:szCs w:val="20"/>
          <w:color w:val="auto"/>
        </w:rPr>
      </w:pPr>
      <w:r>
        <w:rPr>
          <w:rFonts w:ascii="Arial" w:cs="Arial" w:eastAsia="Arial" w:hAnsi="Arial"/>
          <w:sz w:val="15"/>
          <w:szCs w:val="15"/>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stockholders or warrant holders who choose to remain a stockholder or warrant holder following our initial business combination could suffer a reduction in the value of their securities. Such stockholders or warrant holders are unlikely to have a remedy for such reduction in value.</w:t>
      </w:r>
    </w:p>
    <w:p>
      <w:pPr>
        <w:spacing w:after="0" w:line="208"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3" w:name="page54"/>
    <w:bookmarkEnd w:id="53"/>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579" w:firstLine="326"/>
        <w:spacing w:after="0" w:line="277" w:lineRule="auto"/>
        <w:rPr>
          <w:sz w:val="20"/>
          <w:szCs w:val="20"/>
          <w:color w:val="auto"/>
        </w:rPr>
      </w:pPr>
      <w:r>
        <w:rPr>
          <w:rFonts w:ascii="Arial" w:cs="Arial" w:eastAsia="Arial" w:hAnsi="Arial"/>
          <w:sz w:val="15"/>
          <w:szCs w:val="15"/>
          <w:color w:val="auto"/>
        </w:rPr>
        <w:t>The officers and directors of an initial business combination candidate may resign upon completion of our initial business combination. The departure of a business combination target’s key personnel could negatively impact the operations and profitability of our post-combination business. The role of an initial business combination candidate’s key personnel upon the completion of our initial business combination cannot be ascertained at this time. Although we contemplate that certain members of an acquisition candidate’s management team will remain associated with the initial business combination candidate following our initial business combination, it is possible that members of the management of an acquisition candidate will not wish to remain in place. As a result, we may need to reconstitute the management team of the post-transaction company in connection with our initial business combination, which may adversely impact our ability to complete an initial business combination in a timely manner or at all.</w:t>
      </w:r>
    </w:p>
    <w:p>
      <w:pPr>
        <w:spacing w:after="0" w:line="150" w:lineRule="exact"/>
        <w:rPr>
          <w:sz w:val="20"/>
          <w:szCs w:val="20"/>
          <w:color w:val="auto"/>
        </w:rPr>
      </w:pPr>
    </w:p>
    <w:p>
      <w:pPr>
        <w:ind w:left="1140" w:right="1559"/>
        <w:spacing w:after="0" w:line="321" w:lineRule="auto"/>
        <w:rPr>
          <w:sz w:val="20"/>
          <w:szCs w:val="20"/>
          <w:color w:val="auto"/>
        </w:rPr>
      </w:pPr>
      <w:r>
        <w:rPr>
          <w:rFonts w:ascii="Arial" w:cs="Arial" w:eastAsia="Arial" w:hAnsi="Arial"/>
          <w:sz w:val="13"/>
          <w:szCs w:val="13"/>
          <w:b w:val="1"/>
          <w:bCs w:val="1"/>
          <w:i w:val="1"/>
          <w:iCs w:val="1"/>
          <w:color w:val="auto"/>
        </w:rPr>
        <w:t>Certain of our officers and directors are now, and all of them may in the future become, affiliated with entities engaged in business activities similar to those intended to be conducted by us and, accordingly, may have conflicts of interest in determining to which entity a particular business opportunity or other transaction should be presented.</w:t>
      </w:r>
    </w:p>
    <w:p>
      <w:pPr>
        <w:spacing w:after="0" w:line="24" w:lineRule="exact"/>
        <w:rPr>
          <w:sz w:val="20"/>
          <w:szCs w:val="20"/>
          <w:color w:val="auto"/>
        </w:rPr>
      </w:pPr>
    </w:p>
    <w:p>
      <w:pPr>
        <w:ind w:left="1140" w:right="1639" w:firstLine="326"/>
        <w:spacing w:after="0" w:line="275" w:lineRule="auto"/>
        <w:rPr>
          <w:sz w:val="20"/>
          <w:szCs w:val="20"/>
          <w:color w:val="auto"/>
        </w:rPr>
      </w:pPr>
      <w:r>
        <w:rPr>
          <w:rFonts w:ascii="Arial" w:cs="Arial" w:eastAsia="Arial" w:hAnsi="Arial"/>
          <w:sz w:val="15"/>
          <w:szCs w:val="15"/>
          <w:color w:val="auto"/>
        </w:rPr>
        <w:t>Following the completion of this offering and until we consummate our initial business combination, we intend to engage in the business of identifying and combining with one or more businesses. Our sponsor and officers and directors are, or may in the future become, affiliated with entities (such as operating companies or investment vehicles) that are engaged in a similar business. We do not have employment contracts with our officers and directors that will limit their ability to work at other businesses. In addition, our sponsor, officers and directors may participate in the formation of, or become an officer or director of, any other blank check company prior to completion of our initial business combination. As a result, our sponsor, officers or directors could have conflicts of interest in determining whether to present business combination opportunities to us or to any other blank check company with which they may become involved. In particular, M. Klein and Company, Mr. Klein and the Operating Partners, as well as our board of directors, have formed and are actively engaged in Churchill Capital Corp II and Churchill Capital Corp III, special purpose acquisition corporations that completed their initial public offerings in July 2019 and February 2020, respectively. Churchill Capital Corp II and Churchill Capital Corp III, like us, may pursue initial business combination targets in any businesses or industries and have until July 1, 2021 and February 19, 2022, respectively, to do so (absent an extension in accordance with their charters). Any such companies, including Churchill Capital Corp II and Churchill Capital Corp III, may present additional conflicts of interest in pursuing an acquisition target.</w:t>
      </w:r>
    </w:p>
    <w:p>
      <w:pPr>
        <w:spacing w:after="0" w:line="262" w:lineRule="exact"/>
        <w:rPr>
          <w:sz w:val="20"/>
          <w:szCs w:val="20"/>
          <w:color w:val="auto"/>
        </w:rPr>
      </w:pPr>
    </w:p>
    <w:p>
      <w:pPr>
        <w:ind w:left="1140" w:right="1639" w:firstLine="326"/>
        <w:spacing w:after="0" w:line="257" w:lineRule="auto"/>
        <w:rPr>
          <w:sz w:val="20"/>
          <w:szCs w:val="20"/>
          <w:color w:val="auto"/>
        </w:rPr>
      </w:pPr>
      <w:r>
        <w:rPr>
          <w:rFonts w:ascii="Arial" w:cs="Arial" w:eastAsia="Arial" w:hAnsi="Arial"/>
          <w:sz w:val="16"/>
          <w:szCs w:val="16"/>
          <w:color w:val="auto"/>
        </w:rPr>
        <w:t>As described in “Proposed Business — Sourcing of Potential Business Combination Targets” and “Management — Conflicts of Interest,”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(including as described in “Proposed Business — Sourcing of Potential Business Combination Targets”).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75" w:lineRule="exact"/>
        <w:rPr>
          <w:sz w:val="20"/>
          <w:szCs w:val="20"/>
          <w:color w:val="auto"/>
        </w:rPr>
      </w:pPr>
    </w:p>
    <w:p>
      <w:pPr>
        <w:ind w:left="1140" w:right="1699" w:firstLine="326"/>
        <w:spacing w:after="0" w:line="284" w:lineRule="auto"/>
        <w:rPr>
          <w:sz w:val="20"/>
          <w:szCs w:val="20"/>
          <w:color w:val="auto"/>
        </w:rPr>
      </w:pPr>
      <w:r>
        <w:rPr>
          <w:rFonts w:ascii="Arial" w:cs="Arial" w:eastAsia="Arial" w:hAnsi="Arial"/>
          <w:sz w:val="15"/>
          <w:szCs w:val="15"/>
          <w:color w:val="auto"/>
        </w:rPr>
        <w:t>In addition, none of the Operating Partners are officers or directors of our company and therefore owe us no fiduciary duties as such. While we expect that they will assist us in identifying business combination targets, they have no obligation to do so and may devote a substantial portion of their business time to activities unrelated to us. Each Operating Partner may have fiduciary, contractual or other obligations or duties to other organizations to present business combination opportunities to such other organizations</w:t>
      </w:r>
    </w:p>
    <w:p>
      <w:pPr>
        <w:spacing w:after="0" w:line="215"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4" w:name="page55"/>
    <w:bookmarkEnd w:id="54"/>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599"/>
        <w:spacing w:after="0" w:line="281" w:lineRule="auto"/>
        <w:rPr>
          <w:sz w:val="20"/>
          <w:szCs w:val="20"/>
          <w:color w:val="auto"/>
        </w:rPr>
      </w:pPr>
      <w:r>
        <w:rPr>
          <w:rFonts w:ascii="Arial" w:cs="Arial" w:eastAsia="Arial" w:hAnsi="Arial"/>
          <w:sz w:val="15"/>
          <w:szCs w:val="15"/>
          <w:color w:val="auto"/>
        </w:rPr>
        <w:t>rather than to us. Accordingly, if any Operating Partner becomes aware of a business combination opportunity which is suitable for one or more entities to which he or she has fiduciary, contractual or other obligations or duties, he or she will honor those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business may be presented to another entity prior to its presentation to us.</w:t>
      </w:r>
    </w:p>
    <w:p>
      <w:pPr>
        <w:spacing w:after="0" w:line="60" w:lineRule="exact"/>
        <w:rPr>
          <w:sz w:val="20"/>
          <w:szCs w:val="20"/>
          <w:color w:val="auto"/>
        </w:rPr>
      </w:pPr>
    </w:p>
    <w:p>
      <w:pPr>
        <w:jc w:val="both"/>
        <w:ind w:left="1140" w:right="1779" w:firstLine="326"/>
        <w:spacing w:after="0" w:line="270" w:lineRule="auto"/>
        <w:rPr>
          <w:sz w:val="20"/>
          <w:szCs w:val="20"/>
          <w:color w:val="auto"/>
        </w:rPr>
      </w:pPr>
      <w:r>
        <w:rPr>
          <w:rFonts w:ascii="Arial" w:cs="Arial" w:eastAsia="Arial" w:hAnsi="Arial"/>
          <w:sz w:val="16"/>
          <w:szCs w:val="16"/>
          <w:color w:val="auto"/>
        </w:rPr>
        <w:t>Please see “Management — Directors, Director Nominees and Executive Officers,” “Management — Conflicts of Interest” and “Certain Relationships and Related Party Transactions” for a discussion of our officers’ and directors’ business affiliations and potential conflicts of interest.</w:t>
      </w:r>
    </w:p>
    <w:p>
      <w:pPr>
        <w:spacing w:after="0" w:line="150" w:lineRule="exact"/>
        <w:rPr>
          <w:sz w:val="20"/>
          <w:szCs w:val="20"/>
          <w:color w:val="auto"/>
        </w:rPr>
      </w:pPr>
    </w:p>
    <w:p>
      <w:pPr>
        <w:ind w:left="1140" w:right="1679"/>
        <w:spacing w:after="0" w:line="253" w:lineRule="auto"/>
        <w:rPr>
          <w:sz w:val="20"/>
          <w:szCs w:val="20"/>
          <w:color w:val="auto"/>
        </w:rPr>
      </w:pPr>
      <w:r>
        <w:rPr>
          <w:rFonts w:ascii="Arial" w:cs="Arial" w:eastAsia="Arial" w:hAnsi="Arial"/>
          <w:sz w:val="16"/>
          <w:szCs w:val="16"/>
          <w:b w:val="1"/>
          <w:bCs w:val="1"/>
          <w:i w:val="1"/>
          <w:iCs w:val="1"/>
          <w:color w:val="auto"/>
        </w:rPr>
        <w:t>Our officers, directors, security holders and their respective affiliates may have competitive pecuniary interests that conflict with our interests.</w:t>
      </w:r>
    </w:p>
    <w:p>
      <w:pPr>
        <w:spacing w:after="0" w:line="65" w:lineRule="exact"/>
        <w:rPr>
          <w:sz w:val="20"/>
          <w:szCs w:val="20"/>
          <w:color w:val="auto"/>
        </w:rPr>
      </w:pPr>
    </w:p>
    <w:p>
      <w:pPr>
        <w:ind w:left="1140" w:right="1579" w:firstLine="326"/>
        <w:spacing w:after="0" w:line="260" w:lineRule="auto"/>
        <w:rPr>
          <w:sz w:val="20"/>
          <w:szCs w:val="20"/>
          <w:color w:val="auto"/>
        </w:rPr>
      </w:pPr>
      <w:r>
        <w:rPr>
          <w:rFonts w:ascii="Arial" w:cs="Arial" w:eastAsia="Arial" w:hAnsi="Arial"/>
          <w:sz w:val="16"/>
          <w:szCs w:val="16"/>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M. Klein and Company, our sponsor or our directors or officers. We do not have a policy that expressly prohibits any such persons from engaging for their own account in business activities of the types conducted by us. Accordingly, such persons or entities may have a conflict between their interests and ours.</w:t>
      </w:r>
    </w:p>
    <w:p>
      <w:pPr>
        <w:spacing w:after="0" w:line="72" w:lineRule="exact"/>
        <w:rPr>
          <w:sz w:val="20"/>
          <w:szCs w:val="20"/>
          <w:color w:val="auto"/>
        </w:rPr>
      </w:pPr>
    </w:p>
    <w:p>
      <w:pPr>
        <w:ind w:left="1140" w:right="1659" w:firstLine="326"/>
        <w:spacing w:after="0" w:line="284" w:lineRule="auto"/>
        <w:rPr>
          <w:sz w:val="20"/>
          <w:szCs w:val="20"/>
          <w:color w:val="auto"/>
        </w:rPr>
      </w:pPr>
      <w:r>
        <w:rPr>
          <w:rFonts w:ascii="Arial" w:cs="Arial" w:eastAsia="Arial" w:hAnsi="Arial"/>
          <w:sz w:val="15"/>
          <w:szCs w:val="15"/>
          <w:color w:val="auto"/>
        </w:rPr>
        <w:t>In particular, affiliates of our sponsor, our directors and our officers have invested, and may in the future invest, in a broad array of sectors, including those in which our company may invest. As a result, there may be substantial overlap between companies that would be a suitable business combination for us and companies that would make an attractive target for such other affiliates. Please see “Proposed Business — Certain Potential Conflicts of Interest Relating to M. Klein and Company” for additional information.</w:t>
      </w:r>
    </w:p>
    <w:p>
      <w:pPr>
        <w:spacing w:after="0" w:line="141" w:lineRule="exact"/>
        <w:rPr>
          <w:sz w:val="20"/>
          <w:szCs w:val="20"/>
          <w:color w:val="auto"/>
        </w:rPr>
      </w:pPr>
    </w:p>
    <w:p>
      <w:pPr>
        <w:ind w:left="1140" w:right="1739"/>
        <w:spacing w:after="0" w:line="239" w:lineRule="auto"/>
        <w:rPr>
          <w:sz w:val="20"/>
          <w:szCs w:val="20"/>
          <w:color w:val="auto"/>
        </w:rPr>
      </w:pPr>
      <w:r>
        <w:rPr>
          <w:rFonts w:ascii="Arial" w:cs="Arial" w:eastAsia="Arial" w:hAnsi="Arial"/>
          <w:sz w:val="16"/>
          <w:szCs w:val="16"/>
          <w:b w:val="1"/>
          <w:bCs w:val="1"/>
          <w:i w:val="1"/>
          <w:iCs w:val="1"/>
          <w:color w:val="auto"/>
        </w:rPr>
        <w:t>We may engage in a business combination with one or more target businesses that have relationships with entities that may be affiliated with M. Klein and Company, our sponsor, officers or directors which may raise potential conflicts of interest.</w:t>
      </w:r>
    </w:p>
    <w:p>
      <w:pPr>
        <w:spacing w:after="0" w:line="74" w:lineRule="exact"/>
        <w:rPr>
          <w:sz w:val="20"/>
          <w:szCs w:val="20"/>
          <w:color w:val="auto"/>
        </w:rPr>
      </w:pPr>
    </w:p>
    <w:p>
      <w:pPr>
        <w:ind w:left="1140" w:right="1599" w:firstLine="326"/>
        <w:spacing w:after="0" w:line="275" w:lineRule="auto"/>
        <w:rPr>
          <w:sz w:val="20"/>
          <w:szCs w:val="20"/>
          <w:color w:val="auto"/>
        </w:rPr>
      </w:pPr>
      <w:r>
        <w:rPr>
          <w:rFonts w:ascii="Arial" w:cs="Arial" w:eastAsia="Arial" w:hAnsi="Arial"/>
          <w:sz w:val="15"/>
          <w:szCs w:val="15"/>
          <w:color w:val="auto"/>
        </w:rPr>
        <w:t>In light of the involvement of our sponsor, officers and directors with other businesses, we may decide to acquire one or more businesses affiliated with or competitive with M. Klein and Company, our sponsor, officers and directors, and their respective affiliates. Our directors also serve as officers and board members for other entities, including, without limitation, those described under “Management — 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 — Effecting our Initial Business Combination” and “— Selection of a target business and structuring of our initial business combination” and such transaction was approved by a majority of our independent and disinterested directors. Despite our agreement to obtain an opinion from an independent investment banking firm that is a member of FINRA or from an independent accounting firm, regarding the fairness to our stockholders from a financial point of view of a business combination with one or more domestic or international businesses affiliated with M. Klein and Company, our sponsor, officers or directors, potential conflicts of interest still may exist and, as a result, the terms of the business combination may not be as advantageous to our public stockholders as they would be absent any conflicts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5" w:name="page56"/>
    <w:bookmarkEnd w:id="55"/>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140" w:right="1839"/>
        <w:spacing w:after="0" w:line="254" w:lineRule="auto"/>
        <w:rPr>
          <w:sz w:val="20"/>
          <w:szCs w:val="20"/>
          <w:color w:val="auto"/>
        </w:rPr>
      </w:pPr>
      <w:r>
        <w:rPr>
          <w:rFonts w:ascii="Arial" w:cs="Arial" w:eastAsia="Arial" w:hAnsi="Arial"/>
          <w:sz w:val="15"/>
          <w:szCs w:val="15"/>
          <w:b w:val="1"/>
          <w:bCs w:val="1"/>
          <w:i w:val="1"/>
          <w:iCs w:val="1"/>
          <w:color w:val="auto"/>
        </w:rPr>
        <w:t>We may engage M. Klein and Company, or another affiliate of our sponsor, as our lead financial advisor on our business combinations and other transactions. Any fee in connection with such engagement may be conditioned upon the completion of such transactions. This financial interest in the completion of such transactions may influence the advice such affiliate provides.</w:t>
      </w:r>
    </w:p>
    <w:p>
      <w:pPr>
        <w:spacing w:after="0" w:line="65" w:lineRule="exact"/>
        <w:rPr>
          <w:sz w:val="20"/>
          <w:szCs w:val="20"/>
          <w:color w:val="auto"/>
        </w:rPr>
      </w:pPr>
    </w:p>
    <w:p>
      <w:pPr>
        <w:ind w:left="1140" w:right="1579" w:firstLine="326"/>
        <w:spacing w:after="0" w:line="259" w:lineRule="auto"/>
        <w:rPr>
          <w:sz w:val="20"/>
          <w:szCs w:val="20"/>
          <w:color w:val="auto"/>
        </w:rPr>
      </w:pPr>
      <w:r>
        <w:rPr>
          <w:rFonts w:ascii="Arial" w:cs="Arial" w:eastAsia="Arial" w:hAnsi="Arial"/>
          <w:sz w:val="16"/>
          <w:szCs w:val="16"/>
          <w:color w:val="auto"/>
        </w:rPr>
        <w:t>We may engage M. Klein and Company, or another affiliate of our sponsor, as a financial advisor in connection with our initial business combination and pay such affiliate a customary financial advisory fee in an amount that constitutes a market standard financial advisory fee for comparable transactions. Pursuant to any such engagement, the affiliate may earn its fee upon closing of the initial business combination. The payment of such fee would likely be conditioned upon the completion of the initial business combination. Therefore, our sponsor may have additional financial interests in the completion of the initial business combination. These financial interests may influence the advice any such affiliate provides us as our financial advisor, which advice would contribute to our decision on whether to pursue a business combination with any particular target.</w:t>
      </w:r>
    </w:p>
    <w:p>
      <w:pPr>
        <w:spacing w:after="0" w:line="158" w:lineRule="exact"/>
        <w:rPr>
          <w:sz w:val="20"/>
          <w:szCs w:val="20"/>
          <w:color w:val="auto"/>
        </w:rPr>
      </w:pPr>
    </w:p>
    <w:p>
      <w:pPr>
        <w:ind w:left="1140" w:right="1739"/>
        <w:spacing w:after="0" w:line="321" w:lineRule="auto"/>
        <w:rPr>
          <w:sz w:val="20"/>
          <w:szCs w:val="20"/>
          <w:color w:val="auto"/>
        </w:rPr>
      </w:pPr>
      <w:r>
        <w:rPr>
          <w:rFonts w:ascii="Arial" w:cs="Arial" w:eastAsia="Arial" w:hAnsi="Arial"/>
          <w:sz w:val="13"/>
          <w:szCs w:val="13"/>
          <w:b w:val="1"/>
          <w:bCs w:val="1"/>
          <w:i w:val="1"/>
          <w:iCs w:val="1"/>
          <w:color w:val="auto"/>
        </w:rPr>
        <w:t>Since our initial stockholders will lose their entire investment in us if our initial business combination is not completed (other than with respect to any public shares they may hold), a conflict of interest may arise in determining whether a particular business combination target is appropriate for our initial business combination.</w:t>
      </w:r>
    </w:p>
    <w:p>
      <w:pPr>
        <w:spacing w:after="0" w:line="24" w:lineRule="exact"/>
        <w:rPr>
          <w:sz w:val="20"/>
          <w:szCs w:val="20"/>
          <w:color w:val="auto"/>
        </w:rPr>
      </w:pPr>
    </w:p>
    <w:p>
      <w:pPr>
        <w:ind w:left="1140" w:right="1599" w:firstLine="326"/>
        <w:spacing w:after="0" w:line="278" w:lineRule="auto"/>
        <w:rPr>
          <w:sz w:val="20"/>
          <w:szCs w:val="20"/>
          <w:color w:val="auto"/>
        </w:rPr>
      </w:pPr>
      <w:r>
        <w:rPr>
          <w:rFonts w:ascii="Arial" w:cs="Arial" w:eastAsia="Arial" w:hAnsi="Arial"/>
          <w:sz w:val="15"/>
          <w:szCs w:val="15"/>
          <w:color w:val="auto"/>
        </w:rPr>
        <w:t>In May 2020, our sponsor purchased an aggregate of 21,562,500 founder shares for an aggregate purchase price of $25,000, or approximately $0.001 per share. On July 14, 2020, we effected a stock dividend of one-third of a share of Class B common stock for each outstanding share of Class B common stock, resulting in our initial stockholders holding an aggregate of 28,750,000 founder shares. On July 27, 2020, we effected a stock dividend of 0.50 of a share of Class B common stock for each outstanding shareof Class B common stock, resulting in our initial stockholders holding an aggregate of 43,125,000 founder shares. The number of founder shares issued was determined based on the expectation that the founder shares would represent 20% of the outstanding shares of common stock upon the completion of this offering. The founder shares will be worthless if we do not complete an initial business combination.</w:t>
      </w:r>
    </w:p>
    <w:p>
      <w:pPr>
        <w:spacing w:after="0" w:line="61" w:lineRule="exact"/>
        <w:rPr>
          <w:sz w:val="20"/>
          <w:szCs w:val="20"/>
          <w:color w:val="auto"/>
        </w:rPr>
      </w:pPr>
    </w:p>
    <w:p>
      <w:pPr>
        <w:ind w:left="1140" w:right="1599" w:firstLine="326"/>
        <w:spacing w:after="0" w:line="261" w:lineRule="auto"/>
        <w:rPr>
          <w:sz w:val="20"/>
          <w:szCs w:val="20"/>
          <w:color w:val="auto"/>
        </w:rPr>
      </w:pPr>
      <w:r>
        <w:rPr>
          <w:rFonts w:ascii="Arial" w:cs="Arial" w:eastAsia="Arial" w:hAnsi="Arial"/>
          <w:sz w:val="16"/>
          <w:szCs w:val="16"/>
          <w:color w:val="auto"/>
        </w:rPr>
        <w:t>In addition, our sponsor has subscribed to purchase an aggregate of 31,350,000 (or 35,850,000 if the underwriters’ option to purchase additional units is exercised in full) private placement warrants for a purchase price of $31,350,000 (or $35,850,000 if the underwriters’ option to purchase additional units is exercised in full), or $1.00 per warrant, that will also be worthless if we do not complete our initial business combination. Each private placement warrant entitles the holder thereof to purchase one share of our Class A common stock at a price of $11.50 per share, subject to adjustment as provided herein.</w:t>
      </w:r>
    </w:p>
    <w:p>
      <w:pPr>
        <w:spacing w:after="0" w:line="71" w:lineRule="exact"/>
        <w:rPr>
          <w:sz w:val="20"/>
          <w:szCs w:val="20"/>
          <w:color w:val="auto"/>
        </w:rPr>
      </w:pPr>
    </w:p>
    <w:p>
      <w:pPr>
        <w:ind w:left="1140" w:right="1599" w:firstLine="326"/>
        <w:spacing w:after="0" w:line="256" w:lineRule="auto"/>
        <w:rPr>
          <w:sz w:val="20"/>
          <w:szCs w:val="20"/>
          <w:color w:val="auto"/>
        </w:rPr>
      </w:pPr>
      <w:r>
        <w:rPr>
          <w:rFonts w:ascii="Arial" w:cs="Arial" w:eastAsia="Arial" w:hAnsi="Arial"/>
          <w:sz w:val="16"/>
          <w:szCs w:val="16"/>
          <w:color w:val="auto"/>
        </w:rPr>
        <w:t>The founder shares are identical to the shares of Class A common stock included in the units being sold in this offering, except that: (1) only holders of the founder shares have the right to vote on the election and removal of directors prior to our initial business combination; (2) the founder shares are subject to certain transfer restrictions, as described in more detail below; (3) our sponsor, officers and directors have entered into a letter agreement with us, pursuant to which they have agreed to: (a) waive their redemption rights with respect to any founder shares and any public shares held by them in connection with the completion of our initial business combination, (b) waive their redemption rights with respect to any founder shares and public shares held by them in connection with a stockholder vote to approve an amendment to our amended and restated certificate of incorporation to modify the substance or timing of our obligation to provide for the redemption of our public shares in connection with an initial business combination or to redeem 100% of our public shares if we have not consummated our initial business combination within the completion window; and (c) waive their rights to liquidating distributions from the trust account with respect to any founder shares held by them if we fail to complete our initial business combination within the completion window (although they will be entitled to liquidating distributions from the trust account with respect to any public shares they hold if we fail to complete our initial business combination within the completion window); (4) the founder shares are automatically convertible into shares of our Class A common stock at the time of our initial business combination on a one-for-one basis, subject to adjustment pursuant to certain anti-dilution rights, as described herein; and (5) the holders of founder shares are entitled to registration rights.</w:t>
      </w:r>
    </w:p>
    <w:p>
      <w:pPr>
        <w:spacing w:after="0" w:line="87" w:lineRule="exact"/>
        <w:rPr>
          <w:sz w:val="20"/>
          <w:szCs w:val="20"/>
          <w:color w:val="auto"/>
        </w:rPr>
      </w:pPr>
    </w:p>
    <w:p>
      <w:pPr>
        <w:ind w:left="1140" w:right="2159" w:firstLine="326"/>
        <w:spacing w:after="0" w:line="320" w:lineRule="auto"/>
        <w:rPr>
          <w:sz w:val="20"/>
          <w:szCs w:val="20"/>
          <w:color w:val="auto"/>
        </w:rPr>
      </w:pPr>
      <w:r>
        <w:rPr>
          <w:rFonts w:ascii="Arial" w:cs="Arial" w:eastAsia="Arial" w:hAnsi="Arial"/>
          <w:sz w:val="15"/>
          <w:szCs w:val="15"/>
          <w:color w:val="auto"/>
        </w:rPr>
        <w:t>The personal and financial interests of our sponsor, officers and directors may influence their motivation in identifying and selecting a target business combination, completing an initial business</w:t>
      </w:r>
    </w:p>
    <w:p>
      <w:pPr>
        <w:spacing w:after="0" w:line="188"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56" w:name="page57"/>
    <w:bookmarkEnd w:id="56"/>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719"/>
        <w:spacing w:after="0" w:line="320" w:lineRule="auto"/>
        <w:rPr>
          <w:sz w:val="20"/>
          <w:szCs w:val="20"/>
          <w:color w:val="auto"/>
        </w:rPr>
      </w:pPr>
      <w:r>
        <w:rPr>
          <w:rFonts w:ascii="Arial" w:cs="Arial" w:eastAsia="Arial" w:hAnsi="Arial"/>
          <w:sz w:val="15"/>
          <w:szCs w:val="15"/>
          <w:color w:val="auto"/>
        </w:rPr>
        <w:t>combination and influencing the operation of the business following the initial business combination. This risk may become more acute as the deadline for completing our initial business combination nears.</w:t>
      </w:r>
    </w:p>
    <w:p>
      <w:pPr>
        <w:spacing w:after="0" w:line="115" w:lineRule="exact"/>
        <w:rPr>
          <w:sz w:val="20"/>
          <w:szCs w:val="20"/>
          <w:color w:val="auto"/>
        </w:rPr>
      </w:pPr>
    </w:p>
    <w:p>
      <w:pPr>
        <w:ind w:left="1140" w:right="1599"/>
        <w:spacing w:after="0" w:line="239" w:lineRule="auto"/>
        <w:rPr>
          <w:sz w:val="20"/>
          <w:szCs w:val="20"/>
          <w:color w:val="auto"/>
        </w:rPr>
      </w:pPr>
      <w:r>
        <w:rPr>
          <w:rFonts w:ascii="Arial" w:cs="Arial" w:eastAsia="Arial" w:hAnsi="Arial"/>
          <w:sz w:val="16"/>
          <w:szCs w:val="16"/>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stockholders’ investment in us.</w:t>
      </w:r>
    </w:p>
    <w:p>
      <w:pPr>
        <w:spacing w:after="0" w:line="74" w:lineRule="exact"/>
        <w:rPr>
          <w:sz w:val="20"/>
          <w:szCs w:val="20"/>
          <w:color w:val="auto"/>
        </w:rPr>
      </w:pPr>
    </w:p>
    <w:p>
      <w:pPr>
        <w:ind w:left="1140" w:right="1599" w:firstLine="326"/>
        <w:spacing w:after="0" w:line="260" w:lineRule="auto"/>
        <w:rPr>
          <w:sz w:val="20"/>
          <w:szCs w:val="20"/>
          <w:color w:val="auto"/>
        </w:rPr>
      </w:pPr>
      <w:r>
        <w:rPr>
          <w:rFonts w:ascii="Arial" w:cs="Arial" w:eastAsia="Arial" w:hAnsi="Arial"/>
          <w:sz w:val="16"/>
          <w:szCs w:val="16"/>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72" w:lineRule="exact"/>
        <w:rPr>
          <w:sz w:val="20"/>
          <w:szCs w:val="20"/>
          <w:color w:val="auto"/>
        </w:rPr>
      </w:pPr>
    </w:p>
    <w:p>
      <w:pPr>
        <w:ind w:left="1800" w:right="2459" w:hanging="335"/>
        <w:spacing w:after="0" w:line="285" w:lineRule="auto"/>
        <w:tabs>
          <w:tab w:leader="none" w:pos="1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52" w:lineRule="exact"/>
        <w:rPr>
          <w:rFonts w:ascii="Arial" w:cs="Arial" w:eastAsia="Arial" w:hAnsi="Arial"/>
          <w:sz w:val="16"/>
          <w:szCs w:val="16"/>
          <w:color w:val="auto"/>
        </w:rPr>
      </w:pPr>
    </w:p>
    <w:p>
      <w:pPr>
        <w:ind w:left="1800" w:right="1619" w:hanging="335"/>
        <w:spacing w:after="0" w:line="270" w:lineRule="auto"/>
        <w:tabs>
          <w:tab w:leader="none" w:pos="1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63" w:lineRule="exact"/>
        <w:rPr>
          <w:rFonts w:ascii="Arial" w:cs="Arial" w:eastAsia="Arial" w:hAnsi="Arial"/>
          <w:sz w:val="16"/>
          <w:szCs w:val="16"/>
          <w:color w:val="auto"/>
        </w:rPr>
      </w:pPr>
    </w:p>
    <w:p>
      <w:pPr>
        <w:ind w:left="1800" w:right="2059" w:hanging="335"/>
        <w:spacing w:after="0" w:line="285" w:lineRule="auto"/>
        <w:tabs>
          <w:tab w:leader="none" w:pos="1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immediate payment of all principal and accrued interest, if any, if the debt is payable on demand;</w:t>
      </w:r>
    </w:p>
    <w:p>
      <w:pPr>
        <w:spacing w:after="0" w:line="52" w:lineRule="exact"/>
        <w:rPr>
          <w:rFonts w:ascii="Arial" w:cs="Arial" w:eastAsia="Arial" w:hAnsi="Arial"/>
          <w:sz w:val="16"/>
          <w:szCs w:val="16"/>
          <w:color w:val="auto"/>
        </w:rPr>
      </w:pPr>
    </w:p>
    <w:p>
      <w:pPr>
        <w:ind w:left="1800" w:right="1639" w:hanging="335"/>
        <w:spacing w:after="0" w:line="285" w:lineRule="auto"/>
        <w:tabs>
          <w:tab w:leader="none" w:pos="1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inability to obtain necessary additional financing if the debt contains covenants restricting our ability to obtain such financing while the debt security is outstanding;</w:t>
      </w:r>
    </w:p>
    <w:p>
      <w:pPr>
        <w:spacing w:after="0" w:line="52" w:lineRule="exact"/>
        <w:rPr>
          <w:rFonts w:ascii="Arial" w:cs="Arial" w:eastAsia="Arial" w:hAnsi="Arial"/>
          <w:sz w:val="16"/>
          <w:szCs w:val="16"/>
          <w:color w:val="auto"/>
        </w:rPr>
      </w:pPr>
    </w:p>
    <w:p>
      <w:pPr>
        <w:ind w:left="1800" w:hanging="335"/>
        <w:spacing w:after="0"/>
        <w:tabs>
          <w:tab w:leader="none" w:pos="1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inability to pay dividends on our common stock;</w:t>
      </w:r>
    </w:p>
    <w:p>
      <w:pPr>
        <w:spacing w:after="0" w:line="109" w:lineRule="exact"/>
        <w:rPr>
          <w:rFonts w:ascii="Arial" w:cs="Arial" w:eastAsia="Arial" w:hAnsi="Arial"/>
          <w:sz w:val="16"/>
          <w:szCs w:val="16"/>
          <w:color w:val="auto"/>
        </w:rPr>
      </w:pPr>
    </w:p>
    <w:p>
      <w:pPr>
        <w:ind w:left="1800" w:right="1799" w:hanging="335"/>
        <w:spacing w:after="0" w:line="270" w:lineRule="auto"/>
        <w:tabs>
          <w:tab w:leader="none" w:pos="1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common stock if declared, expenses, capital expenditures, acquisitions and other general corporate purposes;</w:t>
      </w:r>
    </w:p>
    <w:p>
      <w:pPr>
        <w:spacing w:after="0" w:line="63" w:lineRule="exact"/>
        <w:rPr>
          <w:rFonts w:ascii="Arial" w:cs="Arial" w:eastAsia="Arial" w:hAnsi="Arial"/>
          <w:sz w:val="16"/>
          <w:szCs w:val="16"/>
          <w:color w:val="auto"/>
        </w:rPr>
      </w:pPr>
    </w:p>
    <w:p>
      <w:pPr>
        <w:ind w:left="1800" w:right="1899" w:hanging="335"/>
        <w:spacing w:after="0" w:line="285" w:lineRule="auto"/>
        <w:tabs>
          <w:tab w:leader="none" w:pos="1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limitations on our flexibility in planning for and reacting to changes in our business and in the industry in which we operate;</w:t>
      </w:r>
    </w:p>
    <w:p>
      <w:pPr>
        <w:spacing w:after="0" w:line="52" w:lineRule="exact"/>
        <w:rPr>
          <w:rFonts w:ascii="Arial" w:cs="Arial" w:eastAsia="Arial" w:hAnsi="Arial"/>
          <w:sz w:val="16"/>
          <w:szCs w:val="16"/>
          <w:color w:val="auto"/>
        </w:rPr>
      </w:pPr>
    </w:p>
    <w:p>
      <w:pPr>
        <w:ind w:left="1800" w:right="2239" w:hanging="335"/>
        <w:spacing w:after="0" w:line="285" w:lineRule="auto"/>
        <w:tabs>
          <w:tab w:leader="none" w:pos="1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increased vulnerability to adverse changes in general economic, industry and competitive conditions and adverse changes in government regulation; and</w:t>
      </w:r>
    </w:p>
    <w:p>
      <w:pPr>
        <w:spacing w:after="0" w:line="52" w:lineRule="exact"/>
        <w:rPr>
          <w:rFonts w:ascii="Arial" w:cs="Arial" w:eastAsia="Arial" w:hAnsi="Arial"/>
          <w:sz w:val="16"/>
          <w:szCs w:val="16"/>
          <w:color w:val="auto"/>
        </w:rPr>
      </w:pPr>
    </w:p>
    <w:p>
      <w:pPr>
        <w:ind w:left="1800" w:right="1879" w:hanging="335"/>
        <w:spacing w:after="0" w:line="270" w:lineRule="auto"/>
        <w:tabs>
          <w:tab w:leader="none" w:pos="1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50" w:lineRule="exact"/>
        <w:rPr>
          <w:sz w:val="20"/>
          <w:szCs w:val="20"/>
          <w:color w:val="auto"/>
        </w:rPr>
      </w:pPr>
    </w:p>
    <w:p>
      <w:pPr>
        <w:ind w:left="1140" w:right="1639"/>
        <w:spacing w:after="0" w:line="235" w:lineRule="auto"/>
        <w:rPr>
          <w:sz w:val="20"/>
          <w:szCs w:val="20"/>
          <w:color w:val="auto"/>
        </w:rPr>
      </w:pPr>
      <w:r>
        <w:rPr>
          <w:rFonts w:ascii="Arial" w:cs="Arial" w:eastAsia="Arial" w:hAnsi="Arial"/>
          <w:sz w:val="16"/>
          <w:szCs w:val="16"/>
          <w:b w:val="1"/>
          <w:bCs w:val="1"/>
          <w:i w:val="1"/>
          <w:iCs w:val="1"/>
          <w:color w:val="auto"/>
        </w:rPr>
        <w:t>We may only be able to complete one business combination with the proceeds of this offering and the sale of the private placement warrants, which will cause us to be solely dependent on a single business which may have a limited number of products or services. This lack of diversification may materially negatively impact our operations and profitability.</w:t>
      </w:r>
    </w:p>
    <w:p>
      <w:pPr>
        <w:spacing w:after="0" w:line="74" w:lineRule="exact"/>
        <w:rPr>
          <w:sz w:val="20"/>
          <w:szCs w:val="20"/>
          <w:color w:val="auto"/>
        </w:rPr>
      </w:pPr>
    </w:p>
    <w:p>
      <w:pPr>
        <w:ind w:left="1140" w:right="1639" w:firstLine="326"/>
        <w:spacing w:after="0" w:line="262" w:lineRule="auto"/>
        <w:rPr>
          <w:sz w:val="20"/>
          <w:szCs w:val="20"/>
          <w:color w:val="auto"/>
        </w:rPr>
      </w:pPr>
      <w:r>
        <w:rPr>
          <w:rFonts w:ascii="Arial" w:cs="Arial" w:eastAsia="Arial" w:hAnsi="Arial"/>
          <w:sz w:val="16"/>
          <w:szCs w:val="16"/>
          <w:color w:val="auto"/>
        </w:rPr>
        <w:t>The net proceeds from this offering and the sale of the private placement warrants will provide us with $1,500,000,000 (or $1,725,000,000 if the underwriters’ option to purchase additional units is exercised in full) that we may use to complete our initial business combination (which includes $52,500,000, or up to $60,375,000 if the underwriters’ option to purchase additional units is exercised in full, of deferred underwriting commissions being held in the trust account).</w:t>
      </w:r>
    </w:p>
    <w:p>
      <w:pPr>
        <w:spacing w:after="0" w:line="72" w:lineRule="exact"/>
        <w:rPr>
          <w:sz w:val="20"/>
          <w:szCs w:val="20"/>
          <w:color w:val="auto"/>
        </w:rPr>
      </w:pPr>
    </w:p>
    <w:p>
      <w:pPr>
        <w:ind w:left="1140" w:right="1739" w:firstLine="326"/>
        <w:spacing w:after="0" w:line="280" w:lineRule="auto"/>
        <w:rPr>
          <w:sz w:val="20"/>
          <w:szCs w:val="20"/>
          <w:color w:val="auto"/>
        </w:rPr>
      </w:pPr>
      <w:r>
        <w:rPr>
          <w:rFonts w:ascii="Arial" w:cs="Arial" w:eastAsia="Arial" w:hAnsi="Arial"/>
          <w:sz w:val="15"/>
          <w:szCs w:val="15"/>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w:t>
      </w:r>
    </w:p>
    <w:p>
      <w:pPr>
        <w:spacing w:after="0" w:line="218"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57" w:name="page58"/>
    <w:bookmarkEnd w:id="57"/>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679"/>
        <w:spacing w:after="0" w:line="265" w:lineRule="auto"/>
        <w:rPr>
          <w:sz w:val="20"/>
          <w:szCs w:val="20"/>
          <w:color w:val="auto"/>
        </w:rPr>
      </w:pPr>
      <w:r>
        <w:rPr>
          <w:rFonts w:ascii="Arial" w:cs="Arial" w:eastAsia="Arial" w:hAnsi="Arial"/>
          <w:sz w:val="16"/>
          <w:szCs w:val="16"/>
          <w:color w:val="auto"/>
        </w:rPr>
        <w:t>competitive and regulatory risks.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92" w:lineRule="exact"/>
        <w:rPr>
          <w:sz w:val="20"/>
          <w:szCs w:val="20"/>
          <w:color w:val="auto"/>
        </w:rPr>
      </w:pPr>
    </w:p>
    <w:p>
      <w:pPr>
        <w:ind w:left="1800" w:hanging="335"/>
        <w:spacing w:after="0"/>
        <w:tabs>
          <w:tab w:leader="none" w:pos="1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solely dependent upon the performance of a single business, property or asset; or</w:t>
      </w:r>
    </w:p>
    <w:p>
      <w:pPr>
        <w:spacing w:after="0" w:line="121" w:lineRule="exact"/>
        <w:rPr>
          <w:rFonts w:ascii="Arial" w:cs="Arial" w:eastAsia="Arial" w:hAnsi="Arial"/>
          <w:sz w:val="16"/>
          <w:szCs w:val="16"/>
          <w:color w:val="auto"/>
        </w:rPr>
      </w:pPr>
    </w:p>
    <w:p>
      <w:pPr>
        <w:ind w:left="1800" w:right="1699" w:hanging="335"/>
        <w:spacing w:after="0" w:line="285" w:lineRule="auto"/>
        <w:tabs>
          <w:tab w:leader="none" w:pos="1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dependent upon the development or market acceptance of a single or limited number of products, processes or services.</w:t>
      </w:r>
    </w:p>
    <w:p>
      <w:pPr>
        <w:spacing w:after="0" w:line="52" w:lineRule="exact"/>
        <w:rPr>
          <w:sz w:val="20"/>
          <w:szCs w:val="20"/>
          <w:color w:val="auto"/>
        </w:rPr>
      </w:pPr>
    </w:p>
    <w:p>
      <w:pPr>
        <w:jc w:val="both"/>
        <w:ind w:left="1140" w:right="1839" w:firstLine="326"/>
        <w:spacing w:after="0" w:line="270" w:lineRule="auto"/>
        <w:rPr>
          <w:sz w:val="20"/>
          <w:szCs w:val="20"/>
          <w:color w:val="auto"/>
        </w:rPr>
      </w:pPr>
      <w:r>
        <w:rPr>
          <w:rFonts w:ascii="Arial" w:cs="Arial" w:eastAsia="Arial" w:hAnsi="Arial"/>
          <w:sz w:val="16"/>
          <w:szCs w:val="16"/>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50" w:lineRule="exact"/>
        <w:rPr>
          <w:sz w:val="20"/>
          <w:szCs w:val="20"/>
          <w:color w:val="auto"/>
        </w:rPr>
      </w:pPr>
    </w:p>
    <w:p>
      <w:pPr>
        <w:ind w:left="1140" w:right="1699"/>
        <w:spacing w:after="0" w:line="239" w:lineRule="auto"/>
        <w:rPr>
          <w:sz w:val="20"/>
          <w:szCs w:val="20"/>
          <w:color w:val="auto"/>
        </w:rPr>
      </w:pPr>
      <w:r>
        <w:rPr>
          <w:rFonts w:ascii="Arial" w:cs="Arial" w:eastAsia="Arial" w:hAnsi="Arial"/>
          <w:sz w:val="16"/>
          <w:szCs w:val="16"/>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74" w:lineRule="exact"/>
        <w:rPr>
          <w:sz w:val="20"/>
          <w:szCs w:val="20"/>
          <w:color w:val="auto"/>
        </w:rPr>
      </w:pPr>
    </w:p>
    <w:p>
      <w:pPr>
        <w:ind w:left="1140" w:right="1579" w:firstLine="326"/>
        <w:spacing w:after="0" w:line="259" w:lineRule="auto"/>
        <w:rPr>
          <w:sz w:val="20"/>
          <w:szCs w:val="20"/>
          <w:color w:val="auto"/>
        </w:rPr>
      </w:pPr>
      <w:r>
        <w:rPr>
          <w:rFonts w:ascii="Arial" w:cs="Arial" w:eastAsia="Arial" w:hAnsi="Arial"/>
          <w:sz w:val="16"/>
          <w:szCs w:val="16"/>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58" w:lineRule="exact"/>
        <w:rPr>
          <w:sz w:val="20"/>
          <w:szCs w:val="20"/>
          <w:color w:val="auto"/>
        </w:rPr>
      </w:pPr>
    </w:p>
    <w:p>
      <w:pPr>
        <w:jc w:val="both"/>
        <w:ind w:left="1140" w:right="1619"/>
        <w:spacing w:after="0" w:line="239" w:lineRule="auto"/>
        <w:rPr>
          <w:sz w:val="20"/>
          <w:szCs w:val="20"/>
          <w:color w:val="auto"/>
        </w:rPr>
      </w:pPr>
      <w:r>
        <w:rPr>
          <w:rFonts w:ascii="Arial" w:cs="Arial" w:eastAsia="Arial" w:hAnsi="Arial"/>
          <w:sz w:val="16"/>
          <w:szCs w:val="16"/>
          <w:b w:val="1"/>
          <w:bCs w:val="1"/>
          <w:i w:val="1"/>
          <w:i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74" w:lineRule="exact"/>
        <w:rPr>
          <w:sz w:val="20"/>
          <w:szCs w:val="20"/>
          <w:color w:val="auto"/>
        </w:rPr>
      </w:pPr>
    </w:p>
    <w:p>
      <w:pPr>
        <w:ind w:left="1140" w:right="1659" w:firstLine="326"/>
        <w:spacing w:after="0" w:line="262" w:lineRule="auto"/>
        <w:rPr>
          <w:sz w:val="20"/>
          <w:szCs w:val="20"/>
          <w:color w:val="auto"/>
        </w:rPr>
      </w:pPr>
      <w:r>
        <w:rPr>
          <w:rFonts w:ascii="Arial" w:cs="Arial" w:eastAsia="Arial" w:hAnsi="Arial"/>
          <w:sz w:val="16"/>
          <w:szCs w:val="16"/>
          <w:color w:val="auto"/>
        </w:rPr>
        <w:t>In pursuing our acquisition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58" w:lineRule="exact"/>
        <w:rPr>
          <w:sz w:val="20"/>
          <w:szCs w:val="20"/>
          <w:color w:val="auto"/>
        </w:rPr>
      </w:pPr>
    </w:p>
    <w:p>
      <w:pPr>
        <w:ind w:left="1140" w:right="1599"/>
        <w:spacing w:after="0" w:line="289" w:lineRule="auto"/>
        <w:rPr>
          <w:sz w:val="20"/>
          <w:szCs w:val="20"/>
          <w:color w:val="auto"/>
        </w:rPr>
      </w:pPr>
      <w:r>
        <w:rPr>
          <w:rFonts w:ascii="Arial" w:cs="Arial" w:eastAsia="Arial" w:hAnsi="Arial"/>
          <w:sz w:val="14"/>
          <w:szCs w:val="14"/>
          <w:b w:val="1"/>
          <w:bCs w:val="1"/>
          <w:i w:val="1"/>
          <w:i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42" w:lineRule="exact"/>
        <w:rPr>
          <w:sz w:val="20"/>
          <w:szCs w:val="20"/>
          <w:color w:val="auto"/>
        </w:rPr>
      </w:pPr>
    </w:p>
    <w:p>
      <w:pPr>
        <w:ind w:left="1140" w:right="1559" w:firstLine="326"/>
        <w:spacing w:after="0" w:line="275" w:lineRule="auto"/>
        <w:rPr>
          <w:sz w:val="20"/>
          <w:szCs w:val="20"/>
          <w:color w:val="auto"/>
        </w:rPr>
      </w:pPr>
      <w:r>
        <w:rPr>
          <w:rFonts w:ascii="Arial" w:cs="Arial" w:eastAsia="Arial" w:hAnsi="Arial"/>
          <w:sz w:val="15"/>
          <w:szCs w:val="15"/>
          <w:color w:val="auto"/>
        </w:rPr>
        <w:t>We may structure our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business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our initial business combination may collectively own a minority interest in the post business combination company, depending on valuations ascribed to the target and us in our initial business combination. For example, we could pursue a transaction in which we issue a substantial number of new shares of common stock in exchange for all of the outstanding capital stock of a target. In this case, we would acquire a 100% interest in the target. However, as a result of the issuance of a substantial number of new shares of common stock, our stockholders immediately prior to such transaction could own less than a majority of our outstanding shares of common stock subsequent to such transaction.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our control of the target business.</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8" w:name="page59"/>
    <w:bookmarkEnd w:id="58"/>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1140" w:right="1599"/>
        <w:spacing w:after="0" w:line="239" w:lineRule="auto"/>
        <w:rPr>
          <w:sz w:val="20"/>
          <w:szCs w:val="20"/>
          <w:color w:val="auto"/>
        </w:rPr>
      </w:pPr>
      <w:r>
        <w:rPr>
          <w:rFonts w:ascii="Arial" w:cs="Arial" w:eastAsia="Arial" w:hAnsi="Arial"/>
          <w:sz w:val="16"/>
          <w:szCs w:val="16"/>
          <w:b w:val="1"/>
          <w:bCs w:val="1"/>
          <w:i w:val="1"/>
          <w:iCs w:val="1"/>
          <w:color w:val="auto"/>
        </w:rPr>
        <w:t>We do not have a specified maximum redemption threshold. The absence of such a redemption threshold may make it possible for us to complete our initial business combination with which a substantial majority of our stockholders do not agree.</w:t>
      </w:r>
    </w:p>
    <w:p>
      <w:pPr>
        <w:spacing w:after="0" w:line="74" w:lineRule="exact"/>
        <w:rPr>
          <w:sz w:val="20"/>
          <w:szCs w:val="20"/>
          <w:color w:val="auto"/>
        </w:rPr>
      </w:pPr>
    </w:p>
    <w:p>
      <w:pPr>
        <w:ind w:left="1140" w:right="1699" w:firstLine="326"/>
        <w:spacing w:after="0" w:line="275" w:lineRule="auto"/>
        <w:rPr>
          <w:sz w:val="20"/>
          <w:szCs w:val="20"/>
          <w:color w:val="auto"/>
        </w:rPr>
      </w:pPr>
      <w:r>
        <w:rPr>
          <w:rFonts w:ascii="Arial" w:cs="Arial" w:eastAsia="Arial" w:hAnsi="Arial"/>
          <w:sz w:val="15"/>
          <w:szCs w:val="15"/>
          <w:color w:val="auto"/>
        </w:rPr>
        <w:t>Our amended and restated certificate of incorporation will not provide a specified maximum redemption threshold, except that in no event will we redeem our public shares in an amount that would cause our net tangible assets, after payment of the deferred underwriting commissions, to be less than $5,000,001 (such that we do not then become subject to the SEC’s “penny stock” rules), or any greater net tangible asset or cash requirement which may be contained in the agreement relating to our initial business combination. As a result, we may be able to 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respective affiliates. In the event the aggregate cash consideration we would be required to pay for all shares of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all shares of common stock submitted for redemption will be returned to the holders thereof, and we instead may search for an alternate business combination.</w:t>
      </w:r>
    </w:p>
    <w:p>
      <w:pPr>
        <w:spacing w:after="0" w:line="152" w:lineRule="exact"/>
        <w:rPr>
          <w:sz w:val="20"/>
          <w:szCs w:val="20"/>
          <w:color w:val="auto"/>
        </w:rPr>
      </w:pPr>
    </w:p>
    <w:p>
      <w:pPr>
        <w:ind w:left="1140" w:right="1759"/>
        <w:spacing w:after="0" w:line="298" w:lineRule="auto"/>
        <w:rPr>
          <w:sz w:val="20"/>
          <w:szCs w:val="20"/>
          <w:color w:val="auto"/>
        </w:rPr>
      </w:pPr>
      <w:r>
        <w:rPr>
          <w:rFonts w:ascii="Arial" w:cs="Arial" w:eastAsia="Arial" w:hAnsi="Arial"/>
          <w:sz w:val="13"/>
          <w:szCs w:val="13"/>
          <w:b w:val="1"/>
          <w:bCs w:val="1"/>
          <w:i w:val="1"/>
          <w:iCs w:val="1"/>
          <w:color w:val="auto"/>
        </w:rPr>
        <w:t>In order to effectuate an initial business combination, blank check companies have, in the recent past, amended various provisions of their charters and modified governing instruments, including their warrant agreements. We cannot assure you that we will not seek to amend our amended and restated certificate of incorporation or governing instruments, including our warrant agreement, in a manner that will make it easier for us to complete our initial business combination that some of our stockholders or warrant holders may not support.</w:t>
      </w:r>
    </w:p>
    <w:p>
      <w:pPr>
        <w:spacing w:after="0" w:line="38" w:lineRule="exact"/>
        <w:rPr>
          <w:sz w:val="20"/>
          <w:szCs w:val="20"/>
          <w:color w:val="auto"/>
        </w:rPr>
      </w:pPr>
    </w:p>
    <w:p>
      <w:pPr>
        <w:ind w:left="1140" w:right="1579" w:firstLine="326"/>
        <w:spacing w:after="0" w:line="259" w:lineRule="auto"/>
        <w:rPr>
          <w:sz w:val="20"/>
          <w:szCs w:val="20"/>
          <w:color w:val="auto"/>
        </w:rPr>
      </w:pPr>
      <w:r>
        <w:rPr>
          <w:rFonts w:ascii="Arial" w:cs="Arial" w:eastAsia="Arial" w:hAnsi="Arial"/>
          <w:sz w:val="16"/>
          <w:szCs w:val="16"/>
          <w:color w:val="auto"/>
        </w:rPr>
        <w:t>In order to effectuate an initial business combination, blank check companies have, in the recent past, amended various provisions of their charters and modified governing instruments, including their warrant agreements. For example, blank check companies have amended the definition of business combination, increased redemption thresholds extended the time to consummate an initial business combination and, with respect to their warrants, amended their warrant agreements to require the warrants to be exchanged for cash and/or other securities. We cannot assure you that we will not seek to amend our charter or governing instruments or extend the time to consummate an initial business combination in order to effectuate our initial business combination.</w:t>
      </w:r>
    </w:p>
    <w:p>
      <w:pPr>
        <w:spacing w:after="0" w:line="161" w:lineRule="exact"/>
        <w:rPr>
          <w:sz w:val="20"/>
          <w:szCs w:val="20"/>
          <w:color w:val="auto"/>
        </w:rPr>
      </w:pPr>
    </w:p>
    <w:p>
      <w:pPr>
        <w:ind w:left="1140" w:right="1639"/>
        <w:spacing w:after="0" w:line="269" w:lineRule="auto"/>
        <w:rPr>
          <w:sz w:val="20"/>
          <w:szCs w:val="20"/>
          <w:color w:val="auto"/>
        </w:rPr>
      </w:pPr>
      <w:r>
        <w:rPr>
          <w:rFonts w:ascii="Arial" w:cs="Arial" w:eastAsia="Arial" w:hAnsi="Arial"/>
          <w:sz w:val="14"/>
          <w:szCs w:val="14"/>
          <w:b w:val="1"/>
          <w:bCs w:val="1"/>
          <w:i w:val="1"/>
          <w:iCs w:val="1"/>
          <w:color w:val="auto"/>
        </w:rPr>
        <w:t>Certain provisions of our amended and restated certificate of incorporation that relate to our pre-business combination activity (and corresponding provisions of the agreement governing the release of funds from our trust account) may be amended with the approval of holders of not less than 65% of our common stock, which is a lower amendment threshold than that of some other blank check companies. It may be easier for us, therefore, to amend our amended and restated certificate of incorporation and the trust agreement to facilitate the completion of an initial business combination that some of our stockholders may not support.</w:t>
      </w:r>
    </w:p>
    <w:p>
      <w:pPr>
        <w:spacing w:after="0" w:line="55" w:lineRule="exact"/>
        <w:rPr>
          <w:sz w:val="20"/>
          <w:szCs w:val="20"/>
          <w:color w:val="auto"/>
        </w:rPr>
      </w:pPr>
    </w:p>
    <w:p>
      <w:pPr>
        <w:ind w:left="1140" w:right="1599" w:firstLine="326"/>
        <w:spacing w:after="0" w:line="275" w:lineRule="auto"/>
        <w:rPr>
          <w:sz w:val="20"/>
          <w:szCs w:val="20"/>
          <w:color w:val="auto"/>
        </w:rPr>
      </w:pPr>
      <w:r>
        <w:rPr>
          <w:rFonts w:ascii="Arial" w:cs="Arial" w:eastAsia="Arial" w:hAnsi="Arial"/>
          <w:sz w:val="15"/>
          <w:szCs w:val="15"/>
          <w:color w:val="auto"/>
        </w:rPr>
        <w:t>Our amended and restated certificate of incorporation will provide that any of its provisions (other than amendments relating to the appointment of directors, which require the approval by a majority of at least 90% of our common stock voting at a stockholder meeting) related to pre-business combination activity (including the requirement to fund the trust account and not release such amounts except in specified circumstances and to provide redemption rights to public stockholders as described herein) may be amended if approved by holders of at least 65% of our common stock, and corresponding provisions of the trust agreement governing the release of funds from our trust account may be amended if approved by holders of 65% of our common stock. In all other instances, our amended and restated certificate of incorporation will provide that it may be amended by holders of a majority of our common stock, subject to applicable provisions of the DGCL, or applicable stock exchange rules. We may not issue additional securities that can vote on amendments to our amended and restated certificate of incorporation or on our initial business combination. Our initial stockholders, who will beneficially own 20% of our common stock upon the closing of this offering (assuming they do not purchase any units in this offering), may participate in any vote to amend our amended and restated certificate of incorporation and/or trust agreement and will have the discretion to vote in any manner they choose. As a result, we may be able to amend the provisions</w:t>
      </w:r>
    </w:p>
    <w:p>
      <w:pPr>
        <w:spacing w:after="0" w:line="228"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59" w:name="page60"/>
    <w:bookmarkEnd w:id="59"/>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639"/>
        <w:spacing w:after="0" w:line="265" w:lineRule="auto"/>
        <w:rPr>
          <w:sz w:val="20"/>
          <w:szCs w:val="20"/>
          <w:color w:val="auto"/>
        </w:rPr>
      </w:pPr>
      <w:r>
        <w:rPr>
          <w:rFonts w:ascii="Arial" w:cs="Arial" w:eastAsia="Arial" w:hAnsi="Arial"/>
          <w:sz w:val="16"/>
          <w:szCs w:val="16"/>
          <w:color w:val="auto"/>
        </w:rPr>
        <w:t>of our amended and restated certificate of incorporation which will govern our pre-business combination behavior more easily than some other blank check companies, and this may increase our ability to complete our initial business combination with which you do not agree. Our stockholders may pursue remedies against us for any breach of our amended and restated certificate of incorporation.</w:t>
      </w:r>
    </w:p>
    <w:p>
      <w:pPr>
        <w:spacing w:after="0" w:line="68" w:lineRule="exact"/>
        <w:rPr>
          <w:sz w:val="20"/>
          <w:szCs w:val="20"/>
          <w:color w:val="auto"/>
        </w:rPr>
      </w:pPr>
    </w:p>
    <w:p>
      <w:pPr>
        <w:ind w:left="1140" w:right="1559" w:firstLine="326"/>
        <w:spacing w:after="0" w:line="276" w:lineRule="auto"/>
        <w:rPr>
          <w:sz w:val="20"/>
          <w:szCs w:val="20"/>
          <w:color w:val="auto"/>
        </w:rPr>
      </w:pPr>
      <w:r>
        <w:rPr>
          <w:rFonts w:ascii="Arial" w:cs="Arial" w:eastAsia="Arial" w:hAnsi="Arial"/>
          <w:sz w:val="15"/>
          <w:szCs w:val="15"/>
          <w:color w:val="auto"/>
        </w:rPr>
        <w:t>Our sponsor, officers and directors have agreed, pursuant to a written agreement, that they will not propose any amendment to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unless we provide our public stockholders with the opportunity to redeem their shares of Class A common stock upon approval of any such amendment at a per-share price, payable in cash, equal to the aggregate amount then on deposit in the trust account, divided by the number of then outstanding public shares. These agreements are contained in a letter agreement that we have entered into with our sponsor, officers and directors. Our stockholders are not parties to, or third-party beneficiaries of, these agreements and, as a result, will not have the ability to pursue remedies against our sponsor, officers or directors for any breach of these agreements. As a result, in the event of a breach, our stockholders would need to pursue a stockholder derivative action, subject to applicable law.</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Certain agreements related to this offering may be amended without stockholder approval.</w:t>
      </w:r>
    </w:p>
    <w:p>
      <w:pPr>
        <w:spacing w:after="0" w:line="97" w:lineRule="exact"/>
        <w:rPr>
          <w:sz w:val="20"/>
          <w:szCs w:val="20"/>
          <w:color w:val="auto"/>
        </w:rPr>
      </w:pPr>
    </w:p>
    <w:p>
      <w:pPr>
        <w:ind w:left="1140" w:right="1599" w:firstLine="326"/>
        <w:spacing w:after="0" w:line="277" w:lineRule="auto"/>
        <w:rPr>
          <w:sz w:val="20"/>
          <w:szCs w:val="20"/>
          <w:color w:val="auto"/>
        </w:rPr>
      </w:pPr>
      <w:r>
        <w:rPr>
          <w:rFonts w:ascii="Arial" w:cs="Arial" w:eastAsia="Arial" w:hAnsi="Arial"/>
          <w:sz w:val="15"/>
          <w:szCs w:val="15"/>
          <w:color w:val="auto"/>
        </w:rPr>
        <w:t>Certain agreements, including the underwriting agreement relating to this offering, the letter agreement among us and our sponsor, officers and directors, and the registration rights agreement among us and our initial stockholders, may be amended without stockholder approval. These agreements contain various provisions that our public stockholders might deem to be material. While we do not expect our board to approve any amendment to any of these agreements prior to our initial business combination, it may be possible that our board, in exercising its business judgment and subject to its fiduciary duties, chooses to approve one or more amendments to any such agreement in connection with the consummation of our initial business combination. Any such amendments would not require approval from our stockholders, may result in the completion of our initial business combination that may not otherwise have been possible, and may have an adverse effect on the value of an investment in our securities.</w:t>
      </w:r>
    </w:p>
    <w:p>
      <w:pPr>
        <w:spacing w:after="0" w:line="150" w:lineRule="exact"/>
        <w:rPr>
          <w:sz w:val="20"/>
          <w:szCs w:val="20"/>
          <w:color w:val="auto"/>
        </w:rPr>
      </w:pPr>
    </w:p>
    <w:p>
      <w:pPr>
        <w:ind w:left="1140" w:right="1679"/>
        <w:spacing w:after="0" w:line="239" w:lineRule="auto"/>
        <w:rPr>
          <w:sz w:val="20"/>
          <w:szCs w:val="20"/>
          <w:color w:val="auto"/>
        </w:rPr>
      </w:pPr>
      <w:r>
        <w:rPr>
          <w:rFonts w:ascii="Arial" w:cs="Arial" w:eastAsia="Arial" w:hAnsi="Arial"/>
          <w:sz w:val="16"/>
          <w:szCs w:val="16"/>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74" w:lineRule="exact"/>
        <w:rPr>
          <w:sz w:val="20"/>
          <w:szCs w:val="20"/>
          <w:color w:val="auto"/>
        </w:rPr>
      </w:pPr>
    </w:p>
    <w:p>
      <w:pPr>
        <w:ind w:left="1140" w:right="1579" w:firstLine="326"/>
        <w:spacing w:after="0" w:line="274" w:lineRule="auto"/>
        <w:rPr>
          <w:sz w:val="20"/>
          <w:szCs w:val="20"/>
          <w:color w:val="auto"/>
        </w:rPr>
      </w:pPr>
      <w:r>
        <w:rPr>
          <w:rFonts w:ascii="Arial" w:cs="Arial" w:eastAsia="Arial" w:hAnsi="Arial"/>
          <w:sz w:val="15"/>
          <w:szCs w:val="15"/>
          <w:color w:val="auto"/>
        </w:rPr>
        <w:t>Although we believe that the net proceeds of this offering and the sale of the private placement warrants will be sufficient to allow us to complete our initial business combination, because we have not yet identified any prospective target business we cannot ascertain the capital requirements for any particular transaction. If the net proceeds of this offering and the sale of the private placement warrants prove to be insufficient, either because of the size of our initial business combination, the depletion of the available net proceeds in search of a target business, the obligation to redeem for cash a significant number of shares from stockholders who elect redemption in connection with our initial business combination or the terms of negotiated transactions to purchase shares in connection with our initial business combination, we may be required to seek additional financing (including from M. Klein and Company) or to abandon the proposed business combination. We cannot assure you that such financing will be available on acceptable terms, if at all. M. Klein and Company is not obligated to provide, or seek, any such financing or, except as expressly set forth herein, to provide any other services to us.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 If we are unable to complete our initial business combination, our public stockholders may receive only approximately $10.00 per share, or less in certain circumstances, on the liquidation of our trust account, and our warrants will expire worthless.</w:t>
      </w:r>
    </w:p>
    <w:p>
      <w:pPr>
        <w:spacing w:after="0" w:line="231"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60" w:name="page61"/>
    <w:bookmarkEnd w:id="60"/>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140" w:right="1579"/>
        <w:spacing w:after="0" w:line="254" w:lineRule="auto"/>
        <w:rPr>
          <w:sz w:val="20"/>
          <w:szCs w:val="20"/>
          <w:color w:val="auto"/>
        </w:rPr>
      </w:pPr>
      <w:r>
        <w:rPr>
          <w:rFonts w:ascii="Arial" w:cs="Arial" w:eastAsia="Arial" w:hAnsi="Arial"/>
          <w:sz w:val="15"/>
          <w:szCs w:val="15"/>
          <w:b w:val="1"/>
          <w:bCs w:val="1"/>
          <w:i w:val="1"/>
          <w:iCs w:val="1"/>
          <w:color w:val="auto"/>
        </w:rPr>
        <w:t>Our initial stockholders will control the election of our board of directors until consummation of our initial business combination and will hold a substantial interest in us. As a result, they will elect all of our directors prior to the consummation of our initial business combination and may exert a substantial influence on actions requiring a stockholder vote, potentially in a manner that you do not support.</w:t>
      </w:r>
    </w:p>
    <w:p>
      <w:pPr>
        <w:spacing w:after="0" w:line="65" w:lineRule="exact"/>
        <w:rPr>
          <w:sz w:val="20"/>
          <w:szCs w:val="20"/>
          <w:color w:val="auto"/>
        </w:rPr>
      </w:pPr>
    </w:p>
    <w:p>
      <w:pPr>
        <w:ind w:left="1140" w:right="1559" w:firstLine="326"/>
        <w:spacing w:after="0" w:line="259" w:lineRule="auto"/>
        <w:rPr>
          <w:sz w:val="20"/>
          <w:szCs w:val="20"/>
          <w:color w:val="auto"/>
        </w:rPr>
      </w:pPr>
      <w:r>
        <w:rPr>
          <w:rFonts w:ascii="Arial" w:cs="Arial" w:eastAsia="Arial" w:hAnsi="Arial"/>
          <w:sz w:val="16"/>
          <w:szCs w:val="16"/>
          <w:color w:val="auto"/>
        </w:rPr>
        <w:t>Upon the closing of this offering, our initial stockholders will own 20% of our outstanding common stock (assuming they do not purchase any units in this offering). In addition, the founder shares, all of which are held by our initial stockholders, will entitle the holders to elect all of our directors prior to the consummation of our initial business combination. Holders of our public shares will have no right to vote on the election of directors during such time. These provisions of our amended and restated certificate of incorporation may only be amended by a majority of at least 90% of our common stock voting at a stockholder meeting. As a result, you will not have any influence over the election of directors prior to our initial business combination.</w:t>
      </w:r>
    </w:p>
    <w:p>
      <w:pPr>
        <w:spacing w:after="0" w:line="75" w:lineRule="exact"/>
        <w:rPr>
          <w:sz w:val="20"/>
          <w:szCs w:val="20"/>
          <w:color w:val="auto"/>
        </w:rPr>
      </w:pPr>
    </w:p>
    <w:p>
      <w:pPr>
        <w:ind w:left="1140" w:right="1579" w:firstLine="326"/>
        <w:spacing w:after="0" w:line="258" w:lineRule="auto"/>
        <w:rPr>
          <w:sz w:val="20"/>
          <w:szCs w:val="20"/>
          <w:color w:val="auto"/>
        </w:rPr>
      </w:pPr>
      <w:r>
        <w:rPr>
          <w:rFonts w:ascii="Arial" w:cs="Arial" w:eastAsia="Arial" w:hAnsi="Arial"/>
          <w:sz w:val="16"/>
          <w:szCs w:val="16"/>
          <w:color w:val="auto"/>
        </w:rPr>
        <w:t>Neither our initial stockholders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common stock. In addition, as a result of their substantial ownership in our company, our initial stockholders may exert a substantial influence on other actions requiring a stockholder vote, potentially in a manner that you do not support, including amendments to our amended and restated certificate of incorporation and approval of major corporate transactions. If our initial stockholders purchase any additional shares of common stock in the aftermarket or in privately negotiated transactions, this would increase their influence over these actions. Accordingly, our initial stockholders will exert significant influence over actions requiring a stockholder vote. Please see “Proposed Business — Permitted purchases of our securities.”</w:t>
      </w:r>
    </w:p>
    <w:p>
      <w:pPr>
        <w:spacing w:after="0" w:line="160" w:lineRule="exact"/>
        <w:rPr>
          <w:sz w:val="20"/>
          <w:szCs w:val="20"/>
          <w:color w:val="auto"/>
        </w:rPr>
      </w:pPr>
    </w:p>
    <w:p>
      <w:pPr>
        <w:ind w:left="1140" w:right="1619"/>
        <w:spacing w:after="0" w:line="286" w:lineRule="auto"/>
        <w:rPr>
          <w:sz w:val="20"/>
          <w:szCs w:val="20"/>
          <w:color w:val="auto"/>
        </w:rPr>
      </w:pPr>
      <w:r>
        <w:rPr>
          <w:rFonts w:ascii="Arial" w:cs="Arial" w:eastAsia="Arial" w:hAnsi="Arial"/>
          <w:sz w:val="15"/>
          <w:szCs w:val="15"/>
          <w:b w:val="1"/>
          <w:bCs w:val="1"/>
          <w:i w:val="1"/>
          <w:iCs w:val="1"/>
          <w:color w:val="auto"/>
        </w:rPr>
        <w:t>Our sponsor contributed $25,000, or approximately $0.001 per founder share, and, accordingly, you will experience immediate and substantial dilution from the purchase of our Class A common stock.</w:t>
      </w:r>
    </w:p>
    <w:p>
      <w:pPr>
        <w:spacing w:after="0" w:line="41" w:lineRule="exact"/>
        <w:rPr>
          <w:sz w:val="20"/>
          <w:szCs w:val="20"/>
          <w:color w:val="auto"/>
        </w:rPr>
      </w:pPr>
    </w:p>
    <w:p>
      <w:pPr>
        <w:ind w:left="1140" w:right="1579" w:firstLine="326"/>
        <w:spacing w:after="0" w:line="277" w:lineRule="auto"/>
        <w:rPr>
          <w:sz w:val="20"/>
          <w:szCs w:val="20"/>
          <w:color w:val="auto"/>
        </w:rPr>
      </w:pPr>
      <w:r>
        <w:rPr>
          <w:rFonts w:ascii="Arial" w:cs="Arial" w:eastAsia="Arial" w:hAnsi="Arial"/>
          <w:sz w:val="15"/>
          <w:szCs w:val="15"/>
          <w:color w:val="auto"/>
        </w:rPr>
        <w:t>The difference between the public offering price per share (allocating all of the unit purchase price to the Class A common stock and none to the warrant included in the unit) and the pro forma net tangible book value per share of our Class A common stock after this offering constitutes the dilution to you and the other investors in this offering. Our sponsor acquired the founder shares at a nominal price, significantly contributing to this dilution. Upon the closing of this offering, and assuming no value is ascribed to the warrants included in the units, you and the other public stockholders will incur an immediate and substantial dilution of approximately 98.8% (or $9.88 per share, assuming no exercise of the underwriters’ over-allotment option), the difference between the pro forma net tangible book value per share of $0.12 and the initial offering price of $10.00 per unit. In addition, because of the anti-dilution rights of the founder shares, any equity or equity-linked securities issued or deemed issued in connection with our initial business combination would be disproportionately dilutive to our Class A common stock.</w:t>
      </w:r>
    </w:p>
    <w:p>
      <w:pPr>
        <w:spacing w:after="0" w:line="146" w:lineRule="exact"/>
        <w:rPr>
          <w:sz w:val="20"/>
          <w:szCs w:val="20"/>
          <w:color w:val="auto"/>
        </w:rPr>
      </w:pPr>
    </w:p>
    <w:p>
      <w:pPr>
        <w:ind w:left="1140" w:right="1759"/>
        <w:spacing w:after="0" w:line="298" w:lineRule="auto"/>
        <w:rPr>
          <w:sz w:val="20"/>
          <w:szCs w:val="20"/>
          <w:color w:val="auto"/>
        </w:rPr>
      </w:pPr>
      <w:r>
        <w:rPr>
          <w:rFonts w:ascii="Arial" w:cs="Arial" w:eastAsia="Arial" w:hAnsi="Arial"/>
          <w:sz w:val="13"/>
          <w:szCs w:val="13"/>
          <w:b w:val="1"/>
          <w:bCs w:val="1"/>
          <w:i w:val="1"/>
          <w:i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warrants could be converted into cash or stock (at a ratio different than initially provided), the exercise period could be shortened and the number of shares of our Class A common stock purchasable upon exercise of a warrant could be decreased, all without your approval.</w:t>
      </w:r>
    </w:p>
    <w:p>
      <w:pPr>
        <w:spacing w:after="0" w:line="38" w:lineRule="exact"/>
        <w:rPr>
          <w:sz w:val="20"/>
          <w:szCs w:val="20"/>
          <w:color w:val="auto"/>
        </w:rPr>
      </w:pPr>
    </w:p>
    <w:p>
      <w:pPr>
        <w:ind w:left="1140" w:right="1579" w:firstLine="326"/>
        <w:spacing w:after="0" w:line="277" w:lineRule="auto"/>
        <w:rPr>
          <w:sz w:val="20"/>
          <w:szCs w:val="20"/>
          <w:color w:val="auto"/>
        </w:rPr>
      </w:pPr>
      <w:r>
        <w:rPr>
          <w:rFonts w:ascii="Arial" w:cs="Arial" w:eastAsia="Arial" w:hAnsi="Arial"/>
          <w:sz w:val="15"/>
          <w:szCs w:val="15"/>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 Accordingly, we may amend the terms of the public warrants in a manner adverse to a holder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our common stock</w:t>
      </w:r>
    </w:p>
    <w:p>
      <w:pPr>
        <w:spacing w:after="0" w:line="220"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61" w:name="page62"/>
    <w:bookmarkEnd w:id="61"/>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679"/>
        <w:spacing w:after="0" w:line="258" w:lineRule="auto"/>
        <w:rPr>
          <w:sz w:val="20"/>
          <w:szCs w:val="20"/>
          <w:color w:val="auto"/>
        </w:rPr>
      </w:pPr>
      <w:r>
        <w:rPr>
          <w:rFonts w:ascii="Arial" w:cs="Arial" w:eastAsia="Arial" w:hAnsi="Arial"/>
          <w:sz w:val="16"/>
          <w:szCs w:val="16"/>
          <w:color w:val="auto"/>
        </w:rPr>
        <w:t>purchasable upon exercise of a warrant. Our initial stockholders may purchase public warrants with the intention of reducing the number of public warrants outstanding or to vote such warrants on any matters submitted to warrantholders for approval, including amending the terms of the public warrants in a manner adverse to the interests of the registered holders of public warrants. While our initial stockholders have no current commitments, plans or intentions to engage in such transactions and have not formulated any terms or conditions for such transactions, there is no limit on the number of our public warrants that our initial stockholders may purchase and it is not currently known how many public warrants, if any, our initial stockholders may hold at the time of our initial business combination or at any other time during which the terms of the public warrants may be proposed to be amended. Please see “Proposed Business — Permitted purchases of our securities.”</w:t>
      </w:r>
    </w:p>
    <w:p>
      <w:pPr>
        <w:spacing w:after="0" w:line="163" w:lineRule="exact"/>
        <w:rPr>
          <w:sz w:val="20"/>
          <w:szCs w:val="20"/>
          <w:color w:val="auto"/>
        </w:rPr>
      </w:pPr>
    </w:p>
    <w:p>
      <w:pPr>
        <w:ind w:left="1140" w:right="1859"/>
        <w:spacing w:after="0" w:line="253" w:lineRule="auto"/>
        <w:rPr>
          <w:sz w:val="20"/>
          <w:szCs w:val="20"/>
          <w:color w:val="auto"/>
        </w:rPr>
      </w:pPr>
      <w:r>
        <w:rPr>
          <w:rFonts w:ascii="Arial" w:cs="Arial" w:eastAsia="Arial" w:hAnsi="Arial"/>
          <w:sz w:val="16"/>
          <w:szCs w:val="16"/>
          <w:b w:val="1"/>
          <w:bCs w:val="1"/>
          <w:i w:val="1"/>
          <w:iCs w:val="1"/>
          <w:color w:val="auto"/>
        </w:rPr>
        <w:t>We may redeem your unexpired warrants prior to their exercise at a time that is disadvantageous to you, thereby making your warrants worthless.</w:t>
      </w:r>
    </w:p>
    <w:p>
      <w:pPr>
        <w:spacing w:after="0" w:line="65" w:lineRule="exact"/>
        <w:rPr>
          <w:sz w:val="20"/>
          <w:szCs w:val="20"/>
          <w:color w:val="auto"/>
        </w:rPr>
      </w:pPr>
    </w:p>
    <w:p>
      <w:pPr>
        <w:ind w:left="1140" w:right="1599" w:firstLine="326"/>
        <w:spacing w:after="0" w:line="258" w:lineRule="auto"/>
        <w:rPr>
          <w:sz w:val="20"/>
          <w:szCs w:val="20"/>
          <w:color w:val="auto"/>
        </w:rPr>
      </w:pPr>
      <w:r>
        <w:rPr>
          <w:rFonts w:ascii="Arial" w:cs="Arial" w:eastAsia="Arial" w:hAnsi="Arial"/>
          <w:sz w:val="16"/>
          <w:szCs w:val="16"/>
          <w:color w:val="auto"/>
        </w:rPr>
        <w:t>We have the ability to redeem outstanding warrants at any time after they become exercisable and prior to their expiration, at a price of $0.01 per warrant, provided that the closing price of our Class A common stock equals or exceeds $18.00 per share (as adjusted for stock splits, stock dividends, reorganizations, recapitalizations and the like) for any 20 trading days within a 30 trading-day period ending on the third trading day prior to the date we send the notice of redemption to the warrant holders. If and when the warrants become redeemable by us, we may exercise our redemption right even if we are unable to register or qualify the underlying securities for sale under all applicable state securities laws. Redemption of the outstanding warrants could force you to: (1) exercise your warrants and pay the exercise price therefor at a time when it may be disadvantageous for you to do so (2) sell your warrants at the then-current market price when you might otherwise wish to hold your warrants; or (3) accept the nominal redemption price which, at the time the outstanding warrants are called for redemption, is likely to be substantially less than the market value of your warrants.</w:t>
      </w:r>
    </w:p>
    <w:p>
      <w:pPr>
        <w:spacing w:after="0" w:line="158" w:lineRule="exact"/>
        <w:rPr>
          <w:sz w:val="20"/>
          <w:szCs w:val="20"/>
          <w:color w:val="auto"/>
        </w:rPr>
      </w:pPr>
    </w:p>
    <w:p>
      <w:pPr>
        <w:ind w:left="1140" w:right="1599"/>
        <w:spacing w:after="0" w:line="253" w:lineRule="auto"/>
        <w:rPr>
          <w:sz w:val="20"/>
          <w:szCs w:val="20"/>
          <w:color w:val="auto"/>
        </w:rPr>
      </w:pPr>
      <w:r>
        <w:rPr>
          <w:rFonts w:ascii="Arial" w:cs="Arial" w:eastAsia="Arial" w:hAnsi="Arial"/>
          <w:sz w:val="16"/>
          <w:szCs w:val="16"/>
          <w:b w:val="1"/>
          <w:bCs w:val="1"/>
          <w:i w:val="1"/>
          <w:iCs w:val="1"/>
          <w:color w:val="auto"/>
        </w:rPr>
        <w:t>Our warrants and founder shares may have an adverse effect on the market price of our Class A common stock and make it more difficult to effectuate our initial business combination.</w:t>
      </w:r>
    </w:p>
    <w:p>
      <w:pPr>
        <w:spacing w:after="0" w:line="65" w:lineRule="exact"/>
        <w:rPr>
          <w:sz w:val="20"/>
          <w:szCs w:val="20"/>
          <w:color w:val="auto"/>
        </w:rPr>
      </w:pPr>
    </w:p>
    <w:p>
      <w:pPr>
        <w:ind w:left="1140" w:right="1599" w:firstLine="326"/>
        <w:spacing w:after="0" w:line="257" w:lineRule="auto"/>
        <w:rPr>
          <w:sz w:val="20"/>
          <w:szCs w:val="20"/>
          <w:color w:val="auto"/>
        </w:rPr>
      </w:pPr>
      <w:r>
        <w:rPr>
          <w:rFonts w:ascii="Arial" w:cs="Arial" w:eastAsia="Arial" w:hAnsi="Arial"/>
          <w:sz w:val="16"/>
          <w:szCs w:val="16"/>
          <w:color w:val="auto"/>
        </w:rPr>
        <w:t>We will be issuing warrants to purchase 30,000,000 shares of our Class A common stock (or up to 34,500,000 shares of our Class A common stock if the underwriters’ option to purchase additional units is exercised in full), at a price of $11.50 per whole share (subject to adjustment as provided herein), as part of the units offered by this prospectus. Simultaneously with the closing of this offering, we also will be issuing in the Private Placement an aggregate of 31,350,000 (or 35,850,000 if the underwriters’ option to purchase additional units is exercised in full) private placement warrants, each exercisable to purchase one share of Class A common stock at a price of $11.50 per share, subject to adjustment as provided herein. Our initial stockholders currently hold 43,125,000 founder shares (up to 5,625,000 of which are subject to forfeiture by our sponsor depending on the extent to which the underwriters’ option to purchase additional units is exercised). The founder shares are convertible into shares of Class A common stock on a one-for-one basis, subject to adjustment as set forth herein. In addition, if our sponsor, an affiliate of our sponsor or certain of our officers and directors make any working capital loans, up to $1,500,000 of such loans may be converted into warrants, at the price of $1.00 per warrant, at the option of the lender. Such warrants would be identical to the private placement warrants.</w:t>
      </w:r>
    </w:p>
    <w:p>
      <w:pPr>
        <w:spacing w:after="0" w:line="79" w:lineRule="exact"/>
        <w:rPr>
          <w:sz w:val="20"/>
          <w:szCs w:val="20"/>
          <w:color w:val="auto"/>
        </w:rPr>
      </w:pPr>
    </w:p>
    <w:p>
      <w:pPr>
        <w:ind w:left="1140" w:right="1619" w:firstLine="326"/>
        <w:spacing w:after="0" w:line="260" w:lineRule="auto"/>
        <w:rPr>
          <w:sz w:val="20"/>
          <w:szCs w:val="20"/>
          <w:color w:val="auto"/>
        </w:rPr>
      </w:pPr>
      <w:r>
        <w:rPr>
          <w:rFonts w:ascii="Arial" w:cs="Arial" w:eastAsia="Arial" w:hAnsi="Arial"/>
          <w:sz w:val="16"/>
          <w:szCs w:val="16"/>
          <w:color w:val="auto"/>
        </w:rPr>
        <w:t>To the extent we issue shares of Class A common stock to effectuate a business transaction, the potential for the issuance of a substantial number of additional shares of Class A common stock upon exercise of these warrants or conversion rights could make us a less attractive acquisition vehicle to a target business. Any such issuance will increase the number of outstanding shares of our Class A common stock and reduce the value of the Class A common stock issued to complete the business transaction. Therefore, our warrants and founder shares may make it more difficult to effectuate a business combination or increase the cost of acquiring the target business.</w:t>
      </w:r>
    </w:p>
    <w:p>
      <w:pPr>
        <w:spacing w:after="0" w:line="72" w:lineRule="exact"/>
        <w:rPr>
          <w:sz w:val="20"/>
          <w:szCs w:val="20"/>
          <w:color w:val="auto"/>
        </w:rPr>
      </w:pPr>
    </w:p>
    <w:p>
      <w:pPr>
        <w:ind w:left="1140" w:right="1679" w:firstLine="326"/>
        <w:spacing w:after="0" w:line="288" w:lineRule="auto"/>
        <w:rPr>
          <w:sz w:val="20"/>
          <w:szCs w:val="20"/>
          <w:color w:val="auto"/>
        </w:rPr>
      </w:pPr>
      <w:r>
        <w:rPr>
          <w:rFonts w:ascii="Arial" w:cs="Arial" w:eastAsia="Arial" w:hAnsi="Arial"/>
          <w:sz w:val="15"/>
          <w:szCs w:val="15"/>
          <w:color w:val="auto"/>
        </w:rPr>
        <w:t>The private placement warrants are identical to the warrants sold as part of the units in this offering except that, so long as they are held by our sponsor or its permitted transferees: (1) they will not be redeemable by us; (2) they (including the Class A common stock issuable upon exercise of these warrants) may not, subject to certain limited exceptions, be transferred, assigned or sold by our sponsor until 30 days</w:t>
      </w:r>
    </w:p>
    <w:p>
      <w:pPr>
        <w:spacing w:after="0" w:line="212"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2" w:name="page63"/>
    <w:bookmarkEnd w:id="62"/>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799"/>
        <w:spacing w:after="0" w:line="270" w:lineRule="auto"/>
        <w:rPr>
          <w:sz w:val="20"/>
          <w:szCs w:val="20"/>
          <w:color w:val="auto"/>
        </w:rPr>
      </w:pPr>
      <w:r>
        <w:rPr>
          <w:rFonts w:ascii="Arial" w:cs="Arial" w:eastAsia="Arial" w:hAnsi="Arial"/>
          <w:sz w:val="16"/>
          <w:szCs w:val="16"/>
          <w:color w:val="auto"/>
        </w:rPr>
        <w:t>after the completion of our initial business combination; (3) they may be exercised by the holders on a cashless basis; and (4) the holders thereof (including with respect to the shares of common stock issuable upon exercise of these warrants) are entitled to registration rights.</w:t>
      </w:r>
    </w:p>
    <w:p>
      <w:pPr>
        <w:spacing w:after="0" w:line="150" w:lineRule="exact"/>
        <w:rPr>
          <w:sz w:val="20"/>
          <w:szCs w:val="20"/>
          <w:color w:val="auto"/>
        </w:rPr>
      </w:pPr>
    </w:p>
    <w:p>
      <w:pPr>
        <w:ind w:left="1140" w:right="1599"/>
        <w:spacing w:after="0" w:line="254" w:lineRule="auto"/>
        <w:rPr>
          <w:sz w:val="20"/>
          <w:szCs w:val="20"/>
          <w:color w:val="auto"/>
        </w:rPr>
      </w:pPr>
      <w:r>
        <w:rPr>
          <w:rFonts w:ascii="Arial" w:cs="Arial" w:eastAsia="Arial" w:hAnsi="Arial"/>
          <w:sz w:val="15"/>
          <w:szCs w:val="15"/>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65" w:lineRule="exact"/>
        <w:rPr>
          <w:sz w:val="20"/>
          <w:szCs w:val="20"/>
          <w:color w:val="auto"/>
        </w:rPr>
      </w:pPr>
    </w:p>
    <w:p>
      <w:pPr>
        <w:ind w:left="1140" w:right="1559" w:firstLine="326"/>
        <w:spacing w:after="0" w:line="260" w:lineRule="auto"/>
        <w:rPr>
          <w:sz w:val="20"/>
          <w:szCs w:val="20"/>
          <w:color w:val="auto"/>
        </w:rPr>
      </w:pPr>
      <w:r>
        <w:rPr>
          <w:rFonts w:ascii="Arial" w:cs="Arial" w:eastAsia="Arial" w:hAnsi="Arial"/>
          <w:sz w:val="16"/>
          <w:szCs w:val="16"/>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Class A common stock and warrants underlying the units, include:</w:t>
      </w:r>
    </w:p>
    <w:p>
      <w:pPr>
        <w:spacing w:after="0" w:line="97" w:lineRule="exact"/>
        <w:rPr>
          <w:sz w:val="20"/>
          <w:szCs w:val="20"/>
          <w:color w:val="auto"/>
        </w:rPr>
      </w:pPr>
    </w:p>
    <w:p>
      <w:pPr>
        <w:ind w:left="1800" w:right="2139" w:hanging="335"/>
        <w:spacing w:after="0" w:line="285" w:lineRule="auto"/>
        <w:tabs>
          <w:tab w:leader="none" w:pos="1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history and prospects of companies whose principal business is the acquisition of other companies;</w:t>
      </w:r>
    </w:p>
    <w:p>
      <w:pPr>
        <w:spacing w:after="0" w:line="88" w:lineRule="exact"/>
        <w:rPr>
          <w:rFonts w:ascii="Arial" w:cs="Arial" w:eastAsia="Arial" w:hAnsi="Arial"/>
          <w:sz w:val="16"/>
          <w:szCs w:val="16"/>
          <w:color w:val="auto"/>
        </w:rPr>
      </w:pPr>
    </w:p>
    <w:p>
      <w:pPr>
        <w:ind w:left="1800" w:hanging="335"/>
        <w:spacing w:after="0"/>
        <w:tabs>
          <w:tab w:leader="none" w:pos="1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prior offerings of those companies;</w:t>
      </w:r>
    </w:p>
    <w:p>
      <w:pPr>
        <w:spacing w:after="0" w:line="134" w:lineRule="exact"/>
        <w:rPr>
          <w:rFonts w:ascii="Arial" w:cs="Arial" w:eastAsia="Arial" w:hAnsi="Arial"/>
          <w:sz w:val="16"/>
          <w:szCs w:val="16"/>
          <w:color w:val="auto"/>
        </w:rPr>
      </w:pPr>
    </w:p>
    <w:p>
      <w:pPr>
        <w:ind w:left="1800" w:hanging="335"/>
        <w:spacing w:after="0"/>
        <w:tabs>
          <w:tab w:leader="none" w:pos="1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prospects for acquiring an operating business;</w:t>
      </w:r>
    </w:p>
    <w:p>
      <w:pPr>
        <w:spacing w:after="0" w:line="134" w:lineRule="exact"/>
        <w:rPr>
          <w:rFonts w:ascii="Arial" w:cs="Arial" w:eastAsia="Arial" w:hAnsi="Arial"/>
          <w:sz w:val="16"/>
          <w:szCs w:val="16"/>
          <w:color w:val="auto"/>
        </w:rPr>
      </w:pPr>
    </w:p>
    <w:p>
      <w:pPr>
        <w:ind w:left="1800" w:hanging="335"/>
        <w:spacing w:after="0"/>
        <w:tabs>
          <w:tab w:leader="none" w:pos="1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review of debt to equity ratios in leveraged transactions;</w:t>
      </w:r>
    </w:p>
    <w:p>
      <w:pPr>
        <w:spacing w:after="0" w:line="134" w:lineRule="exact"/>
        <w:rPr>
          <w:rFonts w:ascii="Arial" w:cs="Arial" w:eastAsia="Arial" w:hAnsi="Arial"/>
          <w:sz w:val="16"/>
          <w:szCs w:val="16"/>
          <w:color w:val="auto"/>
        </w:rPr>
      </w:pPr>
    </w:p>
    <w:p>
      <w:pPr>
        <w:ind w:left="1800" w:hanging="335"/>
        <w:spacing w:after="0"/>
        <w:tabs>
          <w:tab w:leader="none" w:pos="1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capital structure;</w:t>
      </w:r>
    </w:p>
    <w:p>
      <w:pPr>
        <w:spacing w:after="0" w:line="134" w:lineRule="exact"/>
        <w:rPr>
          <w:rFonts w:ascii="Arial" w:cs="Arial" w:eastAsia="Arial" w:hAnsi="Arial"/>
          <w:sz w:val="16"/>
          <w:szCs w:val="16"/>
          <w:color w:val="auto"/>
        </w:rPr>
      </w:pPr>
    </w:p>
    <w:p>
      <w:pPr>
        <w:ind w:left="1800" w:right="2239" w:hanging="335"/>
        <w:spacing w:after="0" w:line="285" w:lineRule="auto"/>
        <w:tabs>
          <w:tab w:leader="none" w:pos="1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assessment of our management and their experience in identifying suitable acquisition opportunities;</w:t>
      </w:r>
    </w:p>
    <w:p>
      <w:pPr>
        <w:spacing w:after="0" w:line="76" w:lineRule="exact"/>
        <w:rPr>
          <w:rFonts w:ascii="Arial" w:cs="Arial" w:eastAsia="Arial" w:hAnsi="Arial"/>
          <w:sz w:val="16"/>
          <w:szCs w:val="16"/>
          <w:color w:val="auto"/>
        </w:rPr>
      </w:pPr>
    </w:p>
    <w:p>
      <w:pPr>
        <w:ind w:left="1800" w:hanging="335"/>
        <w:spacing w:after="0"/>
        <w:tabs>
          <w:tab w:leader="none" w:pos="1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general conditions of the securities markets at the time of this offering; and</w:t>
      </w:r>
    </w:p>
    <w:p>
      <w:pPr>
        <w:spacing w:after="0" w:line="134" w:lineRule="exact"/>
        <w:rPr>
          <w:rFonts w:ascii="Arial" w:cs="Arial" w:eastAsia="Arial" w:hAnsi="Arial"/>
          <w:sz w:val="16"/>
          <w:szCs w:val="16"/>
          <w:color w:val="auto"/>
        </w:rPr>
      </w:pPr>
    </w:p>
    <w:p>
      <w:pPr>
        <w:ind w:left="1800" w:hanging="335"/>
        <w:spacing w:after="0"/>
        <w:tabs>
          <w:tab w:leader="none" w:pos="1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other factors as were deemed relevant.</w:t>
      </w:r>
    </w:p>
    <w:p>
      <w:pPr>
        <w:spacing w:after="0" w:line="110" w:lineRule="exact"/>
        <w:rPr>
          <w:sz w:val="20"/>
          <w:szCs w:val="20"/>
          <w:color w:val="auto"/>
        </w:rPr>
      </w:pPr>
    </w:p>
    <w:p>
      <w:pPr>
        <w:jc w:val="both"/>
        <w:ind w:left="1140" w:right="1639" w:firstLine="326"/>
        <w:spacing w:after="0" w:line="265" w:lineRule="auto"/>
        <w:rPr>
          <w:sz w:val="20"/>
          <w:szCs w:val="20"/>
          <w:color w:val="auto"/>
        </w:rPr>
      </w:pPr>
      <w:r>
        <w:rPr>
          <w:rFonts w:ascii="Arial" w:cs="Arial" w:eastAsia="Arial" w:hAnsi="Arial"/>
          <w:sz w:val="16"/>
          <w:szCs w:val="16"/>
          <w:color w:val="auto"/>
        </w:rPr>
        <w:t>Although these factors were considered, the determination of our offering size, price and the terms of the units, including the Class A common stock and warrants underlying the units, is more arbitrary than the pricing of securities of an operating company in a particular industry since we have no historical operations or financial results.</w:t>
      </w:r>
    </w:p>
    <w:p>
      <w:pPr>
        <w:spacing w:after="0" w:line="154" w:lineRule="exact"/>
        <w:rPr>
          <w:sz w:val="20"/>
          <w:szCs w:val="20"/>
          <w:color w:val="auto"/>
        </w:rPr>
      </w:pPr>
    </w:p>
    <w:p>
      <w:pPr>
        <w:ind w:left="1140" w:right="2039"/>
        <w:spacing w:after="0" w:line="253" w:lineRule="auto"/>
        <w:rPr>
          <w:sz w:val="20"/>
          <w:szCs w:val="20"/>
          <w:color w:val="auto"/>
        </w:rPr>
      </w:pPr>
      <w:r>
        <w:rPr>
          <w:rFonts w:ascii="Arial" w:cs="Arial" w:eastAsia="Arial" w:hAnsi="Arial"/>
          <w:sz w:val="16"/>
          <w:szCs w:val="16"/>
          <w:b w:val="1"/>
          <w:bCs w:val="1"/>
          <w:i w:val="1"/>
          <w:iCs w:val="1"/>
          <w:color w:val="auto"/>
        </w:rPr>
        <w:t>There is currently no market for our securities and a market for our securities may not develop, which would adversely affect the liquidity and price of our securities.</w:t>
      </w:r>
    </w:p>
    <w:p>
      <w:pPr>
        <w:spacing w:after="0" w:line="65" w:lineRule="exact"/>
        <w:rPr>
          <w:sz w:val="20"/>
          <w:szCs w:val="20"/>
          <w:color w:val="auto"/>
        </w:rPr>
      </w:pPr>
    </w:p>
    <w:p>
      <w:pPr>
        <w:ind w:left="1140" w:right="1579" w:firstLine="326"/>
        <w:spacing w:after="0" w:line="261" w:lineRule="auto"/>
        <w:rPr>
          <w:sz w:val="20"/>
          <w:szCs w:val="20"/>
          <w:color w:val="auto"/>
        </w:rPr>
      </w:pPr>
      <w:r>
        <w:rPr>
          <w:rFonts w:ascii="Arial" w:cs="Arial" w:eastAsia="Arial" w:hAnsi="Arial"/>
          <w:sz w:val="16"/>
          <w:szCs w:val="16"/>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including as a result of the COVID-19 outbreak. Furthermore, an active trading market for our securities may never develop or, if developed, it may not be sustained. You may be unable to sell your securities unless a market can be established and sustained.</w:t>
      </w:r>
    </w:p>
    <w:p>
      <w:pPr>
        <w:spacing w:after="0" w:line="157" w:lineRule="exact"/>
        <w:rPr>
          <w:sz w:val="20"/>
          <w:szCs w:val="20"/>
          <w:color w:val="auto"/>
        </w:rPr>
      </w:pPr>
    </w:p>
    <w:p>
      <w:pPr>
        <w:ind w:left="1140" w:right="1979"/>
        <w:spacing w:after="0" w:line="363" w:lineRule="auto"/>
        <w:rPr>
          <w:sz w:val="20"/>
          <w:szCs w:val="20"/>
          <w:color w:val="auto"/>
        </w:rPr>
      </w:pPr>
      <w:r>
        <w:rPr>
          <w:rFonts w:ascii="Arial" w:cs="Arial" w:eastAsia="Arial" w:hAnsi="Arial"/>
          <w:sz w:val="13"/>
          <w:szCs w:val="13"/>
          <w:b w:val="1"/>
          <w:bCs w:val="1"/>
          <w:i w:val="1"/>
          <w:iCs w:val="1"/>
          <w:color w:val="auto"/>
        </w:rPr>
        <w:t>Because we must furnish our stockholders with target business financial statements, we may lose the ability to complete an otherwise advantageous initial business combination with some prospective target businesses.</w:t>
      </w:r>
    </w:p>
    <w:p>
      <w:pPr>
        <w:ind w:left="1140" w:right="1619" w:firstLine="326"/>
        <w:spacing w:after="0" w:line="279" w:lineRule="auto"/>
        <w:rPr>
          <w:sz w:val="20"/>
          <w:szCs w:val="20"/>
          <w:color w:val="auto"/>
        </w:rPr>
      </w:pPr>
      <w:r>
        <w:rPr>
          <w:rFonts w:ascii="Arial" w:cs="Arial" w:eastAsia="Arial" w:hAnsi="Arial"/>
          <w:sz w:val="15"/>
          <w:szCs w:val="15"/>
          <w:color w:val="auto"/>
        </w:rPr>
        <w:t>The federal proxy rules require that a proxy statement with respect to a vote on a business combination include historical and/or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w:t>
      </w:r>
    </w:p>
    <w:p>
      <w:pPr>
        <w:spacing w:after="0" w:line="218"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63" w:name="page64"/>
    <w:bookmarkEnd w:id="63"/>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739"/>
        <w:spacing w:after="0" w:line="265" w:lineRule="auto"/>
        <w:rPr>
          <w:sz w:val="20"/>
          <w:szCs w:val="20"/>
          <w:color w:val="auto"/>
        </w:rPr>
      </w:pPr>
      <w:r>
        <w:rPr>
          <w:rFonts w:ascii="Arial" w:cs="Arial" w:eastAsia="Arial" w:hAnsi="Arial"/>
          <w:sz w:val="16"/>
          <w:szCs w:val="16"/>
          <w:color w:val="auto"/>
        </w:rPr>
        <w:t>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completion window.</w:t>
      </w:r>
    </w:p>
    <w:p>
      <w:pPr>
        <w:spacing w:after="0" w:line="154" w:lineRule="exact"/>
        <w:rPr>
          <w:sz w:val="20"/>
          <w:szCs w:val="20"/>
          <w:color w:val="auto"/>
        </w:rPr>
      </w:pPr>
    </w:p>
    <w:p>
      <w:pPr>
        <w:ind w:left="1140" w:right="1599"/>
        <w:spacing w:after="0" w:line="321" w:lineRule="auto"/>
        <w:rPr>
          <w:sz w:val="20"/>
          <w:szCs w:val="20"/>
          <w:color w:val="auto"/>
        </w:rPr>
      </w:pPr>
      <w:r>
        <w:rPr>
          <w:rFonts w:ascii="Arial" w:cs="Arial" w:eastAsia="Arial" w:hAnsi="Arial"/>
          <w:sz w:val="13"/>
          <w:szCs w:val="13"/>
          <w:b w:val="1"/>
          <w:bCs w:val="1"/>
          <w:i w:val="1"/>
          <w:iCs w:val="1"/>
          <w:color w:val="auto"/>
        </w:rPr>
        <w:t>We are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24" w:lineRule="exact"/>
        <w:rPr>
          <w:sz w:val="20"/>
          <w:szCs w:val="20"/>
          <w:color w:val="auto"/>
        </w:rPr>
      </w:pPr>
    </w:p>
    <w:p>
      <w:pPr>
        <w:ind w:left="1140" w:right="1599" w:firstLine="326"/>
        <w:spacing w:after="0" w:line="257" w:lineRule="auto"/>
        <w:rPr>
          <w:sz w:val="20"/>
          <w:szCs w:val="20"/>
          <w:color w:val="auto"/>
        </w:rPr>
      </w:pPr>
      <w:r>
        <w:rPr>
          <w:rFonts w:ascii="Arial" w:cs="Arial" w:eastAsia="Arial" w:hAnsi="Arial"/>
          <w:sz w:val="16"/>
          <w:szCs w:val="16"/>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common stock held by non-affiliates exceeds $700 million as of the end of any second quarter of a fiscal year, in which case we would no longer be an emerging growth company as of the end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77" w:lineRule="exact"/>
        <w:rPr>
          <w:sz w:val="20"/>
          <w:szCs w:val="20"/>
          <w:color w:val="auto"/>
        </w:rPr>
      </w:pPr>
    </w:p>
    <w:p>
      <w:pPr>
        <w:ind w:left="1140" w:right="1579" w:firstLine="326"/>
        <w:spacing w:after="0" w:line="257"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ind w:left="1140" w:right="1679"/>
        <w:spacing w:after="0" w:line="239" w:lineRule="auto"/>
        <w:rPr>
          <w:sz w:val="20"/>
          <w:szCs w:val="20"/>
          <w:color w:val="auto"/>
        </w:rPr>
      </w:pPr>
      <w:r>
        <w:rPr>
          <w:rFonts w:ascii="Arial" w:cs="Arial" w:eastAsia="Arial" w:hAnsi="Arial"/>
          <w:sz w:val="16"/>
          <w:szCs w:val="16"/>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74" w:lineRule="exact"/>
        <w:rPr>
          <w:sz w:val="20"/>
          <w:szCs w:val="20"/>
          <w:color w:val="auto"/>
        </w:rPr>
      </w:pPr>
    </w:p>
    <w:p>
      <w:pPr>
        <w:ind w:left="1140" w:right="1579" w:firstLine="326"/>
        <w:spacing w:after="0" w:line="276" w:lineRule="auto"/>
        <w:rPr>
          <w:sz w:val="20"/>
          <w:szCs w:val="20"/>
          <w:color w:val="auto"/>
        </w:rPr>
      </w:pPr>
      <w:r>
        <w:rPr>
          <w:rFonts w:ascii="Arial" w:cs="Arial" w:eastAsia="Arial" w:hAnsi="Arial"/>
          <w:sz w:val="15"/>
          <w:szCs w:val="15"/>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initial business combination.</w:t>
      </w:r>
    </w:p>
    <w:p>
      <w:pPr>
        <w:spacing w:after="0" w:line="210"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4" w:name="page65"/>
    <w:bookmarkEnd w:id="64"/>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1140" w:right="1639"/>
        <w:spacing w:after="0" w:line="239" w:lineRule="auto"/>
        <w:rPr>
          <w:sz w:val="20"/>
          <w:szCs w:val="20"/>
          <w:color w:val="auto"/>
        </w:rPr>
      </w:pPr>
      <w:r>
        <w:rPr>
          <w:rFonts w:ascii="Arial" w:cs="Arial" w:eastAsia="Arial" w:hAnsi="Arial"/>
          <w:sz w:val="16"/>
          <w:szCs w:val="16"/>
          <w:b w:val="1"/>
          <w:bCs w:val="1"/>
          <w:i w:val="1"/>
          <w:iCs w:val="1"/>
          <w:color w:val="auto"/>
        </w:rPr>
        <w:t>Provisions in our amended and restated certificate of incorporation and Delaware law may inhibit a takeover of us, which could limit the price investors might be willing to pay in the future for our Class A common stock and could entrench management.</w:t>
      </w:r>
    </w:p>
    <w:p>
      <w:pPr>
        <w:spacing w:after="0" w:line="74" w:lineRule="exact"/>
        <w:rPr>
          <w:sz w:val="20"/>
          <w:szCs w:val="20"/>
          <w:color w:val="auto"/>
        </w:rPr>
      </w:pPr>
    </w:p>
    <w:p>
      <w:pPr>
        <w:ind w:left="1140" w:right="1639" w:firstLine="326"/>
        <w:spacing w:after="0" w:line="261" w:lineRule="auto"/>
        <w:rPr>
          <w:sz w:val="20"/>
          <w:szCs w:val="20"/>
          <w:color w:val="auto"/>
        </w:rPr>
      </w:pPr>
      <w:r>
        <w:rPr>
          <w:rFonts w:ascii="Arial" w:cs="Arial" w:eastAsia="Arial" w:hAnsi="Arial"/>
          <w:sz w:val="16"/>
          <w:szCs w:val="16"/>
          <w:color w:val="auto"/>
        </w:rPr>
        <w:t>Our amended and restated certificate of incorporation will contain provisions that may discourage unsolicited takeover proposals that stockholders may consider to be in their best interests. These provisions include three-year director terms and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spacing w:after="0" w:line="71" w:lineRule="exact"/>
        <w:rPr>
          <w:sz w:val="20"/>
          <w:szCs w:val="20"/>
          <w:color w:val="auto"/>
        </w:rPr>
      </w:pPr>
    </w:p>
    <w:p>
      <w:pPr>
        <w:ind w:left="1140" w:right="1579" w:firstLine="326"/>
        <w:spacing w:after="0" w:line="276" w:lineRule="auto"/>
        <w:rPr>
          <w:sz w:val="20"/>
          <w:szCs w:val="20"/>
          <w:color w:val="auto"/>
        </w:rPr>
      </w:pPr>
      <w:r>
        <w:rPr>
          <w:rFonts w:ascii="Arial" w:cs="Arial" w:eastAsia="Arial" w:hAnsi="Arial"/>
          <w:sz w:val="15"/>
          <w:szCs w:val="15"/>
          <w:color w:val="auto"/>
        </w:rPr>
        <w:t>Section 203 of the DGCL affects the ability of an “interested stockholder” to engage in certain business combinations, for a period of three years following the time that the stockholder becomes an “interested stockholder.” We will elect in our certificate of incorporation not to be subject to Section 203 of the DGCL. Nevertheless, our certificate of incorporation will contain provisions that have the same effect as</w:t>
      </w:r>
    </w:p>
    <w:p>
      <w:pPr>
        <w:spacing w:after="0" w:line="1" w:lineRule="exact"/>
        <w:rPr>
          <w:sz w:val="20"/>
          <w:szCs w:val="20"/>
          <w:color w:val="auto"/>
        </w:rPr>
      </w:pPr>
    </w:p>
    <w:p>
      <w:pPr>
        <w:ind w:left="1140" w:right="1619"/>
        <w:spacing w:after="0" w:line="260" w:lineRule="auto"/>
        <w:rPr>
          <w:sz w:val="20"/>
          <w:szCs w:val="20"/>
          <w:color w:val="auto"/>
        </w:rPr>
      </w:pPr>
      <w:r>
        <w:rPr>
          <w:rFonts w:ascii="Arial" w:cs="Arial" w:eastAsia="Arial" w:hAnsi="Arial"/>
          <w:sz w:val="16"/>
          <w:szCs w:val="16"/>
          <w:color w:val="auto"/>
        </w:rPr>
        <w:t>Section 203 of the DGCL, except that it will provide that affiliates of our sponsor and their transferees will not be deemed to be “interested stockholders,” regardless of the percentage of our voting stock owned by them, and will therefore not be subject to such restrictions. These charter provisions may limit the ability of third parties to acquire control of our company.</w:t>
      </w:r>
    </w:p>
    <w:p>
      <w:pPr>
        <w:spacing w:after="0" w:line="157" w:lineRule="exact"/>
        <w:rPr>
          <w:sz w:val="20"/>
          <w:szCs w:val="20"/>
          <w:color w:val="auto"/>
        </w:rPr>
      </w:pPr>
    </w:p>
    <w:p>
      <w:pPr>
        <w:ind w:left="1140" w:right="2059"/>
        <w:spacing w:after="0" w:line="253" w:lineRule="auto"/>
        <w:rPr>
          <w:sz w:val="20"/>
          <w:szCs w:val="20"/>
          <w:color w:val="auto"/>
        </w:rPr>
      </w:pPr>
      <w:r>
        <w:rPr>
          <w:rFonts w:ascii="Arial" w:cs="Arial" w:eastAsia="Arial" w:hAnsi="Arial"/>
          <w:sz w:val="16"/>
          <w:szCs w:val="16"/>
          <w:b w:val="1"/>
          <w:bCs w:val="1"/>
          <w:i w:val="1"/>
          <w:iCs w:val="1"/>
          <w:color w:val="auto"/>
        </w:rPr>
        <w:t>Provisions in our amended and restated certificate of incorporation and Delaware law may have the effect of discouraging lawsuits against our directors and officers.</w:t>
      </w:r>
    </w:p>
    <w:p>
      <w:pPr>
        <w:spacing w:after="0" w:line="65" w:lineRule="exact"/>
        <w:rPr>
          <w:sz w:val="20"/>
          <w:szCs w:val="20"/>
          <w:color w:val="auto"/>
        </w:rPr>
      </w:pPr>
    </w:p>
    <w:p>
      <w:pPr>
        <w:ind w:left="1140" w:right="1579" w:firstLine="326"/>
        <w:spacing w:after="0" w:line="261" w:lineRule="auto"/>
        <w:rPr>
          <w:sz w:val="20"/>
          <w:szCs w:val="20"/>
          <w:color w:val="auto"/>
        </w:rPr>
      </w:pPr>
      <w:r>
        <w:rPr>
          <w:rFonts w:ascii="Arial" w:cs="Arial" w:eastAsia="Arial" w:hAnsi="Arial"/>
          <w:sz w:val="16"/>
          <w:szCs w:val="16"/>
          <w:color w:val="auto"/>
        </w:rPr>
        <w:t>Our amended and restated certificate of incorporation will require, to the fullest extent permitted by law, that derivative actions brought in our name, actions against directors, officers and employees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This provision may have the effect of discouraging lawsuits against our directors and officers.</w:t>
      </w:r>
    </w:p>
    <w:p>
      <w:pPr>
        <w:spacing w:after="0" w:line="157" w:lineRule="exact"/>
        <w:rPr>
          <w:sz w:val="20"/>
          <w:szCs w:val="20"/>
          <w:color w:val="auto"/>
        </w:rPr>
      </w:pPr>
    </w:p>
    <w:p>
      <w:pPr>
        <w:ind w:left="1140" w:right="1619"/>
        <w:spacing w:after="0" w:line="278" w:lineRule="auto"/>
        <w:rPr>
          <w:sz w:val="20"/>
          <w:szCs w:val="20"/>
          <w:color w:val="auto"/>
        </w:rPr>
      </w:pPr>
      <w:r>
        <w:rPr>
          <w:rFonts w:ascii="Arial" w:cs="Arial" w:eastAsia="Arial" w:hAnsi="Arial"/>
          <w:sz w:val="14"/>
          <w:szCs w:val="14"/>
          <w:b w:val="1"/>
          <w:bCs w:val="1"/>
          <w:i w:val="1"/>
          <w:iCs w:val="1"/>
          <w:color w:val="auto"/>
        </w:rPr>
        <w:t>If our management team pursues a company with operations or opportunities outside of the United States for our initial business combination, we may face additional burdens in connection with investigating, agreeing to and completing such combination, and if we effect such initial business combination, we would be subject to a variety of additional risks that may negatively impact our operations.</w:t>
      </w:r>
    </w:p>
    <w:p>
      <w:pPr>
        <w:spacing w:after="0" w:line="49" w:lineRule="exact"/>
        <w:rPr>
          <w:sz w:val="20"/>
          <w:szCs w:val="20"/>
          <w:color w:val="auto"/>
        </w:rPr>
      </w:pPr>
    </w:p>
    <w:p>
      <w:pPr>
        <w:ind w:left="1140" w:right="1639" w:firstLine="326"/>
        <w:spacing w:after="0" w:line="261" w:lineRule="auto"/>
        <w:rPr>
          <w:sz w:val="20"/>
          <w:szCs w:val="20"/>
          <w:color w:val="auto"/>
        </w:rPr>
      </w:pPr>
      <w:r>
        <w:rPr>
          <w:rFonts w:ascii="Arial" w:cs="Arial" w:eastAsia="Arial" w:hAnsi="Arial"/>
          <w:sz w:val="16"/>
          <w:szCs w:val="16"/>
          <w:color w:val="auto"/>
        </w:rPr>
        <w:t>If our management team pursues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71" w:lineRule="exact"/>
        <w:rPr>
          <w:sz w:val="20"/>
          <w:szCs w:val="20"/>
          <w:color w:val="auto"/>
        </w:rPr>
      </w:pPr>
    </w:p>
    <w:p>
      <w:pPr>
        <w:jc w:val="both"/>
        <w:ind w:left="1140" w:right="1659" w:firstLine="326"/>
        <w:spacing w:after="0" w:line="270" w:lineRule="auto"/>
        <w:rPr>
          <w:sz w:val="20"/>
          <w:szCs w:val="20"/>
          <w:color w:val="auto"/>
        </w:rPr>
      </w:pPr>
      <w:r>
        <w:rPr>
          <w:rFonts w:ascii="Arial" w:cs="Arial" w:eastAsia="Arial" w:hAnsi="Arial"/>
          <w:sz w:val="16"/>
          <w:szCs w:val="16"/>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88" w:lineRule="exact"/>
        <w:rPr>
          <w:sz w:val="20"/>
          <w:szCs w:val="20"/>
          <w:color w:val="auto"/>
        </w:rPr>
      </w:pPr>
    </w:p>
    <w:p>
      <w:pPr>
        <w:ind w:left="1800" w:right="1759" w:hanging="335"/>
        <w:spacing w:after="0" w:line="285" w:lineRule="auto"/>
        <w:tabs>
          <w:tab w:leader="none" w:pos="1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costs and difficulties inherent in managing cross-border business operations and complying with commercial and legal requirements of overseas markets;</w:t>
      </w:r>
    </w:p>
    <w:p>
      <w:pPr>
        <w:spacing w:after="0" w:line="64" w:lineRule="exact"/>
        <w:rPr>
          <w:rFonts w:ascii="Arial" w:cs="Arial" w:eastAsia="Arial" w:hAnsi="Arial"/>
          <w:sz w:val="16"/>
          <w:szCs w:val="16"/>
          <w:color w:val="auto"/>
        </w:rPr>
      </w:pPr>
    </w:p>
    <w:p>
      <w:pPr>
        <w:ind w:left="1800" w:hanging="335"/>
        <w:spacing w:after="0"/>
        <w:tabs>
          <w:tab w:leader="none" w:pos="1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rules and regulations regarding currency redemption;</w:t>
      </w:r>
    </w:p>
    <w:p>
      <w:pPr>
        <w:spacing w:after="0" w:line="121" w:lineRule="exact"/>
        <w:rPr>
          <w:rFonts w:ascii="Arial" w:cs="Arial" w:eastAsia="Arial" w:hAnsi="Arial"/>
          <w:sz w:val="16"/>
          <w:szCs w:val="16"/>
          <w:color w:val="auto"/>
        </w:rPr>
      </w:pPr>
    </w:p>
    <w:p>
      <w:pPr>
        <w:ind w:left="1800" w:hanging="335"/>
        <w:spacing w:after="0"/>
        <w:tabs>
          <w:tab w:leader="none" w:pos="1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complex corporate withholding taxes on individuals;</w:t>
      </w:r>
    </w:p>
    <w:p>
      <w:pPr>
        <w:spacing w:after="0" w:line="134" w:lineRule="exact"/>
        <w:rPr>
          <w:rFonts w:ascii="Arial" w:cs="Arial" w:eastAsia="Arial" w:hAnsi="Arial"/>
          <w:sz w:val="16"/>
          <w:szCs w:val="16"/>
          <w:color w:val="auto"/>
        </w:rPr>
      </w:pPr>
    </w:p>
    <w:p>
      <w:pPr>
        <w:ind w:left="1800" w:hanging="335"/>
        <w:spacing w:after="0"/>
        <w:tabs>
          <w:tab w:leader="none" w:pos="1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laws governing the manner in which future business combinations may be effected;</w:t>
      </w:r>
    </w:p>
    <w:p>
      <w:pPr>
        <w:spacing w:after="0" w:line="121" w:lineRule="exact"/>
        <w:rPr>
          <w:rFonts w:ascii="Arial" w:cs="Arial" w:eastAsia="Arial" w:hAnsi="Arial"/>
          <w:sz w:val="16"/>
          <w:szCs w:val="16"/>
          <w:color w:val="auto"/>
        </w:rPr>
      </w:pPr>
    </w:p>
    <w:p>
      <w:pPr>
        <w:ind w:left="1800" w:hanging="335"/>
        <w:spacing w:after="0"/>
        <w:tabs>
          <w:tab w:leader="none" w:pos="1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tariffs and trade barriers;</w:t>
      </w:r>
    </w:p>
    <w:p>
      <w:pPr>
        <w:spacing w:after="0" w:line="121" w:lineRule="exact"/>
        <w:rPr>
          <w:rFonts w:ascii="Arial" w:cs="Arial" w:eastAsia="Arial" w:hAnsi="Arial"/>
          <w:sz w:val="16"/>
          <w:szCs w:val="16"/>
          <w:color w:val="auto"/>
        </w:rPr>
      </w:pPr>
    </w:p>
    <w:p>
      <w:pPr>
        <w:ind w:left="1800" w:hanging="335"/>
        <w:spacing w:after="0"/>
        <w:tabs>
          <w:tab w:leader="none" w:pos="1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regulations related to customs and import/export matters;</w:t>
      </w:r>
    </w:p>
    <w:p>
      <w:pPr>
        <w:spacing w:after="0" w:line="134" w:lineRule="exact"/>
        <w:rPr>
          <w:rFonts w:ascii="Arial" w:cs="Arial" w:eastAsia="Arial" w:hAnsi="Arial"/>
          <w:sz w:val="16"/>
          <w:szCs w:val="16"/>
          <w:color w:val="auto"/>
        </w:rPr>
      </w:pPr>
    </w:p>
    <w:p>
      <w:pPr>
        <w:ind w:left="1800" w:hanging="335"/>
        <w:spacing w:after="0"/>
        <w:tabs>
          <w:tab w:leader="none" w:pos="1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longer payment cycles;</w:t>
      </w:r>
    </w:p>
    <w:p>
      <w:pPr>
        <w:spacing w:after="0" w:line="121" w:lineRule="exact"/>
        <w:rPr>
          <w:rFonts w:ascii="Arial" w:cs="Arial" w:eastAsia="Arial" w:hAnsi="Arial"/>
          <w:sz w:val="16"/>
          <w:szCs w:val="16"/>
          <w:color w:val="auto"/>
        </w:rPr>
      </w:pPr>
    </w:p>
    <w:p>
      <w:pPr>
        <w:ind w:left="1800" w:hanging="335"/>
        <w:spacing w:after="0"/>
        <w:tabs>
          <w:tab w:leader="none" w:pos="1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tax consequences;</w:t>
      </w:r>
    </w:p>
    <w:p>
      <w:pPr>
        <w:spacing w:after="0" w:line="256"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65" w:name="page66"/>
    <w:bookmarkEnd w:id="65"/>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800" w:hanging="335"/>
        <w:spacing w:after="0"/>
        <w:tabs>
          <w:tab w:leader="none" w:pos="1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currency fluctuations and exchange controls;</w:t>
      </w:r>
    </w:p>
    <w:p>
      <w:pPr>
        <w:spacing w:after="0" w:line="182" w:lineRule="exact"/>
        <w:rPr>
          <w:rFonts w:ascii="Arial" w:cs="Arial" w:eastAsia="Arial" w:hAnsi="Arial"/>
          <w:sz w:val="16"/>
          <w:szCs w:val="16"/>
          <w:color w:val="auto"/>
        </w:rPr>
      </w:pPr>
    </w:p>
    <w:p>
      <w:pPr>
        <w:ind w:left="1800" w:hanging="335"/>
        <w:spacing w:after="0"/>
        <w:tabs>
          <w:tab w:leader="none" w:pos="1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rates of inflation;</w:t>
      </w:r>
    </w:p>
    <w:p>
      <w:pPr>
        <w:spacing w:after="0" w:line="170" w:lineRule="exact"/>
        <w:rPr>
          <w:rFonts w:ascii="Arial" w:cs="Arial" w:eastAsia="Arial" w:hAnsi="Arial"/>
          <w:sz w:val="16"/>
          <w:szCs w:val="16"/>
          <w:color w:val="auto"/>
        </w:rPr>
      </w:pPr>
    </w:p>
    <w:p>
      <w:pPr>
        <w:ind w:left="1800" w:hanging="335"/>
        <w:spacing w:after="0"/>
        <w:tabs>
          <w:tab w:leader="none" w:pos="1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challenges in collecting accounts receivable;</w:t>
      </w:r>
    </w:p>
    <w:p>
      <w:pPr>
        <w:spacing w:after="0" w:line="170" w:lineRule="exact"/>
        <w:rPr>
          <w:rFonts w:ascii="Arial" w:cs="Arial" w:eastAsia="Arial" w:hAnsi="Arial"/>
          <w:sz w:val="16"/>
          <w:szCs w:val="16"/>
          <w:color w:val="auto"/>
        </w:rPr>
      </w:pPr>
    </w:p>
    <w:p>
      <w:pPr>
        <w:ind w:left="1800" w:hanging="335"/>
        <w:spacing w:after="0"/>
        <w:tabs>
          <w:tab w:leader="none" w:pos="1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cultural and language differences;</w:t>
      </w:r>
    </w:p>
    <w:p>
      <w:pPr>
        <w:spacing w:after="0" w:line="182" w:lineRule="exact"/>
        <w:rPr>
          <w:rFonts w:ascii="Arial" w:cs="Arial" w:eastAsia="Arial" w:hAnsi="Arial"/>
          <w:sz w:val="16"/>
          <w:szCs w:val="16"/>
          <w:color w:val="auto"/>
        </w:rPr>
      </w:pPr>
    </w:p>
    <w:p>
      <w:pPr>
        <w:ind w:left="1800" w:hanging="335"/>
        <w:spacing w:after="0"/>
        <w:tabs>
          <w:tab w:leader="none" w:pos="1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employment regulations;</w:t>
      </w:r>
    </w:p>
    <w:p>
      <w:pPr>
        <w:spacing w:after="0" w:line="170" w:lineRule="exact"/>
        <w:rPr>
          <w:rFonts w:ascii="Arial" w:cs="Arial" w:eastAsia="Arial" w:hAnsi="Arial"/>
          <w:sz w:val="16"/>
          <w:szCs w:val="16"/>
          <w:color w:val="auto"/>
        </w:rPr>
      </w:pPr>
    </w:p>
    <w:p>
      <w:pPr>
        <w:ind w:left="1800" w:hanging="335"/>
        <w:spacing w:after="0"/>
        <w:tabs>
          <w:tab w:leader="none" w:pos="1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crime, strikes, riots, civil disturbances, terrorist attacks, natural disasters and wars;</w:t>
      </w:r>
    </w:p>
    <w:p>
      <w:pPr>
        <w:spacing w:after="0" w:line="170" w:lineRule="exact"/>
        <w:rPr>
          <w:rFonts w:ascii="Arial" w:cs="Arial" w:eastAsia="Arial" w:hAnsi="Arial"/>
          <w:sz w:val="16"/>
          <w:szCs w:val="16"/>
          <w:color w:val="auto"/>
        </w:rPr>
      </w:pPr>
    </w:p>
    <w:p>
      <w:pPr>
        <w:ind w:left="1800" w:hanging="335"/>
        <w:spacing w:after="0"/>
        <w:tabs>
          <w:tab w:leader="none" w:pos="1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deterioration of political relations with the United States;</w:t>
      </w:r>
    </w:p>
    <w:p>
      <w:pPr>
        <w:spacing w:after="0" w:line="170" w:lineRule="exact"/>
        <w:rPr>
          <w:rFonts w:ascii="Arial" w:cs="Arial" w:eastAsia="Arial" w:hAnsi="Arial"/>
          <w:sz w:val="16"/>
          <w:szCs w:val="16"/>
          <w:color w:val="auto"/>
        </w:rPr>
      </w:pPr>
    </w:p>
    <w:p>
      <w:pPr>
        <w:ind w:left="1800" w:hanging="335"/>
        <w:spacing w:after="0"/>
        <w:tabs>
          <w:tab w:leader="none" w:pos="1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obligatory military service by personnel; and</w:t>
      </w:r>
    </w:p>
    <w:p>
      <w:pPr>
        <w:spacing w:after="0" w:line="182" w:lineRule="exact"/>
        <w:rPr>
          <w:rFonts w:ascii="Arial" w:cs="Arial" w:eastAsia="Arial" w:hAnsi="Arial"/>
          <w:sz w:val="16"/>
          <w:szCs w:val="16"/>
          <w:color w:val="auto"/>
        </w:rPr>
      </w:pPr>
    </w:p>
    <w:p>
      <w:pPr>
        <w:ind w:left="1800" w:hanging="335"/>
        <w:spacing w:after="0"/>
        <w:tabs>
          <w:tab w:leader="none" w:pos="1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government appropriation of assets.</w:t>
      </w:r>
    </w:p>
    <w:p>
      <w:pPr>
        <w:spacing w:after="0" w:line="110" w:lineRule="exact"/>
        <w:rPr>
          <w:sz w:val="20"/>
          <w:szCs w:val="20"/>
          <w:color w:val="auto"/>
        </w:rPr>
      </w:pPr>
    </w:p>
    <w:p>
      <w:pPr>
        <w:ind w:left="1140" w:right="1599" w:firstLine="326"/>
        <w:spacing w:after="0" w:line="265" w:lineRule="auto"/>
        <w:rPr>
          <w:sz w:val="20"/>
          <w:szCs w:val="20"/>
          <w:color w:val="auto"/>
        </w:rPr>
      </w:pPr>
      <w:r>
        <w:rPr>
          <w:rFonts w:ascii="Arial" w:cs="Arial" w:eastAsia="Arial" w:hAnsi="Arial"/>
          <w:sz w:val="16"/>
          <w:szCs w:val="16"/>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results of operations and financial condition.</w:t>
      </w:r>
    </w:p>
    <w:p>
      <w:pPr>
        <w:spacing w:after="0" w:line="154" w:lineRule="exact"/>
        <w:rPr>
          <w:sz w:val="20"/>
          <w:szCs w:val="20"/>
          <w:color w:val="auto"/>
        </w:rPr>
      </w:pPr>
    </w:p>
    <w:p>
      <w:pPr>
        <w:ind w:left="1140" w:right="1599"/>
        <w:spacing w:after="0" w:line="363" w:lineRule="auto"/>
        <w:rPr>
          <w:sz w:val="20"/>
          <w:szCs w:val="20"/>
          <w:color w:val="auto"/>
        </w:rPr>
      </w:pPr>
      <w:r>
        <w:rPr>
          <w:rFonts w:ascii="Arial" w:cs="Arial" w:eastAsia="Arial" w:hAnsi="Arial"/>
          <w:sz w:val="13"/>
          <w:szCs w:val="13"/>
          <w:b w:val="1"/>
          <w:bCs w:val="1"/>
          <w:i w:val="1"/>
          <w:iCs w:val="1"/>
          <w:color w:val="auto"/>
        </w:rPr>
        <w:t>If our management following our initial business combination is unfamiliar with U.S. securities laws, they may have to expend time and resources becoming familiar with such laws, which could lead to various regulatory issues.</w:t>
      </w:r>
    </w:p>
    <w:p>
      <w:pPr>
        <w:ind w:left="1140" w:right="1679" w:firstLine="326"/>
        <w:spacing w:after="0" w:line="261" w:lineRule="auto"/>
        <w:rPr>
          <w:sz w:val="20"/>
          <w:szCs w:val="20"/>
          <w:color w:val="auto"/>
        </w:rPr>
      </w:pPr>
      <w:r>
        <w:rPr>
          <w:rFonts w:ascii="Arial" w:cs="Arial" w:eastAsia="Arial" w:hAnsi="Arial"/>
          <w:sz w:val="16"/>
          <w:szCs w:val="16"/>
          <w:color w:val="auto"/>
        </w:rPr>
        <w:t>Following our initial business combination, any or all of our management could resign from their positions as officers of the Company, and the management of the target business at the time of the business combination could remain in place. Management of the target business may not be familiar with U.S. securities laws. If new management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157" w:lineRule="exact"/>
        <w:rPr>
          <w:sz w:val="20"/>
          <w:szCs w:val="20"/>
          <w:color w:val="auto"/>
        </w:rPr>
      </w:pPr>
    </w:p>
    <w:p>
      <w:pPr>
        <w:ind w:left="1140" w:right="1979"/>
        <w:spacing w:after="0" w:line="286" w:lineRule="auto"/>
        <w:rPr>
          <w:sz w:val="20"/>
          <w:szCs w:val="20"/>
          <w:color w:val="auto"/>
        </w:rPr>
      </w:pPr>
      <w:r>
        <w:rPr>
          <w:rFonts w:ascii="Arial" w:cs="Arial" w:eastAsia="Arial" w:hAnsi="Arial"/>
          <w:sz w:val="15"/>
          <w:szCs w:val="15"/>
          <w:b w:val="1"/>
          <w:bCs w:val="1"/>
          <w:i w:val="1"/>
          <w:iCs w:val="1"/>
          <w:color w:val="auto"/>
        </w:rPr>
        <w:t>Our independent registered public accounting firm’s report contains an explanatory paragraph that expresses substantial doubt about our ability to continue as a “going concern.”</w:t>
      </w:r>
    </w:p>
    <w:p>
      <w:pPr>
        <w:spacing w:after="0" w:line="41" w:lineRule="exact"/>
        <w:rPr>
          <w:sz w:val="20"/>
          <w:szCs w:val="20"/>
          <w:color w:val="auto"/>
        </w:rPr>
      </w:pPr>
    </w:p>
    <w:p>
      <w:pPr>
        <w:ind w:left="1140" w:right="1619" w:firstLine="326"/>
        <w:spacing w:after="0" w:line="259" w:lineRule="auto"/>
        <w:rPr>
          <w:sz w:val="20"/>
          <w:szCs w:val="20"/>
          <w:color w:val="auto"/>
        </w:rPr>
      </w:pPr>
      <w:r>
        <w:rPr>
          <w:rFonts w:ascii="Arial" w:cs="Arial" w:eastAsia="Arial" w:hAnsi="Arial"/>
          <w:sz w:val="16"/>
          <w:szCs w:val="16"/>
          <w:color w:val="auto"/>
        </w:rPr>
        <w:t>As of May 22, 2020, we had $25,000 in cash and a working capital deficiency of $34,000. Further, we have incurred and expect to continue to incur significant costs in pursuit of our acquisition plans. Management’s plans to address this need for capital through this offering are discussed in the section of this prospectus titled “Management’s Discussion and Analysis of Financial Condition and Results of Operations.” We cannot assure you that our plans to raise capital or to consummate an initial business combination will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66" w:name="page67"/>
    <w:bookmarkEnd w:id="66"/>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180"/>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101" w:lineRule="exact"/>
        <w:rPr>
          <w:sz w:val="20"/>
          <w:szCs w:val="20"/>
          <w:color w:val="auto"/>
        </w:rPr>
      </w:pPr>
    </w:p>
    <w:p>
      <w:pPr>
        <w:ind w:left="1140" w:right="1639" w:firstLine="326"/>
        <w:spacing w:after="0" w:line="258" w:lineRule="auto"/>
        <w:rPr>
          <w:sz w:val="20"/>
          <w:szCs w:val="20"/>
          <w:color w:val="auto"/>
        </w:rPr>
      </w:pPr>
      <w:r>
        <w:rPr>
          <w:rFonts w:ascii="Arial" w:cs="Arial" w:eastAsia="Arial" w:hAnsi="Arial"/>
          <w:sz w:val="16"/>
          <w:szCs w:val="16"/>
          <w:color w:val="auto"/>
        </w:rPr>
        <w:t>Some statements contained in this prospectus, and certain oral statements made from time to time by our representatives in connection with this offering, are forward-looking in nature.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138" w:lineRule="exact"/>
        <w:rPr>
          <w:sz w:val="20"/>
          <w:szCs w:val="20"/>
          <w:color w:val="auto"/>
        </w:rPr>
      </w:pPr>
    </w:p>
    <w:p>
      <w:pPr>
        <w:ind w:left="1800" w:hanging="335"/>
        <w:spacing w:after="0"/>
        <w:tabs>
          <w:tab w:leader="none" w:pos="1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select an appropriate target business or businesses;</w:t>
      </w:r>
    </w:p>
    <w:p>
      <w:pPr>
        <w:spacing w:after="0" w:line="158" w:lineRule="exact"/>
        <w:rPr>
          <w:rFonts w:ascii="Arial" w:cs="Arial" w:eastAsia="Arial" w:hAnsi="Arial"/>
          <w:sz w:val="16"/>
          <w:szCs w:val="16"/>
          <w:color w:val="auto"/>
        </w:rPr>
      </w:pPr>
    </w:p>
    <w:p>
      <w:pPr>
        <w:ind w:left="1800" w:hanging="335"/>
        <w:spacing w:after="0"/>
        <w:tabs>
          <w:tab w:leader="none" w:pos="1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complete our initial business combination;</w:t>
      </w:r>
    </w:p>
    <w:p>
      <w:pPr>
        <w:spacing w:after="0" w:line="158" w:lineRule="exact"/>
        <w:rPr>
          <w:rFonts w:ascii="Arial" w:cs="Arial" w:eastAsia="Arial" w:hAnsi="Arial"/>
          <w:sz w:val="16"/>
          <w:szCs w:val="16"/>
          <w:color w:val="auto"/>
        </w:rPr>
      </w:pPr>
    </w:p>
    <w:p>
      <w:pPr>
        <w:ind w:left="1800" w:hanging="335"/>
        <w:spacing w:after="0"/>
        <w:tabs>
          <w:tab w:leader="none" w:pos="1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expectations around the performance of a prospective target business or businesses;</w:t>
      </w:r>
    </w:p>
    <w:p>
      <w:pPr>
        <w:spacing w:after="0" w:line="158" w:lineRule="exact"/>
        <w:rPr>
          <w:rFonts w:ascii="Arial" w:cs="Arial" w:eastAsia="Arial" w:hAnsi="Arial"/>
          <w:sz w:val="16"/>
          <w:szCs w:val="16"/>
          <w:color w:val="auto"/>
        </w:rPr>
      </w:pPr>
    </w:p>
    <w:p>
      <w:pPr>
        <w:ind w:left="1800" w:right="2059" w:hanging="335"/>
        <w:spacing w:after="0" w:line="285" w:lineRule="auto"/>
        <w:tabs>
          <w:tab w:leader="none" w:pos="1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success in retaining or recruiting, or changes required in, our officers, key employees or directors following our initial business combination;</w:t>
      </w:r>
    </w:p>
    <w:p>
      <w:pPr>
        <w:spacing w:after="0" w:line="113" w:lineRule="exact"/>
        <w:rPr>
          <w:rFonts w:ascii="Arial" w:cs="Arial" w:eastAsia="Arial" w:hAnsi="Arial"/>
          <w:sz w:val="16"/>
          <w:szCs w:val="16"/>
          <w:color w:val="auto"/>
        </w:rPr>
      </w:pPr>
    </w:p>
    <w:p>
      <w:pPr>
        <w:ind w:left="1800" w:right="1659" w:hanging="335"/>
        <w:spacing w:after="0" w:line="285" w:lineRule="auto"/>
        <w:tabs>
          <w:tab w:leader="none" w:pos="1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officers and directors allocating their time to other businesses and potentially having conflicts of interest with our business or in approving our initial business combination;</w:t>
      </w:r>
    </w:p>
    <w:p>
      <w:pPr>
        <w:spacing w:after="0" w:line="101" w:lineRule="exact"/>
        <w:rPr>
          <w:rFonts w:ascii="Arial" w:cs="Arial" w:eastAsia="Arial" w:hAnsi="Arial"/>
          <w:sz w:val="16"/>
          <w:szCs w:val="16"/>
          <w:color w:val="auto"/>
        </w:rPr>
      </w:pPr>
    </w:p>
    <w:p>
      <w:pPr>
        <w:ind w:left="1800" w:right="1999" w:hanging="335"/>
        <w:spacing w:after="0" w:line="285" w:lineRule="auto"/>
        <w:tabs>
          <w:tab w:leader="none" w:pos="1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actual and potential conflicts of interest relating to M. Klein and Company and our directors, officers and other affiliates;</w:t>
      </w:r>
    </w:p>
    <w:p>
      <w:pPr>
        <w:spacing w:after="0" w:line="101" w:lineRule="exact"/>
        <w:rPr>
          <w:rFonts w:ascii="Arial" w:cs="Arial" w:eastAsia="Arial" w:hAnsi="Arial"/>
          <w:sz w:val="16"/>
          <w:szCs w:val="16"/>
          <w:color w:val="auto"/>
        </w:rPr>
      </w:pPr>
    </w:p>
    <w:p>
      <w:pPr>
        <w:ind w:left="1800" w:right="1619" w:hanging="335"/>
        <w:spacing w:after="0" w:line="285" w:lineRule="auto"/>
        <w:tabs>
          <w:tab w:leader="none" w:pos="1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draw from the support and expertise of the M. Klein and Company and our directors, officers and other affiliates;</w:t>
      </w:r>
    </w:p>
    <w:p>
      <w:pPr>
        <w:spacing w:after="0" w:line="101" w:lineRule="exact"/>
        <w:rPr>
          <w:rFonts w:ascii="Arial" w:cs="Arial" w:eastAsia="Arial" w:hAnsi="Arial"/>
          <w:sz w:val="16"/>
          <w:szCs w:val="16"/>
          <w:color w:val="auto"/>
        </w:rPr>
      </w:pPr>
    </w:p>
    <w:p>
      <w:pPr>
        <w:ind w:left="1800" w:hanging="335"/>
        <w:spacing w:after="0"/>
        <w:tabs>
          <w:tab w:leader="none" w:pos="1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potential ability to obtain additional financing to complete our initial business combination;</w:t>
      </w:r>
    </w:p>
    <w:p>
      <w:pPr>
        <w:spacing w:after="0" w:line="158" w:lineRule="exact"/>
        <w:rPr>
          <w:rFonts w:ascii="Arial" w:cs="Arial" w:eastAsia="Arial" w:hAnsi="Arial"/>
          <w:sz w:val="16"/>
          <w:szCs w:val="16"/>
          <w:color w:val="auto"/>
        </w:rPr>
      </w:pPr>
    </w:p>
    <w:p>
      <w:pPr>
        <w:ind w:left="1800" w:right="2119" w:hanging="335"/>
        <w:spacing w:after="0" w:line="285" w:lineRule="auto"/>
        <w:tabs>
          <w:tab w:leader="none" w:pos="1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pool of prospective target businesses, including the location and industry of such target businesses;</w:t>
      </w:r>
    </w:p>
    <w:p>
      <w:pPr>
        <w:spacing w:after="0" w:line="113" w:lineRule="exact"/>
        <w:rPr>
          <w:rFonts w:ascii="Arial" w:cs="Arial" w:eastAsia="Arial" w:hAnsi="Arial"/>
          <w:sz w:val="16"/>
          <w:szCs w:val="16"/>
          <w:color w:val="auto"/>
        </w:rPr>
      </w:pPr>
    </w:p>
    <w:p>
      <w:pPr>
        <w:ind w:left="1800" w:right="1879" w:hanging="335"/>
        <w:spacing w:after="0" w:line="285" w:lineRule="auto"/>
        <w:tabs>
          <w:tab w:leader="none" w:pos="1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ability of our officers and directors to generate a number of potential business combination opportunities;</w:t>
      </w:r>
    </w:p>
    <w:p>
      <w:pPr>
        <w:spacing w:after="0" w:line="101" w:lineRule="exact"/>
        <w:rPr>
          <w:rFonts w:ascii="Arial" w:cs="Arial" w:eastAsia="Arial" w:hAnsi="Arial"/>
          <w:sz w:val="16"/>
          <w:szCs w:val="16"/>
          <w:color w:val="auto"/>
        </w:rPr>
      </w:pPr>
    </w:p>
    <w:p>
      <w:pPr>
        <w:ind w:left="1800" w:hanging="335"/>
        <w:spacing w:after="0"/>
        <w:tabs>
          <w:tab w:leader="none" w:pos="1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public securities’ potential liquidity and trading;</w:t>
      </w:r>
    </w:p>
    <w:p>
      <w:pPr>
        <w:spacing w:after="0" w:line="158" w:lineRule="exact"/>
        <w:rPr>
          <w:rFonts w:ascii="Arial" w:cs="Arial" w:eastAsia="Arial" w:hAnsi="Arial"/>
          <w:sz w:val="16"/>
          <w:szCs w:val="16"/>
          <w:color w:val="auto"/>
        </w:rPr>
      </w:pPr>
    </w:p>
    <w:p>
      <w:pPr>
        <w:ind w:left="1800" w:hanging="335"/>
        <w:spacing w:after="0"/>
        <w:tabs>
          <w:tab w:leader="none" w:pos="1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lack of a market for our securities;</w:t>
      </w:r>
    </w:p>
    <w:p>
      <w:pPr>
        <w:spacing w:after="0" w:line="158" w:lineRule="exact"/>
        <w:rPr>
          <w:rFonts w:ascii="Arial" w:cs="Arial" w:eastAsia="Arial" w:hAnsi="Arial"/>
          <w:sz w:val="16"/>
          <w:szCs w:val="16"/>
          <w:color w:val="auto"/>
        </w:rPr>
      </w:pPr>
    </w:p>
    <w:p>
      <w:pPr>
        <w:ind w:left="1800" w:hanging="335"/>
        <w:spacing w:after="0"/>
        <w:tabs>
          <w:tab w:leader="none" w:pos="1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availability to us of funds from interest income on the trust account balance;</w:t>
      </w:r>
    </w:p>
    <w:p>
      <w:pPr>
        <w:spacing w:after="0" w:line="170" w:lineRule="exact"/>
        <w:rPr>
          <w:rFonts w:ascii="Arial" w:cs="Arial" w:eastAsia="Arial" w:hAnsi="Arial"/>
          <w:sz w:val="16"/>
          <w:szCs w:val="16"/>
          <w:color w:val="auto"/>
        </w:rPr>
      </w:pPr>
    </w:p>
    <w:p>
      <w:pPr>
        <w:ind w:left="1800" w:hanging="335"/>
        <w:spacing w:after="0"/>
        <w:tabs>
          <w:tab w:leader="none" w:pos="1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trust account not being subject to claims of third parties; or</w:t>
      </w:r>
    </w:p>
    <w:p>
      <w:pPr>
        <w:spacing w:after="0" w:line="158" w:lineRule="exact"/>
        <w:rPr>
          <w:rFonts w:ascii="Arial" w:cs="Arial" w:eastAsia="Arial" w:hAnsi="Arial"/>
          <w:sz w:val="16"/>
          <w:szCs w:val="16"/>
          <w:color w:val="auto"/>
        </w:rPr>
      </w:pPr>
    </w:p>
    <w:p>
      <w:pPr>
        <w:ind w:left="1800" w:hanging="335"/>
        <w:spacing w:after="0"/>
        <w:tabs>
          <w:tab w:leader="none" w:pos="1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financial performance following this offering.</w:t>
      </w:r>
    </w:p>
    <w:p>
      <w:pPr>
        <w:spacing w:after="0" w:line="110" w:lineRule="exact"/>
        <w:rPr>
          <w:sz w:val="20"/>
          <w:szCs w:val="20"/>
          <w:color w:val="auto"/>
        </w:rPr>
      </w:pPr>
    </w:p>
    <w:p>
      <w:pPr>
        <w:ind w:left="1140" w:right="1659" w:firstLine="326"/>
        <w:spacing w:after="0" w:line="258" w:lineRule="auto"/>
        <w:rPr>
          <w:sz w:val="20"/>
          <w:szCs w:val="20"/>
          <w:color w:val="auto"/>
        </w:rPr>
      </w:pPr>
      <w:r>
        <w:rPr>
          <w:rFonts w:ascii="Arial" w:cs="Arial" w:eastAsia="Arial" w:hAnsi="Arial"/>
          <w:sz w:val="16"/>
          <w:szCs w:val="16"/>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222"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7" w:name="page68"/>
    <w:bookmarkEnd w:id="67"/>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USE OF PROCEEDS</w:t>
      </w:r>
    </w:p>
    <w:p>
      <w:pPr>
        <w:spacing w:after="0" w:line="101" w:lineRule="exact"/>
        <w:rPr>
          <w:sz w:val="20"/>
          <w:szCs w:val="20"/>
          <w:color w:val="auto"/>
        </w:rPr>
      </w:pPr>
    </w:p>
    <w:p>
      <w:pPr>
        <w:jc w:val="both"/>
        <w:ind w:left="1140" w:right="1979" w:firstLine="326"/>
        <w:spacing w:after="0" w:line="270" w:lineRule="auto"/>
        <w:rPr>
          <w:sz w:val="20"/>
          <w:szCs w:val="20"/>
          <w:color w:val="auto"/>
        </w:rPr>
      </w:pPr>
      <w:r>
        <w:rPr>
          <w:rFonts w:ascii="Arial" w:cs="Arial" w:eastAsia="Arial" w:hAnsi="Arial"/>
          <w:sz w:val="16"/>
          <w:szCs w:val="16"/>
          <w:color w:val="auto"/>
        </w:rPr>
        <w:t>We are offering 150,000,000 units at an offering price of $10.00 per unit. We estimate that the net proceeds of this offering together with the funds we will receive from the sale of the private placement warrants will be used as set forth in the following table.</w:t>
      </w:r>
    </w:p>
    <w:p>
      <w:pPr>
        <w:spacing w:after="0" w:line="9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Option to</w:t>
            </w:r>
          </w:p>
        </w:tc>
      </w:tr>
      <w:tr>
        <w:trPr>
          <w:trHeight w:val="147"/>
        </w:trPr>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center"/>
              <w:ind w:right="260"/>
              <w:spacing w:after="0" w:line="147" w:lineRule="exact"/>
              <w:rPr>
                <w:sz w:val="20"/>
                <w:szCs w:val="20"/>
                <w:color w:val="auto"/>
              </w:rPr>
            </w:pPr>
            <w:r>
              <w:rPr>
                <w:rFonts w:ascii="Arial" w:cs="Arial" w:eastAsia="Arial" w:hAnsi="Arial"/>
                <w:sz w:val="13"/>
                <w:szCs w:val="13"/>
                <w:b w:val="1"/>
                <w:bCs w:val="1"/>
                <w:color w:val="auto"/>
                <w:w w:val="89"/>
              </w:rPr>
              <w:t>Without Option</w:t>
            </w:r>
          </w:p>
        </w:tc>
        <w:tc>
          <w:tcPr>
            <w:tcW w:w="1260" w:type="dxa"/>
            <w:vAlign w:val="bottom"/>
            <w:gridSpan w:val="2"/>
          </w:tcPr>
          <w:p>
            <w:pPr>
              <w:jc w:val="center"/>
              <w:ind w:right="180"/>
              <w:spacing w:after="0" w:line="147" w:lineRule="exact"/>
              <w:rPr>
                <w:sz w:val="20"/>
                <w:szCs w:val="20"/>
                <w:color w:val="auto"/>
              </w:rPr>
            </w:pPr>
            <w:r>
              <w:rPr>
                <w:rFonts w:ascii="Arial" w:cs="Arial" w:eastAsia="Arial" w:hAnsi="Arial"/>
                <w:sz w:val="13"/>
                <w:szCs w:val="13"/>
                <w:b w:val="1"/>
                <w:bCs w:val="1"/>
                <w:color w:val="auto"/>
                <w:w w:val="81"/>
              </w:rPr>
              <w:t>Purchase</w:t>
            </w:r>
          </w:p>
        </w:tc>
      </w:tr>
      <w:tr>
        <w:trPr>
          <w:trHeight w:val="147"/>
        </w:trPr>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center"/>
              <w:ind w:right="260"/>
              <w:spacing w:after="0" w:line="147" w:lineRule="exact"/>
              <w:rPr>
                <w:sz w:val="20"/>
                <w:szCs w:val="20"/>
                <w:color w:val="auto"/>
              </w:rPr>
            </w:pPr>
            <w:r>
              <w:rPr>
                <w:rFonts w:ascii="Arial" w:cs="Arial" w:eastAsia="Arial" w:hAnsi="Arial"/>
                <w:sz w:val="13"/>
                <w:szCs w:val="13"/>
                <w:b w:val="1"/>
                <w:bCs w:val="1"/>
                <w:color w:val="auto"/>
                <w:w w:val="85"/>
              </w:rPr>
              <w:t>to Purchase</w:t>
            </w:r>
          </w:p>
        </w:tc>
        <w:tc>
          <w:tcPr>
            <w:tcW w:w="1260" w:type="dxa"/>
            <w:vAlign w:val="bottom"/>
            <w:gridSpan w:val="2"/>
          </w:tcPr>
          <w:p>
            <w:pPr>
              <w:jc w:val="center"/>
              <w:ind w:right="180"/>
              <w:spacing w:after="0" w:line="147" w:lineRule="exact"/>
              <w:rPr>
                <w:sz w:val="20"/>
                <w:szCs w:val="20"/>
                <w:color w:val="auto"/>
              </w:rPr>
            </w:pPr>
            <w:r>
              <w:rPr>
                <w:rFonts w:ascii="Arial" w:cs="Arial" w:eastAsia="Arial" w:hAnsi="Arial"/>
                <w:sz w:val="13"/>
                <w:szCs w:val="13"/>
                <w:b w:val="1"/>
                <w:bCs w:val="1"/>
                <w:color w:val="auto"/>
                <w:w w:val="88"/>
              </w:rPr>
              <w:t>Additional Units</w:t>
            </w:r>
          </w:p>
        </w:tc>
      </w:tr>
      <w:tr>
        <w:trPr>
          <w:trHeight w:val="168"/>
        </w:trPr>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8"/>
              </w:rPr>
              <w:t>Additional Units</w:t>
            </w:r>
          </w:p>
        </w:tc>
        <w:tc>
          <w:tcPr>
            <w:tcW w:w="12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Exercised in Full</w:t>
            </w:r>
          </w:p>
        </w:tc>
      </w:tr>
      <w:tr>
        <w:trPr>
          <w:trHeight w:val="23"/>
        </w:trPr>
        <w:tc>
          <w:tcPr>
            <w:tcW w:w="50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12"/>
        </w:trPr>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Gross proceeds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20"/>
        </w:trPr>
        <w:tc>
          <w:tcPr>
            <w:tcW w:w="5100" w:type="dxa"/>
            <w:vAlign w:val="bottom"/>
            <w:gridSpan w:val="2"/>
          </w:tcPr>
          <w:p>
            <w:pPr>
              <w:spacing w:after="0" w:line="220" w:lineRule="exact"/>
              <w:rPr>
                <w:sz w:val="20"/>
                <w:szCs w:val="20"/>
                <w:color w:val="auto"/>
              </w:rPr>
            </w:pPr>
            <w:r>
              <w:rPr>
                <w:rFonts w:ascii="Arial" w:cs="Arial" w:eastAsia="Arial" w:hAnsi="Arial"/>
                <w:sz w:val="16"/>
                <w:szCs w:val="16"/>
                <w:color w:val="auto"/>
              </w:rPr>
              <w:t>Gross proceeds from units offered to public</w:t>
            </w:r>
            <w:r>
              <w:rPr>
                <w:rFonts w:ascii="Arial" w:cs="Arial" w:eastAsia="Arial" w:hAnsi="Arial"/>
                <w:sz w:val="24"/>
                <w:szCs w:val="24"/>
                <w:color w:val="auto"/>
                <w:vertAlign w:val="superscript"/>
              </w:rPr>
              <w:t>(1)</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w w:val="89"/>
              </w:rPr>
              <w:t>$1,500,000,000</w:t>
            </w:r>
          </w:p>
        </w:tc>
        <w:tc>
          <w:tcPr>
            <w:tcW w:w="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$1,725,000,000</w:t>
            </w:r>
          </w:p>
        </w:tc>
      </w:tr>
      <w:tr>
        <w:trPr>
          <w:trHeight w:val="208"/>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Gross proceeds from private placement warrants offered in the private</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4"/>
        </w:trPr>
        <w:tc>
          <w:tcPr>
            <w:tcW w:w="5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placement</w:t>
            </w:r>
          </w:p>
        </w:tc>
        <w:tc>
          <w:tcPr>
            <w:tcW w:w="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31,350,000</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35,850,000</w:t>
            </w:r>
          </w:p>
        </w:tc>
        <w:tc>
          <w:tcPr>
            <w:tcW w:w="140" w:type="dxa"/>
            <w:vAlign w:val="bottom"/>
          </w:tcPr>
          <w:p>
            <w:pPr>
              <w:spacing w:after="0"/>
              <w:rPr>
                <w:sz w:val="18"/>
                <w:szCs w:val="18"/>
                <w:color w:val="auto"/>
              </w:rPr>
            </w:pPr>
          </w:p>
        </w:tc>
      </w:tr>
      <w:tr>
        <w:trPr>
          <w:trHeight w:val="258"/>
        </w:trPr>
        <w:tc>
          <w:tcPr>
            <w:tcW w:w="5100" w:type="dxa"/>
            <w:vAlign w:val="bottom"/>
            <w:gridSpan w:val="2"/>
          </w:tcPr>
          <w:p>
            <w:pPr>
              <w:spacing w:after="0"/>
              <w:rPr>
                <w:sz w:val="20"/>
                <w:szCs w:val="20"/>
                <w:color w:val="auto"/>
              </w:rPr>
            </w:pPr>
            <w:r>
              <w:rPr>
                <w:rFonts w:ascii="Arial" w:cs="Arial" w:eastAsia="Arial" w:hAnsi="Arial"/>
                <w:sz w:val="16"/>
                <w:szCs w:val="16"/>
                <w:color w:val="auto"/>
              </w:rPr>
              <w:t>Total gross proceeds</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1,531,350,000</w:t>
            </w:r>
          </w:p>
        </w:tc>
        <w:tc>
          <w:tcPr>
            <w:tcW w:w="2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u w:val="single" w:color="auto"/>
                <w:color w:val="auto"/>
                <w:w w:val="91"/>
              </w:rPr>
              <w:t>$$</w:t>
            </w:r>
            <w:r>
              <w:rPr>
                <w:rFonts w:ascii="Arial" w:cs="Arial" w:eastAsia="Arial" w:hAnsi="Arial"/>
                <w:sz w:val="16"/>
                <w:szCs w:val="16"/>
                <w:color w:val="auto"/>
                <w:w w:val="91"/>
              </w:rPr>
              <w:t>1,760,850,000</w:t>
            </w:r>
          </w:p>
        </w:tc>
      </w:tr>
      <w:tr>
        <w:trPr>
          <w:trHeight w:val="161"/>
        </w:trPr>
        <w:tc>
          <w:tcPr>
            <w:tcW w:w="5100" w:type="dxa"/>
            <w:vAlign w:val="bottom"/>
            <w:tcBorders>
              <w:top w:val="single" w:sz="8" w:color="CCEEFF"/>
            </w:tcBorders>
            <w:gridSpan w:val="2"/>
            <w:shd w:val="clear" w:color="auto" w:fill="CCEEFF"/>
          </w:tcPr>
          <w:p>
            <w:pPr>
              <w:spacing w:after="0" w:line="161" w:lineRule="exact"/>
              <w:rPr>
                <w:sz w:val="20"/>
                <w:szCs w:val="20"/>
                <w:color w:val="auto"/>
              </w:rPr>
            </w:pPr>
            <w:r>
              <w:rPr>
                <w:rFonts w:ascii="Arial" w:cs="Arial" w:eastAsia="Arial" w:hAnsi="Arial"/>
                <w:sz w:val="13"/>
                <w:szCs w:val="13"/>
                <w:b w:val="1"/>
                <w:bCs w:val="1"/>
                <w:color w:val="auto"/>
              </w:rPr>
              <w:t>Estimated offering expenses</w:t>
            </w:r>
            <w:r>
              <w:rPr>
                <w:rFonts w:ascii="Arial" w:cs="Arial" w:eastAsia="Arial" w:hAnsi="Arial"/>
                <w:sz w:val="18"/>
                <w:szCs w:val="18"/>
                <w:color w:val="auto"/>
                <w:vertAlign w:val="superscript"/>
              </w:rPr>
              <w:t>(2)</w:t>
            </w:r>
          </w:p>
        </w:tc>
        <w:tc>
          <w:tcPr>
            <w:tcW w:w="10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40" w:type="dxa"/>
            <w:vAlign w:val="bottom"/>
          </w:tcPr>
          <w:p>
            <w:pPr>
              <w:spacing w:after="0"/>
              <w:rPr>
                <w:sz w:val="13"/>
                <w:szCs w:val="13"/>
                <w:color w:val="auto"/>
              </w:rPr>
            </w:pPr>
          </w:p>
        </w:tc>
      </w:tr>
      <w:tr>
        <w:trPr>
          <w:trHeight w:val="175"/>
        </w:trPr>
        <w:tc>
          <w:tcPr>
            <w:tcW w:w="5100" w:type="dxa"/>
            <w:vAlign w:val="bottom"/>
            <w:gridSpan w:val="2"/>
          </w:tcPr>
          <w:p>
            <w:pPr>
              <w:spacing w:after="0" w:line="175" w:lineRule="exact"/>
              <w:rPr>
                <w:sz w:val="20"/>
                <w:szCs w:val="20"/>
                <w:color w:val="auto"/>
              </w:rPr>
            </w:pPr>
            <w:r>
              <w:rPr>
                <w:rFonts w:ascii="Arial" w:cs="Arial" w:eastAsia="Arial" w:hAnsi="Arial"/>
                <w:sz w:val="16"/>
                <w:szCs w:val="16"/>
                <w:color w:val="auto"/>
              </w:rPr>
              <w:t>Underwriting commissions (2.0% of gross proceeds from units offered</w:t>
            </w: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66"/>
        </w:trPr>
        <w:tc>
          <w:tcPr>
            <w:tcW w:w="5100" w:type="dxa"/>
            <w:vAlign w:val="bottom"/>
            <w:tcBorders>
              <w:bottom w:val="single" w:sz="8" w:color="CCEEFF"/>
            </w:tcBorders>
            <w:gridSpan w:val="2"/>
          </w:tcPr>
          <w:p>
            <w:pPr>
              <w:ind w:left="160"/>
              <w:spacing w:after="0" w:line="266" w:lineRule="exact"/>
              <w:rPr>
                <w:sz w:val="20"/>
                <w:szCs w:val="20"/>
                <w:color w:val="auto"/>
              </w:rPr>
            </w:pPr>
            <w:r>
              <w:rPr>
                <w:rFonts w:ascii="Arial" w:cs="Arial" w:eastAsia="Arial" w:hAnsi="Arial"/>
                <w:sz w:val="16"/>
                <w:szCs w:val="16"/>
                <w:color w:val="auto"/>
              </w:rPr>
              <w:t>to public, excluding deferred portion)</w:t>
            </w:r>
            <w:r>
              <w:rPr>
                <w:rFonts w:ascii="Arial" w:cs="Arial" w:eastAsia="Arial" w:hAnsi="Arial"/>
                <w:sz w:val="24"/>
                <w:szCs w:val="24"/>
                <w:color w:val="auto"/>
                <w:vertAlign w:val="superscript"/>
              </w:rPr>
              <w:t>(3)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30,000,000</w:t>
            </w:r>
          </w:p>
        </w:tc>
        <w:tc>
          <w:tcPr>
            <w:tcW w:w="1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34,500,000</w:t>
            </w:r>
          </w:p>
        </w:tc>
        <w:tc>
          <w:tcPr>
            <w:tcW w:w="140" w:type="dxa"/>
            <w:vAlign w:val="bottom"/>
          </w:tcPr>
          <w:p>
            <w:pPr>
              <w:spacing w:after="0"/>
              <w:rPr>
                <w:sz w:val="23"/>
                <w:szCs w:val="23"/>
                <w:color w:val="auto"/>
              </w:rPr>
            </w:pPr>
          </w:p>
        </w:tc>
      </w:tr>
      <w:tr>
        <w:trPr>
          <w:trHeight w:val="200"/>
        </w:trPr>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Legal fees and expenses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300,000</w:t>
            </w: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40" w:type="dxa"/>
            <w:vAlign w:val="bottom"/>
          </w:tcPr>
          <w:p>
            <w:pPr>
              <w:spacing w:after="0"/>
              <w:rPr>
                <w:sz w:val="17"/>
                <w:szCs w:val="17"/>
                <w:color w:val="auto"/>
              </w:rPr>
            </w:pPr>
          </w:p>
        </w:tc>
      </w:tr>
      <w:tr>
        <w:trPr>
          <w:trHeight w:val="208"/>
        </w:trPr>
        <w:tc>
          <w:tcPr>
            <w:tcW w:w="5100" w:type="dxa"/>
            <w:vAlign w:val="bottom"/>
            <w:gridSpan w:val="2"/>
          </w:tcPr>
          <w:p>
            <w:pPr>
              <w:spacing w:after="0"/>
              <w:rPr>
                <w:sz w:val="20"/>
                <w:szCs w:val="20"/>
                <w:color w:val="auto"/>
              </w:rPr>
            </w:pPr>
            <w:r>
              <w:rPr>
                <w:rFonts w:ascii="Arial" w:cs="Arial" w:eastAsia="Arial" w:hAnsi="Arial"/>
                <w:sz w:val="16"/>
                <w:szCs w:val="16"/>
                <w:color w:val="auto"/>
              </w:rPr>
              <w:t>Printing and engraving expenses</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35,000</w:t>
            </w:r>
          </w:p>
        </w:tc>
        <w:tc>
          <w:tcPr>
            <w:tcW w:w="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35,000</w:t>
            </w:r>
          </w:p>
        </w:tc>
      </w:tr>
      <w:tr>
        <w:trPr>
          <w:trHeight w:val="208"/>
        </w:trPr>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Accounting fees and expenses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40,000</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40" w:type="dxa"/>
            <w:vAlign w:val="bottom"/>
          </w:tcPr>
          <w:p>
            <w:pPr>
              <w:spacing w:after="0"/>
              <w:rPr>
                <w:sz w:val="18"/>
                <w:szCs w:val="18"/>
                <w:color w:val="auto"/>
              </w:rPr>
            </w:pPr>
          </w:p>
        </w:tc>
      </w:tr>
      <w:tr>
        <w:trPr>
          <w:trHeight w:val="220"/>
        </w:trPr>
        <w:tc>
          <w:tcPr>
            <w:tcW w:w="5100" w:type="dxa"/>
            <w:vAlign w:val="bottom"/>
            <w:gridSpan w:val="2"/>
          </w:tcPr>
          <w:p>
            <w:pPr>
              <w:spacing w:after="0"/>
              <w:rPr>
                <w:sz w:val="20"/>
                <w:szCs w:val="20"/>
                <w:color w:val="auto"/>
              </w:rPr>
            </w:pPr>
            <w:r>
              <w:rPr>
                <w:rFonts w:ascii="Arial" w:cs="Arial" w:eastAsia="Arial" w:hAnsi="Arial"/>
                <w:sz w:val="16"/>
                <w:szCs w:val="16"/>
                <w:color w:val="auto"/>
              </w:rPr>
              <w:t>SEC/FINRA Expenses</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483,155</w:t>
            </w:r>
          </w:p>
        </w:tc>
        <w:tc>
          <w:tcPr>
            <w:tcW w:w="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483,155</w:t>
            </w:r>
          </w:p>
        </w:tc>
      </w:tr>
      <w:tr>
        <w:trPr>
          <w:trHeight w:val="220"/>
        </w:trPr>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Travel and road show</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20,000</w:t>
            </w:r>
          </w:p>
        </w:tc>
        <w:tc>
          <w:tcPr>
            <w:tcW w:w="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140" w:type="dxa"/>
            <w:vAlign w:val="bottom"/>
          </w:tcPr>
          <w:p>
            <w:pPr>
              <w:spacing w:after="0"/>
              <w:rPr>
                <w:sz w:val="19"/>
                <w:szCs w:val="19"/>
                <w:color w:val="auto"/>
              </w:rPr>
            </w:pPr>
          </w:p>
        </w:tc>
      </w:tr>
      <w:tr>
        <w:trPr>
          <w:trHeight w:val="220"/>
        </w:trPr>
        <w:tc>
          <w:tcPr>
            <w:tcW w:w="5100" w:type="dxa"/>
            <w:vAlign w:val="bottom"/>
            <w:gridSpan w:val="2"/>
          </w:tcPr>
          <w:p>
            <w:pPr>
              <w:spacing w:after="0"/>
              <w:rPr>
                <w:sz w:val="20"/>
                <w:szCs w:val="20"/>
                <w:color w:val="auto"/>
              </w:rPr>
            </w:pPr>
            <w:r>
              <w:rPr>
                <w:rFonts w:ascii="Arial" w:cs="Arial" w:eastAsia="Arial" w:hAnsi="Arial"/>
                <w:sz w:val="16"/>
                <w:szCs w:val="16"/>
                <w:color w:val="auto"/>
              </w:rPr>
              <w:t>Directors and officers insurance premiums</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325,000</w:t>
            </w:r>
          </w:p>
        </w:tc>
        <w:tc>
          <w:tcPr>
            <w:tcW w:w="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325,000</w:t>
            </w:r>
          </w:p>
        </w:tc>
      </w:tr>
      <w:tr>
        <w:trPr>
          <w:trHeight w:val="220"/>
        </w:trPr>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NYSE listing and filing fees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85,000</w:t>
            </w:r>
          </w:p>
        </w:tc>
        <w:tc>
          <w:tcPr>
            <w:tcW w:w="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85,000</w:t>
            </w:r>
          </w:p>
        </w:tc>
        <w:tc>
          <w:tcPr>
            <w:tcW w:w="140" w:type="dxa"/>
            <w:vAlign w:val="bottom"/>
          </w:tcPr>
          <w:p>
            <w:pPr>
              <w:spacing w:after="0"/>
              <w:rPr>
                <w:sz w:val="19"/>
                <w:szCs w:val="19"/>
                <w:color w:val="auto"/>
              </w:rPr>
            </w:pPr>
          </w:p>
        </w:tc>
      </w:tr>
      <w:tr>
        <w:trPr>
          <w:trHeight w:val="245"/>
        </w:trPr>
        <w:tc>
          <w:tcPr>
            <w:tcW w:w="5100" w:type="dxa"/>
            <w:vAlign w:val="bottom"/>
            <w:gridSpan w:val="2"/>
          </w:tcPr>
          <w:p>
            <w:pPr>
              <w:spacing w:after="0" w:line="244" w:lineRule="exact"/>
              <w:rPr>
                <w:sz w:val="20"/>
                <w:szCs w:val="20"/>
                <w:color w:val="auto"/>
              </w:rPr>
            </w:pPr>
            <w:r>
              <w:rPr>
                <w:rFonts w:ascii="Arial" w:cs="Arial" w:eastAsia="Arial" w:hAnsi="Arial"/>
                <w:sz w:val="16"/>
                <w:szCs w:val="16"/>
                <w:color w:val="auto"/>
              </w:rPr>
              <w:t>Miscellaneous expenses</w:t>
            </w:r>
            <w:r>
              <w:rPr>
                <w:rFonts w:ascii="Arial" w:cs="Arial" w:eastAsia="Arial" w:hAnsi="Arial"/>
                <w:sz w:val="24"/>
                <w:szCs w:val="24"/>
                <w:color w:val="auto"/>
                <w:vertAlign w:val="superscript"/>
              </w:rPr>
              <w:t>(4)</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61,845</w:t>
            </w:r>
          </w:p>
        </w:tc>
        <w:tc>
          <w:tcPr>
            <w:tcW w:w="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61,845</w:t>
            </w:r>
          </w:p>
        </w:tc>
      </w:tr>
      <w:tr>
        <w:trPr>
          <w:trHeight w:val="200"/>
        </w:trPr>
        <w:tc>
          <w:tcPr>
            <w:tcW w:w="5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estimated offering expenses (other than underwriting</w:t>
            </w:r>
          </w:p>
        </w:tc>
        <w:tc>
          <w:tcPr>
            <w:tcW w:w="10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Pr>
          <w:p>
            <w:pPr>
              <w:spacing w:after="0"/>
              <w:rPr>
                <w:sz w:val="17"/>
                <w:szCs w:val="17"/>
                <w:color w:val="auto"/>
              </w:rPr>
            </w:pPr>
          </w:p>
        </w:tc>
      </w:tr>
      <w:tr>
        <w:trPr>
          <w:trHeight w:val="208"/>
        </w:trPr>
        <w:tc>
          <w:tcPr>
            <w:tcW w:w="51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commissions)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1,350,000</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1,350,000</w:t>
            </w:r>
          </w:p>
        </w:tc>
        <w:tc>
          <w:tcPr>
            <w:tcW w:w="140" w:type="dxa"/>
            <w:vAlign w:val="bottom"/>
          </w:tcPr>
          <w:p>
            <w:pPr>
              <w:spacing w:after="0"/>
              <w:rPr>
                <w:sz w:val="18"/>
                <w:szCs w:val="18"/>
                <w:color w:val="auto"/>
              </w:rPr>
            </w:pPr>
          </w:p>
        </w:tc>
      </w:tr>
      <w:tr>
        <w:trPr>
          <w:trHeight w:val="232"/>
        </w:trPr>
        <w:tc>
          <w:tcPr>
            <w:tcW w:w="51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Proceeds after estimated offering expenses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1,500,000,000</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98"/>
              </w:rPr>
              <w:t>$</w:t>
            </w:r>
            <w:r>
              <w:rPr>
                <w:rFonts w:ascii="Arial" w:cs="Arial" w:eastAsia="Arial" w:hAnsi="Arial"/>
                <w:sz w:val="16"/>
                <w:szCs w:val="16"/>
                <w:color w:val="auto"/>
                <w:w w:val="98"/>
              </w:rPr>
              <w:t>1,725,000,000</w:t>
            </w:r>
          </w:p>
        </w:tc>
        <w:tc>
          <w:tcPr>
            <w:tcW w:w="140" w:type="dxa"/>
            <w:vAlign w:val="bottom"/>
          </w:tcPr>
          <w:p>
            <w:pPr>
              <w:spacing w:after="0"/>
              <w:rPr>
                <w:sz w:val="20"/>
                <w:szCs w:val="20"/>
                <w:color w:val="auto"/>
              </w:rPr>
            </w:pPr>
          </w:p>
        </w:tc>
      </w:tr>
      <w:tr>
        <w:trPr>
          <w:trHeight w:val="225"/>
        </w:trPr>
        <w:tc>
          <w:tcPr>
            <w:tcW w:w="5100" w:type="dxa"/>
            <w:vAlign w:val="bottom"/>
            <w:gridSpan w:val="2"/>
            <w:shd w:val="clear" w:color="auto" w:fill="CCEEFF"/>
          </w:tcPr>
          <w:p>
            <w:pPr>
              <w:spacing w:after="0" w:line="225" w:lineRule="exact"/>
              <w:rPr>
                <w:sz w:val="20"/>
                <w:szCs w:val="20"/>
                <w:color w:val="auto"/>
              </w:rPr>
            </w:pPr>
            <w:r>
              <w:rPr>
                <w:rFonts w:ascii="Arial" w:cs="Arial" w:eastAsia="Arial" w:hAnsi="Arial"/>
                <w:sz w:val="16"/>
                <w:szCs w:val="16"/>
                <w:color w:val="auto"/>
              </w:rPr>
              <w:t>Held in trust account</w:t>
            </w:r>
            <w:r>
              <w:rPr>
                <w:rFonts w:ascii="Arial" w:cs="Arial" w:eastAsia="Arial" w:hAnsi="Arial"/>
                <w:sz w:val="24"/>
                <w:szCs w:val="24"/>
                <w:color w:val="auto"/>
                <w:vertAlign w:val="superscript"/>
              </w:rPr>
              <w:t>(3)</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$1,500,000,000</w:t>
            </w:r>
          </w:p>
        </w:tc>
        <w:tc>
          <w:tcPr>
            <w:tcW w:w="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$1,725,000,000</w:t>
            </w:r>
          </w:p>
        </w:tc>
        <w:tc>
          <w:tcPr>
            <w:tcW w:w="140" w:type="dxa"/>
            <w:vAlign w:val="bottom"/>
          </w:tcPr>
          <w:p>
            <w:pPr>
              <w:spacing w:after="0"/>
              <w:rPr>
                <w:sz w:val="19"/>
                <w:szCs w:val="19"/>
                <w:color w:val="auto"/>
              </w:rPr>
            </w:pPr>
          </w:p>
        </w:tc>
      </w:tr>
      <w:tr>
        <w:trPr>
          <w:trHeight w:val="231"/>
        </w:trPr>
        <w:tc>
          <w:tcPr>
            <w:tcW w:w="5100" w:type="dxa"/>
            <w:vAlign w:val="bottom"/>
            <w:gridSpan w:val="2"/>
          </w:tcPr>
          <w:p>
            <w:pPr>
              <w:spacing w:after="0"/>
              <w:rPr>
                <w:sz w:val="20"/>
                <w:szCs w:val="20"/>
                <w:color w:val="auto"/>
              </w:rPr>
            </w:pPr>
            <w:r>
              <w:rPr>
                <w:rFonts w:ascii="Arial" w:cs="Arial" w:eastAsia="Arial" w:hAnsi="Arial"/>
                <w:sz w:val="16"/>
                <w:szCs w:val="16"/>
                <w:color w:val="auto"/>
              </w:rPr>
              <w:t>Percent of public offering size</w:t>
            </w: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-301625</wp:posOffset>
            </wp:positionV>
            <wp:extent cx="401510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015105" cy="762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-721360</wp:posOffset>
            </wp:positionV>
            <wp:extent cx="401510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015105" cy="762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-1839595</wp:posOffset>
            </wp:positionV>
            <wp:extent cx="401510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015105" cy="762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-2965450</wp:posOffset>
            </wp:positionV>
            <wp:extent cx="400748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007485" cy="762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125095</wp:posOffset>
            </wp:positionV>
            <wp:extent cx="111823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8235" cy="7620"/>
                    </a:xfrm>
                    <a:prstGeom prst="rect">
                      <a:avLst/>
                    </a:prstGeom>
                    <a:noFill/>
                  </pic:spPr>
                </pic:pic>
              </a:graphicData>
            </a:graphic>
          </wp:anchor>
        </w:drawing>
      </w:r>
    </w:p>
    <w:p>
      <w:pPr>
        <w:spacing w:after="0" w:line="286" w:lineRule="exact"/>
        <w:rPr>
          <w:sz w:val="20"/>
          <w:szCs w:val="20"/>
          <w:color w:val="auto"/>
        </w:rPr>
      </w:pPr>
    </w:p>
    <w:p>
      <w:pPr>
        <w:ind w:left="1460" w:right="1699" w:hanging="321"/>
        <w:spacing w:after="0" w:line="269" w:lineRule="auto"/>
        <w:tabs>
          <w:tab w:leader="none" w:pos="1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amounts payable to public stockholders who properly redeem their shares in connection with our successful completion of our initial business combination.</w:t>
      </w:r>
    </w:p>
    <w:p>
      <w:pPr>
        <w:spacing w:after="0" w:line="3" w:lineRule="exact"/>
        <w:rPr>
          <w:rFonts w:ascii="Arial" w:cs="Arial" w:eastAsia="Arial" w:hAnsi="Arial"/>
          <w:sz w:val="16"/>
          <w:szCs w:val="16"/>
          <w:color w:val="auto"/>
        </w:rPr>
      </w:pPr>
    </w:p>
    <w:p>
      <w:pPr>
        <w:ind w:left="1460" w:right="1679" w:hanging="321"/>
        <w:spacing w:after="0" w:line="263" w:lineRule="auto"/>
        <w:tabs>
          <w:tab w:leader="none" w:pos="1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sponsor has agreed to loan us up to $600,000 as described in this prospectus. As of July 27, 2020, there was $550,000 outstanding under such promissory note. These loans will be repaid upon completion of this offering out of the $1,350,000 of offering proceeds that has been allocated for the payment of offering expenses (other than underwriting commissions) not held in the trust account. In the event that offering expenses are less than as set forth in this table, any such amounts will be used for post-closing working capital expenses. In the event that the offering expenses are more than as set forth in this table, we may fund such excess with loans or additional investments from our sponsor.</w:t>
      </w:r>
    </w:p>
    <w:p>
      <w:pPr>
        <w:spacing w:after="0" w:line="22" w:lineRule="exact"/>
        <w:rPr>
          <w:rFonts w:ascii="Arial" w:cs="Arial" w:eastAsia="Arial" w:hAnsi="Arial"/>
          <w:sz w:val="15"/>
          <w:szCs w:val="15"/>
          <w:color w:val="auto"/>
        </w:rPr>
      </w:pPr>
    </w:p>
    <w:p>
      <w:pPr>
        <w:ind w:left="1460" w:right="1739" w:hanging="321"/>
        <w:spacing w:after="0" w:line="242" w:lineRule="auto"/>
        <w:tabs>
          <w:tab w:leader="none" w:pos="1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underwriters have agreed to defer underwriting commissions equal to 3.5% of the gross proceeds of this offering. Upon completion of our initial business combination, $52,500,000, which constitutes the underwriters’ deferred commissions (or up to $60,375,000 if the underwriters’ option to purchase additional units is exercised in full) will be paid to the underwriters from the funds held in the trust account and the remaining funds, less amounts released to the trustee to pay redeeming stockholders,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26" w:lineRule="exact"/>
        <w:rPr>
          <w:rFonts w:ascii="Arial" w:cs="Arial" w:eastAsia="Arial" w:hAnsi="Arial"/>
          <w:sz w:val="16"/>
          <w:szCs w:val="16"/>
          <w:color w:val="auto"/>
        </w:rPr>
      </w:pPr>
    </w:p>
    <w:p>
      <w:pPr>
        <w:ind w:left="1460" w:right="1759" w:hanging="321"/>
        <w:spacing w:after="0" w:line="269" w:lineRule="auto"/>
        <w:tabs>
          <w:tab w:leader="none" w:pos="1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organizational and administrative expenses and may include amounts related to above-listed expenses in the event actual amounts exceed estimates.</w:t>
      </w:r>
    </w:p>
    <w:p>
      <w:pPr>
        <w:spacing w:after="0" w:line="211"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8" w:name="page69"/>
    <w:bookmarkEnd w:id="68"/>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559" w:firstLine="326"/>
        <w:spacing w:after="0" w:line="256" w:lineRule="auto"/>
        <w:rPr>
          <w:sz w:val="20"/>
          <w:szCs w:val="20"/>
          <w:color w:val="auto"/>
        </w:rPr>
      </w:pPr>
      <w:r>
        <w:rPr>
          <w:rFonts w:ascii="Arial" w:cs="Arial" w:eastAsia="Arial" w:hAnsi="Arial"/>
          <w:sz w:val="16"/>
          <w:szCs w:val="16"/>
          <w:color w:val="auto"/>
        </w:rPr>
        <w:t>The rules of NYSE provide that at least 90% of the gross proceeds from this offering and the sale of the private placement warrants be deposited in a trust account. Of the net proceeds of this offering and the sale of the private placement warrants, $1,500,000,000 (or $1,725,000,000 if the underwriters’ over-allotment option is exercised in full), including $52,500,000 (or $60,375,000 if the underwriters’ over-allotment option is exercised in full) of deferred underwriting commissions, will, upon the consummation of this offering, be placed in a U.S.-based trust account with Continental Stock Transfer &amp; Trust Company acting as trustee. The funds in the trust account will be invested only in U.S. government treasury bills with a maturity of 185 days or less or in money market funds that meet certain conditions under Rule 2a-7 under the Investment Company Act and that invest only in direct U.S. government obligations. Based on current interest rates, we estimate that the interest earned on the trust account will be approximately $7,500,000 per year, assuming an interest rate of 0.50% per year. We will not be permitted to withdraw any of the principal or interest held in the trust account, except with respect to permitted withdrawals. The funds held in the trust account will not be released from the trust account until the earliest of: (1) the completion of our initial business combination; (2) the redemption of any public shares properly submitted in connection with a stockholder vote to amend our amended and restated certificate of incorporation to modify the substance and timing of our obligation to redeem 100% of our public shares if we do not complete our initial business combination within the completion window; and (3) the redemption of all of our public shares if we are unable to complete our initial business combination within the completion window, subject to applicable law. Based on current interest rates, we expect that interest earned on the trust account will be sufficient to pay taxes.</w:t>
      </w:r>
    </w:p>
    <w:p>
      <w:pPr>
        <w:spacing w:after="0" w:line="87" w:lineRule="exact"/>
        <w:rPr>
          <w:sz w:val="20"/>
          <w:szCs w:val="20"/>
          <w:color w:val="auto"/>
        </w:rPr>
      </w:pPr>
    </w:p>
    <w:p>
      <w:pPr>
        <w:ind w:left="1140" w:right="1579" w:firstLine="326"/>
        <w:spacing w:after="0" w:line="278" w:lineRule="auto"/>
        <w:rPr>
          <w:sz w:val="20"/>
          <w:szCs w:val="20"/>
          <w:color w:val="auto"/>
        </w:rPr>
      </w:pPr>
      <w:r>
        <w:rPr>
          <w:rFonts w:ascii="Arial" w:cs="Arial" w:eastAsia="Arial" w:hAnsi="Arial"/>
          <w:sz w:val="15"/>
          <w:szCs w:val="15"/>
          <w:color w:val="auto"/>
        </w:rPr>
        <w:t>The net proceeds held in the trust account may be used as consideration to pay the sellers of a target business with which we ultimately complete our initial business combination. If our initial business combination is paid for using equity or debt securities or not all of the funds released from the trust account are used for payment of the consideration in connection with our initial business combination or used for redemption of our public shares,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 There is no limitation on our ability to raise funds privately or through loans in connection with our initial business combination.</w:t>
      </w:r>
    </w:p>
    <w:p>
      <w:pPr>
        <w:spacing w:after="0" w:line="61" w:lineRule="exact"/>
        <w:rPr>
          <w:sz w:val="20"/>
          <w:szCs w:val="20"/>
          <w:color w:val="auto"/>
        </w:rPr>
      </w:pPr>
    </w:p>
    <w:p>
      <w:pPr>
        <w:ind w:left="1140" w:right="1579" w:firstLine="326"/>
        <w:spacing w:after="0" w:line="277" w:lineRule="auto"/>
        <w:rPr>
          <w:sz w:val="20"/>
          <w:szCs w:val="20"/>
          <w:color w:val="auto"/>
        </w:rPr>
      </w:pPr>
      <w:r>
        <w:rPr>
          <w:rFonts w:ascii="Arial" w:cs="Arial" w:eastAsia="Arial" w:hAnsi="Arial"/>
          <w:sz w:val="15"/>
          <w:szCs w:val="15"/>
          <w:color w:val="auto"/>
        </w:rPr>
        <w:t>Following this offering and prior to the completion of our initial business combination, our principal use of working capital will be to fund our activities to identify and evaluate target businesses, perform business due diligence on prospective target businesses, travel to and from the offices or similar locations of prospective target businesses or their representatives or owners, review corporate documents and material agreements of prospective target businesses, structure, negotiate and complete a business combination. During that period, we expect our other principal expenses to include franchise and income taxes; regulatory reporting requirements; NYSE continued listing fees; and office space, administrative and support services. We will enter into the Administrative Services Agreement, pursuant to which we will pay an affiliate of our sponsor a total of $50,000 per month for office space, administrative and support services. Upon completion of our initial business combination or our liquidation, we will cease paying these monthly fees.</w:t>
      </w:r>
    </w:p>
    <w:p>
      <w:pPr>
        <w:spacing w:after="0" w:line="64" w:lineRule="exact"/>
        <w:rPr>
          <w:sz w:val="20"/>
          <w:szCs w:val="20"/>
          <w:color w:val="auto"/>
        </w:rPr>
      </w:pPr>
    </w:p>
    <w:p>
      <w:pPr>
        <w:ind w:left="1140" w:right="1559" w:firstLine="326"/>
        <w:spacing w:after="0" w:line="276" w:lineRule="auto"/>
        <w:rPr>
          <w:sz w:val="20"/>
          <w:szCs w:val="20"/>
          <w:color w:val="auto"/>
        </w:rPr>
      </w:pPr>
      <w:r>
        <w:rPr>
          <w:rFonts w:ascii="Arial" w:cs="Arial" w:eastAsia="Arial" w:hAnsi="Arial"/>
          <w:sz w:val="15"/>
          <w:szCs w:val="15"/>
          <w:color w:val="auto"/>
        </w:rPr>
        <w:t>We expect to fund our working capital requirements prior to the time of our initial business combination with permitted withdrawals from the interest earned on the trust account, subject to an annual limit of $1,000,000, and permitted withdrawals to pay taxes. In addition, our sponsor, an affiliate of our sponsor or our officers and directors may, but none of them is obligated to, loan us funds as may be required. If we complete our initial business combination, we would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warrants at a price of $1.00 per warrant at the option of the lender. The warrants would be identical to the private placement warrants issued to our sponsor. The terms of such loans by our sponsor, an affiliate of our sponsor or our officers and directors, if any, have not been determined and no written agreements exist with respect to such loans. We do not expect to seek loans from parties other than our sponsor, an affiliate of our sponsor or our officers and directors, if any, as we</w:t>
      </w:r>
    </w:p>
    <w:p>
      <w:pPr>
        <w:spacing w:after="0" w:line="222"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69" w:name="page70"/>
    <w:bookmarkEnd w:id="69"/>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579"/>
        <w:spacing w:after="0" w:line="285" w:lineRule="auto"/>
        <w:rPr>
          <w:sz w:val="20"/>
          <w:szCs w:val="20"/>
          <w:color w:val="auto"/>
        </w:rPr>
      </w:pPr>
      <w:r>
        <w:rPr>
          <w:rFonts w:ascii="Arial" w:cs="Arial" w:eastAsia="Arial" w:hAnsi="Arial"/>
          <w:sz w:val="16"/>
          <w:szCs w:val="16"/>
          <w:color w:val="auto"/>
        </w:rPr>
        <w:t>do not believe third parties will be willing to loan such funds and provide a waiver against any and all rights to seek access to funds in our trust account.</w:t>
      </w:r>
    </w:p>
    <w:p>
      <w:pPr>
        <w:spacing w:after="0" w:line="52" w:lineRule="exact"/>
        <w:rPr>
          <w:sz w:val="20"/>
          <w:szCs w:val="20"/>
          <w:color w:val="auto"/>
        </w:rPr>
      </w:pPr>
    </w:p>
    <w:p>
      <w:pPr>
        <w:ind w:left="1140" w:right="1579" w:firstLine="326"/>
        <w:spacing w:after="0" w:line="275" w:lineRule="auto"/>
        <w:rPr>
          <w:sz w:val="20"/>
          <w:szCs w:val="20"/>
          <w:color w:val="auto"/>
        </w:rPr>
      </w:pPr>
      <w:r>
        <w:rPr>
          <w:rFonts w:ascii="Arial" w:cs="Arial" w:eastAsia="Arial" w:hAnsi="Arial"/>
          <w:sz w:val="15"/>
          <w:szCs w:val="15"/>
          <w:color w:val="auto"/>
        </w:rPr>
        <w:t>If we seek stockholder approval of our initial business combination and we do not conduct redemptions in connection with our initial business combination pursuant to the tender offer rules, our sponsor, directors, officers, advisors or any of their respective affiliates may also purchase shares in privately negotiated transactions or in the open market either prior to or following the completion of our initial business combination. Please see “Proposed Business — Permitted purchases of our securities” for a description of how such persons will determine from which stockholders to seek to acquire shares. The price per share paid in any such transaction may be different than the amount per share a public stockholder would receive if it elected to redeem its shares in connection with our initial business combination. However, such persons have no current commitments, plans or intentions to engage in such transactions and have not formulated any terms or conditions for any such transactions. If they 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67" w:lineRule="exact"/>
        <w:rPr>
          <w:sz w:val="20"/>
          <w:szCs w:val="20"/>
          <w:color w:val="auto"/>
        </w:rPr>
      </w:pPr>
    </w:p>
    <w:p>
      <w:pPr>
        <w:ind w:left="1140" w:right="1599" w:firstLine="326"/>
        <w:spacing w:after="0" w:line="280" w:lineRule="auto"/>
        <w:rPr>
          <w:sz w:val="20"/>
          <w:szCs w:val="20"/>
          <w:color w:val="auto"/>
        </w:rPr>
      </w:pPr>
      <w:r>
        <w:rPr>
          <w:rFonts w:ascii="Arial" w:cs="Arial" w:eastAsia="Arial" w:hAnsi="Arial"/>
          <w:sz w:val="15"/>
          <w:szCs w:val="15"/>
          <w:color w:val="auto"/>
        </w:rPr>
        <w:t>We may not redeem our public shares in an amount that would cause our net tangible assets, after payment of the deferred underwriting commissions, to be less than $5,000,001 (so that we do not then become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business combination, and instead may search for an alternate business combination.</w:t>
      </w:r>
    </w:p>
    <w:p>
      <w:pPr>
        <w:spacing w:after="0" w:line="59" w:lineRule="exact"/>
        <w:rPr>
          <w:sz w:val="20"/>
          <w:szCs w:val="20"/>
          <w:color w:val="auto"/>
        </w:rPr>
      </w:pPr>
    </w:p>
    <w:p>
      <w:pPr>
        <w:ind w:left="1140" w:right="1579" w:firstLine="326"/>
        <w:spacing w:after="0" w:line="258" w:lineRule="auto"/>
        <w:rPr>
          <w:sz w:val="20"/>
          <w:szCs w:val="20"/>
          <w:color w:val="auto"/>
        </w:rPr>
      </w:pPr>
      <w:r>
        <w:rPr>
          <w:rFonts w:ascii="Arial" w:cs="Arial" w:eastAsia="Arial" w:hAnsi="Arial"/>
          <w:sz w:val="16"/>
          <w:szCs w:val="16"/>
          <w:color w:val="auto"/>
        </w:rPr>
        <w:t>A public stockholder will be entitled to receive funds from the trust account only upon the earlier to occur of: (1) the completion of our initial business combination and then, only in connection with those public shares that such stockholder has properly elected to redeem, subject to the limitations described in this prospectus; (2) the redemption of any public shares properly submitted in connection with a stockholder vote to amend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and (3) the redemption of all of our public shares if we are unable to complete our initial business combination within the completion window, subject to applicable law. In no other circumstances will a public stockholder have any right or interest of any kind to or in the trust account.</w:t>
      </w:r>
    </w:p>
    <w:p>
      <w:pPr>
        <w:spacing w:after="0" w:line="75" w:lineRule="exact"/>
        <w:rPr>
          <w:sz w:val="20"/>
          <w:szCs w:val="20"/>
          <w:color w:val="auto"/>
        </w:rPr>
      </w:pPr>
    </w:p>
    <w:p>
      <w:pPr>
        <w:ind w:left="1140" w:right="1579" w:firstLine="326"/>
        <w:spacing w:after="0" w:line="257" w:lineRule="auto"/>
        <w:rPr>
          <w:sz w:val="20"/>
          <w:szCs w:val="20"/>
          <w:color w:val="auto"/>
        </w:rPr>
      </w:pPr>
      <w:r>
        <w:rPr>
          <w:rFonts w:ascii="Arial" w:cs="Arial" w:eastAsia="Arial" w:hAnsi="Arial"/>
          <w:sz w:val="16"/>
          <w:szCs w:val="16"/>
          <w:color w:val="auto"/>
        </w:rPr>
        <w:t>Our sponsor, officers and directors have entered into a letter agreement with us, pursuant to which they have agreed to (1) waive their redemption rights with respect to any founder shares and any public shares held by them in connection with the completion of our initial business combination and (2) waive their redemption rights with respect to any founder shares and public shares held by them in connection with a stockholder vote to approve an amendment to our amended and restated certificate of incorporation to modify the substance or timing of our obligation to provide for the redemption of our public shares in connection with an initial business combination or to redeem 100% of our public shares if we have not consummated our initial business combination within the completion window. In addition, our initial stockholders, officers and directors have agreed to waive their rights to liquidating distributions from the trust account with respect to any founder shares held by them if we fail to complete our initial business combination within the completion window. However, if our sponsor or any of our officers or directors acquires public shares in or after this offering, they will be entitled to liquidating distributions from the trust account with respect to such public shares if we fail to complete our initial business combination within the completion window.</w:t>
      </w:r>
    </w:p>
    <w:p>
      <w:pPr>
        <w:spacing w:after="0" w:line="202"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0" w:name="page71"/>
    <w:bookmarkEnd w:id="70"/>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DIVIDEND POLICY</w:t>
      </w:r>
    </w:p>
    <w:p>
      <w:pPr>
        <w:spacing w:after="0" w:line="101" w:lineRule="exact"/>
        <w:rPr>
          <w:sz w:val="20"/>
          <w:szCs w:val="20"/>
          <w:color w:val="auto"/>
        </w:rPr>
      </w:pPr>
    </w:p>
    <w:p>
      <w:pPr>
        <w:ind w:left="1140" w:right="1599" w:firstLine="326"/>
        <w:spacing w:after="0" w:line="276" w:lineRule="auto"/>
        <w:rPr>
          <w:sz w:val="20"/>
          <w:szCs w:val="20"/>
          <w:color w:val="auto"/>
        </w:rPr>
      </w:pPr>
      <w:r>
        <w:rPr>
          <w:rFonts w:ascii="Arial" w:cs="Arial" w:eastAsia="Arial" w:hAnsi="Arial"/>
          <w:sz w:val="15"/>
          <w:szCs w:val="15"/>
          <w:color w:val="auto"/>
        </w:rPr>
        <w:t>We have not paid any cash dividends on our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In addition, our board of directors is not currently contemplating and does not anticipate declaring any stock dividends in the foreseeable future, except if we increase the size of this offering, in which case we will effect a stock dividend or other appropriate mechanism immediately prior to the consummation of this offering in an amount as to maintain the ownership of our initial stockholders prior to this offering at 20% of our issued and outstanding shares of common stock upon the consummation of this offering. Further, if we incur any indebtedness in connection with our initial business combination, our ability to declare dividends may be limited by restrictive covenants we may agree to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1" w:name="page72"/>
    <w:bookmarkEnd w:id="71"/>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DILUTION</w:t>
      </w:r>
    </w:p>
    <w:p>
      <w:pPr>
        <w:spacing w:after="0" w:line="101" w:lineRule="exact"/>
        <w:rPr>
          <w:sz w:val="20"/>
          <w:szCs w:val="20"/>
          <w:color w:val="auto"/>
        </w:rPr>
      </w:pPr>
    </w:p>
    <w:p>
      <w:pPr>
        <w:ind w:left="1140" w:right="1559" w:firstLine="326"/>
        <w:spacing w:after="0" w:line="278" w:lineRule="auto"/>
        <w:rPr>
          <w:sz w:val="20"/>
          <w:szCs w:val="20"/>
          <w:color w:val="auto"/>
        </w:rPr>
      </w:pPr>
      <w:r>
        <w:rPr>
          <w:rFonts w:ascii="Arial" w:cs="Arial" w:eastAsia="Arial" w:hAnsi="Arial"/>
          <w:sz w:val="15"/>
          <w:szCs w:val="15"/>
          <w:color w:val="auto"/>
        </w:rPr>
        <w:t>The difference between the public offering price per share of Class A common stock, assuming no value is attributed to the warrants included in the units we are offering pursuant to this prospectus or the private placement warrants, and the pro forma net tangible book value per share of our Class A common stock after this offering constitutes the dilution to investors in this offering. Such calculation does not reflect any dilution associated with the sale and exercise of warrants, including the private placement warrants, which would cause the actual dilution to the public stockholders to be higher, particularly where a cashless exercise is utilized. Net tangible book value per share is determined by dividing our net tangible book value, which is our total tangible assets less total liabilities (including the value of Class A common stock which may be redeemed for cash), by the number of outstanding shares of our Class A common stock.</w:t>
      </w:r>
    </w:p>
    <w:p>
      <w:pPr>
        <w:spacing w:after="0" w:line="61" w:lineRule="exact"/>
        <w:rPr>
          <w:sz w:val="20"/>
          <w:szCs w:val="20"/>
          <w:color w:val="auto"/>
        </w:rPr>
      </w:pPr>
    </w:p>
    <w:p>
      <w:pPr>
        <w:ind w:left="1140" w:right="1579" w:firstLine="326"/>
        <w:spacing w:after="0" w:line="258" w:lineRule="auto"/>
        <w:rPr>
          <w:sz w:val="20"/>
          <w:szCs w:val="20"/>
          <w:color w:val="auto"/>
        </w:rPr>
      </w:pPr>
      <w:r>
        <w:rPr>
          <w:rFonts w:ascii="Arial" w:cs="Arial" w:eastAsia="Arial" w:hAnsi="Arial"/>
          <w:sz w:val="16"/>
          <w:szCs w:val="16"/>
          <w:color w:val="auto"/>
        </w:rPr>
        <w:t>At May 22, 2020, our net tangible book value deficit was $34,000, or approximately $(0.00) per share of Class B common stock. After giving effect to the sale of 150,000,000 shares of Class A common stock included in the units we are offering by this prospectus, the sale of the private placement warrants and the deduction of underwriting commissions and estimated expenses of this offering, our pro forma net tangible book value at May 22, 2020 would have been $5,000,010 or $0.12 per share, representing an immediate increase in net tangible book value (as decreased by the value of the 144,252,399 shares of Class A common stock that may be redeemed for cash in connection with our initial business combination and assuming no exercise of the underwriters’ option to purchase additional units) of $0.12 per share to our initial stockholders as of the date of this prospectus and an immediate dilution of $9.88 per share or 98.8% to our public stockholders not exercising their redemption rights. The dilution to new investors if the underwriters exercise their option to purchase additional units in full would be an immediate dilution of $9.90 per share or 99.0%.</w:t>
      </w:r>
    </w:p>
    <w:p>
      <w:pPr>
        <w:spacing w:after="0" w:line="73" w:lineRule="exact"/>
        <w:rPr>
          <w:sz w:val="20"/>
          <w:szCs w:val="20"/>
          <w:color w:val="auto"/>
        </w:rPr>
      </w:pPr>
    </w:p>
    <w:p>
      <w:pPr>
        <w:ind w:left="1140" w:right="1639" w:firstLine="326"/>
        <w:spacing w:after="0" w:line="285" w:lineRule="auto"/>
        <w:rPr>
          <w:sz w:val="20"/>
          <w:szCs w:val="20"/>
          <w:color w:val="auto"/>
        </w:rPr>
      </w:pPr>
      <w:r>
        <w:rPr>
          <w:rFonts w:ascii="Arial" w:cs="Arial" w:eastAsia="Arial" w:hAnsi="Arial"/>
          <w:sz w:val="16"/>
          <w:szCs w:val="16"/>
          <w:color w:val="auto"/>
        </w:rPr>
        <w:t>The following table illustrates the dilution to the public stockholders on a per share basis, assuming no value is attributed to the warrants included in the units or the private placement warrants:</w:t>
      </w:r>
    </w:p>
    <w:p>
      <w:pPr>
        <w:spacing w:after="0" w:line="101"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Public offering price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10.00</w:t>
            </w:r>
          </w:p>
        </w:tc>
        <w:tc>
          <w:tcPr>
            <w:tcW w:w="140" w:type="dxa"/>
            <w:vAlign w:val="bottom"/>
          </w:tcPr>
          <w:p>
            <w:pPr>
              <w:spacing w:after="0"/>
              <w:rPr>
                <w:sz w:val="19"/>
                <w:szCs w:val="19"/>
                <w:color w:val="auto"/>
              </w:rPr>
            </w:pPr>
          </w:p>
        </w:tc>
      </w:tr>
      <w:tr>
        <w:trPr>
          <w:trHeight w:val="249"/>
        </w:trPr>
        <w:tc>
          <w:tcPr>
            <w:tcW w:w="6980" w:type="dxa"/>
            <w:vAlign w:val="bottom"/>
          </w:tcPr>
          <w:p>
            <w:pPr>
              <w:spacing w:after="0"/>
              <w:rPr>
                <w:sz w:val="20"/>
                <w:szCs w:val="20"/>
                <w:color w:val="auto"/>
              </w:rPr>
            </w:pPr>
            <w:r>
              <w:rPr>
                <w:rFonts w:ascii="Arial" w:cs="Arial" w:eastAsia="Arial" w:hAnsi="Arial"/>
                <w:sz w:val="16"/>
                <w:szCs w:val="16"/>
                <w:color w:val="auto"/>
              </w:rPr>
              <w:t>Net tangible book value before this offering</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(0.00)</w:t>
            </w:r>
          </w:p>
        </w:tc>
      </w:tr>
      <w:tr>
        <w:trPr>
          <w:trHeight w:val="263"/>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Increase attributable to public stockholders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40" w:type="dxa"/>
            <w:vAlign w:val="bottom"/>
          </w:tcPr>
          <w:p>
            <w:pPr>
              <w:spacing w:after="0"/>
              <w:rPr>
                <w:sz w:val="22"/>
                <w:szCs w:val="22"/>
                <w:color w:val="auto"/>
              </w:rPr>
            </w:pPr>
          </w:p>
        </w:tc>
      </w:tr>
      <w:tr>
        <w:trPr>
          <w:trHeight w:val="242"/>
        </w:trPr>
        <w:tc>
          <w:tcPr>
            <w:tcW w:w="6980" w:type="dxa"/>
            <w:vAlign w:val="bottom"/>
          </w:tcPr>
          <w:p>
            <w:pPr>
              <w:spacing w:after="0"/>
              <w:rPr>
                <w:sz w:val="20"/>
                <w:szCs w:val="20"/>
                <w:color w:val="auto"/>
              </w:rPr>
            </w:pPr>
            <w:r>
              <w:rPr>
                <w:rFonts w:ascii="Arial" w:cs="Arial" w:eastAsia="Arial" w:hAnsi="Arial"/>
                <w:sz w:val="16"/>
                <w:szCs w:val="16"/>
                <w:color w:val="auto"/>
              </w:rPr>
              <w:t>Pro forma net tangible book value after this offering and the sale of the private placement warrants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0.12</w:t>
            </w:r>
          </w:p>
        </w:tc>
      </w:tr>
      <w:tr>
        <w:trPr>
          <w:trHeight w:val="25"/>
        </w:trPr>
        <w:tc>
          <w:tcPr>
            <w:tcW w:w="6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r>
      <w:tr>
        <w:trPr>
          <w:trHeight w:val="267"/>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Dilution to public stockholders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w:t>
            </w:r>
          </w:p>
        </w:tc>
        <w:tc>
          <w:tcPr>
            <w:tcW w:w="140" w:type="dxa"/>
            <w:vAlign w:val="bottom"/>
          </w:tcPr>
          <w:p>
            <w:pPr>
              <w:spacing w:after="0"/>
              <w:rPr>
                <w:sz w:val="23"/>
                <w:szCs w:val="23"/>
                <w:color w:val="auto"/>
              </w:rPr>
            </w:pPr>
          </w:p>
        </w:tc>
      </w:tr>
      <w:tr>
        <w:trPr>
          <w:trHeight w:val="20"/>
        </w:trPr>
        <w:tc>
          <w:tcPr>
            <w:tcW w:w="6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9"/>
        </w:trPr>
        <w:tc>
          <w:tcPr>
            <w:tcW w:w="6980" w:type="dxa"/>
            <w:vAlign w:val="bottom"/>
          </w:tcPr>
          <w:p>
            <w:pPr>
              <w:spacing w:after="0"/>
              <w:rPr>
                <w:sz w:val="20"/>
                <w:szCs w:val="20"/>
                <w:color w:val="auto"/>
              </w:rPr>
            </w:pPr>
            <w:r>
              <w:rPr>
                <w:rFonts w:ascii="Arial" w:cs="Arial" w:eastAsia="Arial" w:hAnsi="Arial"/>
                <w:sz w:val="16"/>
                <w:szCs w:val="16"/>
                <w:color w:val="auto"/>
              </w:rPr>
              <w:t>Percentage of dilution to new investors</w:t>
            </w:r>
          </w:p>
        </w:tc>
        <w:tc>
          <w:tcPr>
            <w:tcW w:w="8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98.8%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-371475</wp:posOffset>
            </wp:positionV>
            <wp:extent cx="443484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434840" cy="7620"/>
                    </a:xfrm>
                    <a:prstGeom prst="rect">
                      <a:avLst/>
                    </a:prstGeom>
                    <a:noFill/>
                  </pic:spPr>
                </pic:pic>
              </a:graphicData>
            </a:graphic>
          </wp:anchor>
        </w:drawing>
      </w:r>
    </w:p>
    <w:p>
      <w:pPr>
        <w:spacing w:after="0" w:line="127" w:lineRule="exact"/>
        <w:rPr>
          <w:sz w:val="20"/>
          <w:szCs w:val="20"/>
          <w:color w:val="auto"/>
        </w:rPr>
      </w:pPr>
    </w:p>
    <w:p>
      <w:pPr>
        <w:ind w:left="1140" w:right="1619" w:firstLine="326"/>
        <w:spacing w:after="0" w:line="259" w:lineRule="auto"/>
        <w:rPr>
          <w:sz w:val="20"/>
          <w:szCs w:val="20"/>
          <w:color w:val="auto"/>
        </w:rPr>
      </w:pPr>
      <w:r>
        <w:rPr>
          <w:rFonts w:ascii="Arial" w:cs="Arial" w:eastAsia="Arial" w:hAnsi="Arial"/>
          <w:sz w:val="16"/>
          <w:szCs w:val="16"/>
          <w:color w:val="auto"/>
        </w:rPr>
        <w:t>For purposes of presentation, we have reduced our pro forma net tangible book value after this offering (assuming no exercise of the underwriters’ option to purchase additional units) by $1,442,523,990 because holders of up to approximately 96.2%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two business days prior to the commencement of our tender offer or stockholders meeting, including interest (net of permitted withdrawals) divided by the number of shares of Class A common stock sold in this offering).</w:t>
      </w:r>
    </w:p>
    <w:p>
      <w:pPr>
        <w:spacing w:after="0" w:line="75" w:lineRule="exact"/>
        <w:rPr>
          <w:sz w:val="20"/>
          <w:szCs w:val="20"/>
          <w:color w:val="auto"/>
        </w:rPr>
      </w:pPr>
    </w:p>
    <w:p>
      <w:pPr>
        <w:ind w:left="1140" w:right="2119" w:firstLine="326"/>
        <w:spacing w:after="0" w:line="285" w:lineRule="auto"/>
        <w:rPr>
          <w:sz w:val="20"/>
          <w:szCs w:val="20"/>
          <w:color w:val="auto"/>
        </w:rPr>
      </w:pPr>
      <w:r>
        <w:rPr>
          <w:rFonts w:ascii="Arial" w:cs="Arial" w:eastAsia="Arial" w:hAnsi="Arial"/>
          <w:sz w:val="16"/>
          <w:szCs w:val="16"/>
          <w:color w:val="auto"/>
        </w:rPr>
        <w:t>The following table sets forth information with respect to our initial stockholders and the public stockholders: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20" w:type="dxa"/>
            <w:vAlign w:val="bottom"/>
            <w:gridSpan w:val="6"/>
            <w:vMerge w:val="restart"/>
          </w:tcPr>
          <w:p>
            <w:pPr>
              <w:jc w:val="right"/>
              <w:ind w:right="540"/>
              <w:spacing w:after="0"/>
              <w:rPr>
                <w:sz w:val="20"/>
                <w:szCs w:val="20"/>
                <w:color w:val="auto"/>
              </w:rPr>
            </w:pPr>
            <w:r>
              <w:rPr>
                <w:rFonts w:ascii="Arial" w:cs="Arial" w:eastAsia="Arial" w:hAnsi="Arial"/>
                <w:sz w:val="13"/>
                <w:szCs w:val="13"/>
                <w:b w:val="1"/>
                <w:bCs w:val="1"/>
                <w:color w:val="auto"/>
              </w:rPr>
              <w:t>Shares Purchased</w:t>
            </w:r>
          </w:p>
        </w:tc>
        <w:tc>
          <w:tcPr>
            <w:tcW w:w="100" w:type="dxa"/>
            <w:vAlign w:val="bottom"/>
          </w:tcPr>
          <w:p>
            <w:pPr>
              <w:spacing w:after="0"/>
              <w:rPr>
                <w:sz w:val="12"/>
                <w:szCs w:val="12"/>
                <w:color w:val="auto"/>
              </w:rPr>
            </w:pPr>
          </w:p>
        </w:tc>
        <w:tc>
          <w:tcPr>
            <w:tcW w:w="1920" w:type="dxa"/>
            <w:vAlign w:val="bottom"/>
            <w:gridSpan w:val="4"/>
            <w:vMerge w:val="restart"/>
          </w:tcPr>
          <w:p>
            <w:pPr>
              <w:jc w:val="right"/>
              <w:ind w:right="580"/>
              <w:spacing w:after="0"/>
              <w:rPr>
                <w:sz w:val="20"/>
                <w:szCs w:val="20"/>
                <w:color w:val="auto"/>
              </w:rPr>
            </w:pPr>
            <w:r>
              <w:rPr>
                <w:rFonts w:ascii="Arial" w:cs="Arial" w:eastAsia="Arial" w:hAnsi="Arial"/>
                <w:sz w:val="13"/>
                <w:szCs w:val="13"/>
                <w:b w:val="1"/>
                <w:bCs w:val="1"/>
                <w:color w:val="auto"/>
              </w:rPr>
              <w:t>Total Consideration</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5"/>
              </w:rPr>
              <w:t>Average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140" w:type="dxa"/>
            <w:vAlign w:val="bottom"/>
          </w:tcPr>
          <w:p>
            <w:pPr>
              <w:spacing w:after="0"/>
              <w:rPr>
                <w:sz w:val="7"/>
                <w:szCs w:val="7"/>
                <w:color w:val="auto"/>
              </w:rPr>
            </w:pPr>
          </w:p>
        </w:tc>
        <w:tc>
          <w:tcPr>
            <w:tcW w:w="3060" w:type="dxa"/>
            <w:vAlign w:val="bottom"/>
          </w:tcPr>
          <w:p>
            <w:pPr>
              <w:spacing w:after="0"/>
              <w:rPr>
                <w:sz w:val="7"/>
                <w:szCs w:val="7"/>
                <w:color w:val="auto"/>
              </w:rPr>
            </w:pPr>
          </w:p>
        </w:tc>
        <w:tc>
          <w:tcPr>
            <w:tcW w:w="182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1920" w:type="dxa"/>
            <w:vAlign w:val="bottom"/>
            <w:gridSpan w:val="4"/>
            <w:vMerge w:val="continue"/>
          </w:tcPr>
          <w:p>
            <w:pPr>
              <w:spacing w:after="0"/>
              <w:rPr>
                <w:sz w:val="7"/>
                <w:szCs w:val="7"/>
                <w:color w:val="auto"/>
              </w:rPr>
            </w:pPr>
          </w:p>
        </w:tc>
        <w:tc>
          <w:tcPr>
            <w:tcW w:w="540" w:type="dxa"/>
            <w:vAlign w:val="bottom"/>
            <w:vMerge w:val="restart"/>
          </w:tcPr>
          <w:p>
            <w:pPr>
              <w:jc w:val="center"/>
              <w:spacing w:after="0" w:line="147" w:lineRule="exact"/>
              <w:rPr>
                <w:sz w:val="20"/>
                <w:szCs w:val="20"/>
                <w:color w:val="auto"/>
              </w:rPr>
            </w:pPr>
            <w:r>
              <w:rPr>
                <w:rFonts w:ascii="Arial" w:cs="Arial" w:eastAsia="Arial" w:hAnsi="Arial"/>
                <w:sz w:val="13"/>
                <w:szCs w:val="13"/>
                <w:b w:val="1"/>
                <w:bCs w:val="1"/>
                <w:color w:val="auto"/>
                <w:w w:val="86"/>
              </w:rPr>
              <w:t>Price per</w:t>
            </w: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000" w:type="dxa"/>
            <w:vAlign w:val="bottom"/>
            <w:gridSpan w:val="2"/>
          </w:tcPr>
          <w:p>
            <w:pPr>
              <w:ind w:left="180"/>
              <w:spacing w:after="0"/>
              <w:rPr>
                <w:sz w:val="20"/>
                <w:szCs w:val="20"/>
                <w:color w:val="auto"/>
              </w:rPr>
            </w:pPr>
            <w:r>
              <w:rPr>
                <w:rFonts w:ascii="Arial" w:cs="Arial" w:eastAsia="Arial" w:hAnsi="Arial"/>
                <w:sz w:val="13"/>
                <w:szCs w:val="13"/>
                <w:b w:val="1"/>
                <w:bCs w:val="1"/>
                <w:color w:val="auto"/>
              </w:rPr>
              <w:t>Number</w:t>
            </w:r>
          </w:p>
        </w:tc>
        <w:tc>
          <w:tcPr>
            <w:tcW w:w="82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w w:val="85"/>
              </w:rPr>
              <w:t>Percentage</w:t>
            </w:r>
          </w:p>
        </w:tc>
        <w:tc>
          <w:tcPr>
            <w:tcW w:w="100" w:type="dxa"/>
            <w:vAlign w:val="bottom"/>
          </w:tcPr>
          <w:p>
            <w:pPr>
              <w:spacing w:after="0"/>
              <w:rPr>
                <w:sz w:val="15"/>
                <w:szCs w:val="15"/>
                <w:color w:val="auto"/>
              </w:rPr>
            </w:pPr>
          </w:p>
        </w:tc>
        <w:tc>
          <w:tcPr>
            <w:tcW w:w="1200" w:type="dxa"/>
            <w:vAlign w:val="bottom"/>
            <w:gridSpan w:val="2"/>
          </w:tcPr>
          <w:p>
            <w:pPr>
              <w:ind w:left="200"/>
              <w:spacing w:after="0"/>
              <w:rPr>
                <w:sz w:val="20"/>
                <w:szCs w:val="20"/>
                <w:color w:val="auto"/>
              </w:rPr>
            </w:pPr>
            <w:r>
              <w:rPr>
                <w:rFonts w:ascii="Arial" w:cs="Arial" w:eastAsia="Arial" w:hAnsi="Arial"/>
                <w:sz w:val="13"/>
                <w:szCs w:val="13"/>
                <w:b w:val="1"/>
                <w:bCs w:val="1"/>
                <w:color w:val="auto"/>
              </w:rPr>
              <w:t>Amount</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74"/>
              </w:rPr>
              <w:t>Percentage</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8"/>
              </w:rPr>
              <w:t>Share</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3060" w:type="dxa"/>
            <w:vAlign w:val="bottom"/>
            <w:tcBorders>
              <w:right w:val="single" w:sz="8" w:color="CCEEFF"/>
            </w:tcBorders>
            <w:shd w:val="clear" w:color="auto" w:fill="CCEEFF"/>
          </w:tcPr>
          <w:p>
            <w:pPr>
              <w:spacing w:after="0" w:line="212" w:lineRule="exact"/>
              <w:rPr>
                <w:sz w:val="20"/>
                <w:szCs w:val="20"/>
                <w:color w:val="auto"/>
              </w:rPr>
            </w:pPr>
            <w:r>
              <w:rPr>
                <w:rFonts w:ascii="Arial" w:cs="Arial" w:eastAsia="Arial" w:hAnsi="Arial"/>
                <w:sz w:val="16"/>
                <w:szCs w:val="16"/>
                <w:color w:val="auto"/>
              </w:rPr>
              <w:t>Initial Stockholders</w:t>
            </w:r>
            <w:r>
              <w:rPr>
                <w:rFonts w:ascii="Arial" w:cs="Arial" w:eastAsia="Arial" w:hAnsi="Arial"/>
                <w:sz w:val="24"/>
                <w:szCs w:val="24"/>
                <w:color w:val="auto"/>
                <w:vertAlign w:val="superscript"/>
              </w:rPr>
              <w:t>(1)(2)</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37,500,000</w:t>
            </w:r>
          </w:p>
        </w:tc>
        <w:tc>
          <w:tcPr>
            <w:tcW w:w="82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25,000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0.002%</w:t>
            </w:r>
          </w:p>
        </w:tc>
        <w:tc>
          <w:tcPr>
            <w:tcW w:w="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$0.001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6"/>
                <w:szCs w:val="16"/>
                <w:color w:val="auto"/>
              </w:rPr>
              <w:t>Public Stockholders</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150,000,000</w:t>
            </w:r>
          </w:p>
        </w:tc>
        <w:tc>
          <w:tcPr>
            <w:tcW w:w="180" w:type="dxa"/>
            <w:vAlign w:val="bottom"/>
          </w:tcPr>
          <w:p>
            <w:pPr>
              <w:spacing w:after="0"/>
              <w:rPr>
                <w:sz w:val="20"/>
                <w:szCs w:val="20"/>
                <w:color w:val="auto"/>
              </w:rPr>
            </w:pPr>
          </w:p>
        </w:tc>
        <w:tc>
          <w:tcPr>
            <w:tcW w:w="820" w:type="dxa"/>
            <w:vAlign w:val="bottom"/>
            <w:gridSpan w:val="4"/>
          </w:tcPr>
          <w:p>
            <w:pPr>
              <w:jc w:val="right"/>
              <w:ind w:right="180"/>
              <w:spacing w:after="0"/>
              <w:rPr>
                <w:sz w:val="20"/>
                <w:szCs w:val="20"/>
                <w:color w:val="auto"/>
              </w:rPr>
            </w:pPr>
            <w:r>
              <w:rPr>
                <w:rFonts w:ascii="Arial" w:cs="Arial" w:eastAsia="Arial" w:hAnsi="Arial"/>
                <w:sz w:val="16"/>
                <w:szCs w:val="16"/>
                <w:color w:val="auto"/>
              </w:rPr>
              <w:t>80.00%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w w:val="89"/>
              </w:rPr>
              <w:t>1,500,000,000</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w w:val="91"/>
              </w:rPr>
              <w:t>99.998%</w:t>
            </w:r>
          </w:p>
        </w:tc>
        <w:tc>
          <w:tcPr>
            <w:tcW w:w="540" w:type="dxa"/>
            <w:vAlign w:val="bottom"/>
          </w:tcPr>
          <w:p>
            <w:pPr>
              <w:jc w:val="center"/>
              <w:spacing w:after="0"/>
              <w:rPr>
                <w:sz w:val="20"/>
                <w:szCs w:val="20"/>
                <w:color w:val="auto"/>
              </w:rPr>
            </w:pPr>
            <w:r>
              <w:rPr>
                <w:rFonts w:ascii="Arial" w:cs="Arial" w:eastAsia="Arial" w:hAnsi="Arial"/>
                <w:sz w:val="16"/>
                <w:szCs w:val="16"/>
                <w:color w:val="auto"/>
                <w:w w:val="93"/>
              </w:rPr>
              <w:t>$10.00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140" w:type="dxa"/>
            <w:vAlign w:val="bottom"/>
          </w:tcPr>
          <w:p>
            <w:pPr>
              <w:spacing w:after="0"/>
              <w:rPr>
                <w:sz w:val="20"/>
                <w:szCs w:val="20"/>
                <w:color w:val="auto"/>
              </w:rPr>
            </w:pPr>
          </w:p>
        </w:tc>
        <w:tc>
          <w:tcPr>
            <w:tcW w:w="3060" w:type="dxa"/>
            <w:vAlign w:val="bottom"/>
            <w:tcBorders>
              <w:right w:val="single" w:sz="8" w:color="CCEEFF"/>
            </w:tcBorders>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187,500,000</w:t>
            </w:r>
          </w:p>
        </w:tc>
        <w:tc>
          <w:tcPr>
            <w:tcW w:w="18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100.</w:t>
            </w:r>
            <w:r>
              <w:rPr>
                <w:rFonts w:ascii="Arial" w:cs="Arial" w:eastAsia="Arial" w:hAnsi="Arial"/>
                <w:sz w:val="16"/>
                <w:szCs w:val="16"/>
                <w:u w:val="single" w:color="auto"/>
                <w:color w:val="auto"/>
              </w:rPr>
              <w:t>0</w:t>
            </w: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9"/>
              </w:rPr>
              <w:t>1,500,025,000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c>
          <w:tcPr>
            <w:tcW w:w="540" w:type="dxa"/>
            <w:vAlign w:val="bottom"/>
            <w:shd w:val="clear" w:color="auto" w:fill="CCEEFF"/>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Arial" w:cs="Arial" w:eastAsia="Arial" w:hAnsi="Arial"/>
                <w:sz w:val="16"/>
                <w:szCs w:val="16"/>
                <w:color w:val="auto"/>
              </w:rPr>
              <w:t>69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114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4938395</wp:posOffset>
            </wp:positionH>
            <wp:positionV relativeFrom="paragraph">
              <wp:posOffset>-713740</wp:posOffset>
            </wp:positionV>
            <wp:extent cx="50482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04825" cy="762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-713740</wp:posOffset>
            </wp:positionV>
            <wp:extent cx="17081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0815" cy="7620"/>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-713740</wp:posOffset>
            </wp:positionV>
            <wp:extent cx="20955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09550" cy="762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-713740</wp:posOffset>
            </wp:positionV>
            <wp:extent cx="266382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63825" cy="762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-1016635</wp:posOffset>
            </wp:positionV>
            <wp:extent cx="12446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4460" cy="7620"/>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-1016635</wp:posOffset>
            </wp:positionV>
            <wp:extent cx="12446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4460" cy="762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-1016635</wp:posOffset>
            </wp:positionV>
            <wp:extent cx="258635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86355" cy="7620"/>
                    </a:xfrm>
                    <a:prstGeom prst="rect">
                      <a:avLst/>
                    </a:prstGeom>
                    <a:noFill/>
                  </pic:spPr>
                </pic:pic>
              </a:graphicData>
            </a:graphic>
          </wp:anchor>
        </w:drawing>
        <w:drawing>
          <wp:anchor simplePos="0" relativeHeight="251657728" behindDoc="1" locked="0" layoutInCell="0" allowOverlap="1">
            <wp:simplePos x="0" y="0"/>
            <wp:positionH relativeFrom="column">
              <wp:posOffset>4984750</wp:posOffset>
            </wp:positionH>
            <wp:positionV relativeFrom="paragraph">
              <wp:posOffset>-1016635</wp:posOffset>
            </wp:positionV>
            <wp:extent cx="12446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4460" cy="7620"/>
                    </a:xfrm>
                    <a:prstGeom prst="rect">
                      <a:avLst/>
                    </a:prstGeom>
                    <a:noFill/>
                  </pic:spPr>
                </pic:pic>
              </a:graphicData>
            </a:graphic>
          </wp:anchor>
        </w:drawing>
        <w:drawing>
          <wp:anchor simplePos="0" relativeHeight="251657728" behindDoc="1" locked="0" layoutInCell="0" allowOverlap="1">
            <wp:simplePos x="0" y="0"/>
            <wp:positionH relativeFrom="column">
              <wp:posOffset>6157595</wp:posOffset>
            </wp:positionH>
            <wp:positionV relativeFrom="paragraph">
              <wp:posOffset>-6985</wp:posOffset>
            </wp:positionV>
            <wp:extent cx="762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-14605</wp:posOffset>
            </wp:positionV>
            <wp:extent cx="7620"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2" w:name="page73"/>
    <w:bookmarkEnd w:id="72"/>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469265</wp:posOffset>
            </wp:positionV>
            <wp:extent cx="111823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182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460" w:right="1699" w:hanging="321"/>
        <w:spacing w:after="0" w:line="320" w:lineRule="auto"/>
        <w:tabs>
          <w:tab w:leader="none" w:pos="1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Assumes the full forfeiture of 5,625,000 shares that are subject to forfeiture by our sponsor depending on the extent to which the underwriters’ option to purchase additional units is exercised.</w:t>
      </w:r>
    </w:p>
    <w:p>
      <w:pPr>
        <w:spacing w:after="0" w:line="90" w:lineRule="exact"/>
        <w:rPr>
          <w:rFonts w:ascii="Arial" w:cs="Arial" w:eastAsia="Arial" w:hAnsi="Arial"/>
          <w:sz w:val="15"/>
          <w:szCs w:val="15"/>
          <w:color w:val="auto"/>
        </w:rPr>
      </w:pPr>
    </w:p>
    <w:p>
      <w:pPr>
        <w:ind w:left="1460" w:right="1639" w:hanging="321"/>
        <w:spacing w:after="0" w:line="265" w:lineRule="auto"/>
        <w:tabs>
          <w:tab w:leader="none" w:pos="1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Assumes conversion of Class B common stock into Class A common stock on a one-for-one basis. The dilution to public stockholders would increase to the extent that the anti-dilution provisions of the Class B common stock result in the issuance of shares of Class A common stock on a greater than one-to-one basis upon such conversion.</w:t>
      </w:r>
    </w:p>
    <w:p>
      <w:pPr>
        <w:spacing w:after="0" w:line="154" w:lineRule="exact"/>
        <w:rPr>
          <w:sz w:val="20"/>
          <w:szCs w:val="20"/>
          <w:color w:val="auto"/>
        </w:rPr>
      </w:pPr>
    </w:p>
    <w:p>
      <w:pPr>
        <w:ind w:left="1140" w:right="1919" w:firstLine="326"/>
        <w:spacing w:after="0" w:line="285" w:lineRule="auto"/>
        <w:rPr>
          <w:sz w:val="20"/>
          <w:szCs w:val="20"/>
          <w:color w:val="auto"/>
        </w:rPr>
      </w:pPr>
      <w:r>
        <w:rPr>
          <w:rFonts w:ascii="Arial" w:cs="Arial" w:eastAsia="Arial" w:hAnsi="Arial"/>
          <w:sz w:val="16"/>
          <w:szCs w:val="16"/>
          <w:color w:val="auto"/>
        </w:rPr>
        <w:t>The pro forma net tangible book value per share as of May 22, 2020 giving effect to the offering is calculated as follows:</w:t>
      </w:r>
    </w:p>
    <w:p>
      <w:pPr>
        <w:spacing w:after="0" w:line="76"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700" w:type="dxa"/>
            <w:vAlign w:val="bottom"/>
          </w:tcPr>
          <w:p>
            <w:pPr>
              <w:spacing w:after="0"/>
              <w:rPr>
                <w:sz w:val="20"/>
                <w:szCs w:val="20"/>
                <w:color w:val="auto"/>
              </w:rPr>
            </w:pPr>
            <w:r>
              <w:rPr>
                <w:rFonts w:ascii="Arial" w:cs="Arial" w:eastAsia="Arial" w:hAnsi="Arial"/>
                <w:sz w:val="16"/>
                <w:szCs w:val="16"/>
                <w:color w:val="auto"/>
              </w:rPr>
              <w:t>Net tangible book value before this offering</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(34,000)</w:t>
            </w:r>
          </w:p>
        </w:tc>
        <w:tc>
          <w:tcPr>
            <w:tcW w:w="0" w:type="dxa"/>
            <w:vAlign w:val="bottom"/>
          </w:tcPr>
          <w:p>
            <w:pPr>
              <w:spacing w:after="0"/>
              <w:rPr>
                <w:sz w:val="1"/>
                <w:szCs w:val="1"/>
                <w:color w:val="auto"/>
              </w:rPr>
            </w:pPr>
          </w:p>
        </w:tc>
      </w:tr>
      <w:tr>
        <w:trPr>
          <w:trHeight w:val="233"/>
        </w:trPr>
        <w:tc>
          <w:tcPr>
            <w:tcW w:w="64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Proceeds from this offering and sale of the private placement warrants, net of expenses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1,500,000,000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700" w:type="dxa"/>
            <w:vAlign w:val="bottom"/>
          </w:tcPr>
          <w:p>
            <w:pPr>
              <w:spacing w:after="0"/>
              <w:rPr>
                <w:sz w:val="20"/>
                <w:szCs w:val="20"/>
                <w:color w:val="auto"/>
              </w:rPr>
            </w:pPr>
            <w:r>
              <w:rPr>
                <w:rFonts w:ascii="Arial" w:cs="Arial" w:eastAsia="Arial" w:hAnsi="Arial"/>
                <w:sz w:val="16"/>
                <w:szCs w:val="16"/>
                <w:color w:val="auto"/>
              </w:rPr>
              <w:t>Plus: offering costs paid for in advance</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58,000</w:t>
            </w:r>
          </w:p>
        </w:tc>
        <w:tc>
          <w:tcPr>
            <w:tcW w:w="0" w:type="dxa"/>
            <w:vAlign w:val="bottom"/>
          </w:tcPr>
          <w:p>
            <w:pPr>
              <w:spacing w:after="0"/>
              <w:rPr>
                <w:sz w:val="1"/>
                <w:szCs w:val="1"/>
                <w:color w:val="auto"/>
              </w:rPr>
            </w:pPr>
          </w:p>
        </w:tc>
      </w:tr>
      <w:tr>
        <w:trPr>
          <w:trHeight w:val="233"/>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Less: deferred underwriters’ commissions payable</w:t>
            </w: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440" w:type="dxa"/>
            <w:vAlign w:val="bottom"/>
            <w:gridSpan w:val="3"/>
          </w:tcPr>
          <w:p>
            <w:pPr>
              <w:spacing w:after="0"/>
              <w:rPr>
                <w:sz w:val="20"/>
                <w:szCs w:val="20"/>
                <w:color w:val="auto"/>
              </w:rPr>
            </w:pPr>
            <w:r>
              <w:rPr>
                <w:rFonts w:ascii="Arial" w:cs="Arial" w:eastAsia="Arial" w:hAnsi="Arial"/>
                <w:sz w:val="16"/>
                <w:szCs w:val="16"/>
                <w:color w:val="auto"/>
              </w:rPr>
              <w:t>Less: amount of Class A common stock subject to redemption to maintain net tangible</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00" w:type="dxa"/>
            <w:vAlign w:val="bottom"/>
          </w:tcPr>
          <w:p>
            <w:pPr>
              <w:ind w:left="160"/>
              <w:spacing w:after="0"/>
              <w:rPr>
                <w:sz w:val="20"/>
                <w:szCs w:val="20"/>
                <w:color w:val="auto"/>
              </w:rPr>
            </w:pPr>
            <w:r>
              <w:rPr>
                <w:rFonts w:ascii="Arial" w:cs="Arial" w:eastAsia="Arial" w:hAnsi="Arial"/>
                <w:sz w:val="16"/>
                <w:szCs w:val="16"/>
                <w:color w:val="auto"/>
              </w:rPr>
              <w:t>assets of $5,000,001</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w w:val="92"/>
              </w:rPr>
              <w:t>(1,442,523,990)</w:t>
            </w:r>
          </w:p>
        </w:tc>
        <w:tc>
          <w:tcPr>
            <w:tcW w:w="0" w:type="dxa"/>
            <w:vAlign w:val="bottom"/>
          </w:tcPr>
          <w:p>
            <w:pPr>
              <w:spacing w:after="0"/>
              <w:rPr>
                <w:sz w:val="1"/>
                <w:szCs w:val="1"/>
                <w:color w:val="auto"/>
              </w:rPr>
            </w:pPr>
          </w:p>
        </w:tc>
      </w:tr>
      <w:tr>
        <w:trPr>
          <w:trHeight w:val="25"/>
        </w:trPr>
        <w:tc>
          <w:tcPr>
            <w:tcW w:w="47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Denominator:</w:t>
            </w: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700" w:type="dxa"/>
            <w:vAlign w:val="bottom"/>
            <w:vMerge w:val="continue"/>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Shares of Class B common stock outstanding prior to this offering</w:t>
            </w: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43,125,000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440" w:type="dxa"/>
            <w:vAlign w:val="bottom"/>
            <w:gridSpan w:val="3"/>
          </w:tcPr>
          <w:p>
            <w:pPr>
              <w:spacing w:after="0"/>
              <w:rPr>
                <w:sz w:val="20"/>
                <w:szCs w:val="20"/>
                <w:color w:val="auto"/>
              </w:rPr>
            </w:pPr>
            <w:r>
              <w:rPr>
                <w:rFonts w:ascii="Arial" w:cs="Arial" w:eastAsia="Arial" w:hAnsi="Arial"/>
                <w:sz w:val="16"/>
                <w:szCs w:val="16"/>
                <w:color w:val="auto"/>
              </w:rPr>
              <w:t>Shares forfeited if option to purchase additional units is not exercised</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(5,625,000)</w:t>
            </w:r>
          </w:p>
        </w:tc>
        <w:tc>
          <w:tcPr>
            <w:tcW w:w="0" w:type="dxa"/>
            <w:vAlign w:val="bottom"/>
          </w:tcPr>
          <w:p>
            <w:pPr>
              <w:spacing w:after="0"/>
              <w:rPr>
                <w:sz w:val="1"/>
                <w:szCs w:val="1"/>
                <w:color w:val="auto"/>
              </w:rPr>
            </w:pPr>
          </w:p>
        </w:tc>
      </w:tr>
      <w:tr>
        <w:trPr>
          <w:trHeight w:val="245"/>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Shares of Class A common stock included in the units offered</w:t>
            </w: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0"/>
                <w:szCs w:val="20"/>
                <w:color w:val="auto"/>
              </w:rPr>
            </w:pPr>
            <w:r>
              <w:rPr>
                <w:rFonts w:ascii="Arial" w:cs="Arial" w:eastAsia="Arial" w:hAnsi="Arial"/>
                <w:sz w:val="16"/>
                <w:szCs w:val="16"/>
                <w:color w:val="auto"/>
                <w:w w:val="96"/>
              </w:rPr>
              <w:t>Less: shares subject to redemption to maintain net tangible assets of</w:t>
            </w:r>
          </w:p>
        </w:tc>
        <w:tc>
          <w:tcPr>
            <w:tcW w:w="1640" w:type="dxa"/>
            <w:vAlign w:val="bottom"/>
          </w:tcPr>
          <w:p>
            <w:pPr>
              <w:jc w:val="right"/>
              <w:ind w:right="758"/>
              <w:spacing w:after="0"/>
              <w:rPr>
                <w:sz w:val="20"/>
                <w:szCs w:val="20"/>
                <w:color w:val="auto"/>
              </w:rPr>
            </w:pPr>
            <w:r>
              <w:rPr>
                <w:rFonts w:ascii="Arial" w:cs="Arial" w:eastAsia="Arial" w:hAnsi="Arial"/>
                <w:sz w:val="16"/>
                <w:szCs w:val="16"/>
                <w:color w:val="auto"/>
                <w:w w:val="97"/>
              </w:rPr>
              <w:t>$5,000,001</w:t>
            </w:r>
          </w:p>
        </w:tc>
        <w:tc>
          <w:tcPr>
            <w:tcW w:w="1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(144,252,399)</w:t>
            </w: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43,247,601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-193675</wp:posOffset>
            </wp:positionV>
            <wp:extent cx="403098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030980" cy="762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-1141095</wp:posOffset>
            </wp:positionV>
            <wp:extent cx="403098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0309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3" w:name="page74"/>
    <w:bookmarkEnd w:id="73"/>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CAPITALIZATION</w:t>
      </w:r>
    </w:p>
    <w:p>
      <w:pPr>
        <w:spacing w:after="0" w:line="101" w:lineRule="exact"/>
        <w:rPr>
          <w:sz w:val="20"/>
          <w:szCs w:val="20"/>
          <w:color w:val="auto"/>
        </w:rPr>
      </w:pPr>
    </w:p>
    <w:p>
      <w:pPr>
        <w:ind w:left="1140" w:right="1779" w:firstLine="326"/>
        <w:spacing w:after="0" w:line="265" w:lineRule="auto"/>
        <w:rPr>
          <w:sz w:val="20"/>
          <w:szCs w:val="20"/>
          <w:color w:val="auto"/>
        </w:rPr>
      </w:pPr>
      <w:r>
        <w:rPr>
          <w:rFonts w:ascii="Arial" w:cs="Arial" w:eastAsia="Arial" w:hAnsi="Arial"/>
          <w:sz w:val="16"/>
          <w:szCs w:val="16"/>
          <w:color w:val="auto"/>
        </w:rPr>
        <w:t>The following table sets forth our capitalization at May 22, 2020 and as adjusted to give effect to the sale of our 150,000,000 units in this offering for $1,500,000,000 (or $10.00 per unit) and the sale of 31,350,000 private placement warrants for $31,350,000 (or $1.00 per warrant) and the application of the estimated net proceeds derived from the sale of such securities:</w:t>
      </w:r>
    </w:p>
    <w:p>
      <w:pPr>
        <w:spacing w:after="0" w:line="8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17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580"/>
              <w:spacing w:after="0"/>
              <w:rPr>
                <w:sz w:val="20"/>
                <w:szCs w:val="20"/>
                <w:color w:val="auto"/>
              </w:rPr>
            </w:pPr>
            <w:r>
              <w:rPr>
                <w:rFonts w:ascii="Arial" w:cs="Arial" w:eastAsia="Arial" w:hAnsi="Arial"/>
                <w:sz w:val="13"/>
                <w:szCs w:val="13"/>
                <w:b w:val="1"/>
                <w:bCs w:val="1"/>
                <w:color w:val="auto"/>
              </w:rPr>
              <w:t>May 22, 2020</w:t>
            </w:r>
          </w:p>
        </w:tc>
        <w:tc>
          <w:tcPr>
            <w:tcW w:w="0" w:type="dxa"/>
            <w:vAlign w:val="bottom"/>
          </w:tcPr>
          <w:p>
            <w:pPr>
              <w:spacing w:after="0"/>
              <w:rPr>
                <w:sz w:val="1"/>
                <w:szCs w:val="1"/>
                <w:color w:val="auto"/>
              </w:rPr>
            </w:pPr>
          </w:p>
        </w:tc>
      </w:tr>
      <w:tr>
        <w:trPr>
          <w:trHeight w:val="193"/>
        </w:trPr>
        <w:tc>
          <w:tcPr>
            <w:tcW w:w="1760" w:type="dxa"/>
            <w:vAlign w:val="bottom"/>
            <w:tcBorders>
              <w:bottom w:val="single" w:sz="8" w:color="CCEEFF"/>
            </w:tcBorders>
          </w:tcPr>
          <w:p>
            <w:pPr>
              <w:spacing w:after="0"/>
              <w:rPr>
                <w:sz w:val="16"/>
                <w:szCs w:val="16"/>
                <w:color w:val="auto"/>
              </w:rPr>
            </w:pPr>
          </w:p>
        </w:tc>
        <w:tc>
          <w:tcPr>
            <w:tcW w:w="37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Actual</w:t>
            </w:r>
          </w:p>
        </w:tc>
        <w:tc>
          <w:tcPr>
            <w:tcW w:w="18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60"/>
              <w:spacing w:after="0" w:line="193" w:lineRule="exact"/>
              <w:rPr>
                <w:sz w:val="20"/>
                <w:szCs w:val="20"/>
                <w:color w:val="auto"/>
              </w:rPr>
            </w:pPr>
            <w:r>
              <w:rPr>
                <w:rFonts w:ascii="Arial" w:cs="Arial" w:eastAsia="Arial" w:hAnsi="Arial"/>
                <w:sz w:val="13"/>
                <w:szCs w:val="13"/>
                <w:b w:val="1"/>
                <w:bCs w:val="1"/>
                <w:color w:val="auto"/>
                <w:w w:val="85"/>
              </w:rPr>
              <w:t>As Adjusted</w:t>
            </w:r>
            <w:r>
              <w:rPr>
                <w:rFonts w:ascii="Arial" w:cs="Arial" w:eastAsia="Arial" w:hAnsi="Arial"/>
                <w:sz w:val="19"/>
                <w:szCs w:val="19"/>
                <w:b w:val="1"/>
                <w:bCs w:val="1"/>
                <w:color w:val="auto"/>
                <w:w w:val="85"/>
                <w:vertAlign w:val="superscript"/>
              </w:rPr>
              <w:t>(1)</w:t>
            </w: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Promissory note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680" w:type="dxa"/>
            <w:vAlign w:val="bottom"/>
            <w:gridSpan w:val="3"/>
          </w:tcPr>
          <w:p>
            <w:pPr>
              <w:spacing w:after="0"/>
              <w:rPr>
                <w:sz w:val="20"/>
                <w:szCs w:val="20"/>
                <w:color w:val="auto"/>
              </w:rPr>
            </w:pPr>
            <w:r>
              <w:rPr>
                <w:rFonts w:ascii="Arial" w:cs="Arial" w:eastAsia="Arial" w:hAnsi="Arial"/>
                <w:sz w:val="16"/>
                <w:szCs w:val="16"/>
                <w:color w:val="auto"/>
              </w:rPr>
              <w:t>Deferred underwriting commissions</w:t>
            </w:r>
          </w:p>
        </w:tc>
        <w:tc>
          <w:tcPr>
            <w:tcW w:w="10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52,500,000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shd w:val="clear" w:color="auto" w:fill="CCEEFF"/>
          </w:tcPr>
          <w:p>
            <w:pPr>
              <w:spacing w:after="0" w:line="245" w:lineRule="exact"/>
              <w:rPr>
                <w:sz w:val="20"/>
                <w:szCs w:val="20"/>
                <w:color w:val="auto"/>
              </w:rPr>
            </w:pPr>
            <w:r>
              <w:rPr>
                <w:rFonts w:ascii="Arial" w:cs="Arial" w:eastAsia="Arial" w:hAnsi="Arial"/>
                <w:sz w:val="16"/>
                <w:szCs w:val="16"/>
                <w:color w:val="auto"/>
              </w:rPr>
              <w:t>Class A common stock, subject to redemption</w:t>
            </w:r>
            <w:r>
              <w:rPr>
                <w:rFonts w:ascii="Arial" w:cs="Arial" w:eastAsia="Arial" w:hAnsi="Arial"/>
                <w:sz w:val="24"/>
                <w:szCs w:val="24"/>
                <w:color w:val="auto"/>
                <w:vertAlign w:val="superscript"/>
              </w:rPr>
              <w:t>(2)</w:t>
            </w: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5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1,442,523,990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680" w:type="dxa"/>
            <w:vAlign w:val="bottom"/>
            <w:tcBorders>
              <w:top w:val="single" w:sz="8" w:color="CCEEFF"/>
            </w:tcBorders>
            <w:gridSpan w:val="3"/>
          </w:tcPr>
          <w:p>
            <w:pPr>
              <w:spacing w:after="0"/>
              <w:rPr>
                <w:sz w:val="20"/>
                <w:szCs w:val="20"/>
                <w:color w:val="auto"/>
              </w:rPr>
            </w:pPr>
            <w:r>
              <w:rPr>
                <w:rFonts w:ascii="Arial" w:cs="Arial" w:eastAsia="Arial" w:hAnsi="Arial"/>
                <w:sz w:val="16"/>
                <w:szCs w:val="16"/>
                <w:color w:val="auto"/>
              </w:rPr>
              <w:t>Stockholders’ equity:</w:t>
            </w: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Preferred stock, $0.0001 par value, 1,000,000 shares authorized; no shares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8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issued or outstanding</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80" w:type="dxa"/>
            <w:vAlign w:val="bottom"/>
            <w:gridSpan w:val="3"/>
          </w:tcPr>
          <w:p>
            <w:pPr>
              <w:spacing w:after="0"/>
              <w:rPr>
                <w:sz w:val="20"/>
                <w:szCs w:val="20"/>
                <w:color w:val="auto"/>
              </w:rPr>
            </w:pPr>
            <w:r>
              <w:rPr>
                <w:rFonts w:ascii="Arial" w:cs="Arial" w:eastAsia="Arial" w:hAnsi="Arial"/>
                <w:sz w:val="16"/>
                <w:szCs w:val="16"/>
                <w:color w:val="auto"/>
              </w:rPr>
              <w:t>Common Stock</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8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color w:val="auto"/>
              </w:rPr>
              <w:t>Class A common stock, $0.0001 par value, 240,000,000 shares authorized</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680" w:type="dxa"/>
            <w:vAlign w:val="bottom"/>
            <w:gridSpan w:val="3"/>
            <w:shd w:val="clear" w:color="auto" w:fill="CCEEFF"/>
          </w:tcPr>
          <w:p>
            <w:pPr>
              <w:ind w:left="160"/>
              <w:spacing w:after="0" w:line="241" w:lineRule="exact"/>
              <w:rPr>
                <w:sz w:val="20"/>
                <w:szCs w:val="20"/>
                <w:color w:val="auto"/>
              </w:rPr>
            </w:pPr>
            <w:r>
              <w:rPr>
                <w:rFonts w:ascii="Arial" w:cs="Arial" w:eastAsia="Arial" w:hAnsi="Arial"/>
                <w:sz w:val="16"/>
                <w:szCs w:val="16"/>
                <w:color w:val="auto"/>
                <w:w w:val="97"/>
              </w:rPr>
              <w:t>(actual and as adjusted); no shares issued or outstanding (actual); 5,747,601</w:t>
            </w:r>
            <w:r>
              <w:rPr>
                <w:rFonts w:ascii="Arial" w:cs="Arial" w:eastAsia="Arial" w:hAnsi="Arial"/>
                <w:sz w:val="24"/>
                <w:szCs w:val="24"/>
                <w:color w:val="auto"/>
                <w:w w:val="97"/>
                <w:vertAlign w:val="superscript"/>
              </w:rPr>
              <w:t>(3)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68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shares issued and outstanding (excluding 144,252,399 shares subject to</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68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redemption) (as adjusted)</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680" w:type="dxa"/>
            <w:vAlign w:val="bottom"/>
            <w:gridSpan w:val="3"/>
          </w:tcPr>
          <w:p>
            <w:pPr>
              <w:spacing w:after="0" w:line="175" w:lineRule="exact"/>
              <w:rPr>
                <w:sz w:val="20"/>
                <w:szCs w:val="20"/>
                <w:color w:val="auto"/>
              </w:rPr>
            </w:pPr>
            <w:r>
              <w:rPr>
                <w:rFonts w:ascii="Arial" w:cs="Arial" w:eastAsia="Arial" w:hAnsi="Arial"/>
                <w:sz w:val="16"/>
                <w:szCs w:val="16"/>
                <w:color w:val="auto"/>
                <w:w w:val="98"/>
              </w:rPr>
              <w:t>Class B common stock, $0.0001 par value, 60,000,000 shares authorized (actual</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680" w:type="dxa"/>
            <w:vAlign w:val="bottom"/>
            <w:gridSpan w:val="3"/>
          </w:tcPr>
          <w:p>
            <w:pPr>
              <w:ind w:left="160"/>
              <w:spacing w:after="0" w:line="207" w:lineRule="exact"/>
              <w:rPr>
                <w:sz w:val="20"/>
                <w:szCs w:val="20"/>
                <w:color w:val="auto"/>
              </w:rPr>
            </w:pPr>
            <w:r>
              <w:rPr>
                <w:rFonts w:ascii="Arial" w:cs="Arial" w:eastAsia="Arial" w:hAnsi="Arial"/>
                <w:sz w:val="16"/>
                <w:szCs w:val="16"/>
                <w:color w:val="auto"/>
              </w:rPr>
              <w:t>and as adjusted); 43,125,000</w:t>
            </w:r>
            <w:r>
              <w:rPr>
                <w:rFonts w:ascii="Arial" w:cs="Arial" w:eastAsia="Arial" w:hAnsi="Arial"/>
                <w:sz w:val="24"/>
                <w:szCs w:val="24"/>
                <w:color w:val="auto"/>
                <w:vertAlign w:val="superscript"/>
              </w:rPr>
              <w:t>(3)</w:t>
            </w:r>
            <w:r>
              <w:rPr>
                <w:rFonts w:ascii="Arial" w:cs="Arial" w:eastAsia="Arial" w:hAnsi="Arial"/>
                <w:sz w:val="16"/>
                <w:szCs w:val="16"/>
                <w:color w:val="auto"/>
              </w:rPr>
              <w:t xml:space="preserve"> shares issued and outstanding (actual);</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680" w:type="dxa"/>
            <w:vAlign w:val="bottom"/>
            <w:gridSpan w:val="3"/>
          </w:tcPr>
          <w:p>
            <w:pPr>
              <w:ind w:left="160"/>
              <w:spacing w:after="0" w:line="253" w:lineRule="exact"/>
              <w:rPr>
                <w:sz w:val="20"/>
                <w:szCs w:val="20"/>
                <w:color w:val="auto"/>
              </w:rPr>
            </w:pPr>
            <w:r>
              <w:rPr>
                <w:rFonts w:ascii="Arial" w:cs="Arial" w:eastAsia="Arial" w:hAnsi="Arial"/>
                <w:sz w:val="16"/>
                <w:szCs w:val="16"/>
                <w:color w:val="auto"/>
              </w:rPr>
              <w:t>37,500,000</w:t>
            </w:r>
            <w:r>
              <w:rPr>
                <w:rFonts w:ascii="Arial" w:cs="Arial" w:eastAsia="Arial" w:hAnsi="Arial"/>
                <w:sz w:val="24"/>
                <w:szCs w:val="24"/>
                <w:color w:val="auto"/>
                <w:vertAlign w:val="superscript"/>
              </w:rPr>
              <w:t>(3)</w:t>
            </w:r>
            <w:r>
              <w:rPr>
                <w:rFonts w:ascii="Arial" w:cs="Arial" w:eastAsia="Arial" w:hAnsi="Arial"/>
                <w:sz w:val="16"/>
                <w:szCs w:val="16"/>
                <w:color w:val="auto"/>
              </w:rPr>
              <w:t xml:space="preserve"> shares issued and outstanding (as adjusted)</w:t>
            </w:r>
          </w:p>
        </w:tc>
        <w:tc>
          <w:tcPr>
            <w:tcW w:w="100" w:type="dxa"/>
            <w:vAlign w:val="bottom"/>
          </w:tcPr>
          <w:p>
            <w:pPr>
              <w:spacing w:after="0"/>
              <w:rPr>
                <w:sz w:val="22"/>
                <w:szCs w:val="2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4,313</w:t>
            </w:r>
          </w:p>
        </w:tc>
        <w:tc>
          <w:tcPr>
            <w:tcW w:w="10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3,750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5680" w:type="dxa"/>
            <w:vAlign w:val="bottom"/>
            <w:gridSpan w:val="3"/>
            <w:shd w:val="clear" w:color="auto" w:fill="CCEEFF"/>
          </w:tcPr>
          <w:p>
            <w:pPr>
              <w:spacing w:after="0" w:line="233" w:lineRule="exact"/>
              <w:rPr>
                <w:sz w:val="20"/>
                <w:szCs w:val="20"/>
                <w:color w:val="auto"/>
              </w:rPr>
            </w:pPr>
            <w:r>
              <w:rPr>
                <w:rFonts w:ascii="Arial" w:cs="Arial" w:eastAsia="Arial" w:hAnsi="Arial"/>
                <w:sz w:val="16"/>
                <w:szCs w:val="16"/>
                <w:color w:val="auto"/>
              </w:rPr>
              <w:t>Additional paid-in capital</w:t>
            </w:r>
            <w:r>
              <w:rPr>
                <w:rFonts w:ascii="Arial" w:cs="Arial" w:eastAsia="Arial" w:hAnsi="Arial"/>
                <w:sz w:val="24"/>
                <w:szCs w:val="24"/>
                <w:color w:val="auto"/>
                <w:vertAlign w:val="superscript"/>
              </w:rPr>
              <w:t>(4)</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5"/>
              </w:rPr>
              <w:t>20,687</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4,996,685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680" w:type="dxa"/>
            <w:vAlign w:val="bottom"/>
            <w:gridSpan w:val="3"/>
          </w:tcPr>
          <w:p>
            <w:pPr>
              <w:spacing w:after="0"/>
              <w:rPr>
                <w:sz w:val="20"/>
                <w:szCs w:val="20"/>
                <w:color w:val="auto"/>
              </w:rPr>
            </w:pPr>
            <w:r>
              <w:rPr>
                <w:rFonts w:ascii="Arial" w:cs="Arial" w:eastAsia="Arial" w:hAnsi="Arial"/>
                <w:sz w:val="16"/>
                <w:szCs w:val="16"/>
                <w:color w:val="auto"/>
              </w:rPr>
              <w:t>Accumulated deficit</w:t>
            </w: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w w:val="94"/>
              </w:rPr>
              <w:t>(1,000)</w:t>
            </w:r>
          </w:p>
        </w:tc>
        <w:tc>
          <w:tcPr>
            <w:tcW w:w="10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1760" w:type="dxa"/>
            <w:vAlign w:val="bottom"/>
            <w:shd w:val="clear" w:color="auto" w:fill="CCEEFF"/>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5"/>
              </w:rPr>
              <w:t>24,000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5,000,010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CCEEFF"/>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680" w:type="dxa"/>
            <w:vAlign w:val="bottom"/>
            <w:gridSpan w:val="3"/>
          </w:tcPr>
          <w:p>
            <w:pPr>
              <w:spacing w:after="0"/>
              <w:rPr>
                <w:sz w:val="20"/>
                <w:szCs w:val="20"/>
                <w:color w:val="auto"/>
              </w:rPr>
            </w:pPr>
            <w:r>
              <w:rPr>
                <w:rFonts w:ascii="Arial" w:cs="Arial" w:eastAsia="Arial" w:hAnsi="Arial"/>
                <w:sz w:val="16"/>
                <w:szCs w:val="16"/>
                <w:color w:val="auto"/>
              </w:rPr>
              <w:t>Total capitalization</w:t>
            </w: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w w:val="85"/>
              </w:rPr>
              <w:t>24,000</w:t>
            </w: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1,447,524,000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1760" w:type="dxa"/>
            <w:vAlign w:val="bottom"/>
            <w:tcBorders>
              <w:bottom w:val="single" w:sz="8" w:color="auto"/>
            </w:tcBorders>
          </w:tcPr>
          <w:p>
            <w:pPr>
              <w:spacing w:after="0"/>
              <w:rPr>
                <w:sz w:val="11"/>
                <w:szCs w:val="11"/>
                <w:color w:val="auto"/>
              </w:rPr>
            </w:pPr>
          </w:p>
        </w:tc>
        <w:tc>
          <w:tcPr>
            <w:tcW w:w="3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-395605</wp:posOffset>
            </wp:positionV>
            <wp:extent cx="406971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069715" cy="762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-2313940</wp:posOffset>
            </wp:positionV>
            <wp:extent cx="406971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069715" cy="762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-2600960</wp:posOffset>
            </wp:positionV>
            <wp:extent cx="406209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062095" cy="7620"/>
                    </a:xfrm>
                    <a:prstGeom prst="rect">
                      <a:avLst/>
                    </a:prstGeom>
                    <a:noFill/>
                  </pic:spPr>
                </pic:pic>
              </a:graphicData>
            </a:graphic>
          </wp:anchor>
        </w:drawing>
      </w:r>
    </w:p>
    <w:p>
      <w:pPr>
        <w:spacing w:after="0" w:line="102" w:lineRule="exact"/>
        <w:rPr>
          <w:sz w:val="20"/>
          <w:szCs w:val="20"/>
          <w:color w:val="auto"/>
        </w:rPr>
      </w:pPr>
    </w:p>
    <w:p>
      <w:pPr>
        <w:ind w:left="1460" w:right="1639" w:hanging="321"/>
        <w:spacing w:after="0" w:line="262" w:lineRule="auto"/>
        <w:tabs>
          <w:tab w:leader="none" w:pos="1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Assumes the full forfeiture of 5,625,000 shares that are subject to forfeiture by our sponsor depending on the extent to which the underwriters’ option to purchase additional units is exercised. The proceeds of the sale of such shares will not be deposited into the trust account, the shares will not be eligible for redemption from the trust account nor will they be eligible to vote upon the initial business combination.</w:t>
      </w:r>
    </w:p>
    <w:p>
      <w:pPr>
        <w:spacing w:after="0" w:line="84" w:lineRule="exact"/>
        <w:rPr>
          <w:rFonts w:ascii="Arial" w:cs="Arial" w:eastAsia="Arial" w:hAnsi="Arial"/>
          <w:sz w:val="16"/>
          <w:szCs w:val="16"/>
          <w:color w:val="auto"/>
        </w:rPr>
      </w:pPr>
    </w:p>
    <w:p>
      <w:pPr>
        <w:ind w:left="1460" w:right="1579" w:hanging="321"/>
        <w:spacing w:after="0" w:line="276" w:lineRule="auto"/>
        <w:tabs>
          <w:tab w:leader="none" w:pos="1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Upon the completion of our initial business combination, we will provide our public stockholders with the opportunity to redeem their public shares for cash equal to their pro rata share of the aggregate amount then on deposit in the trust account as of two business days prior to the consummation of the initial business combination, including interest (which interest shall be net of permitted withdrawals), subject to the limitations described herein whereby our net tangible assets will be maintained at a minimum of $5,000,001 and any limitations (including, but not limited to, cash requirements) created by the terms of the proposed business combination. The “as adjusted” amount of Class A common stock, subject to redemption equals the “as adjusted” total assets of $1,500,024,000, less the “as adjusted” total liabilities of $52,500,000 less “as adjusted” total stockholder’s equity. The value of Class A common stock that may be redeemed is equal to $10.00 per share (which is the assumed redemption price) multiplied by 144,252,399 shares of Class A common stock, which is the maximum number of shares of Class A common stock that may be redeemed for a $10.00 purchase price per share and still maintain at least $5,000,001 of net tangible assets.</w:t>
      </w:r>
    </w:p>
    <w:p>
      <w:pPr>
        <w:spacing w:after="0" w:line="75" w:lineRule="exact"/>
        <w:rPr>
          <w:rFonts w:ascii="Arial" w:cs="Arial" w:eastAsia="Arial" w:hAnsi="Arial"/>
          <w:sz w:val="15"/>
          <w:szCs w:val="15"/>
          <w:color w:val="auto"/>
        </w:rPr>
      </w:pPr>
    </w:p>
    <w:p>
      <w:pPr>
        <w:ind w:left="1460" w:right="1779" w:hanging="321"/>
        <w:spacing w:after="0" w:line="270" w:lineRule="auto"/>
        <w:tabs>
          <w:tab w:leader="none" w:pos="1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Actual share amount is prior to any forfeiture of founder shares by our sponsor and the “as adjusted” share amount assumes no exercise of the underwriters’ option to purchase additional units and the forfeiture of 5,625,000 founder shares by our sponsor.</w:t>
      </w:r>
    </w:p>
    <w:p>
      <w:pPr>
        <w:spacing w:after="0" w:line="76" w:lineRule="exact"/>
        <w:rPr>
          <w:rFonts w:ascii="Arial" w:cs="Arial" w:eastAsia="Arial" w:hAnsi="Arial"/>
          <w:sz w:val="16"/>
          <w:szCs w:val="16"/>
          <w:color w:val="auto"/>
        </w:rPr>
      </w:pPr>
    </w:p>
    <w:p>
      <w:pPr>
        <w:ind w:left="1460" w:right="1639" w:hanging="321"/>
        <w:spacing w:after="0" w:line="270" w:lineRule="auto"/>
        <w:tabs>
          <w:tab w:leader="none" w:pos="1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“as adjusted” additional paid-in capital calculation is equal to the “as adjusted” total stockholders’ equity of $5,000,010, less common stock (par value) of $4,325 plus the accumulated deficit of $(1,000).</w:t>
      </w:r>
    </w:p>
    <w:p>
      <w:pPr>
        <w:spacing w:after="0" w:line="223"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4" w:name="page75"/>
    <w:bookmarkEnd w:id="74"/>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940"/>
        <w:spacing w:after="0"/>
        <w:rPr>
          <w:sz w:val="20"/>
          <w:szCs w:val="20"/>
          <w:color w:val="auto"/>
        </w:rPr>
      </w:pPr>
      <w:r>
        <w:rPr>
          <w:rFonts w:ascii="Arial" w:cs="Arial" w:eastAsia="Arial" w:hAnsi="Arial"/>
          <w:sz w:val="16"/>
          <w:szCs w:val="16"/>
          <w:b w:val="1"/>
          <w:bCs w:val="1"/>
          <w:color w:val="auto"/>
        </w:rPr>
        <w:t>MANAGEMENT’S DISCUSSION AND ANALYSIS OF</w:t>
      </w:r>
    </w:p>
    <w:p>
      <w:pPr>
        <w:spacing w:after="0" w:line="5"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rPr>
        <w:t>FINANCIAL CONDITION AND RESULTS OF OPERATIONS</w:t>
      </w:r>
    </w:p>
    <w:p>
      <w:pPr>
        <w:spacing w:after="0" w:line="165"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Overview</w:t>
      </w:r>
    </w:p>
    <w:p>
      <w:pPr>
        <w:spacing w:after="0" w:line="101" w:lineRule="exact"/>
        <w:rPr>
          <w:sz w:val="20"/>
          <w:szCs w:val="20"/>
          <w:color w:val="auto"/>
        </w:rPr>
      </w:pPr>
    </w:p>
    <w:p>
      <w:pPr>
        <w:ind w:left="1140" w:right="1579" w:firstLine="326"/>
        <w:spacing w:after="0" w:line="259" w:lineRule="auto"/>
        <w:rPr>
          <w:sz w:val="20"/>
          <w:szCs w:val="20"/>
          <w:color w:val="auto"/>
        </w:rPr>
      </w:pPr>
      <w:r>
        <w:rPr>
          <w:rFonts w:ascii="Arial" w:cs="Arial" w:eastAsia="Arial" w:hAnsi="Arial"/>
          <w:sz w:val="16"/>
          <w:szCs w:val="16"/>
          <w:color w:val="auto"/>
        </w:rPr>
        <w:t>We are a newly incorporated blank check company incorporated as a Delaware corporation and formed for the purpose of effecting a merger, capital stock exchange, asset acquisition, stock purchase, reorganization or similar business combination with one or more businesses. We have not selected any specific business combination target and we have not, nor has anyone on our behalf, engaged in any substantive discussions, directly or indirectly, with any business combination target with respect to an initial business combination with us. We intend to effectuate our initial business combination using cash from the proceeds of this offering and the sale of the private placement warrants, our capital stock, debt or a combination of cash, stock and debt.</w:t>
      </w:r>
    </w:p>
    <w:p>
      <w:pPr>
        <w:spacing w:after="0" w:line="75"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The issuance of additional shares of our stock in a business combination:</w:t>
      </w:r>
    </w:p>
    <w:p>
      <w:pPr>
        <w:spacing w:after="0" w:line="134" w:lineRule="exact"/>
        <w:rPr>
          <w:sz w:val="20"/>
          <w:szCs w:val="20"/>
          <w:color w:val="auto"/>
        </w:rPr>
      </w:pPr>
    </w:p>
    <w:p>
      <w:pPr>
        <w:ind w:left="1800" w:right="1719" w:hanging="335"/>
        <w:spacing w:after="0" w:line="296" w:lineRule="auto"/>
        <w:tabs>
          <w:tab w:leader="none" w:pos="18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may significantly dilute the equity interest of investors in this offering, which dilution would increase if the anti-dilution provisions in the Class B common stock resulted in the issuance of Class A shares on a greater than one-to-one basis upon conversion of the Class B common stock;</w:t>
      </w:r>
    </w:p>
    <w:p>
      <w:pPr>
        <w:spacing w:after="0" w:line="58" w:lineRule="exact"/>
        <w:rPr>
          <w:rFonts w:ascii="Arial" w:cs="Arial" w:eastAsia="Arial" w:hAnsi="Arial"/>
          <w:sz w:val="15"/>
          <w:szCs w:val="15"/>
          <w:color w:val="auto"/>
        </w:rPr>
      </w:pPr>
    </w:p>
    <w:p>
      <w:pPr>
        <w:ind w:left="1800" w:right="1939" w:hanging="335"/>
        <w:spacing w:after="0" w:line="285" w:lineRule="auto"/>
        <w:tabs>
          <w:tab w:leader="none" w:pos="1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may subordinate the rights of holders of common stock if preferred stock is issued with rights senior to those afforded our common stock;</w:t>
      </w:r>
    </w:p>
    <w:p>
      <w:pPr>
        <w:spacing w:after="0" w:line="64" w:lineRule="exact"/>
        <w:rPr>
          <w:rFonts w:ascii="Arial" w:cs="Arial" w:eastAsia="Arial" w:hAnsi="Arial"/>
          <w:sz w:val="16"/>
          <w:szCs w:val="16"/>
          <w:color w:val="auto"/>
        </w:rPr>
      </w:pPr>
    </w:p>
    <w:p>
      <w:pPr>
        <w:ind w:left="1800" w:right="1659" w:hanging="335"/>
        <w:spacing w:after="0" w:line="296" w:lineRule="auto"/>
        <w:tabs>
          <w:tab w:leader="none" w:pos="18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w:t>
      </w:r>
    </w:p>
    <w:p>
      <w:pPr>
        <w:spacing w:after="0" w:line="71" w:lineRule="exact"/>
        <w:rPr>
          <w:rFonts w:ascii="Arial" w:cs="Arial" w:eastAsia="Arial" w:hAnsi="Arial"/>
          <w:sz w:val="15"/>
          <w:szCs w:val="15"/>
          <w:color w:val="auto"/>
        </w:rPr>
      </w:pPr>
    </w:p>
    <w:p>
      <w:pPr>
        <w:ind w:left="1800" w:right="2039" w:hanging="335"/>
        <w:spacing w:after="0" w:line="285" w:lineRule="auto"/>
        <w:tabs>
          <w:tab w:leader="none" w:pos="1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may have the effect of delaying or preventing a change of control of us by diluting the stock ownership or voting rights of a person seeking to obtain control of us; and</w:t>
      </w:r>
    </w:p>
    <w:p>
      <w:pPr>
        <w:spacing w:after="0" w:line="64" w:lineRule="exact"/>
        <w:rPr>
          <w:rFonts w:ascii="Arial" w:cs="Arial" w:eastAsia="Arial" w:hAnsi="Arial"/>
          <w:sz w:val="16"/>
          <w:szCs w:val="16"/>
          <w:color w:val="auto"/>
        </w:rPr>
      </w:pPr>
    </w:p>
    <w:p>
      <w:pPr>
        <w:jc w:val="both"/>
        <w:ind w:left="1460" w:right="1939" w:firstLine="5"/>
        <w:spacing w:after="0" w:line="416" w:lineRule="auto"/>
        <w:tabs>
          <w:tab w:leader="none" w:pos="1786" w:val="left"/>
        </w:tabs>
        <w:numPr>
          <w:ilvl w:val="0"/>
          <w:numId w:val="31"/>
        </w:numPr>
        <w:rPr>
          <w:rFonts w:ascii="Arial" w:cs="Arial" w:eastAsia="Arial" w:hAnsi="Arial"/>
          <w:sz w:val="15"/>
          <w:szCs w:val="15"/>
          <w:color w:val="auto"/>
        </w:rPr>
      </w:pPr>
      <w:r>
        <w:rPr>
          <w:rFonts w:ascii="Arial" w:cs="Arial" w:eastAsia="Arial" w:hAnsi="Arial"/>
          <w:sz w:val="15"/>
          <w:szCs w:val="15"/>
          <w:color w:val="auto"/>
        </w:rPr>
        <w:t>may adversely affect prevailing market prices for our Class A common stock and/or warrants. Similarly, if we issue debt securities or otherwise incur significant indebtedness, it could result in:</w:t>
      </w:r>
    </w:p>
    <w:p>
      <w:pPr>
        <w:spacing w:after="0" w:line="1" w:lineRule="exact"/>
        <w:rPr>
          <w:rFonts w:ascii="Arial" w:cs="Arial" w:eastAsia="Arial" w:hAnsi="Arial"/>
          <w:sz w:val="15"/>
          <w:szCs w:val="15"/>
          <w:color w:val="auto"/>
        </w:rPr>
      </w:pPr>
    </w:p>
    <w:p>
      <w:pPr>
        <w:ind w:left="1800" w:right="2459" w:hanging="335"/>
        <w:spacing w:after="0" w:line="285" w:lineRule="auto"/>
        <w:tabs>
          <w:tab w:leader="none" w:pos="1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76" w:lineRule="exact"/>
        <w:rPr>
          <w:rFonts w:ascii="Arial" w:cs="Arial" w:eastAsia="Arial" w:hAnsi="Arial"/>
          <w:sz w:val="16"/>
          <w:szCs w:val="16"/>
          <w:color w:val="auto"/>
        </w:rPr>
      </w:pPr>
    </w:p>
    <w:p>
      <w:pPr>
        <w:ind w:left="1800" w:right="1619" w:hanging="335"/>
        <w:spacing w:after="0" w:line="270" w:lineRule="auto"/>
        <w:tabs>
          <w:tab w:leader="none" w:pos="1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76" w:lineRule="exact"/>
        <w:rPr>
          <w:rFonts w:ascii="Arial" w:cs="Arial" w:eastAsia="Arial" w:hAnsi="Arial"/>
          <w:sz w:val="16"/>
          <w:szCs w:val="16"/>
          <w:color w:val="auto"/>
        </w:rPr>
      </w:pPr>
    </w:p>
    <w:p>
      <w:pPr>
        <w:ind w:left="1800" w:right="2059" w:hanging="335"/>
        <w:spacing w:after="0" w:line="285" w:lineRule="auto"/>
        <w:tabs>
          <w:tab w:leader="none" w:pos="1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immediate payment of all principal and accrued interest, if any, if the debt is payable on demand;</w:t>
      </w:r>
    </w:p>
    <w:p>
      <w:pPr>
        <w:spacing w:after="0" w:line="64" w:lineRule="exact"/>
        <w:rPr>
          <w:rFonts w:ascii="Arial" w:cs="Arial" w:eastAsia="Arial" w:hAnsi="Arial"/>
          <w:sz w:val="16"/>
          <w:szCs w:val="16"/>
          <w:color w:val="auto"/>
        </w:rPr>
      </w:pPr>
    </w:p>
    <w:p>
      <w:pPr>
        <w:ind w:left="1800" w:right="1639" w:hanging="335"/>
        <w:spacing w:after="0" w:line="285" w:lineRule="auto"/>
        <w:tabs>
          <w:tab w:leader="none" w:pos="1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inability to obtain necessary additional financing if the debt contains covenants restricting our ability to obtain such financing while the debt is outstanding;</w:t>
      </w:r>
    </w:p>
    <w:p>
      <w:pPr>
        <w:spacing w:after="0" w:line="76" w:lineRule="exact"/>
        <w:rPr>
          <w:rFonts w:ascii="Arial" w:cs="Arial" w:eastAsia="Arial" w:hAnsi="Arial"/>
          <w:sz w:val="16"/>
          <w:szCs w:val="16"/>
          <w:color w:val="auto"/>
        </w:rPr>
      </w:pPr>
    </w:p>
    <w:p>
      <w:pPr>
        <w:ind w:left="1800" w:hanging="335"/>
        <w:spacing w:after="0"/>
        <w:tabs>
          <w:tab w:leader="none" w:pos="1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inability to pay dividends on our common stock;</w:t>
      </w:r>
    </w:p>
    <w:p>
      <w:pPr>
        <w:spacing w:after="0" w:line="121" w:lineRule="exact"/>
        <w:rPr>
          <w:rFonts w:ascii="Arial" w:cs="Arial" w:eastAsia="Arial" w:hAnsi="Arial"/>
          <w:sz w:val="16"/>
          <w:szCs w:val="16"/>
          <w:color w:val="auto"/>
        </w:rPr>
      </w:pPr>
    </w:p>
    <w:p>
      <w:pPr>
        <w:ind w:left="1800" w:right="1799" w:hanging="335"/>
        <w:spacing w:after="0" w:line="270" w:lineRule="auto"/>
        <w:tabs>
          <w:tab w:leader="none" w:pos="1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common stock if declared, expenses, capital expenditures, acquisitions and other general corporate purposes;</w:t>
      </w:r>
    </w:p>
    <w:p>
      <w:pPr>
        <w:spacing w:after="0" w:line="76" w:lineRule="exact"/>
        <w:rPr>
          <w:rFonts w:ascii="Arial" w:cs="Arial" w:eastAsia="Arial" w:hAnsi="Arial"/>
          <w:sz w:val="16"/>
          <w:szCs w:val="16"/>
          <w:color w:val="auto"/>
        </w:rPr>
      </w:pPr>
    </w:p>
    <w:p>
      <w:pPr>
        <w:ind w:left="1800" w:right="1899" w:hanging="335"/>
        <w:spacing w:after="0" w:line="285" w:lineRule="auto"/>
        <w:tabs>
          <w:tab w:leader="none" w:pos="1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limitations on our flexibility in planning for and reacting to changes in our business and in the industry in which we operate;</w:t>
      </w:r>
    </w:p>
    <w:p>
      <w:pPr>
        <w:spacing w:after="0" w:line="64" w:lineRule="exact"/>
        <w:rPr>
          <w:rFonts w:ascii="Arial" w:cs="Arial" w:eastAsia="Arial" w:hAnsi="Arial"/>
          <w:sz w:val="16"/>
          <w:szCs w:val="16"/>
          <w:color w:val="auto"/>
        </w:rPr>
      </w:pPr>
    </w:p>
    <w:p>
      <w:pPr>
        <w:ind w:left="1800" w:right="2239" w:hanging="335"/>
        <w:spacing w:after="0" w:line="285" w:lineRule="auto"/>
        <w:tabs>
          <w:tab w:leader="none" w:pos="1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increased vulnerability to adverse changes in general economic, industry and competitive conditions and adverse changes in government regulation; and</w:t>
      </w:r>
    </w:p>
    <w:p>
      <w:pPr>
        <w:spacing w:after="0" w:line="76" w:lineRule="exact"/>
        <w:rPr>
          <w:rFonts w:ascii="Arial" w:cs="Arial" w:eastAsia="Arial" w:hAnsi="Arial"/>
          <w:sz w:val="16"/>
          <w:szCs w:val="16"/>
          <w:color w:val="auto"/>
        </w:rPr>
      </w:pPr>
    </w:p>
    <w:p>
      <w:pPr>
        <w:ind w:left="1800" w:right="1879" w:hanging="335"/>
        <w:spacing w:after="0" w:line="270" w:lineRule="auto"/>
        <w:tabs>
          <w:tab w:leader="none" w:pos="1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211"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5" w:name="page76"/>
    <w:bookmarkEnd w:id="75"/>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839" w:firstLine="326"/>
        <w:spacing w:after="0" w:line="270" w:lineRule="auto"/>
        <w:rPr>
          <w:sz w:val="20"/>
          <w:szCs w:val="20"/>
          <w:color w:val="auto"/>
        </w:rPr>
      </w:pPr>
      <w:r>
        <w:rPr>
          <w:rFonts w:ascii="Arial" w:cs="Arial" w:eastAsia="Arial" w:hAnsi="Arial"/>
          <w:sz w:val="16"/>
          <w:szCs w:val="16"/>
          <w:color w:val="auto"/>
        </w:rPr>
        <w:t>As of May 22, 2020, we had cash of $25,000 and working capital deficit of $34,000. Further, we expect to continue to incur significant costs in the pursuit of our acquisition plans. We cannot assure you that our plans to raise capital or to complete our initial business combination will be successful.</w:t>
      </w:r>
    </w:p>
    <w:p>
      <w:pPr>
        <w:spacing w:after="0" w:line="14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Results of Operations and Known Trends or Future Events</w:t>
      </w:r>
    </w:p>
    <w:p>
      <w:pPr>
        <w:spacing w:after="0" w:line="101" w:lineRule="exact"/>
        <w:rPr>
          <w:sz w:val="20"/>
          <w:szCs w:val="20"/>
          <w:color w:val="auto"/>
        </w:rPr>
      </w:pPr>
    </w:p>
    <w:p>
      <w:pPr>
        <w:ind w:left="1140" w:right="1599" w:firstLine="326"/>
        <w:spacing w:after="0" w:line="259" w:lineRule="auto"/>
        <w:rPr>
          <w:sz w:val="20"/>
          <w:szCs w:val="20"/>
          <w:color w:val="auto"/>
        </w:rPr>
      </w:pPr>
      <w:r>
        <w:rPr>
          <w:rFonts w:ascii="Arial" w:cs="Arial" w:eastAsia="Arial" w:hAnsi="Arial"/>
          <w:sz w:val="16"/>
          <w:szCs w:val="16"/>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5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Liquidity and Capital Resources</w:t>
      </w:r>
    </w:p>
    <w:p>
      <w:pPr>
        <w:spacing w:after="0" w:line="101" w:lineRule="exact"/>
        <w:rPr>
          <w:sz w:val="20"/>
          <w:szCs w:val="20"/>
          <w:color w:val="auto"/>
        </w:rPr>
      </w:pPr>
    </w:p>
    <w:p>
      <w:pPr>
        <w:ind w:left="1140" w:right="1579" w:firstLine="326"/>
        <w:spacing w:after="0" w:line="274" w:lineRule="auto"/>
        <w:rPr>
          <w:sz w:val="20"/>
          <w:szCs w:val="20"/>
          <w:color w:val="auto"/>
        </w:rPr>
      </w:pPr>
      <w:r>
        <w:rPr>
          <w:rFonts w:ascii="Arial" w:cs="Arial" w:eastAsia="Arial" w:hAnsi="Arial"/>
          <w:sz w:val="15"/>
          <w:szCs w:val="15"/>
          <w:color w:val="auto"/>
        </w:rPr>
        <w:t>Our liquidity needs have been satisfied prior to the completion of this offering through receipt of $25,000 from the sale of the founder shares and up to $600,000 in loans from our sponsor under an unsecured promissory note. We estimate that the net proceeds from: (1) the sale of the units in this offering, after deducting offering expenses of approximately $1,350,000 and underwriting commissions of $30,000,000 ($34,500,000 if the underwriters’ option to purchase additional units is exercised in full) (excluding deferred underwriting commissions of $52,500,000 (or up to $60,375,000 if the underwriters’ option to purchase additional units is exercised in full)); and (2) the sale of the private placement warrants for a purchase price of $31,350,000 (or $35,850,000 if the underwriters’ option to purchase additional units is exercised in full), will be $1,500,000,000 (or $1,725,000,000 if the underwriters’ option to purchase additional units is exercised in full). Of this amount, $1,500,000,000 (or $1,725,000,000 if the underwriters’ option to purchase additional units is exercised in full), which includes $52,500,000 (or up to $60,375,000 if the underwriters’ option to purchase additional units is exercised in full) of deferred underwriting commissions, will be deposited into the trust account. The funds in the trust account will be invested only in U.S. government treasury bills with a maturity of 185 days or less or in money market funds that meet certain conditions under Rule 2a-7 under the Investment Company Act of 1940 and that invest only in direct U.S. government obligations. In the event that our offering expenses exceed our estimate of $1,350,000, we may fund such excess with loans or additional investments from our sponsor, members of our management team or any of their respective affiliates or other third parties. Conversely, in the event that the offering expenses are less than our estimate of $1,350,000, the excess would be held outside of the trust account.</w:t>
      </w:r>
    </w:p>
    <w:p>
      <w:pPr>
        <w:spacing w:after="0" w:line="75" w:lineRule="exact"/>
        <w:rPr>
          <w:sz w:val="20"/>
          <w:szCs w:val="20"/>
          <w:color w:val="auto"/>
        </w:rPr>
      </w:pPr>
    </w:p>
    <w:p>
      <w:pPr>
        <w:ind w:left="1140" w:right="1579" w:firstLine="326"/>
        <w:spacing w:after="0" w:line="275" w:lineRule="auto"/>
        <w:rPr>
          <w:sz w:val="20"/>
          <w:szCs w:val="20"/>
          <w:color w:val="auto"/>
        </w:rPr>
      </w:pPr>
      <w:r>
        <w:rPr>
          <w:rFonts w:ascii="Arial" w:cs="Arial" w:eastAsia="Arial" w:hAnsi="Arial"/>
          <w:sz w:val="15"/>
          <w:szCs w:val="15"/>
          <w:color w:val="auto"/>
        </w:rPr>
        <w:t>We intend to use substantially all of the funds held in the trust account, including any amounts representing interest earned on the trust account (which interest shall be net of permitted withdrawals) to complete our initial business combination. We will make permitted withdrawals from the trust account to pay our taxes, including franchise taxes and income taxes. Delaware franchise tax is based on our authorized shares or on our assumed par and non-par capital, whichever yields a lower result. Under the authorized shares method, each share is taxed at a graduated rate based on the number of authorized shares with a maximum aggregate tax of $200,000 per year. Under the assumed par value capital method, Delaware taxes each $1,000,000 of assumed par value capital at the rate of $400; where assumed par value would be (1) our total gross assets following this offering, divided by (2) our total issued shares of common stock following this offering, multiplied by (3) the number of our authorized shares following this offering. Based on the number of shares of our common stock authorized and outstanding and our estimated total gross proceeds after the completion of this offering, our annual franchise tax obligation is expected to be capped at the maximum amount of annual franchise taxes payable by us as a Delaware corporation of $200,000. Our annual income tax obligations will depend on the amount of interest and other income earned on the amounts held in the trust account. We expect the only taxes payable by us out of the funds in the trust account will be income and franchise taxes. We expect the interest earned on the amount in the trust account will be sufficient to pay our taxes. To the extent that our capital stock or debt is used, in whole</w:t>
      </w:r>
    </w:p>
    <w:p>
      <w:pPr>
        <w:spacing w:after="0" w:line="224"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6" w:name="page77"/>
    <w:bookmarkEnd w:id="76"/>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639"/>
        <w:spacing w:after="0" w:line="270" w:lineRule="auto"/>
        <w:rPr>
          <w:sz w:val="20"/>
          <w:szCs w:val="20"/>
          <w:color w:val="auto"/>
        </w:rPr>
      </w:pPr>
      <w:r>
        <w:rPr>
          <w:rFonts w:ascii="Arial" w:cs="Arial" w:eastAsia="Arial" w:hAnsi="Arial"/>
          <w:sz w:val="16"/>
          <w:szCs w:val="16"/>
          <w:color w:val="auto"/>
        </w:rPr>
        <w:t>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64" w:lineRule="exact"/>
        <w:rPr>
          <w:sz w:val="20"/>
          <w:szCs w:val="20"/>
          <w:color w:val="auto"/>
        </w:rPr>
      </w:pPr>
    </w:p>
    <w:p>
      <w:pPr>
        <w:ind w:left="1140" w:right="1619" w:firstLine="326"/>
        <w:spacing w:after="0" w:line="261" w:lineRule="auto"/>
        <w:rPr>
          <w:sz w:val="20"/>
          <w:szCs w:val="20"/>
          <w:color w:val="auto"/>
        </w:rPr>
      </w:pPr>
      <w:r>
        <w:rPr>
          <w:rFonts w:ascii="Arial" w:cs="Arial" w:eastAsia="Arial" w:hAnsi="Arial"/>
          <w:sz w:val="16"/>
          <w:szCs w:val="16"/>
          <w:color w:val="auto"/>
        </w:rPr>
        <w:t>Prior to the completion of our initial business combination, our principal use of working capital will be to fund our activities to identify and evaluate target businesses, perform business due diligence on prospective target businesses, travel to and from the offices or similar locations of prospective target businesses or their representatives or owners, review corporate documents and material agreements of prospective target businesses, structure, negotiate and complete a business combination, and to pay taxes to the extent the interest earned on the trust account is not sufficient to pay our taxes.</w:t>
      </w:r>
    </w:p>
    <w:p>
      <w:pPr>
        <w:spacing w:after="0" w:line="71" w:lineRule="exact"/>
        <w:rPr>
          <w:sz w:val="20"/>
          <w:szCs w:val="20"/>
          <w:color w:val="auto"/>
        </w:rPr>
      </w:pPr>
    </w:p>
    <w:p>
      <w:pPr>
        <w:ind w:left="1140" w:right="1859" w:firstLine="326"/>
        <w:spacing w:after="0" w:line="262" w:lineRule="auto"/>
        <w:rPr>
          <w:sz w:val="20"/>
          <w:szCs w:val="20"/>
          <w:color w:val="auto"/>
        </w:rPr>
      </w:pPr>
      <w:r>
        <w:rPr>
          <w:rFonts w:ascii="Arial" w:cs="Arial" w:eastAsia="Arial" w:hAnsi="Arial"/>
          <w:sz w:val="16"/>
          <w:szCs w:val="16"/>
          <w:color w:val="auto"/>
        </w:rPr>
        <w:t>We expect our primary liquidity requirements during that period to include legal, accounting, due diligence, travel and other expenses in connection with any business combinations; regulatory reporting requirements; NYSE continued listing fees; office space, administrative and support services, including under the Administrative Services Agreement; reserve for liquidation expenses; and other miscellaneous expenses.</w:t>
      </w:r>
    </w:p>
    <w:p>
      <w:pPr>
        <w:spacing w:after="0" w:line="72" w:lineRule="exact"/>
        <w:rPr>
          <w:sz w:val="20"/>
          <w:szCs w:val="20"/>
          <w:color w:val="auto"/>
        </w:rPr>
      </w:pPr>
    </w:p>
    <w:p>
      <w:pPr>
        <w:ind w:left="1140" w:right="1579" w:firstLine="326"/>
        <w:spacing w:after="0" w:line="277" w:lineRule="auto"/>
        <w:rPr>
          <w:sz w:val="20"/>
          <w:szCs w:val="20"/>
          <w:color w:val="auto"/>
        </w:rPr>
      </w:pPr>
      <w:r>
        <w:rPr>
          <w:rFonts w:ascii="Arial" w:cs="Arial" w:eastAsia="Arial" w:hAnsi="Arial"/>
          <w:sz w:val="15"/>
          <w:szCs w:val="15"/>
          <w:color w:val="auto"/>
        </w:rPr>
        <w:t>In addition, we may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64" w:lineRule="exact"/>
        <w:rPr>
          <w:sz w:val="20"/>
          <w:szCs w:val="20"/>
          <w:color w:val="auto"/>
        </w:rPr>
      </w:pPr>
    </w:p>
    <w:p>
      <w:pPr>
        <w:ind w:left="1140" w:right="1579" w:firstLine="326"/>
        <w:spacing w:after="0" w:line="261" w:lineRule="auto"/>
        <w:rPr>
          <w:sz w:val="20"/>
          <w:szCs w:val="20"/>
          <w:color w:val="auto"/>
        </w:rPr>
      </w:pPr>
      <w:r>
        <w:rPr>
          <w:rFonts w:ascii="Arial" w:cs="Arial" w:eastAsia="Arial" w:hAnsi="Arial"/>
          <w:sz w:val="16"/>
          <w:szCs w:val="16"/>
          <w:color w:val="auto"/>
        </w:rPr>
        <w:t>As indicated in the accompanying financial statements, at May 22, 2020, we had $25,000 in cash and a working capital deficiency of $34,000. Further, we have incurred and expect to continue to incur significant costs in pursuit of our financing and acquisition plans. Management’s plans to address this uncertainty through this offering are discussed below. We cannot assure you that our plans to raise capital or to consummate an initial business combination will be successful. These factors, among others, raise substantial doubt about our ability to continue as a going concern.</w:t>
      </w:r>
    </w:p>
    <w:p>
      <w:pPr>
        <w:spacing w:after="0" w:line="71" w:lineRule="exact"/>
        <w:rPr>
          <w:sz w:val="20"/>
          <w:szCs w:val="20"/>
          <w:color w:val="auto"/>
        </w:rPr>
      </w:pPr>
    </w:p>
    <w:p>
      <w:pPr>
        <w:ind w:left="1140" w:right="1579" w:firstLine="326"/>
        <w:spacing w:after="0" w:line="257" w:lineRule="auto"/>
        <w:rPr>
          <w:sz w:val="20"/>
          <w:szCs w:val="20"/>
          <w:color w:val="auto"/>
        </w:rPr>
      </w:pPr>
      <w:r>
        <w:rPr>
          <w:rFonts w:ascii="Arial" w:cs="Arial" w:eastAsia="Arial" w:hAnsi="Arial"/>
          <w:sz w:val="16"/>
          <w:szCs w:val="16"/>
          <w:color w:val="auto"/>
        </w:rPr>
        <w:t>We expect to fund our working capital requirements prior to the time of our initial business combination with permitted withdrawals from the interest earned on the trust account, subject to an annual limit of $1,000,000. In addition, our sponsor, an affiliate of our sponsor or our officers and directors may, but none of them is obligated to, loan us funds as may be required to fund our working capital requirements. If we complete our initial business combination, we would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 issued to our sponsor. The terms of such loans by our sponsor, an affiliate of our sponsor or our officers and directors, if any, have not been determined and no written agreements exist with respect to such loans. We do not expect to seek loans from parties other than our sponsor, an affiliate of our sponsor or our officers and directors, if any, as we do not believe third parties will be willing to loan such funds and provide a waiver against any and all rights to seek access to funds in our trust account.</w:t>
      </w:r>
    </w:p>
    <w:p>
      <w:pPr>
        <w:spacing w:after="0" w:line="78" w:lineRule="exact"/>
        <w:rPr>
          <w:sz w:val="20"/>
          <w:szCs w:val="20"/>
          <w:color w:val="auto"/>
        </w:rPr>
      </w:pPr>
    </w:p>
    <w:p>
      <w:pPr>
        <w:ind w:left="1140" w:right="1659" w:firstLine="326"/>
        <w:spacing w:after="0" w:line="280" w:lineRule="auto"/>
        <w:rPr>
          <w:sz w:val="20"/>
          <w:szCs w:val="20"/>
          <w:color w:val="auto"/>
        </w:rPr>
      </w:pPr>
      <w:r>
        <w:rPr>
          <w:rFonts w:ascii="Arial" w:cs="Arial" w:eastAsia="Arial" w:hAnsi="Arial"/>
          <w:sz w:val="15"/>
          <w:szCs w:val="15"/>
          <w:color w:val="auto"/>
        </w:rPr>
        <w:t>We do not believe we will need to raise additional funds following this offering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completion of our initial business combination, in which case we may issue</w:t>
      </w:r>
    </w:p>
    <w:p>
      <w:pPr>
        <w:spacing w:after="0" w:line="218"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7" w:name="page78"/>
    <w:bookmarkEnd w:id="77"/>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619"/>
        <w:spacing w:after="0" w:line="257" w:lineRule="auto"/>
        <w:rPr>
          <w:sz w:val="20"/>
          <w:szCs w:val="20"/>
          <w:color w:val="auto"/>
        </w:rPr>
      </w:pPr>
      <w:r>
        <w:rPr>
          <w:rFonts w:ascii="Arial" w:cs="Arial" w:eastAsia="Arial" w:hAnsi="Arial"/>
          <w:sz w:val="16"/>
          <w:szCs w:val="16"/>
          <w:color w:val="auto"/>
        </w:rPr>
        <w:t>additional securities or incur debt in connection with such business combination. In addition, we intend to target businesses with enterprise values that are greater than we could acquire with the net proceeds of this offering and the sale of the private placement warrants, and, as a result, if the cash portion of the purchase price exceeds the amount available from the trust account, net of amounts needed to satisfy redemptions by public stockholders, we may be required to seek additional financing to complete such proposed initial business combination. We may also obtain financing prior to the closing of our initial business combination to fund our working capital needs and transaction costs in connection with our search for and completion of our initial business combination. There is no limitation on our ability to raise funds through the issuance of equity or equity-linked securities or through loans, advances or other indebtedness in connection with our initial business combination, including pursuant to forward purchase agreements or backstop arrangements we may enter into following the consummation of this offering. Subject to compliance with applicable securities laws, we would only complete such financing simultaneously with the completion of our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Controls and Procedures</w:t>
      </w:r>
    </w:p>
    <w:p>
      <w:pPr>
        <w:spacing w:after="0" w:line="101" w:lineRule="exact"/>
        <w:rPr>
          <w:sz w:val="20"/>
          <w:szCs w:val="20"/>
          <w:color w:val="auto"/>
        </w:rPr>
      </w:pPr>
    </w:p>
    <w:p>
      <w:pPr>
        <w:ind w:left="1140" w:right="1579" w:firstLine="326"/>
        <w:spacing w:after="0" w:line="261" w:lineRule="auto"/>
        <w:rPr>
          <w:sz w:val="20"/>
          <w:szCs w:val="20"/>
          <w:color w:val="auto"/>
        </w:rPr>
      </w:pPr>
      <w:r>
        <w:rPr>
          <w:rFonts w:ascii="Arial" w:cs="Arial" w:eastAsia="Arial" w:hAnsi="Arial"/>
          <w:sz w:val="16"/>
          <w:szCs w:val="16"/>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Only in the event that we are deemed to be a large accelerated filer or an accelerated filer and no longer an emerging growth company would we be required to comply with the independent registered public accounting firm attestation requirement.</w:t>
      </w:r>
    </w:p>
    <w:p>
      <w:pPr>
        <w:spacing w:after="0" w:line="71" w:lineRule="exact"/>
        <w:rPr>
          <w:sz w:val="20"/>
          <w:szCs w:val="20"/>
          <w:color w:val="auto"/>
        </w:rPr>
      </w:pPr>
    </w:p>
    <w:p>
      <w:pPr>
        <w:ind w:left="1140" w:right="1679" w:firstLine="326"/>
        <w:spacing w:after="0" w:line="288" w:lineRule="auto"/>
        <w:rPr>
          <w:sz w:val="20"/>
          <w:szCs w:val="20"/>
          <w:color w:val="auto"/>
        </w:rPr>
      </w:pPr>
      <w:r>
        <w:rPr>
          <w:rFonts w:ascii="Arial" w:cs="Arial" w:eastAsia="Arial" w:hAnsi="Arial"/>
          <w:sz w:val="15"/>
          <w:szCs w:val="15"/>
          <w:color w:val="auto"/>
        </w:rPr>
        <w:t>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53" w:lineRule="exact"/>
        <w:rPr>
          <w:sz w:val="20"/>
          <w:szCs w:val="20"/>
          <w:color w:val="auto"/>
        </w:rPr>
      </w:pPr>
    </w:p>
    <w:p>
      <w:pPr>
        <w:ind w:left="1140" w:right="1619" w:firstLine="326"/>
        <w:spacing w:after="0" w:line="259" w:lineRule="auto"/>
        <w:rPr>
          <w:sz w:val="20"/>
          <w:szCs w:val="20"/>
          <w:color w:val="auto"/>
        </w:rPr>
      </w:pPr>
      <w:r>
        <w:rPr>
          <w:rFonts w:ascii="Arial" w:cs="Arial" w:eastAsia="Arial" w:hAnsi="Arial"/>
          <w:sz w:val="16"/>
          <w:szCs w:val="16"/>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148" w:lineRule="exact"/>
        <w:rPr>
          <w:sz w:val="20"/>
          <w:szCs w:val="20"/>
          <w:color w:val="auto"/>
        </w:rPr>
      </w:pPr>
    </w:p>
    <w:p>
      <w:pPr>
        <w:ind w:left="1800" w:hanging="335"/>
        <w:spacing w:after="0"/>
        <w:tabs>
          <w:tab w:leader="none" w:pos="1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staffing for financial, accounting and external reporting areas, including segregation of duties;</w:t>
      </w:r>
    </w:p>
    <w:p>
      <w:pPr>
        <w:spacing w:after="0" w:line="170" w:lineRule="exact"/>
        <w:rPr>
          <w:rFonts w:ascii="Arial" w:cs="Arial" w:eastAsia="Arial" w:hAnsi="Arial"/>
          <w:sz w:val="16"/>
          <w:szCs w:val="16"/>
          <w:color w:val="auto"/>
        </w:rPr>
      </w:pPr>
    </w:p>
    <w:p>
      <w:pPr>
        <w:ind w:left="1800" w:hanging="335"/>
        <w:spacing w:after="0"/>
        <w:tabs>
          <w:tab w:leader="none" w:pos="1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reconciliation of accounts;</w:t>
      </w:r>
    </w:p>
    <w:p>
      <w:pPr>
        <w:spacing w:after="0" w:line="170" w:lineRule="exact"/>
        <w:rPr>
          <w:rFonts w:ascii="Arial" w:cs="Arial" w:eastAsia="Arial" w:hAnsi="Arial"/>
          <w:sz w:val="16"/>
          <w:szCs w:val="16"/>
          <w:color w:val="auto"/>
        </w:rPr>
      </w:pPr>
    </w:p>
    <w:p>
      <w:pPr>
        <w:ind w:left="1800" w:hanging="335"/>
        <w:spacing w:after="0"/>
        <w:tabs>
          <w:tab w:leader="none" w:pos="1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proper recording of expenses and liabilities in the period to which they relate;</w:t>
      </w:r>
    </w:p>
    <w:p>
      <w:pPr>
        <w:spacing w:after="0" w:line="170" w:lineRule="exact"/>
        <w:rPr>
          <w:rFonts w:ascii="Arial" w:cs="Arial" w:eastAsia="Arial" w:hAnsi="Arial"/>
          <w:sz w:val="16"/>
          <w:szCs w:val="16"/>
          <w:color w:val="auto"/>
        </w:rPr>
      </w:pPr>
    </w:p>
    <w:p>
      <w:pPr>
        <w:ind w:left="1800" w:hanging="335"/>
        <w:spacing w:after="0"/>
        <w:tabs>
          <w:tab w:leader="none" w:pos="1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evidence of internal review and approval of accounting transactions;</w:t>
      </w:r>
    </w:p>
    <w:p>
      <w:pPr>
        <w:spacing w:after="0" w:line="182" w:lineRule="exact"/>
        <w:rPr>
          <w:rFonts w:ascii="Arial" w:cs="Arial" w:eastAsia="Arial" w:hAnsi="Arial"/>
          <w:sz w:val="16"/>
          <w:szCs w:val="16"/>
          <w:color w:val="auto"/>
        </w:rPr>
      </w:pPr>
    </w:p>
    <w:p>
      <w:pPr>
        <w:ind w:left="1800" w:hanging="335"/>
        <w:spacing w:after="0"/>
        <w:tabs>
          <w:tab w:leader="none" w:pos="18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documentation of processes, assumptions and conclusions underlying significant estimates; and</w:t>
      </w:r>
    </w:p>
    <w:p>
      <w:pPr>
        <w:spacing w:after="0" w:line="182" w:lineRule="exact"/>
        <w:rPr>
          <w:rFonts w:ascii="Arial" w:cs="Arial" w:eastAsia="Arial" w:hAnsi="Arial"/>
          <w:sz w:val="15"/>
          <w:szCs w:val="15"/>
          <w:color w:val="auto"/>
        </w:rPr>
      </w:pPr>
    </w:p>
    <w:p>
      <w:pPr>
        <w:ind w:left="1800" w:hanging="335"/>
        <w:spacing w:after="0"/>
        <w:tabs>
          <w:tab w:leader="none" w:pos="1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documentation of accounting policies and procedures.</w:t>
      </w:r>
    </w:p>
    <w:p>
      <w:pPr>
        <w:spacing w:after="0" w:line="110" w:lineRule="exact"/>
        <w:rPr>
          <w:sz w:val="20"/>
          <w:szCs w:val="20"/>
          <w:color w:val="auto"/>
        </w:rPr>
      </w:pPr>
    </w:p>
    <w:p>
      <w:pPr>
        <w:ind w:left="1140" w:right="1579" w:firstLine="326"/>
        <w:spacing w:after="0" w:line="281" w:lineRule="auto"/>
        <w:rPr>
          <w:sz w:val="20"/>
          <w:szCs w:val="20"/>
          <w:color w:val="auto"/>
        </w:rPr>
      </w:pPr>
      <w:r>
        <w:rPr>
          <w:rFonts w:ascii="Arial" w:cs="Arial" w:eastAsia="Arial" w:hAnsi="Arial"/>
          <w:sz w:val="15"/>
          <w:szCs w:val="15"/>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 Once our management’s report on internal controls is</w:t>
      </w:r>
    </w:p>
    <w:p>
      <w:pPr>
        <w:spacing w:after="0" w:line="207"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8" w:name="page79"/>
    <w:bookmarkEnd w:id="78"/>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599"/>
        <w:spacing w:after="0" w:line="265" w:lineRule="auto"/>
        <w:rPr>
          <w:sz w:val="20"/>
          <w:szCs w:val="20"/>
          <w:color w:val="auto"/>
        </w:rPr>
      </w:pPr>
      <w:r>
        <w:rPr>
          <w:rFonts w:ascii="Arial" w:cs="Arial" w:eastAsia="Arial" w:hAnsi="Arial"/>
          <w:sz w:val="16"/>
          <w:szCs w:val="16"/>
          <w:color w:val="auto"/>
        </w:rPr>
        <w:t>complete, we will retain our independent auditors to audit and render an opinion on such report when required by Section 404 of the Sarbanes-Oxley Act. The independent auditors may identify additional issues concerning a target business’s internal controls while performing their audit of internal control over financial reporting.</w:t>
      </w:r>
    </w:p>
    <w:p>
      <w:pPr>
        <w:spacing w:after="0" w:line="150"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Quantitative and Qualitative Disclosures about Market Risk</w:t>
      </w:r>
    </w:p>
    <w:p>
      <w:pPr>
        <w:spacing w:after="0" w:line="101" w:lineRule="exact"/>
        <w:rPr>
          <w:sz w:val="20"/>
          <w:szCs w:val="20"/>
          <w:color w:val="auto"/>
        </w:rPr>
      </w:pPr>
    </w:p>
    <w:p>
      <w:pPr>
        <w:ind w:left="1140" w:right="1579" w:firstLine="326"/>
        <w:spacing w:after="0" w:line="262" w:lineRule="auto"/>
        <w:rPr>
          <w:sz w:val="20"/>
          <w:szCs w:val="20"/>
          <w:color w:val="auto"/>
        </w:rPr>
      </w:pPr>
      <w:r>
        <w:rPr>
          <w:rFonts w:ascii="Arial" w:cs="Arial" w:eastAsia="Arial" w:hAnsi="Arial"/>
          <w:sz w:val="16"/>
          <w:szCs w:val="16"/>
          <w:color w:val="auto"/>
        </w:rPr>
        <w:t>The net proceeds of this offering and the sale of the private placement warrants held in the trust account will be invested in U.S. government treasury bills with a maturity of 185 days or less or in money market funds that meet certain conditions under Rule 2a-7 under the Investment Company Act of 1940 and that invest only in direct U.S. government obligations. Due to the short-term nature of these investments, we believe there will be no associated material exposure to interest rate risk.</w:t>
      </w:r>
    </w:p>
    <w:p>
      <w:pPr>
        <w:spacing w:after="0" w:line="15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Off-Balance Sheet Arrangements; Commitments and Contractual Obligations</w:t>
      </w:r>
    </w:p>
    <w:p>
      <w:pPr>
        <w:spacing w:after="0" w:line="101"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As of May 22, 2020, we did not have any off-balance sheet arrangements as defined in Item 303(a)(4)</w:t>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(ii) of Regulation S-K and did not have any commitments or contractual obligations.</w:t>
      </w:r>
    </w:p>
    <w:p>
      <w:pPr>
        <w:spacing w:after="0" w:line="180"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Related Party Transactions</w:t>
      </w:r>
    </w:p>
    <w:p>
      <w:pPr>
        <w:spacing w:after="0" w:line="101" w:lineRule="exact"/>
        <w:rPr>
          <w:sz w:val="20"/>
          <w:szCs w:val="20"/>
          <w:color w:val="auto"/>
        </w:rPr>
      </w:pPr>
    </w:p>
    <w:p>
      <w:pPr>
        <w:ind w:left="1140" w:right="1719" w:firstLine="326"/>
        <w:spacing w:after="0" w:line="258" w:lineRule="auto"/>
        <w:rPr>
          <w:sz w:val="20"/>
          <w:szCs w:val="20"/>
          <w:color w:val="auto"/>
        </w:rPr>
      </w:pPr>
      <w:r>
        <w:rPr>
          <w:rFonts w:ascii="Arial" w:cs="Arial" w:eastAsia="Arial" w:hAnsi="Arial"/>
          <w:sz w:val="16"/>
          <w:szCs w:val="16"/>
          <w:color w:val="auto"/>
        </w:rPr>
        <w:t>In May 2020, our sponsor purchased an aggregate of 21,562,500 founder shares for an aggregate purchase price of $25,000, or approximately $0.001 per share. On July 14, 2020, we effected a stock dividend of one-third of a share of Class B common stock for each outstanding share of Class B common stock, resulting in our initial stockholders holding an aggregate of 28,750,000 founder shares. On July 27, 2020, we effected a stock dividend of 0.50 of a share of Class B common stock for each outstanding share of Class B common stock, resulting in our initial stockholders holding an aggregate of 43,125,000 founder shares. The number of founder shares issued was determined based on the expectation that the founder shares would represent 20% of the outstanding shares of common stock upon the completion of this offering. The purchase price of the founder shares was determined by dividing the amount of cash contributed to us by the number of founder shares issued.</w:t>
      </w:r>
    </w:p>
    <w:p>
      <w:pPr>
        <w:spacing w:after="0" w:line="77" w:lineRule="exact"/>
        <w:rPr>
          <w:sz w:val="20"/>
          <w:szCs w:val="20"/>
          <w:color w:val="auto"/>
        </w:rPr>
      </w:pPr>
    </w:p>
    <w:p>
      <w:pPr>
        <w:ind w:left="1140" w:right="1639" w:firstLine="326"/>
        <w:spacing w:after="0" w:line="265" w:lineRule="auto"/>
        <w:rPr>
          <w:sz w:val="20"/>
          <w:szCs w:val="20"/>
          <w:color w:val="auto"/>
        </w:rPr>
      </w:pPr>
      <w:r>
        <w:rPr>
          <w:rFonts w:ascii="Arial" w:cs="Arial" w:eastAsia="Arial" w:hAnsi="Arial"/>
          <w:sz w:val="16"/>
          <w:szCs w:val="16"/>
          <w:color w:val="auto"/>
        </w:rPr>
        <w:t>We will enter into an Administrative Services Agreement pursuant to which we will also pay an affiliate of our sponsor a total of $50,000 per month for office space, administrative and support services. Upon completion of our initial business combination or our liquidation, we will cease paying these monthly fees.</w:t>
      </w:r>
    </w:p>
    <w:p>
      <w:pPr>
        <w:spacing w:after="0" w:line="68" w:lineRule="exact"/>
        <w:rPr>
          <w:sz w:val="20"/>
          <w:szCs w:val="20"/>
          <w:color w:val="auto"/>
        </w:rPr>
      </w:pPr>
    </w:p>
    <w:p>
      <w:pPr>
        <w:ind w:left="1140" w:right="1639" w:firstLine="326"/>
        <w:spacing w:after="0" w:line="260" w:lineRule="auto"/>
        <w:rPr>
          <w:sz w:val="20"/>
          <w:szCs w:val="20"/>
          <w:color w:val="auto"/>
        </w:rPr>
      </w:pPr>
      <w:r>
        <w:rPr>
          <w:rFonts w:ascii="Arial" w:cs="Arial" w:eastAsia="Arial" w:hAnsi="Arial"/>
          <w:sz w:val="16"/>
          <w:szCs w:val="16"/>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officers, directors or our or any of their respective affiliates and will determine which expenses and the amount of expenses that will be reimbursed. There is no cap or ceiling on the reimbursement of out-of-pocket expenses incurred by such persons in connection with activities on our behalf.</w:t>
      </w:r>
    </w:p>
    <w:p>
      <w:pPr>
        <w:spacing w:after="0" w:line="72" w:lineRule="exact"/>
        <w:rPr>
          <w:sz w:val="20"/>
          <w:szCs w:val="20"/>
          <w:color w:val="auto"/>
        </w:rPr>
      </w:pPr>
    </w:p>
    <w:p>
      <w:pPr>
        <w:ind w:left="1140" w:right="1639" w:firstLine="326"/>
        <w:spacing w:after="0" w:line="261" w:lineRule="auto"/>
        <w:rPr>
          <w:sz w:val="20"/>
          <w:szCs w:val="20"/>
          <w:color w:val="auto"/>
        </w:rPr>
      </w:pPr>
      <w:r>
        <w:rPr>
          <w:rFonts w:ascii="Arial" w:cs="Arial" w:eastAsia="Arial" w:hAnsi="Arial"/>
          <w:sz w:val="16"/>
          <w:szCs w:val="16"/>
          <w:color w:val="auto"/>
        </w:rPr>
        <w:t>Our sponsor has agreed to loan us up to $600,000 under an unsecured promissory note to be used for a portion of the expenses of this offering. As of July 27, 2020, there was $550,000 outstanding under such promissory note. These loans are non-interest bearing, unsecured and are due at the earlier of December 31, 2020 and the closing of this offering. These loans will be repaid upon completion of this offering out of the $1,350,000 of offering proceeds that has been allocated for the payment of offering expenses (other than underwriting commissions) not held in the trust account.</w:t>
      </w:r>
    </w:p>
    <w:p>
      <w:pPr>
        <w:spacing w:after="0" w:line="71" w:lineRule="exact"/>
        <w:rPr>
          <w:sz w:val="20"/>
          <w:szCs w:val="20"/>
          <w:color w:val="auto"/>
        </w:rPr>
      </w:pPr>
    </w:p>
    <w:p>
      <w:pPr>
        <w:ind w:left="1140" w:right="1579" w:firstLine="326"/>
        <w:spacing w:after="0" w:line="265" w:lineRule="auto"/>
        <w:rPr>
          <w:sz w:val="20"/>
          <w:szCs w:val="20"/>
          <w:color w:val="auto"/>
        </w:rPr>
      </w:pPr>
      <w:r>
        <w:rPr>
          <w:rFonts w:ascii="Arial" w:cs="Arial" w:eastAsia="Arial" w:hAnsi="Arial"/>
          <w:sz w:val="16"/>
          <w:szCs w:val="16"/>
          <w:color w:val="auto"/>
        </w:rPr>
        <w:t>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w:t>
      </w:r>
    </w:p>
    <w:p>
      <w:pPr>
        <w:spacing w:after="0" w:line="68" w:lineRule="exact"/>
        <w:rPr>
          <w:sz w:val="20"/>
          <w:szCs w:val="20"/>
          <w:color w:val="auto"/>
        </w:rPr>
      </w:pPr>
    </w:p>
    <w:p>
      <w:pPr>
        <w:ind w:left="1140" w:right="1659" w:firstLine="326"/>
        <w:spacing w:after="0" w:line="288" w:lineRule="auto"/>
        <w:rPr>
          <w:sz w:val="20"/>
          <w:szCs w:val="20"/>
          <w:color w:val="auto"/>
        </w:rPr>
      </w:pPr>
      <w:r>
        <w:rPr>
          <w:rFonts w:ascii="Arial" w:cs="Arial" w:eastAsia="Arial" w:hAnsi="Arial"/>
          <w:sz w:val="15"/>
          <w:szCs w:val="15"/>
          <w:color w:val="auto"/>
        </w:rPr>
        <w:t>In addition, in order to finance transaction costs in connection with an intended initial business combination, our sponsor, an affiliate of our sponsor or our officers and directors may, but is not obligated to, loan us funds as may be required. If we complete our initial business combination, we would repay such loaned amounts out of the proceeds of the trust account released to us. In the event that our initial business</w:t>
      </w:r>
    </w:p>
    <w:p>
      <w:pPr>
        <w:spacing w:after="0" w:line="212"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9" w:name="page80"/>
    <w:bookmarkEnd w:id="79"/>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599"/>
        <w:spacing w:after="0" w:line="259" w:lineRule="auto"/>
        <w:rPr>
          <w:sz w:val="20"/>
          <w:szCs w:val="20"/>
          <w:color w:val="auto"/>
        </w:rPr>
      </w:pPr>
      <w:r>
        <w:rPr>
          <w:rFonts w:ascii="Arial" w:cs="Arial" w:eastAsia="Arial" w:hAnsi="Arial"/>
          <w:sz w:val="16"/>
          <w:szCs w:val="16"/>
          <w:color w:val="auto"/>
        </w:rPr>
        <w:t>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 issued to our sponsor. The terms of such loans by our sponsor, an affiliate of our sponsor or our officers and directors, if any, have not been determined and no written agreements exist with respect to such loans. We do not expect to seek loans from parties other than our sponsor, an affiliate of our sponsor or our officers and directors, if any, as we do not believe third parties will be willing to loan such funds and provide a waiver against any and all rights to seek access to funds in our trust account.</w:t>
      </w:r>
    </w:p>
    <w:p>
      <w:pPr>
        <w:spacing w:after="0" w:line="72" w:lineRule="exact"/>
        <w:rPr>
          <w:sz w:val="20"/>
          <w:szCs w:val="20"/>
          <w:color w:val="auto"/>
        </w:rPr>
      </w:pPr>
    </w:p>
    <w:p>
      <w:pPr>
        <w:ind w:left="1140" w:right="1579" w:firstLine="326"/>
        <w:spacing w:after="0" w:line="273" w:lineRule="auto"/>
        <w:rPr>
          <w:sz w:val="20"/>
          <w:szCs w:val="20"/>
          <w:color w:val="auto"/>
        </w:rPr>
      </w:pPr>
      <w:r>
        <w:rPr>
          <w:rFonts w:ascii="Arial" w:cs="Arial" w:eastAsia="Arial" w:hAnsi="Arial"/>
          <w:sz w:val="15"/>
          <w:szCs w:val="15"/>
          <w:color w:val="auto"/>
        </w:rPr>
        <w:t>Our sponsor has subscribed to purchase an aggregate of 31,350,000 (or 35,850,000 if the underwriters’ option to purchase additional units is exercised in full) private placement warrants at a price of $1.00 per warrant ($31,350,000 in the aggregate or $35,850,000 in the aggregate if the underwriters’ option to purchase additional units is exercised in full) in the Private Placement. Each private placement warrant entitles the holder thereof to purchase one share of our Class A common stock at a price of $11.50 per share, subject to adjustment as provided herein. Our sponsor will be permitted to transfer the private placement warrants held by it to certain permitted transferees, including our officers and directors and other persons or entities affiliated with or related to them, but the transferees receiving such securities will be subject to the same agreements with respect to such securities as our sponsor. Otherwise, these warrants will not, subject to certain limited exceptions, be transferable or salable until 30 days after the completion of our initial business combination. The private placement warrants will be non-redeemable so long as they are held by our sponsor or its permitted transferees (except as described below under “Principal Stockholders</w:t>
      </w:r>
    </w:p>
    <w:p>
      <w:pPr>
        <w:spacing w:after="0" w:line="5" w:lineRule="exact"/>
        <w:rPr>
          <w:sz w:val="20"/>
          <w:szCs w:val="20"/>
          <w:color w:val="auto"/>
        </w:rPr>
      </w:pPr>
    </w:p>
    <w:p>
      <w:pPr>
        <w:ind w:left="1140" w:right="1619"/>
        <w:spacing w:after="0" w:line="260" w:lineRule="auto"/>
        <w:rPr>
          <w:sz w:val="20"/>
          <w:szCs w:val="20"/>
          <w:color w:val="auto"/>
        </w:rPr>
      </w:pPr>
      <w:r>
        <w:rPr>
          <w:rFonts w:ascii="Arial" w:cs="Arial" w:eastAsia="Arial" w:hAnsi="Arial"/>
          <w:sz w:val="16"/>
          <w:szCs w:val="16"/>
          <w:color w:val="auto"/>
        </w:rPr>
        <w:t>— Transfers of Founder Shares and Private Placement Warrants”). The private placement warrants may also be exercised by our sponsor or its permitted transferees for cash or on a cashless basis. Otherwise, the private placement warrants have terms and provisions that are identical to those of the warrants being sold as part of the units in this offering.</w:t>
      </w:r>
    </w:p>
    <w:p>
      <w:pPr>
        <w:spacing w:after="0" w:line="72" w:lineRule="exact"/>
        <w:rPr>
          <w:sz w:val="20"/>
          <w:szCs w:val="20"/>
          <w:color w:val="auto"/>
        </w:rPr>
      </w:pPr>
    </w:p>
    <w:p>
      <w:pPr>
        <w:ind w:left="1140" w:right="1599" w:firstLine="326"/>
        <w:spacing w:after="0" w:line="279" w:lineRule="auto"/>
        <w:rPr>
          <w:sz w:val="20"/>
          <w:szCs w:val="20"/>
          <w:color w:val="auto"/>
        </w:rPr>
      </w:pPr>
      <w:r>
        <w:rPr>
          <w:rFonts w:ascii="Arial" w:cs="Arial" w:eastAsia="Arial" w:hAnsi="Arial"/>
          <w:sz w:val="15"/>
          <w:szCs w:val="15"/>
          <w:color w:val="auto"/>
        </w:rPr>
        <w:t>Pursuant to a registration rights agreement we will enter into with our initial stockholders on or prior to the closing of this offering, we may be required to register certain securities for sale under the Securities Act. Our initial stockholders, and holders of warrants issued upon conversion of working capital loans, if any, are entitled under the registration rights agreement to make up to three demands that we register certain of our securities held by them for sale under the Securities Act and to have the securities covered thereby registered for resale pursuant to Rule 415 under the Securities Act. In addition, these holders have the right to include their securities in other registration statements filed by us. We will bear the costs and expenses of filing any such registration statements. Please see “Certain Relationships and Related Party Transactions.”</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JOBS Act</w:t>
      </w:r>
    </w:p>
    <w:p>
      <w:pPr>
        <w:spacing w:after="0" w:line="101" w:lineRule="exact"/>
        <w:rPr>
          <w:sz w:val="20"/>
          <w:szCs w:val="20"/>
          <w:color w:val="auto"/>
        </w:rPr>
      </w:pPr>
    </w:p>
    <w:p>
      <w:pPr>
        <w:ind w:left="1140" w:right="1679" w:firstLine="326"/>
        <w:spacing w:after="0" w:line="259" w:lineRule="auto"/>
        <w:rPr>
          <w:sz w:val="20"/>
          <w:szCs w:val="20"/>
          <w:color w:val="auto"/>
        </w:rPr>
      </w:pPr>
      <w:r>
        <w:rPr>
          <w:rFonts w:ascii="Arial" w:cs="Arial" w:eastAsia="Arial" w:hAnsi="Arial"/>
          <w:sz w:val="16"/>
          <w:szCs w:val="16"/>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0" w:name="page81"/>
    <w:bookmarkEnd w:id="80"/>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619" w:firstLine="326"/>
        <w:spacing w:after="0" w:line="276" w:lineRule="auto"/>
        <w:rPr>
          <w:sz w:val="20"/>
          <w:szCs w:val="20"/>
          <w:color w:val="auto"/>
        </w:rPr>
      </w:pPr>
      <w:r>
        <w:rPr>
          <w:rFonts w:ascii="Arial" w:cs="Arial" w:eastAsia="Arial" w:hAnsi="Arial"/>
          <w:sz w:val="15"/>
          <w:szCs w:val="15"/>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(1) provide an auditor’s attestation report on our system of internal controls over financial reporting pursuant to Section 404 of the Sarbanes-Oxley Act; (2) provide all of the compensation disclosure that may be required of non-emerging growth public companies under the Dodd-Frank Wall Street Reform and Consumer Protection Act; (3) comply with any requirement that may be adopted by the PCAOB regarding mandatory audit firm rotation or a supplement to the auditor’s report providing additional information about the audit and the financial statements (auditor discussion and analysis); and (4)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1" w:name="page82"/>
    <w:bookmarkEnd w:id="81"/>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PROPOSED BUSINESS</w:t>
      </w:r>
    </w:p>
    <w:p>
      <w:pPr>
        <w:spacing w:after="0" w:line="183"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General</w:t>
      </w:r>
    </w:p>
    <w:p>
      <w:pPr>
        <w:spacing w:after="0" w:line="101" w:lineRule="exact"/>
        <w:rPr>
          <w:sz w:val="20"/>
          <w:szCs w:val="20"/>
          <w:color w:val="auto"/>
        </w:rPr>
      </w:pPr>
    </w:p>
    <w:p>
      <w:pPr>
        <w:ind w:left="1140" w:right="1719" w:firstLine="326"/>
        <w:spacing w:after="0" w:line="279" w:lineRule="auto"/>
        <w:rPr>
          <w:sz w:val="20"/>
          <w:szCs w:val="20"/>
          <w:color w:val="auto"/>
        </w:rPr>
      </w:pPr>
      <w:r>
        <w:rPr>
          <w:rFonts w:ascii="Arial" w:cs="Arial" w:eastAsia="Arial" w:hAnsi="Arial"/>
          <w:sz w:val="15"/>
          <w:szCs w:val="15"/>
          <w:color w:val="auto"/>
        </w:rPr>
        <w:t>We are a newly incorporated blank check company formed as a Delaware corporation for the purpose of effecting a merger, share exchange, asset acquisition, share purchase, reorganization or similar business combination with one or more businesses, which we refer to throughout this prospectus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 We may pursue an initial business combination in any business or industry but expect to focus on a target in an industry where we believe our management team and founder’s expertise will provide us with a competitive advantage.</w:t>
      </w:r>
    </w:p>
    <w:p>
      <w:pPr>
        <w:spacing w:after="0" w:line="59" w:lineRule="exact"/>
        <w:rPr>
          <w:sz w:val="20"/>
          <w:szCs w:val="20"/>
          <w:color w:val="auto"/>
        </w:rPr>
      </w:pPr>
    </w:p>
    <w:p>
      <w:pPr>
        <w:ind w:left="1140" w:right="1579" w:firstLine="326"/>
        <w:spacing w:after="0" w:line="277" w:lineRule="auto"/>
        <w:rPr>
          <w:sz w:val="20"/>
          <w:szCs w:val="20"/>
          <w:color w:val="auto"/>
        </w:rPr>
      </w:pPr>
      <w:r>
        <w:rPr>
          <w:rFonts w:ascii="Arial" w:cs="Arial" w:eastAsia="Arial" w:hAnsi="Arial"/>
          <w:sz w:val="15"/>
          <w:szCs w:val="15"/>
          <w:color w:val="auto"/>
        </w:rPr>
        <w:t>Our founder, Michael Klein, is also the founder and managing partner of M. Klein and Company, which he founded in 2012. M. Klein and Company is a global strategic advisory firm that provides its clients a variety of advice tailored to their objectives. Mr. Klein is a strategic advisor to global companies, boards of directors, senior executives, governments and institutional investors. Mr. Klein’s background in strategic advisory work was built during his 35-year career, including more than two decades at Citi and its predecessors, during which he initiated and executed strategic advisory transactions. He began his career as an investment banker in the M&amp;A Advisory Group at Salomon Brothers and subsequently became Chairman and Co-Chief Executive Officer of Citi Markets and Banking, with responsibilities for Global Corporate and Investment Banking and Global Transaction Services across Citi. In his role as Co-CEO, he was responsible for all relationship, advisory, underwriting, and capital markets issuance activity.</w:t>
      </w:r>
    </w:p>
    <w:p>
      <w:pPr>
        <w:spacing w:after="0" w:line="64" w:lineRule="exact"/>
        <w:rPr>
          <w:sz w:val="20"/>
          <w:szCs w:val="20"/>
          <w:color w:val="auto"/>
        </w:rPr>
      </w:pPr>
    </w:p>
    <w:p>
      <w:pPr>
        <w:ind w:left="1140" w:right="1659" w:firstLine="326"/>
        <w:spacing w:after="0" w:line="279" w:lineRule="auto"/>
        <w:rPr>
          <w:sz w:val="20"/>
          <w:szCs w:val="20"/>
          <w:color w:val="auto"/>
        </w:rPr>
      </w:pPr>
      <w:r>
        <w:rPr>
          <w:rFonts w:ascii="Arial" w:cs="Arial" w:eastAsia="Arial" w:hAnsi="Arial"/>
          <w:sz w:val="15"/>
          <w:szCs w:val="15"/>
          <w:color w:val="auto"/>
        </w:rPr>
        <w:t>Mr. Klein was previously Chief Executive Officer of Global Banking at Citi, CEO of Citi Markets &amp; Banking, Europe, and Co-Head of Global Investment Banking for Salomon Smith Barney for the decade prior. In early 1999, he was given responsibility for the expansion of the firm’s European investment banking business. A major step in that development was the merger, in May 2000, of Salomon Smith Barney’s European operation with Schroders, a leading UK and European Merchant Bank. Prior to becoming Co-Head of the Global Investment Bank, he had been responsible for the firm’s Global Financial Entrepreneurs and Private Equity Groups, a leading provider of acquisition ideas and financing for leading private equity sponsors. We will seek to capitalize on the experience and expertise of our founder.</w:t>
      </w:r>
    </w:p>
    <w:p>
      <w:pPr>
        <w:spacing w:after="0" w:line="59" w:lineRule="exact"/>
        <w:rPr>
          <w:sz w:val="20"/>
          <w:szCs w:val="20"/>
          <w:color w:val="auto"/>
        </w:rPr>
      </w:pPr>
    </w:p>
    <w:p>
      <w:pPr>
        <w:ind w:left="1140" w:right="1719" w:firstLine="326"/>
        <w:spacing w:after="0" w:line="261" w:lineRule="auto"/>
        <w:rPr>
          <w:sz w:val="20"/>
          <w:szCs w:val="20"/>
          <w:color w:val="auto"/>
        </w:rPr>
      </w:pPr>
      <w:r>
        <w:rPr>
          <w:rFonts w:ascii="Arial" w:cs="Arial" w:eastAsia="Arial" w:hAnsi="Arial"/>
          <w:sz w:val="16"/>
          <w:szCs w:val="16"/>
          <w:color w:val="auto"/>
        </w:rPr>
        <w:t>Mr. Klein has significant experience running investment banking and advisory organizations with an overarching mission of providing high quality deal sourcing and transactional advice to a broad range of clients. For example, in 2018, Mr. Klein co-founded and became Chairman of the Board of Directors of CCC, a special purpose acquisition company that completed a $690 million initial public offering in September 2018 and merged in May 2019 with Clarivate, a leading provider of comprehensive intellectual property and scientific information, analytical tools, and services.</w:t>
      </w:r>
    </w:p>
    <w:p>
      <w:pPr>
        <w:spacing w:after="0" w:line="71" w:lineRule="exact"/>
        <w:rPr>
          <w:sz w:val="20"/>
          <w:szCs w:val="20"/>
          <w:color w:val="auto"/>
        </w:rPr>
      </w:pPr>
    </w:p>
    <w:p>
      <w:pPr>
        <w:ind w:left="1140" w:right="1579" w:firstLine="326"/>
        <w:spacing w:after="0" w:line="280" w:lineRule="auto"/>
        <w:rPr>
          <w:sz w:val="20"/>
          <w:szCs w:val="20"/>
          <w:color w:val="auto"/>
        </w:rPr>
      </w:pPr>
      <w:r>
        <w:rPr>
          <w:rFonts w:ascii="Arial" w:cs="Arial" w:eastAsia="Arial" w:hAnsi="Arial"/>
          <w:sz w:val="15"/>
          <w:szCs w:val="15"/>
          <w:color w:val="auto"/>
        </w:rPr>
        <w:t>The CCC board of directors believed that of the several transactions that CCC considered, the Clarivate merger provided CCC investors with an attractive investment opportunity that was characterized by an industry-leading, world-class management team with a history of creating significant shareholder value through superior operational performance, positive long-term trends in each of the Clarivate’s operating markets, significant organic and accretive growth opportunities, a clear path to meaningfully reduced balance sheet leverage, and a compelling valuation relative to its peers. In sourcing and executing a business combination transaction, we hope to find a target with similar characteristics.</w:t>
      </w:r>
    </w:p>
    <w:p>
      <w:pPr>
        <w:spacing w:after="0" w:line="59" w:lineRule="exact"/>
        <w:rPr>
          <w:sz w:val="20"/>
          <w:szCs w:val="20"/>
          <w:color w:val="auto"/>
        </w:rPr>
      </w:pPr>
    </w:p>
    <w:p>
      <w:pPr>
        <w:ind w:left="1140" w:right="1599" w:firstLine="326"/>
        <w:spacing w:after="0" w:line="260" w:lineRule="auto"/>
        <w:rPr>
          <w:sz w:val="20"/>
          <w:szCs w:val="20"/>
          <w:color w:val="auto"/>
        </w:rPr>
      </w:pPr>
      <w:r>
        <w:rPr>
          <w:rFonts w:ascii="Arial" w:cs="Arial" w:eastAsia="Arial" w:hAnsi="Arial"/>
          <w:sz w:val="16"/>
          <w:szCs w:val="16"/>
          <w:color w:val="auto"/>
        </w:rPr>
        <w:t>In April 2019, Mr. Klein founded and became Chief Executive Officer and Chairman of the Board of Directors of Churchill Capital Corp II, a special purpose acquisition company that completed a $690 million initial public offering in July 2019. Additionally in October 2019, Mr. Klein founded and became Chief Executive Officer, President and Chairman of the Board of Directors of Churchill Capital Corp III, a special purpose acquisition company that completed a $1,100 million initial public offering in February 2020. On July 12, 2020, Churchill Capital Corp III entered into a definitive agreement to merge with MultiPlan, Inc., a technology-enabled provider of end-to-end healthcare cost management solutions.</w:t>
      </w:r>
    </w:p>
    <w:p>
      <w:pPr>
        <w:spacing w:after="0" w:line="72" w:lineRule="exact"/>
        <w:rPr>
          <w:sz w:val="20"/>
          <w:szCs w:val="20"/>
          <w:color w:val="auto"/>
        </w:rPr>
      </w:pPr>
    </w:p>
    <w:p>
      <w:pPr>
        <w:ind w:left="1140" w:right="1699" w:firstLine="326"/>
        <w:spacing w:after="0" w:line="296" w:lineRule="auto"/>
        <w:rPr>
          <w:sz w:val="20"/>
          <w:szCs w:val="20"/>
          <w:color w:val="auto"/>
        </w:rPr>
      </w:pPr>
      <w:r>
        <w:rPr>
          <w:rFonts w:ascii="Arial" w:cs="Arial" w:eastAsia="Arial" w:hAnsi="Arial"/>
          <w:sz w:val="15"/>
          <w:szCs w:val="15"/>
          <w:color w:val="auto"/>
        </w:rPr>
        <w:t>Our Chief Financial Officer, Jay Taragin, has held this position since May 2020 and is also the Chief Financial Officer of Churchill Capital Corp III since December 2019 and M. Klein and Company which he joined in May 2019. Prior to joining M. Klein and Company, Mr. Taragin served as the US Scotiabank</w:t>
      </w:r>
    </w:p>
    <w:p>
      <w:pPr>
        <w:spacing w:after="0" w:line="206"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2" w:name="page83"/>
    <w:bookmarkEnd w:id="82"/>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679"/>
        <w:spacing w:after="0" w:line="261" w:lineRule="auto"/>
        <w:rPr>
          <w:sz w:val="20"/>
          <w:szCs w:val="20"/>
          <w:color w:val="auto"/>
        </w:rPr>
      </w:pPr>
      <w:r>
        <w:rPr>
          <w:rFonts w:ascii="Arial" w:cs="Arial" w:eastAsia="Arial" w:hAnsi="Arial"/>
          <w:sz w:val="16"/>
          <w:szCs w:val="16"/>
          <w:color w:val="auto"/>
        </w:rPr>
        <w:t>Chief Financial Officer from 2013 to 2017. Prior to Scotiabank, Mr. Taragin held a Chief Operating and Financial Officer role from 2009 to 2012 at a mortgage hedge fund and held a variety of senior finance and audit roles at Merrill Lynch &amp; Company from 1993 to 2009. In addition, Mr. Taragin worked at Credit Suisse and PricewaterhouseCoopers as a senior auditor and accountant. Mr. Taragin is a CPA and holds a master’s degree in business administration from New York University Stern School of Business and a bachelor’s degree from Yeshiva University.</w:t>
      </w:r>
    </w:p>
    <w:p>
      <w:pPr>
        <w:spacing w:after="0" w:line="71" w:lineRule="exact"/>
        <w:rPr>
          <w:sz w:val="20"/>
          <w:szCs w:val="20"/>
          <w:color w:val="auto"/>
        </w:rPr>
      </w:pPr>
    </w:p>
    <w:p>
      <w:pPr>
        <w:ind w:left="1140" w:right="1579" w:firstLine="326"/>
        <w:spacing w:after="0" w:line="277" w:lineRule="auto"/>
        <w:rPr>
          <w:sz w:val="20"/>
          <w:szCs w:val="20"/>
          <w:color w:val="auto"/>
        </w:rPr>
      </w:pPr>
      <w:r>
        <w:rPr>
          <w:rFonts w:ascii="Arial" w:cs="Arial" w:eastAsia="Arial" w:hAnsi="Arial"/>
          <w:sz w:val="15"/>
          <w:szCs w:val="15"/>
          <w:color w:val="auto"/>
        </w:rPr>
        <w:t>We believe that our management team and M. Klein and Company, which is an affiliate of our sponsor, are well positioned to identify and execute attractive business combination opportunities. Our objectives are to generate attractive returns for shareholders and enhance value through selecting a high quality target at an attractive valuation, negotiating favorable acquisition terms for our stockholders and improving operational performance of the acquired company. We expect to favor potential target companies with certain industry and business characteristics. Key industry characteristics include compelling long-term growth prospects, opportunities to affect valuation improvements at the company, attractive competitive dynamics and consolidation opportunities. Key business characteristics include competitive advantages, significant streams of recurring revenue, opportunity for operational improvement, attractive steady-state margins, high incremental margins and attractive free cash flow characteristics.</w:t>
      </w:r>
    </w:p>
    <w:p>
      <w:pPr>
        <w:spacing w:after="0" w:line="64" w:lineRule="exact"/>
        <w:rPr>
          <w:sz w:val="20"/>
          <w:szCs w:val="20"/>
          <w:color w:val="auto"/>
        </w:rPr>
      </w:pPr>
    </w:p>
    <w:p>
      <w:pPr>
        <w:ind w:left="1140" w:right="1659" w:firstLine="326"/>
        <w:spacing w:after="0" w:line="260" w:lineRule="auto"/>
        <w:rPr>
          <w:sz w:val="20"/>
          <w:szCs w:val="20"/>
          <w:color w:val="auto"/>
        </w:rPr>
      </w:pPr>
      <w:r>
        <w:rPr>
          <w:rFonts w:ascii="Arial" w:cs="Arial" w:eastAsia="Arial" w:hAnsi="Arial"/>
          <w:sz w:val="16"/>
          <w:szCs w:val="16"/>
          <w:color w:val="auto"/>
        </w:rPr>
        <w:t>M. Klein and Company has established strategic relationships with selected leading investors and financing providers. Such Strategic Partners may invest in our sponsor, thereby sharing in the appreciation of founder shares and private placement warrants, and assist M. Klein and Company in evaluating potential acquisition targets. In addition, Glenn R. August, the CEO and Founder of OHA, a Strategic Partner, will join the Company’s board of directors. OHA is a leading alternative investment firm with approximately $37 billion of capital under management and over 300 professionals that invest across multiple sectors and industries.</w:t>
      </w:r>
    </w:p>
    <w:p>
      <w:pPr>
        <w:spacing w:after="0" w:line="72" w:lineRule="exact"/>
        <w:rPr>
          <w:sz w:val="20"/>
          <w:szCs w:val="20"/>
          <w:color w:val="auto"/>
        </w:rPr>
      </w:pPr>
    </w:p>
    <w:p>
      <w:pPr>
        <w:ind w:left="1140" w:right="1619" w:firstLine="326"/>
        <w:spacing w:after="0" w:line="257" w:lineRule="auto"/>
        <w:rPr>
          <w:sz w:val="20"/>
          <w:szCs w:val="20"/>
          <w:color w:val="auto"/>
        </w:rPr>
      </w:pPr>
      <w:r>
        <w:rPr>
          <w:rFonts w:ascii="Arial" w:cs="Arial" w:eastAsia="Arial" w:hAnsi="Arial"/>
          <w:sz w:val="16"/>
          <w:szCs w:val="16"/>
          <w:color w:val="auto"/>
        </w:rPr>
        <w:t>M. Klein and Company has established an entity within the firm, Archimedes Advisors LLC, which will invest in our sponsor and which consists of Operating Partners who will assist us in sourcing potential acquisition targets, and creating long-term value in the business combination for us. M. Klein and Company’s Operating Partners are comprised of former senior operating executives of leading S&amp;P 500 companies across multiple sectors and industries, including consumer, industrial, materials, energy, mining, chemicals, finance, data, software, enterprise technology, and media. With our breadth of sector coverage and deep operational expertise, we believe we can review a wide range of targets to find the most attractive target for our stockholders. Each Operating Partner has held senior leadership positions with companies where they have a proven strong track record of creating shareholder value, organically and through transformational acquisitions or corporate restructurings, as well as extensive relationships with owners and operators of companies within their respective industries. In addition to assisting in the sourcing of a potential transaction, one Operating Partner is expected to join the acquired company as an executive chairman or in another senior executive capacity in order to enhance stockholder value by improving the operational performance of the company and undertaking broader strategic initiatives.</w:t>
      </w:r>
    </w:p>
    <w:p>
      <w:pPr>
        <w:spacing w:after="0" w:line="79" w:lineRule="exact"/>
        <w:rPr>
          <w:sz w:val="20"/>
          <w:szCs w:val="20"/>
          <w:color w:val="auto"/>
        </w:rPr>
      </w:pPr>
    </w:p>
    <w:p>
      <w:pPr>
        <w:ind w:left="1140" w:right="1619" w:firstLine="326"/>
        <w:spacing w:after="0" w:line="258" w:lineRule="auto"/>
        <w:rPr>
          <w:sz w:val="20"/>
          <w:szCs w:val="20"/>
          <w:color w:val="auto"/>
        </w:rPr>
      </w:pPr>
      <w:r>
        <w:rPr>
          <w:rFonts w:ascii="Arial" w:cs="Arial" w:eastAsia="Arial" w:hAnsi="Arial"/>
          <w:sz w:val="16"/>
          <w:szCs w:val="16"/>
          <w:color w:val="auto"/>
        </w:rPr>
        <w:t>To best align the incentives of Operating Partners with our stockholders, each Operating Partner will invest in our sponsor and be eligible to share in a portion of the appreciation in founder shares and private placement warrants, provided that we successfully complete a business combination. The Operating Partner that takes on a substantial senior executive or operating role at the acquired company, on a post-business combination basis, will acquire additional founder shares from M. Klein and Company and will have a vesting schedule that is highly aligned with stockholder interests by requiring value creation for stockholders. Operating Partners will not receive any cash compensation from us prior to a business combination. We believe that the combination of our management team, M. Klein and Company and its Operating Partners and our board of directors is an innovative approach to identifying potential high quality business combination targets and aligns incentives with our stockholders, providing us with distinctive and differentiated capabilities to create stockholder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3" w:name="page84"/>
    <w:bookmarkEnd w:id="83"/>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799" w:firstLine="326"/>
        <w:spacing w:after="0" w:line="280" w:lineRule="auto"/>
        <w:rPr>
          <w:sz w:val="20"/>
          <w:szCs w:val="20"/>
          <w:color w:val="auto"/>
        </w:rPr>
      </w:pPr>
      <w:r>
        <w:rPr>
          <w:rFonts w:ascii="Arial" w:cs="Arial" w:eastAsia="Arial" w:hAnsi="Arial"/>
          <w:sz w:val="15"/>
          <w:szCs w:val="15"/>
          <w:color w:val="auto"/>
        </w:rPr>
        <w:t>With respect to the foregoing experiences of our management, M. Klein and Company and our Strategic and Operating Partners, past performance is not a guarantee (i) that we will be able to identify a suitable candidate for our initial business combination or (ii) of success with respect to any business combination we may consummate. You should not rely on the historical record of our management’s, M. Klein and Company’s or our Strategic Operating Partners’ performance as indicative of our future performance. For more information on the experience and background of our management team and the Operating Partners, see the sections entitled “Management” and “Proposed Business.”</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Business Strategy</w:t>
      </w:r>
    </w:p>
    <w:p>
      <w:pPr>
        <w:spacing w:after="0" w:line="101"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Our strategy is to:</w:t>
      </w:r>
    </w:p>
    <w:p>
      <w:pPr>
        <w:spacing w:after="0" w:line="183" w:lineRule="exact"/>
        <w:rPr>
          <w:sz w:val="20"/>
          <w:szCs w:val="20"/>
          <w:color w:val="auto"/>
        </w:rPr>
      </w:pPr>
    </w:p>
    <w:p>
      <w:pPr>
        <w:ind w:left="1800" w:right="1699" w:hanging="335"/>
        <w:spacing w:after="0" w:line="285" w:lineRule="auto"/>
        <w:tabs>
          <w:tab w:leader="none" w:pos="18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leverage the strategic and transactional experience of our founder to bring advice and attention to potential business combination targets;</w:t>
      </w:r>
    </w:p>
    <w:p>
      <w:pPr>
        <w:spacing w:after="0" w:line="113" w:lineRule="exact"/>
        <w:rPr>
          <w:rFonts w:ascii="Arial" w:cs="Arial" w:eastAsia="Arial" w:hAnsi="Arial"/>
          <w:sz w:val="16"/>
          <w:szCs w:val="16"/>
          <w:color w:val="auto"/>
        </w:rPr>
      </w:pPr>
    </w:p>
    <w:p>
      <w:pPr>
        <w:ind w:left="1800" w:hanging="335"/>
        <w:spacing w:after="0"/>
        <w:tabs>
          <w:tab w:leader="none" w:pos="18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deliver creative approaches to transaction sourcing; and</w:t>
      </w:r>
    </w:p>
    <w:p>
      <w:pPr>
        <w:spacing w:after="0" w:line="170" w:lineRule="exact"/>
        <w:rPr>
          <w:rFonts w:ascii="Arial" w:cs="Arial" w:eastAsia="Arial" w:hAnsi="Arial"/>
          <w:sz w:val="16"/>
          <w:szCs w:val="16"/>
          <w:color w:val="auto"/>
        </w:rPr>
      </w:pPr>
    </w:p>
    <w:p>
      <w:pPr>
        <w:ind w:left="1800" w:right="1779" w:hanging="335"/>
        <w:spacing w:after="0" w:line="285" w:lineRule="auto"/>
        <w:tabs>
          <w:tab w:leader="none" w:pos="18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utilize an understanding of global financial markets and events, financing, and overall corporate strategy options.</w:t>
      </w:r>
    </w:p>
    <w:p>
      <w:pPr>
        <w:spacing w:after="0" w:line="52" w:lineRule="exact"/>
        <w:rPr>
          <w:sz w:val="20"/>
          <w:szCs w:val="20"/>
          <w:color w:val="auto"/>
        </w:rPr>
      </w:pPr>
    </w:p>
    <w:p>
      <w:pPr>
        <w:ind w:left="1140" w:right="1619" w:firstLine="326"/>
        <w:spacing w:after="0" w:line="277" w:lineRule="auto"/>
        <w:rPr>
          <w:sz w:val="20"/>
          <w:szCs w:val="20"/>
          <w:color w:val="auto"/>
        </w:rPr>
      </w:pPr>
      <w:r>
        <w:rPr>
          <w:rFonts w:ascii="Arial" w:cs="Arial" w:eastAsia="Arial" w:hAnsi="Arial"/>
          <w:sz w:val="15"/>
          <w:szCs w:val="15"/>
          <w:color w:val="auto"/>
        </w:rPr>
        <w:t>Our selection process will leverage our founder’s and our Strategic and Operating Partners’ network of industry, private equity sponsor, credit fund sponsor and lending community relationships as well as relationships with management teams of public and private companies, investment bankers, restructuring advisers, attorneys and accountants, which we believe should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 Upon completion of this offering, members of our management team, M. Klein and Company, our Strategic and Operating Partners will communicate with their network of relationships to articulate our initial business combination criteria, including the parameters of our search for a target business, and will begin the disciplined process of pursuing and reviewing promising leads.</w:t>
      </w:r>
    </w:p>
    <w:p>
      <w:pPr>
        <w:spacing w:after="0" w:line="61"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Our management team and M. Klein and Company have experience in:</w:t>
      </w:r>
    </w:p>
    <w:p>
      <w:pPr>
        <w:spacing w:after="0" w:line="183" w:lineRule="exact"/>
        <w:rPr>
          <w:sz w:val="20"/>
          <w:szCs w:val="20"/>
          <w:color w:val="auto"/>
        </w:rPr>
      </w:pPr>
    </w:p>
    <w:p>
      <w:pPr>
        <w:ind w:left="1800" w:hanging="335"/>
        <w:spacing w:after="0"/>
        <w:tabs>
          <w:tab w:leader="none" w:pos="1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sourcing, structuring, acquiring and selling businesses;</w:t>
      </w:r>
    </w:p>
    <w:p>
      <w:pPr>
        <w:spacing w:after="0" w:line="170" w:lineRule="exact"/>
        <w:rPr>
          <w:rFonts w:ascii="Arial" w:cs="Arial" w:eastAsia="Arial" w:hAnsi="Arial"/>
          <w:sz w:val="16"/>
          <w:szCs w:val="16"/>
          <w:color w:val="auto"/>
        </w:rPr>
      </w:pPr>
    </w:p>
    <w:p>
      <w:pPr>
        <w:ind w:left="1800" w:hanging="335"/>
        <w:spacing w:after="0"/>
        <w:tabs>
          <w:tab w:leader="none" w:pos="1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fostering relationships with sellers, capital providers and target management teams;</w:t>
      </w:r>
    </w:p>
    <w:p>
      <w:pPr>
        <w:spacing w:after="0" w:line="170" w:lineRule="exact"/>
        <w:rPr>
          <w:rFonts w:ascii="Arial" w:cs="Arial" w:eastAsia="Arial" w:hAnsi="Arial"/>
          <w:sz w:val="16"/>
          <w:szCs w:val="16"/>
          <w:color w:val="auto"/>
        </w:rPr>
      </w:pPr>
    </w:p>
    <w:p>
      <w:pPr>
        <w:ind w:left="1800" w:hanging="335"/>
        <w:spacing w:after="0"/>
        <w:tabs>
          <w:tab w:leader="none" w:pos="1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negotiating transactions favorable to investors;</w:t>
      </w:r>
    </w:p>
    <w:p>
      <w:pPr>
        <w:spacing w:after="0" w:line="170" w:lineRule="exact"/>
        <w:rPr>
          <w:rFonts w:ascii="Arial" w:cs="Arial" w:eastAsia="Arial" w:hAnsi="Arial"/>
          <w:sz w:val="16"/>
          <w:szCs w:val="16"/>
          <w:color w:val="auto"/>
        </w:rPr>
      </w:pPr>
    </w:p>
    <w:p>
      <w:pPr>
        <w:ind w:left="1800" w:right="1739" w:hanging="335"/>
        <w:spacing w:after="0" w:line="285" w:lineRule="auto"/>
        <w:tabs>
          <w:tab w:leader="none" w:pos="1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executing transactions in multiple geographies and under varying economic and financial market conditions; and</w:t>
      </w:r>
    </w:p>
    <w:p>
      <w:pPr>
        <w:spacing w:after="0" w:line="125" w:lineRule="exact"/>
        <w:rPr>
          <w:rFonts w:ascii="Arial" w:cs="Arial" w:eastAsia="Arial" w:hAnsi="Arial"/>
          <w:sz w:val="16"/>
          <w:szCs w:val="16"/>
          <w:color w:val="auto"/>
        </w:rPr>
      </w:pPr>
    </w:p>
    <w:p>
      <w:pPr>
        <w:ind w:left="1800" w:right="1679" w:hanging="335"/>
        <w:spacing w:after="0" w:line="285" w:lineRule="auto"/>
        <w:tabs>
          <w:tab w:leader="none" w:pos="1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accessing the capital markets, including financing businesses and helping companies transition to public ownership.</w:t>
      </w:r>
    </w:p>
    <w:p>
      <w:pPr>
        <w:spacing w:after="0" w:line="5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M. Klein and Company’s Operating Partners have experience in:</w:t>
      </w:r>
    </w:p>
    <w:p>
      <w:pPr>
        <w:spacing w:after="0" w:line="171" w:lineRule="exact"/>
        <w:rPr>
          <w:sz w:val="20"/>
          <w:szCs w:val="20"/>
          <w:color w:val="auto"/>
        </w:rPr>
      </w:pPr>
    </w:p>
    <w:p>
      <w:pPr>
        <w:ind w:left="1800" w:right="1759" w:hanging="335"/>
        <w:spacing w:after="0" w:line="285" w:lineRule="auto"/>
        <w:tabs>
          <w:tab w:leader="none" w:pos="18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operating companies, setting and changing strategies, and identifying, monitoring and recruiting world-class talent;</w:t>
      </w:r>
    </w:p>
    <w:p>
      <w:pPr>
        <w:spacing w:after="0" w:line="113" w:lineRule="exact"/>
        <w:rPr>
          <w:rFonts w:ascii="Arial" w:cs="Arial" w:eastAsia="Arial" w:hAnsi="Arial"/>
          <w:sz w:val="16"/>
          <w:szCs w:val="16"/>
          <w:color w:val="auto"/>
        </w:rPr>
      </w:pPr>
    </w:p>
    <w:p>
      <w:pPr>
        <w:ind w:left="1800" w:hanging="335"/>
        <w:spacing w:after="0"/>
        <w:tabs>
          <w:tab w:leader="none" w:pos="18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acquiring and integrating companies; and</w:t>
      </w:r>
    </w:p>
    <w:p>
      <w:pPr>
        <w:spacing w:after="0" w:line="182" w:lineRule="exact"/>
        <w:rPr>
          <w:rFonts w:ascii="Arial" w:cs="Arial" w:eastAsia="Arial" w:hAnsi="Arial"/>
          <w:sz w:val="16"/>
          <w:szCs w:val="16"/>
          <w:color w:val="auto"/>
        </w:rPr>
      </w:pPr>
    </w:p>
    <w:p>
      <w:pPr>
        <w:jc w:val="both"/>
        <w:ind w:left="1800" w:right="2039" w:hanging="335"/>
        <w:spacing w:after="0" w:line="270" w:lineRule="auto"/>
        <w:tabs>
          <w:tab w:leader="none" w:pos="18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developing and growing companies, both organically and through acquisitions and strategic transactions and expanding the product range and geographic footprint of a number of target businesses.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4" w:name="page85"/>
    <w:bookmarkEnd w:id="84"/>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Competitive Strengths</w:t>
      </w:r>
    </w:p>
    <w:p>
      <w:pPr>
        <w:spacing w:after="0" w:line="101" w:lineRule="exact"/>
        <w:rPr>
          <w:sz w:val="20"/>
          <w:szCs w:val="20"/>
          <w:color w:val="auto"/>
        </w:rPr>
      </w:pPr>
    </w:p>
    <w:p>
      <w:pPr>
        <w:ind w:left="1140" w:right="1619" w:firstLine="326"/>
        <w:spacing w:after="0" w:line="261" w:lineRule="auto"/>
        <w:rPr>
          <w:sz w:val="20"/>
          <w:szCs w:val="20"/>
          <w:color w:val="auto"/>
        </w:rPr>
      </w:pPr>
      <w:r>
        <w:rPr>
          <w:rFonts w:ascii="Arial" w:cs="Arial" w:eastAsia="Arial" w:hAnsi="Arial"/>
          <w:sz w:val="16"/>
          <w:szCs w:val="16"/>
          <w:color w:val="auto"/>
        </w:rPr>
        <w:t>The sourcing, valuation, diligence and execution capabilities of our management team, M. Klein and Company and our Strategic and Operating Partners will provide us with a significant pipeline of opportunities from which to evaluate and select a business that will benefit from our expertise. We may also have the benefit of using M. Klein and Company, or another affiliate of our sponsor, as our lead financial advisor on our business combinations and other transactions. Our competitive strengths include the following:</w:t>
      </w:r>
    </w:p>
    <w:p>
      <w:pPr>
        <w:spacing w:after="0" w:line="120" w:lineRule="exact"/>
        <w:rPr>
          <w:sz w:val="20"/>
          <w:szCs w:val="20"/>
          <w:color w:val="auto"/>
        </w:rPr>
      </w:pPr>
    </w:p>
    <w:p>
      <w:pPr>
        <w:ind w:left="1800" w:right="1639" w:hanging="335"/>
        <w:spacing w:after="0" w:line="265" w:lineRule="auto"/>
        <w:tabs>
          <w:tab w:leader="none" w:pos="180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Deep Experience of Operating Partners. </w:t>
      </w:r>
      <w:r>
        <w:rPr>
          <w:rFonts w:ascii="Arial" w:cs="Arial" w:eastAsia="Arial" w:hAnsi="Arial"/>
          <w:sz w:val="16"/>
          <w:szCs w:val="16"/>
          <w:color w:val="auto"/>
        </w:rPr>
        <w:t>We believe that our ability to leverage the experience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Operating Partners, who comprise former senior operating executives of S&amp;P500 companies across multiple sectors and industries, will provide us a distinct advantage in being able to source, evaluate and consummate an attractive transaction.</w:t>
      </w:r>
    </w:p>
    <w:p>
      <w:pPr>
        <w:spacing w:after="0" w:line="104" w:lineRule="exact"/>
        <w:rPr>
          <w:rFonts w:ascii="Arial" w:cs="Arial" w:eastAsia="Arial" w:hAnsi="Arial"/>
          <w:sz w:val="16"/>
          <w:szCs w:val="16"/>
          <w:color w:val="auto"/>
        </w:rPr>
      </w:pPr>
    </w:p>
    <w:p>
      <w:pPr>
        <w:ind w:left="1800" w:right="1619" w:hanging="335"/>
        <w:spacing w:after="0" w:line="260" w:lineRule="auto"/>
        <w:tabs>
          <w:tab w:leader="none" w:pos="180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Proprietary Sourcing Channels and Leading Industry Relationships. </w:t>
      </w:r>
      <w:r>
        <w:rPr>
          <w:rFonts w:ascii="Arial" w:cs="Arial" w:eastAsia="Arial" w:hAnsi="Arial"/>
          <w:sz w:val="16"/>
          <w:szCs w:val="16"/>
          <w:color w:val="auto"/>
        </w:rPr>
        <w:t>We believe the capabilities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connections associated with our management team, in combination with those of M. Klein and Company and our Strategic and Operating Partners, will provide us with a differentiated pipeline of acquisition opportunities that would be difficult for other participants in the market to replicate. We expect these sourcing capabilities will be further bolstered by our management team’s, M. Klein and Company’s and our Strategic and Operating Partners’ reputation and deep industry relationships.</w:t>
      </w:r>
    </w:p>
    <w:p>
      <w:pPr>
        <w:spacing w:after="0" w:line="121" w:lineRule="exact"/>
        <w:rPr>
          <w:rFonts w:ascii="Arial" w:cs="Arial" w:eastAsia="Arial" w:hAnsi="Arial"/>
          <w:sz w:val="16"/>
          <w:szCs w:val="16"/>
          <w:color w:val="auto"/>
        </w:rPr>
      </w:pPr>
    </w:p>
    <w:p>
      <w:pPr>
        <w:ind w:left="1800" w:right="1639" w:hanging="335"/>
        <w:spacing w:after="0" w:line="270" w:lineRule="auto"/>
        <w:tabs>
          <w:tab w:leader="none" w:pos="180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Investing Experience. </w:t>
      </w:r>
      <w:r>
        <w:rPr>
          <w:rFonts w:ascii="Arial" w:cs="Arial" w:eastAsia="Arial" w:hAnsi="Arial"/>
          <w:sz w:val="16"/>
          <w:szCs w:val="16"/>
          <w:color w:val="auto"/>
        </w:rPr>
        <w:t>We believe that our management’s track record of identifying and sourcing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transactions positions us well to appropriately evaluate potential business combinations and select one that will be well received by the public markets.</w:t>
      </w:r>
    </w:p>
    <w:p>
      <w:pPr>
        <w:spacing w:after="0" w:line="112" w:lineRule="exact"/>
        <w:rPr>
          <w:rFonts w:ascii="Arial" w:cs="Arial" w:eastAsia="Arial" w:hAnsi="Arial"/>
          <w:sz w:val="16"/>
          <w:szCs w:val="16"/>
          <w:color w:val="auto"/>
        </w:rPr>
      </w:pPr>
    </w:p>
    <w:p>
      <w:pPr>
        <w:ind w:left="1800" w:right="1579" w:hanging="335"/>
        <w:spacing w:after="0" w:line="259" w:lineRule="auto"/>
        <w:tabs>
          <w:tab w:leader="none" w:pos="180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Execution and Structuring Capability. </w:t>
      </w:r>
      <w:r>
        <w:rPr>
          <w:rFonts w:ascii="Arial" w:cs="Arial" w:eastAsia="Arial" w:hAnsi="Arial"/>
          <w:sz w:val="16"/>
          <w:szCs w:val="16"/>
          <w:color w:val="auto"/>
        </w:rPr>
        <w:t>Our management team and sponsor believe that our and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Strategic Partners’ combined expertise and reputation will allow us to source and complete transactions possessing structural attributes that create an attractive investment thesis. These types of transactions are typically complex and require creativity, industry knowledge and expertise, rigorous due diligence, and extensive negotiations and documentation. We believe that by focusing our investment activities on these types of transactions, we are able to generate investment opportunities that have attractive risk/reward profiles based on their valuations and structural characteristics.</w:t>
      </w:r>
    </w:p>
    <w:p>
      <w:pPr>
        <w:spacing w:after="0" w:line="157"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Investment Criteria</w:t>
      </w:r>
    </w:p>
    <w:p>
      <w:pPr>
        <w:spacing w:after="0" w:line="101" w:lineRule="exact"/>
        <w:rPr>
          <w:sz w:val="20"/>
          <w:szCs w:val="20"/>
          <w:color w:val="auto"/>
        </w:rPr>
      </w:pPr>
    </w:p>
    <w:p>
      <w:pPr>
        <w:ind w:left="1140" w:right="1999" w:firstLine="326"/>
        <w:spacing w:after="0" w:line="285" w:lineRule="auto"/>
        <w:rPr>
          <w:sz w:val="20"/>
          <w:szCs w:val="20"/>
          <w:color w:val="auto"/>
        </w:rPr>
      </w:pPr>
      <w:r>
        <w:rPr>
          <w:rFonts w:ascii="Arial" w:cs="Arial" w:eastAsia="Arial" w:hAnsi="Arial"/>
          <w:sz w:val="16"/>
          <w:szCs w:val="16"/>
          <w:color w:val="auto"/>
        </w:rPr>
        <w:t>We have developed the following high level, non-exclusive investment criteria that we will use to screen for and evaluate target businesses. We will seek to acquire a business that:</w:t>
      </w:r>
    </w:p>
    <w:p>
      <w:pPr>
        <w:spacing w:after="0" w:line="101" w:lineRule="exact"/>
        <w:rPr>
          <w:sz w:val="20"/>
          <w:szCs w:val="20"/>
          <w:color w:val="auto"/>
        </w:rPr>
      </w:pPr>
    </w:p>
    <w:p>
      <w:pPr>
        <w:ind w:left="1800" w:right="2139" w:hanging="335"/>
        <w:spacing w:after="0" w:line="320" w:lineRule="auto"/>
        <w:tabs>
          <w:tab w:leader="none" w:pos="1800" w:val="left"/>
        </w:tabs>
        <w:numPr>
          <w:ilvl w:val="0"/>
          <w:numId w:val="3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Generates Stable Free Cash-Flow. </w:t>
      </w:r>
      <w:r>
        <w:rPr>
          <w:rFonts w:ascii="Arial" w:cs="Arial" w:eastAsia="Arial" w:hAnsi="Arial"/>
          <w:sz w:val="15"/>
          <w:szCs w:val="15"/>
          <w:color w:val="auto"/>
        </w:rPr>
        <w:t>We will seek to acquire a business that has historically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generated, or has the near-term potential to generate, strong and sustainable free cash flow.</w:t>
      </w:r>
    </w:p>
    <w:p>
      <w:pPr>
        <w:spacing w:after="0" w:line="65" w:lineRule="exact"/>
        <w:rPr>
          <w:rFonts w:ascii="Arial" w:cs="Arial" w:eastAsia="Arial" w:hAnsi="Arial"/>
          <w:sz w:val="15"/>
          <w:szCs w:val="15"/>
          <w:color w:val="auto"/>
        </w:rPr>
      </w:pPr>
    </w:p>
    <w:p>
      <w:pPr>
        <w:ind w:left="1800" w:right="1799" w:hanging="335"/>
        <w:spacing w:after="0" w:line="270" w:lineRule="auto"/>
        <w:tabs>
          <w:tab w:leader="none" w:pos="1800"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Would Benefit Uniquely from our Capabilities. </w:t>
      </w:r>
      <w:r>
        <w:rPr>
          <w:rFonts w:ascii="Arial" w:cs="Arial" w:eastAsia="Arial" w:hAnsi="Arial"/>
          <w:sz w:val="16"/>
          <w:szCs w:val="16"/>
          <w:color w:val="auto"/>
        </w:rPr>
        <w:t>We will seek to acquire a business where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collective capabilities of our management and sponsor can be leveraged to tangibly improve the operations and market position of the target.</w:t>
      </w:r>
    </w:p>
    <w:p>
      <w:pPr>
        <w:spacing w:after="0" w:line="112" w:lineRule="exact"/>
        <w:rPr>
          <w:rFonts w:ascii="Arial" w:cs="Arial" w:eastAsia="Arial" w:hAnsi="Arial"/>
          <w:sz w:val="16"/>
          <w:szCs w:val="16"/>
          <w:color w:val="auto"/>
        </w:rPr>
      </w:pPr>
    </w:p>
    <w:p>
      <w:pPr>
        <w:ind w:left="1800" w:right="1639" w:hanging="335"/>
        <w:spacing w:after="0" w:line="270" w:lineRule="auto"/>
        <w:tabs>
          <w:tab w:leader="none" w:pos="1800"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Is Sourced Through our Proprietary Channels. </w:t>
      </w:r>
      <w:r>
        <w:rPr>
          <w:rFonts w:ascii="Arial" w:cs="Arial" w:eastAsia="Arial" w:hAnsi="Arial"/>
          <w:sz w:val="16"/>
          <w:szCs w:val="16"/>
          <w:color w:val="auto"/>
        </w:rPr>
        <w:t>We do not expect to participate in broadly marketed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processes, but rather will aim to leverage our extensive network to source our business combination.</w:t>
      </w:r>
    </w:p>
    <w:p>
      <w:pPr>
        <w:spacing w:after="0" w:line="112" w:lineRule="exact"/>
        <w:rPr>
          <w:rFonts w:ascii="Arial" w:cs="Arial" w:eastAsia="Arial" w:hAnsi="Arial"/>
          <w:sz w:val="16"/>
          <w:szCs w:val="16"/>
          <w:color w:val="auto"/>
        </w:rPr>
      </w:pPr>
    </w:p>
    <w:p>
      <w:pPr>
        <w:ind w:left="1800" w:right="1699" w:hanging="335"/>
        <w:spacing w:after="0" w:line="262" w:lineRule="auto"/>
        <w:tabs>
          <w:tab w:leader="none" w:pos="1800"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Has a Committed and Capable Management Team. </w:t>
      </w:r>
      <w:r>
        <w:rPr>
          <w:rFonts w:ascii="Arial" w:cs="Arial" w:eastAsia="Arial" w:hAnsi="Arial"/>
          <w:sz w:val="16"/>
          <w:szCs w:val="16"/>
          <w:color w:val="auto"/>
        </w:rPr>
        <w:t>We will seek to acquire a business with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professional management team whose interests are aligned with those of our investors and complement the expertise of our founder. Where necessary, we may also look to complement and enhance the capabilities of the target business’s management team by recruiting additional talent through our network of contacts.</w:t>
      </w:r>
    </w:p>
    <w:p>
      <w:pPr>
        <w:spacing w:after="0" w:line="108" w:lineRule="exact"/>
        <w:rPr>
          <w:rFonts w:ascii="Arial" w:cs="Arial" w:eastAsia="Arial" w:hAnsi="Arial"/>
          <w:sz w:val="16"/>
          <w:szCs w:val="16"/>
          <w:color w:val="auto"/>
        </w:rPr>
      </w:pPr>
    </w:p>
    <w:p>
      <w:pPr>
        <w:ind w:left="1800" w:right="1939" w:hanging="335"/>
        <w:spacing w:after="0" w:line="320" w:lineRule="auto"/>
        <w:tabs>
          <w:tab w:leader="none" w:pos="1800" w:val="left"/>
        </w:tabs>
        <w:numPr>
          <w:ilvl w:val="0"/>
          <w:numId w:val="3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Has the Potential to Grow Through Further Acquisition Opportunities. </w:t>
      </w:r>
      <w:r>
        <w:rPr>
          <w:rFonts w:ascii="Arial" w:cs="Arial" w:eastAsia="Arial" w:hAnsi="Arial"/>
          <w:sz w:val="15"/>
          <w:szCs w:val="15"/>
          <w:color w:val="auto"/>
        </w:rPr>
        <w:t>We will seek to acquire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business that has the potential to grow inorganically through additional acquisitions.</w:t>
      </w:r>
    </w:p>
    <w:p>
      <w:pPr>
        <w:spacing w:after="0" w:line="188"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5" w:name="page86"/>
    <w:bookmarkEnd w:id="85"/>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719" w:firstLine="326"/>
        <w:spacing w:after="0" w:line="259"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guidelines as well as on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tender offer documents or proxy solicitation materials that we would file with the SEC.</w:t>
      </w:r>
    </w:p>
    <w:p>
      <w:pPr>
        <w:spacing w:after="0" w:line="157"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Our Acquisition Process</w:t>
      </w:r>
    </w:p>
    <w:p>
      <w:pPr>
        <w:spacing w:after="0" w:line="101" w:lineRule="exact"/>
        <w:rPr>
          <w:sz w:val="20"/>
          <w:szCs w:val="20"/>
          <w:color w:val="auto"/>
        </w:rPr>
      </w:pPr>
    </w:p>
    <w:p>
      <w:pPr>
        <w:ind w:left="1140" w:right="1979" w:firstLine="326"/>
        <w:spacing w:after="0" w:line="265" w:lineRule="auto"/>
        <w:rPr>
          <w:sz w:val="20"/>
          <w:szCs w:val="20"/>
          <w:color w:val="auto"/>
        </w:rPr>
      </w:pPr>
      <w:r>
        <w:rPr>
          <w:rFonts w:ascii="Arial" w:cs="Arial" w:eastAsia="Arial" w:hAnsi="Arial"/>
          <w:sz w:val="16"/>
          <w:szCs w:val="16"/>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w:t>
      </w:r>
    </w:p>
    <w:p>
      <w:pPr>
        <w:spacing w:after="0" w:line="68" w:lineRule="exact"/>
        <w:rPr>
          <w:sz w:val="20"/>
          <w:szCs w:val="20"/>
          <w:color w:val="auto"/>
        </w:rPr>
      </w:pPr>
    </w:p>
    <w:p>
      <w:pPr>
        <w:ind w:left="1140" w:right="1659" w:firstLine="326"/>
        <w:spacing w:after="0" w:line="260" w:lineRule="auto"/>
        <w:rPr>
          <w:sz w:val="20"/>
          <w:szCs w:val="20"/>
          <w:color w:val="auto"/>
        </w:rPr>
      </w:pPr>
      <w:r>
        <w:rPr>
          <w:rFonts w:ascii="Arial" w:cs="Arial" w:eastAsia="Arial" w:hAnsi="Arial"/>
          <w:sz w:val="16"/>
          <w:szCs w:val="16"/>
          <w:color w:val="auto"/>
        </w:rPr>
        <w:t>We are not prohibited from pursuing an initial business combination with a company that is affiliated with our sponsor, founder, officers or directors. In the event we seek to complete our initial business combination with a business that is affiliated with our sponsor, founder, officers or directors, we, or a committee of independent and disinterested directors, will obtain an opinion from an independent investment banking firm that is a member of the Financial Industry Regulatory Authority, or FINRA, or from an independent accounting firm, that such an initial business combination is fair to our company from a financial point of view.</w:t>
      </w:r>
    </w:p>
    <w:p>
      <w:pPr>
        <w:spacing w:after="0" w:line="72" w:lineRule="exact"/>
        <w:rPr>
          <w:sz w:val="20"/>
          <w:szCs w:val="20"/>
          <w:color w:val="auto"/>
        </w:rPr>
      </w:pPr>
    </w:p>
    <w:p>
      <w:pPr>
        <w:ind w:left="1140" w:right="1579" w:firstLine="326"/>
        <w:spacing w:after="0" w:line="261" w:lineRule="auto"/>
        <w:rPr>
          <w:sz w:val="20"/>
          <w:szCs w:val="20"/>
          <w:color w:val="auto"/>
        </w:rPr>
      </w:pPr>
      <w:r>
        <w:rPr>
          <w:rFonts w:ascii="Arial" w:cs="Arial" w:eastAsia="Arial" w:hAnsi="Arial"/>
          <w:sz w:val="16"/>
          <w:szCs w:val="16"/>
          <w:color w:val="auto"/>
        </w:rPr>
        <w:t>Members of our management team may directly or indirectly own our securities following this offering, and accordingly, they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71" w:lineRule="exact"/>
        <w:rPr>
          <w:sz w:val="20"/>
          <w:szCs w:val="20"/>
          <w:color w:val="auto"/>
        </w:rPr>
      </w:pPr>
    </w:p>
    <w:p>
      <w:pPr>
        <w:jc w:val="both"/>
        <w:ind w:left="1140" w:right="1579" w:firstLine="326"/>
        <w:spacing w:after="0" w:line="265" w:lineRule="auto"/>
        <w:rPr>
          <w:sz w:val="20"/>
          <w:szCs w:val="20"/>
          <w:color w:val="auto"/>
        </w:rPr>
      </w:pPr>
      <w:r>
        <w:rPr>
          <w:rFonts w:ascii="Arial" w:cs="Arial" w:eastAsia="Arial" w:hAnsi="Arial"/>
          <w:sz w:val="16"/>
          <w:szCs w:val="16"/>
          <w:color w:val="auto"/>
        </w:rPr>
        <w:t>Our sponsor and its principals may from time to time become aware of potential business opportunities, one or more of which we may desire to pursue, for a business combination, but we have not (nor has anyone on our behalf) engaged in any substantive discussions, directly or indirectly, with any business combination target with respect to a business combination transaction with us.</w:t>
      </w:r>
    </w:p>
    <w:p>
      <w:pPr>
        <w:spacing w:after="0" w:line="68" w:lineRule="exact"/>
        <w:rPr>
          <w:sz w:val="20"/>
          <w:szCs w:val="20"/>
          <w:color w:val="auto"/>
        </w:rPr>
      </w:pPr>
    </w:p>
    <w:p>
      <w:pPr>
        <w:ind w:left="1140" w:right="1619" w:firstLine="326"/>
        <w:spacing w:after="0" w:line="276" w:lineRule="auto"/>
        <w:rPr>
          <w:sz w:val="20"/>
          <w:szCs w:val="20"/>
          <w:color w:val="auto"/>
        </w:rPr>
      </w:pPr>
      <w:r>
        <w:rPr>
          <w:rFonts w:ascii="Arial" w:cs="Arial" w:eastAsia="Arial" w:hAnsi="Arial"/>
          <w:sz w:val="15"/>
          <w:szCs w:val="15"/>
          <w:color w:val="auto"/>
        </w:rPr>
        <w:t>As described in “Proposed Business — Sourcing of Potential Business Combination Targets” and “Management — Conflicts of Interest,”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61" w:lineRule="exact"/>
        <w:rPr>
          <w:sz w:val="20"/>
          <w:szCs w:val="20"/>
          <w:color w:val="auto"/>
        </w:rPr>
      </w:pPr>
    </w:p>
    <w:p>
      <w:pPr>
        <w:ind w:left="1140" w:right="2019" w:firstLine="326"/>
        <w:spacing w:after="0" w:line="280" w:lineRule="auto"/>
        <w:rPr>
          <w:sz w:val="20"/>
          <w:szCs w:val="20"/>
          <w:color w:val="auto"/>
        </w:rPr>
      </w:pPr>
      <w:r>
        <w:rPr>
          <w:rFonts w:ascii="Arial" w:cs="Arial" w:eastAsia="Arial" w:hAnsi="Arial"/>
          <w:sz w:val="15"/>
          <w:szCs w:val="15"/>
          <w:color w:val="auto"/>
        </w:rPr>
        <w:t>In addition, none of the Strategic Partners or Operating Partners or their personnel (other than Mr. August) are officers or directors of our company and therefore owe us no fiduciary duties as such.</w:t>
      </w:r>
    </w:p>
    <w:p>
      <w:pPr>
        <w:ind w:left="1140" w:right="1619"/>
        <w:spacing w:after="0" w:line="280" w:lineRule="auto"/>
        <w:rPr>
          <w:sz w:val="20"/>
          <w:szCs w:val="20"/>
          <w:color w:val="auto"/>
        </w:rPr>
      </w:pPr>
      <w:r>
        <w:rPr>
          <w:rFonts w:ascii="Arial" w:cs="Arial" w:eastAsia="Arial" w:hAnsi="Arial"/>
          <w:sz w:val="15"/>
          <w:szCs w:val="15"/>
          <w:color w:val="auto"/>
        </w:rPr>
        <w:t>Mr. August’s fiduciary duties to us are limited to his service as one of our directors, and the Company is not a client of OHA. While we expect that they will assist us in identifying business combination targets, they have no obligation to do so and may devote a substantial portion of their business time to activities unrelated to us. Our Strategic and Operating Partner may have fiduciary, contractual or other obligations or duties to other organizations to present business combination opportunities to such other organizations</w:t>
      </w:r>
    </w:p>
    <w:p>
      <w:pPr>
        <w:spacing w:after="0" w:line="218"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6" w:name="page87"/>
    <w:bookmarkEnd w:id="86"/>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679"/>
        <w:spacing w:after="0" w:line="260" w:lineRule="auto"/>
        <w:rPr>
          <w:sz w:val="20"/>
          <w:szCs w:val="20"/>
          <w:color w:val="auto"/>
        </w:rPr>
      </w:pPr>
      <w:r>
        <w:rPr>
          <w:rFonts w:ascii="Arial" w:cs="Arial" w:eastAsia="Arial" w:hAnsi="Arial"/>
          <w:sz w:val="16"/>
          <w:szCs w:val="16"/>
          <w:color w:val="auto"/>
        </w:rPr>
        <w:t>rather than to us. Accordingly, if any Strategic or Operating Partner becomes aware of a business combination opportunity which is suitable for one or more entities to which he, she or it has fiduciary, contractual or other obligations or duties, he, she or it will honor those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business may be presented to another entity prior to its presentation to us.</w:t>
      </w:r>
    </w:p>
    <w:p>
      <w:pPr>
        <w:spacing w:after="0" w:line="72" w:lineRule="exact"/>
        <w:rPr>
          <w:sz w:val="20"/>
          <w:szCs w:val="20"/>
          <w:color w:val="auto"/>
        </w:rPr>
      </w:pPr>
    </w:p>
    <w:p>
      <w:pPr>
        <w:ind w:left="1140" w:right="1599" w:firstLine="326"/>
        <w:spacing w:after="0" w:line="258" w:lineRule="auto"/>
        <w:rPr>
          <w:sz w:val="20"/>
          <w:szCs w:val="20"/>
          <w:color w:val="auto"/>
        </w:rPr>
      </w:pPr>
      <w:r>
        <w:rPr>
          <w:rFonts w:ascii="Arial" w:cs="Arial" w:eastAsia="Arial" w:hAnsi="Arial"/>
          <w:sz w:val="16"/>
          <w:szCs w:val="16"/>
          <w:color w:val="auto"/>
        </w:rPr>
        <w:t>While neither M. Klein and Company nor any of our Strategic and Operating Partners will have any duty to offer acquisition opportunities to us, they may become aware of a potential transaction that is an attractive opportunity for us, which they may decide to share with us. Conflicts may arise from their affiliation with our company, their provision of services both to us and to third-party clients, as well as from actions undertaken by them for their own account. In performing services for other clients and also when acting for their own account, they may take commercial steps which may have an adverse effect on us. Any of M. Klein and Company’s or our Strategic and Operating Partners’ other activities may, individually or in the aggregate, have an adverse effect on us, and the interests of M. Klein and Company and our Strategic and Operating Partners or their respective clients or counterparties may at times be averse to ours. Please see “Proposed Business — Certain Potential Conflicts of Interest Relating to M. Klein and Company” for additional information regarding certain potential conflicts of interest relating to M. Klein and Company and our Strategic and Operating Partners.</w:t>
      </w:r>
    </w:p>
    <w:p>
      <w:pPr>
        <w:spacing w:after="0" w:line="73" w:lineRule="exact"/>
        <w:rPr>
          <w:sz w:val="20"/>
          <w:szCs w:val="20"/>
          <w:color w:val="auto"/>
        </w:rPr>
      </w:pPr>
    </w:p>
    <w:p>
      <w:pPr>
        <w:ind w:left="1140" w:right="1579" w:firstLine="326"/>
        <w:spacing w:after="0" w:line="265" w:lineRule="auto"/>
        <w:rPr>
          <w:sz w:val="20"/>
          <w:szCs w:val="20"/>
          <w:color w:val="auto"/>
        </w:rPr>
      </w:pPr>
      <w:r>
        <w:rPr>
          <w:rFonts w:ascii="Arial" w:cs="Arial" w:eastAsia="Arial" w:hAnsi="Arial"/>
          <w:sz w:val="16"/>
          <w:szCs w:val="16"/>
          <w:color w:val="auto"/>
        </w:rPr>
        <w:t>We do not believe, however, that the fiduciary, contractual or other obligations or duties of our officers or directors, or of M. Klein and Company and our Strategic and Operating Partners, or policies applicable to M. Klein and Company or any of our Strategic and Operating, will materially affect our ability to complete our initial business combination.</w:t>
      </w:r>
    </w:p>
    <w:p>
      <w:pPr>
        <w:spacing w:after="0" w:line="68" w:lineRule="exact"/>
        <w:rPr>
          <w:sz w:val="20"/>
          <w:szCs w:val="20"/>
          <w:color w:val="auto"/>
        </w:rPr>
      </w:pPr>
    </w:p>
    <w:p>
      <w:pPr>
        <w:ind w:left="1140" w:right="1579" w:firstLine="326"/>
        <w:spacing w:after="0" w:line="257" w:lineRule="auto"/>
        <w:rPr>
          <w:sz w:val="20"/>
          <w:szCs w:val="20"/>
          <w:color w:val="auto"/>
        </w:rPr>
      </w:pPr>
      <w:r>
        <w:rPr>
          <w:rFonts w:ascii="Arial" w:cs="Arial" w:eastAsia="Arial" w:hAnsi="Arial"/>
          <w:sz w:val="16"/>
          <w:szCs w:val="16"/>
          <w:color w:val="auto"/>
        </w:rPr>
        <w:t>Our sponsor, officers, directors, M. Klein and Company and our Strategic and Operating Partners may participate in the formation of, or become an officer or director of, any other blank check company prior to completion of our initial business combination. As a result, our sponsor, officers, directors, M. Klein and Company and our Strategic and Operating Partners could have conflicts of interest in determining whether to present business combination opportunities to us or to any other blank check company with which they may become involved. In particular, M. Klein and Company, Mr. Klein and the Operating Partners, as well as our board of directors, have formed and are actively engaged in Churchill Capital Corp II and Churchill Capital Corp III, special purpose acquisition corporations that completed their initial public offerings in July 2019 and February 2020, respectively. Churchill Capital Corp II and Churchill Capital Corp III, like us, may pursue initial business combination targets in any businesses or industries and have until July 1, 2021 and February 19, 2022, respectively, to do so (absent an extension in accordance with their charters). Any such companies, including Churchill Capital Corp II and Churchill Capital Corp III, may present additional conflicts of interest in pursuing an acquisition target.</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Initial Business Combination</w:t>
      </w:r>
    </w:p>
    <w:p>
      <w:pPr>
        <w:spacing w:after="0" w:line="101" w:lineRule="exact"/>
        <w:rPr>
          <w:sz w:val="20"/>
          <w:szCs w:val="20"/>
          <w:color w:val="auto"/>
        </w:rPr>
      </w:pPr>
    </w:p>
    <w:p>
      <w:pPr>
        <w:ind w:left="1140" w:right="1599" w:firstLine="326"/>
        <w:spacing w:after="0" w:line="259" w:lineRule="auto"/>
        <w:rPr>
          <w:sz w:val="20"/>
          <w:szCs w:val="20"/>
          <w:color w:val="auto"/>
        </w:rPr>
      </w:pPr>
      <w:r>
        <w:rPr>
          <w:rFonts w:ascii="Arial" w:cs="Arial" w:eastAsia="Arial" w:hAnsi="Arial"/>
          <w:sz w:val="16"/>
          <w:szCs w:val="16"/>
          <w:color w:val="auto"/>
        </w:rPr>
        <w:t>The NYSE rules require that an initial business combination must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 We refer to this as the 80% of net assets test. If our board of directors is not able to independently determine the fair market value of the target business or businesses, we will obtain an opinion from an independent investment banking firm that is a member of FINRA or from an independent accounting firm, with respect to the satisfaction of such criteria. We do not currently intend to purchase multiple businesses in unrelated industries in conjunction with our initial business combination, although there is no assurance that will be the case.</w:t>
      </w:r>
    </w:p>
    <w:p>
      <w:pPr>
        <w:spacing w:after="0" w:line="72" w:lineRule="exact"/>
        <w:rPr>
          <w:sz w:val="20"/>
          <w:szCs w:val="20"/>
          <w:color w:val="auto"/>
        </w:rPr>
      </w:pPr>
    </w:p>
    <w:p>
      <w:pPr>
        <w:ind w:left="1140" w:right="1579" w:firstLine="326"/>
        <w:spacing w:after="0" w:line="281" w:lineRule="auto"/>
        <w:rPr>
          <w:sz w:val="20"/>
          <w:szCs w:val="20"/>
          <w:color w:val="auto"/>
        </w:rPr>
      </w:pPr>
      <w:r>
        <w:rPr>
          <w:rFonts w:ascii="Arial" w:cs="Arial" w:eastAsia="Arial" w:hAnsi="Arial"/>
          <w:sz w:val="15"/>
          <w:szCs w:val="15"/>
          <w:color w:val="auto"/>
        </w:rPr>
        <w:t>We anticipate structuring our initial business combination so that the post-transaction company in which our public stockholders own shares will own or acquire 100% of the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w:t>
      </w:r>
    </w:p>
    <w:p>
      <w:pPr>
        <w:spacing w:after="0" w:line="219"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7" w:name="page88"/>
    <w:bookmarkEnd w:id="87"/>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619"/>
        <w:spacing w:after="0" w:line="257" w:lineRule="auto"/>
        <w:rPr>
          <w:sz w:val="20"/>
          <w:szCs w:val="20"/>
          <w:color w:val="auto"/>
        </w:rPr>
      </w:pPr>
      <w:r>
        <w:rPr>
          <w:rFonts w:ascii="Arial" w:cs="Arial" w:eastAsia="Arial" w:hAnsi="Arial"/>
          <w:sz w:val="16"/>
          <w:szCs w:val="16"/>
          <w:color w:val="auto"/>
        </w:rPr>
        <w:t>acquires 50% or more of the outstanding voting securities of the target or otherwise acquires a controlling interest in the target business sufficient for it not to be required to register as an investment company under the Investment Company Act. Even if the post-transaction company owns or acquires 50% or more of the voting securities of the target, our stockholders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net assets test. If our initial business combination involves more than one target business, the 80% of net assets test will be based on the aggregate value of all of the target businesses.</w:t>
      </w:r>
    </w:p>
    <w:p>
      <w:pPr>
        <w:spacing w:after="0" w:line="78" w:lineRule="exact"/>
        <w:rPr>
          <w:sz w:val="20"/>
          <w:szCs w:val="20"/>
          <w:color w:val="auto"/>
        </w:rPr>
      </w:pPr>
    </w:p>
    <w:p>
      <w:pPr>
        <w:ind w:left="1140" w:right="1659" w:firstLine="326"/>
        <w:spacing w:after="0" w:line="265" w:lineRule="auto"/>
        <w:rPr>
          <w:sz w:val="20"/>
          <w:szCs w:val="20"/>
          <w:color w:val="auto"/>
        </w:rPr>
      </w:pPr>
      <w:r>
        <w:rPr>
          <w:rFonts w:ascii="Arial" w:cs="Arial" w:eastAsia="Arial" w:hAnsi="Arial"/>
          <w:sz w:val="16"/>
          <w:szCs w:val="16"/>
          <w:color w:val="auto"/>
        </w:rPr>
        <w:t>Our amended and restated certificate of incorporation will require the affirmative vote of a majority of our board of directors, which must include a majority of our independent directors to approve our initial business combination (or such other vote as the applicable law or stock exchange rules then in effect may require).</w:t>
      </w:r>
    </w:p>
    <w:p>
      <w:pPr>
        <w:spacing w:after="0" w:line="68" w:lineRule="exact"/>
        <w:rPr>
          <w:sz w:val="20"/>
          <w:szCs w:val="20"/>
          <w:color w:val="auto"/>
        </w:rPr>
      </w:pPr>
    </w:p>
    <w:p>
      <w:pPr>
        <w:ind w:left="1140" w:right="1619" w:firstLine="326"/>
        <w:spacing w:after="0" w:line="274" w:lineRule="auto"/>
        <w:rPr>
          <w:sz w:val="20"/>
          <w:szCs w:val="20"/>
          <w:color w:val="auto"/>
        </w:rPr>
      </w:pPr>
      <w:r>
        <w:rPr>
          <w:rFonts w:ascii="Arial" w:cs="Arial" w:eastAsia="Arial" w:hAnsi="Arial"/>
          <w:sz w:val="15"/>
          <w:szCs w:val="15"/>
          <w:color w:val="auto"/>
        </w:rPr>
        <w:t>We do not believe we will need to raise additional funds following this offering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completion of our initial business combination, in which case we may issue additional securities or incur debt in connection with such business combination. In addition, we intend to target businesses with enterprise values that are greater than we could acquire with the net proceeds of this offering and the sale of the private placement warrants, and, as a result, if the cash portion of the purchase price exceeds the amount available from the trust account, net of amounts needed to satisfy redemptions by public stockholders, we may be required to seek additional financing to complete such proposed initial business combination. We may also obtain financing prior to the closing of our initial business combination to fund our working capital needs and transaction costs in connection with our search for and completion of our initial business combination. There is no limitation on our ability to raise funds through the issuance of equity or equity-linked securities or through loans, advances or other indebtedness in connection with our initial business combination, including pursuant to forward purchase agreements or backstop arrangements we may enter into following the consummation of this offering. Subject to compliance with applicable securities laws, we would only complete such financing simultaneously with the completion of our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267" w:lineRule="exact"/>
        <w:rPr>
          <w:sz w:val="20"/>
          <w:szCs w:val="20"/>
          <w:color w:val="auto"/>
        </w:rPr>
      </w:pPr>
    </w:p>
    <w:p>
      <w:pPr>
        <w:ind w:left="1140" w:right="1759" w:firstLine="326"/>
        <w:spacing w:after="0" w:line="262" w:lineRule="auto"/>
        <w:rPr>
          <w:sz w:val="20"/>
          <w:szCs w:val="20"/>
          <w:color w:val="auto"/>
        </w:rPr>
      </w:pPr>
      <w:r>
        <w:rPr>
          <w:rFonts w:ascii="Arial" w:cs="Arial" w:eastAsia="Arial" w:hAnsi="Arial"/>
          <w:sz w:val="16"/>
          <w:szCs w:val="16"/>
          <w:color w:val="auto"/>
        </w:rPr>
        <w:t>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5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Corporate Information</w:t>
      </w:r>
    </w:p>
    <w:p>
      <w:pPr>
        <w:spacing w:after="0" w:line="101" w:lineRule="exact"/>
        <w:rPr>
          <w:sz w:val="20"/>
          <w:szCs w:val="20"/>
          <w:color w:val="auto"/>
        </w:rPr>
      </w:pPr>
    </w:p>
    <w:p>
      <w:pPr>
        <w:ind w:left="1140" w:right="1599" w:firstLine="326"/>
        <w:spacing w:after="0" w:line="288" w:lineRule="auto"/>
        <w:rPr>
          <w:sz w:val="20"/>
          <w:szCs w:val="20"/>
          <w:color w:val="auto"/>
        </w:rPr>
      </w:pPr>
      <w:r>
        <w:rPr>
          <w:rFonts w:ascii="Arial" w:cs="Arial" w:eastAsia="Arial" w:hAnsi="Arial"/>
          <w:sz w:val="15"/>
          <w:szCs w:val="15"/>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8" w:name="page89"/>
    <w:bookmarkEnd w:id="88"/>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599"/>
        <w:spacing w:after="0" w:line="284" w:lineRule="auto"/>
        <w:rPr>
          <w:sz w:val="20"/>
          <w:szCs w:val="20"/>
          <w:color w:val="auto"/>
        </w:rPr>
      </w:pPr>
      <w:r>
        <w:rPr>
          <w:rFonts w:ascii="Arial" w:cs="Arial" w:eastAsia="Arial" w:hAnsi="Arial"/>
          <w:sz w:val="15"/>
          <w:szCs w:val="15"/>
          <w:color w:val="auto"/>
        </w:rPr>
        <w:t>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56" w:lineRule="exact"/>
        <w:rPr>
          <w:sz w:val="20"/>
          <w:szCs w:val="20"/>
          <w:color w:val="auto"/>
        </w:rPr>
      </w:pPr>
    </w:p>
    <w:p>
      <w:pPr>
        <w:ind w:left="1140" w:right="1759" w:firstLine="326"/>
        <w:spacing w:after="0" w:line="284" w:lineRule="auto"/>
        <w:rPr>
          <w:sz w:val="20"/>
          <w:szCs w:val="20"/>
          <w:color w:val="auto"/>
        </w:rPr>
      </w:pPr>
      <w:r>
        <w:rPr>
          <w:rFonts w:ascii="Arial" w:cs="Arial" w:eastAsia="Arial" w:hAnsi="Arial"/>
          <w:sz w:val="15"/>
          <w:szCs w:val="15"/>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56"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We will remain an emerging growth company until the earlier of: (1) the last day of the fiscal year</w:t>
      </w:r>
    </w:p>
    <w:p>
      <w:pPr>
        <w:spacing w:after="0" w:line="23" w:lineRule="exact"/>
        <w:rPr>
          <w:sz w:val="20"/>
          <w:szCs w:val="20"/>
          <w:color w:val="auto"/>
        </w:rPr>
      </w:pPr>
    </w:p>
    <w:p>
      <w:pPr>
        <w:ind w:left="1140" w:right="1559" w:hanging="1"/>
        <w:spacing w:after="0" w:line="272" w:lineRule="auto"/>
        <w:tabs>
          <w:tab w:leader="none" w:pos="1375" w:val="left"/>
        </w:tabs>
        <w:numPr>
          <w:ilvl w:val="0"/>
          <w:numId w:val="39"/>
        </w:numPr>
        <w:rPr>
          <w:rFonts w:ascii="Arial" w:cs="Arial" w:eastAsia="Arial" w:hAnsi="Arial"/>
          <w:sz w:val="15"/>
          <w:szCs w:val="15"/>
          <w:color w:val="auto"/>
        </w:rPr>
      </w:pPr>
      <w:r>
        <w:rPr>
          <w:rFonts w:ascii="Arial" w:cs="Arial" w:eastAsia="Arial" w:hAnsi="Arial"/>
          <w:sz w:val="15"/>
          <w:szCs w:val="15"/>
          <w:color w:val="auto"/>
        </w:rPr>
        <w:t>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end of the prior fiscal year’s second fiscal quarter; and (2) the date on which we have issued more than</w:t>
      </w:r>
    </w:p>
    <w:p>
      <w:pPr>
        <w:ind w:left="1140" w:right="1899"/>
        <w:spacing w:after="0" w:line="270" w:lineRule="auto"/>
        <w:rPr>
          <w:rFonts w:ascii="Arial" w:cs="Arial" w:eastAsia="Arial" w:hAnsi="Arial"/>
          <w:sz w:val="15"/>
          <w:szCs w:val="15"/>
          <w:color w:val="auto"/>
        </w:rPr>
      </w:pPr>
      <w:r>
        <w:rPr>
          <w:rFonts w:ascii="Arial" w:cs="Arial" w:eastAsia="Arial" w:hAnsi="Arial"/>
          <w:sz w:val="16"/>
          <w:szCs w:val="16"/>
          <w:color w:val="auto"/>
        </w:rPr>
        <w:t>$1.00 billion in non-convertible debt during the prior three-year period. References herein to “emerging growth company” shall have the meaning associated with it in the JOBS Act.</w:t>
      </w:r>
    </w:p>
    <w:p>
      <w:pPr>
        <w:spacing w:after="0" w:line="43" w:lineRule="exact"/>
        <w:rPr>
          <w:sz w:val="20"/>
          <w:szCs w:val="20"/>
          <w:color w:val="auto"/>
        </w:rPr>
      </w:pPr>
    </w:p>
    <w:p>
      <w:pPr>
        <w:ind w:left="1140" w:right="1679" w:firstLine="326"/>
        <w:spacing w:after="0" w:line="245" w:lineRule="auto"/>
        <w:rPr>
          <w:sz w:val="20"/>
          <w:szCs w:val="20"/>
          <w:color w:val="auto"/>
        </w:rPr>
      </w:pPr>
      <w:r>
        <w:rPr>
          <w:rFonts w:ascii="Arial" w:cs="Arial" w:eastAsia="Arial" w:hAnsi="Arial"/>
          <w:sz w:val="16"/>
          <w:szCs w:val="16"/>
          <w:color w:val="auto"/>
        </w:rPr>
        <w:t>Our executive offices are located at 640 Fifth Avenue, 12</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Floor, New York, NY 10019 and our telephone number is (212) 380-7500. Upon completion of this offering, our corporate website address will be https://iv.churchillcapitalcorp.com. Our website and the information contained on, or that can be accessed through, the website is not deemed to be incorporated by reference in, and is not considered part of, this prospectus. You should not rely on any such information in making your decision whether to invest in our securities.</w:t>
      </w:r>
    </w:p>
    <w:p>
      <w:pPr>
        <w:spacing w:after="0" w:line="16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Sourcing of Potential Business Combination Targets</w:t>
      </w:r>
    </w:p>
    <w:p>
      <w:pPr>
        <w:spacing w:after="0" w:line="101" w:lineRule="exact"/>
        <w:rPr>
          <w:sz w:val="20"/>
          <w:szCs w:val="20"/>
          <w:color w:val="auto"/>
        </w:rPr>
      </w:pPr>
    </w:p>
    <w:p>
      <w:pPr>
        <w:ind w:left="1140" w:right="1579" w:firstLine="326"/>
        <w:spacing w:after="0" w:line="277" w:lineRule="auto"/>
        <w:rPr>
          <w:sz w:val="20"/>
          <w:szCs w:val="20"/>
          <w:color w:val="auto"/>
        </w:rPr>
      </w:pPr>
      <w:r>
        <w:rPr>
          <w:rFonts w:ascii="Arial" w:cs="Arial" w:eastAsia="Arial" w:hAnsi="Arial"/>
          <w:sz w:val="15"/>
          <w:szCs w:val="15"/>
          <w:color w:val="auto"/>
        </w:rPr>
        <w:t>M. Klein and Company or any of our Strategic and Operating Partners may compete with us for acquisition opportunities that we may target for our initial business combination. If M. Klein and Company or any of our Strategic and Operating Partners decides to pursue any such opportunity or determines in its sole discretion not to offer such opportunity to us, we may be precluded from procuring such opportunities. In addition, investment ideas generated within M. Klein and Company or any of our Strategic and Operating Partners or by persons who may make decisions for us or any of our Strategic and Operating Partners may be suitable for both us and for M. Klein and Company or the relevant Strategic and Operating Partner and may be directed to M. Klein and Company, the relevant Strategic and Operating Partner or other third parties rather than to us. Neither M. Klein and Company nor any of our Strategic and Operating Partners has any fiduciary, contractual or other obligations or duties to our company, including, without limitation, to present us with any opportunity for a potential business combination of which they become aware.</w:t>
      </w:r>
    </w:p>
    <w:p>
      <w:pPr>
        <w:spacing w:after="0" w:line="61" w:lineRule="exact"/>
        <w:rPr>
          <w:sz w:val="20"/>
          <w:szCs w:val="20"/>
          <w:color w:val="auto"/>
        </w:rPr>
      </w:pPr>
    </w:p>
    <w:p>
      <w:pPr>
        <w:ind w:left="1140" w:right="1619" w:firstLine="326"/>
        <w:spacing w:after="0" w:line="259" w:lineRule="auto"/>
        <w:rPr>
          <w:sz w:val="20"/>
          <w:szCs w:val="20"/>
          <w:color w:val="auto"/>
        </w:rPr>
      </w:pPr>
      <w:r>
        <w:rPr>
          <w:rFonts w:ascii="Arial" w:cs="Arial" w:eastAsia="Arial" w:hAnsi="Arial"/>
          <w:sz w:val="16"/>
          <w:szCs w:val="16"/>
          <w:color w:val="auto"/>
        </w:rPr>
        <w:t>Our management team, in their other endeavors (including any affiliation they may have with M. Klein and Company or any of our Strategic and Operating Partners), may choose or be required to present potential business combinations or other transactions to M. Klein and Company, the relevant Strategic and Operating Partner or third parties, before they present such opportunities to us. Please see “Risk Factors — Certain of our officers and directors are now, and all of them may in the future become, affiliated with entities engaged in business activities similar to those intended to be conducted by us and, accordingly, may have conflicts of interest in determining to which entity a particular business opportunity or other transaction should be presented.”</w:t>
      </w:r>
    </w:p>
    <w:p>
      <w:pPr>
        <w:spacing w:after="0" w:line="75" w:lineRule="exact"/>
        <w:rPr>
          <w:sz w:val="20"/>
          <w:szCs w:val="20"/>
          <w:color w:val="auto"/>
        </w:rPr>
      </w:pPr>
    </w:p>
    <w:p>
      <w:pPr>
        <w:ind w:left="1140" w:right="1639" w:firstLine="326"/>
        <w:spacing w:after="0" w:line="261" w:lineRule="auto"/>
        <w:rPr>
          <w:sz w:val="20"/>
          <w:szCs w:val="20"/>
          <w:color w:val="auto"/>
        </w:rPr>
      </w:pPr>
      <w:r>
        <w:rPr>
          <w:rFonts w:ascii="Arial" w:cs="Arial" w:eastAsia="Arial" w:hAnsi="Arial"/>
          <w:sz w:val="16"/>
          <w:szCs w:val="16"/>
          <w:color w:val="auto"/>
        </w:rPr>
        <w:t>We are not prohibited from pursuing an initial business combination with a company that is affiliated with M. Klein and Company, any of our Strategic and Operating Partners, our sponsor, officers or directors, nor are we prohibited from doing so with a business that is affiliated with any M. Klein and Company or any of our Strategic and Operating Partners. In the event we seek to complete our initial business combination with a business that is affiliated with M. Klein and Company, any of our Strategic and Operating Partners, our sponsor, officers or directors, we, or a committee of independent and</w:t>
      </w:r>
    </w:p>
    <w:p>
      <w:pPr>
        <w:spacing w:after="0" w:line="230"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9" w:name="page90"/>
    <w:bookmarkEnd w:id="89"/>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659"/>
        <w:spacing w:after="0" w:line="265" w:lineRule="auto"/>
        <w:rPr>
          <w:sz w:val="20"/>
          <w:szCs w:val="20"/>
          <w:color w:val="auto"/>
        </w:rPr>
      </w:pPr>
      <w:r>
        <w:rPr>
          <w:rFonts w:ascii="Arial" w:cs="Arial" w:eastAsia="Arial" w:hAnsi="Arial"/>
          <w:sz w:val="16"/>
          <w:szCs w:val="16"/>
          <w:color w:val="auto"/>
        </w:rPr>
        <w:t>disinterested directors, will obtain an opinion from an independent investment banking firm that is a member of FINRA or from an independent accounting firm, that such initial business combination is fair to our company from a financial point of view. We are not required to obtain such an opinion in any other context.</w:t>
      </w:r>
    </w:p>
    <w:p>
      <w:pPr>
        <w:spacing w:after="0" w:line="68" w:lineRule="exact"/>
        <w:rPr>
          <w:sz w:val="20"/>
          <w:szCs w:val="20"/>
          <w:color w:val="auto"/>
        </w:rPr>
      </w:pPr>
    </w:p>
    <w:p>
      <w:pPr>
        <w:ind w:left="1140" w:right="1579" w:firstLine="326"/>
        <w:spacing w:after="0" w:line="265" w:lineRule="auto"/>
        <w:rPr>
          <w:sz w:val="20"/>
          <w:szCs w:val="20"/>
          <w:color w:val="auto"/>
        </w:rPr>
      </w:pPr>
      <w:r>
        <w:rPr>
          <w:rFonts w:ascii="Arial" w:cs="Arial" w:eastAsia="Arial" w:hAnsi="Arial"/>
          <w:sz w:val="16"/>
          <w:szCs w:val="16"/>
          <w:color w:val="auto"/>
        </w:rPr>
        <w:t>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w:t>
      </w:r>
    </w:p>
    <w:p>
      <w:pPr>
        <w:spacing w:after="0" w:line="68" w:lineRule="exact"/>
        <w:rPr>
          <w:sz w:val="20"/>
          <w:szCs w:val="20"/>
          <w:color w:val="auto"/>
        </w:rPr>
      </w:pPr>
    </w:p>
    <w:p>
      <w:pPr>
        <w:ind w:left="1140" w:right="1579" w:firstLine="326"/>
        <w:spacing w:after="0" w:line="261" w:lineRule="auto"/>
        <w:rPr>
          <w:sz w:val="20"/>
          <w:szCs w:val="20"/>
          <w:color w:val="auto"/>
        </w:rPr>
      </w:pPr>
      <w:r>
        <w:rPr>
          <w:rFonts w:ascii="Arial" w:cs="Arial" w:eastAsia="Arial" w:hAnsi="Arial"/>
          <w:sz w:val="16"/>
          <w:szCs w:val="16"/>
          <w:color w:val="auto"/>
        </w:rPr>
        <w:t>As discussed above and in “Management — Conflicts of Interest,” if any of our officers or directors becomes aware of a business combination opportunity that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(including as described above).</w:t>
      </w:r>
    </w:p>
    <w:p>
      <w:pPr>
        <w:spacing w:after="0" w:line="153"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Status as a Public Company</w:t>
      </w:r>
    </w:p>
    <w:p>
      <w:pPr>
        <w:spacing w:after="0" w:line="101" w:lineRule="exact"/>
        <w:rPr>
          <w:sz w:val="20"/>
          <w:szCs w:val="20"/>
          <w:color w:val="auto"/>
        </w:rPr>
      </w:pPr>
    </w:p>
    <w:p>
      <w:pPr>
        <w:ind w:left="1140" w:right="1619" w:firstLine="326"/>
        <w:spacing w:after="0" w:line="258" w:lineRule="auto"/>
        <w:rPr>
          <w:sz w:val="20"/>
          <w:szCs w:val="20"/>
          <w:color w:val="auto"/>
        </w:rPr>
      </w:pPr>
      <w:r>
        <w:rPr>
          <w:rFonts w:ascii="Arial" w:cs="Arial" w:eastAsia="Arial" w:hAnsi="Arial"/>
          <w:sz w:val="16"/>
          <w:szCs w:val="16"/>
          <w:color w:val="auto"/>
        </w:rPr>
        <w:t>We believe our structure will make us an attractive business combination partner to target businesses. As an existing public company, we offer target businesses an alternative to the traditional initial public offering through a merger, capital stock exchange, asset acquisition, stock purchase, reorganization or similar business combination. In this situation, the owners of the target business would exchange their shares of stock in the target business for shares of our stock or for a combination of shares of our stock and cash, allowing us to tailor the consideration to the specific needs of the sellers. Although there are various costs and obligations associated with being a public company, we believe target businesses will find this method a more certain and cost effective method to becoming a public company than the typical initial public offering. In a typical initial public offering, there are additional expenses incurred in marketing, road show and public reporting efforts that may not be present to the same extent in connection with a business combination with us.</w:t>
      </w:r>
    </w:p>
    <w:p>
      <w:pPr>
        <w:spacing w:after="0" w:line="75" w:lineRule="exact"/>
        <w:rPr>
          <w:sz w:val="20"/>
          <w:szCs w:val="20"/>
          <w:color w:val="auto"/>
        </w:rPr>
      </w:pPr>
    </w:p>
    <w:p>
      <w:pPr>
        <w:ind w:left="1140" w:right="1619" w:firstLine="326"/>
        <w:spacing w:after="0" w:line="260" w:lineRule="auto"/>
        <w:rPr>
          <w:sz w:val="20"/>
          <w:szCs w:val="20"/>
          <w:color w:val="auto"/>
        </w:rPr>
      </w:pPr>
      <w:r>
        <w:rPr>
          <w:rFonts w:ascii="Arial" w:cs="Arial" w:eastAsia="Arial" w:hAnsi="Arial"/>
          <w:sz w:val="16"/>
          <w:szCs w:val="16"/>
          <w:color w:val="auto"/>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Once public, we believe the target business would then have greater access to capital and an additional means of providing management incentives consistent with stockholders’ interests. It can offer further benefits by augmenting a company’s profile among potential new customers and vendors and aid in attracting talented employees.</w:t>
      </w:r>
    </w:p>
    <w:p>
      <w:pPr>
        <w:spacing w:after="0" w:line="7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We will remain an emerging growth company until the earlier of: (1) the last day of the fiscal year</w:t>
      </w:r>
    </w:p>
    <w:p>
      <w:pPr>
        <w:spacing w:after="0" w:line="23" w:lineRule="exact"/>
        <w:rPr>
          <w:sz w:val="20"/>
          <w:szCs w:val="20"/>
          <w:color w:val="auto"/>
        </w:rPr>
      </w:pPr>
    </w:p>
    <w:p>
      <w:pPr>
        <w:ind w:left="1140" w:right="1559" w:hanging="1"/>
        <w:spacing w:after="0" w:line="272" w:lineRule="auto"/>
        <w:tabs>
          <w:tab w:leader="none" w:pos="1375" w:val="left"/>
        </w:tabs>
        <w:numPr>
          <w:ilvl w:val="0"/>
          <w:numId w:val="40"/>
        </w:numPr>
        <w:rPr>
          <w:rFonts w:ascii="Arial" w:cs="Arial" w:eastAsia="Arial" w:hAnsi="Arial"/>
          <w:sz w:val="15"/>
          <w:szCs w:val="15"/>
          <w:color w:val="auto"/>
        </w:rPr>
      </w:pPr>
      <w:r>
        <w:rPr>
          <w:rFonts w:ascii="Arial" w:cs="Arial" w:eastAsia="Arial" w:hAnsi="Arial"/>
          <w:sz w:val="15"/>
          <w:szCs w:val="15"/>
          <w:color w:val="auto"/>
        </w:rPr>
        <w:t>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end of the prior fiscal year’s second fiscal quarter; and (2) the date on which we have issued more than</w:t>
      </w:r>
    </w:p>
    <w:p>
      <w:pPr>
        <w:ind w:left="1140"/>
        <w:spacing w:after="0"/>
        <w:rPr>
          <w:rFonts w:ascii="Arial" w:cs="Arial" w:eastAsia="Arial" w:hAnsi="Arial"/>
          <w:sz w:val="15"/>
          <w:szCs w:val="15"/>
          <w:color w:val="auto"/>
        </w:rPr>
      </w:pPr>
      <w:r>
        <w:rPr>
          <w:rFonts w:ascii="Arial" w:cs="Arial" w:eastAsia="Arial" w:hAnsi="Arial"/>
          <w:sz w:val="16"/>
          <w:szCs w:val="16"/>
          <w:color w:val="auto"/>
        </w:rPr>
        <w:t>$1.00 billion in non-convertible debt during the prior three-year period.</w:t>
      </w:r>
    </w:p>
    <w:p>
      <w:pPr>
        <w:spacing w:after="0" w:line="180"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Financial Position</w:t>
      </w:r>
    </w:p>
    <w:p>
      <w:pPr>
        <w:spacing w:after="0" w:line="101" w:lineRule="exact"/>
        <w:rPr>
          <w:sz w:val="20"/>
          <w:szCs w:val="20"/>
          <w:color w:val="auto"/>
        </w:rPr>
      </w:pPr>
    </w:p>
    <w:p>
      <w:pPr>
        <w:ind w:left="1140" w:right="1619" w:firstLine="326"/>
        <w:spacing w:after="0" w:line="277" w:lineRule="auto"/>
        <w:rPr>
          <w:sz w:val="20"/>
          <w:szCs w:val="20"/>
          <w:color w:val="auto"/>
        </w:rPr>
      </w:pPr>
      <w:r>
        <w:rPr>
          <w:rFonts w:ascii="Arial" w:cs="Arial" w:eastAsia="Arial" w:hAnsi="Arial"/>
          <w:sz w:val="15"/>
          <w:szCs w:val="15"/>
          <w:color w:val="auto"/>
        </w:rPr>
        <w:t>With funds available for a business combination initially in the amount of $1,447,500,000 assuming no redemptions and after payment of $52,500,000 of deferred underwriting fees (or $1,664,625,000 assuming no redemptions and after payment of up to $60,375,000 of deferred underwriting fees if the underwriters’ option to purchase additional units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223"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0" w:name="page91"/>
    <w:bookmarkEnd w:id="90"/>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Effecting our Initial Business Combination</w:t>
      </w:r>
    </w:p>
    <w:p>
      <w:pPr>
        <w:spacing w:after="0" w:line="101" w:lineRule="exact"/>
        <w:rPr>
          <w:sz w:val="20"/>
          <w:szCs w:val="20"/>
          <w:color w:val="auto"/>
        </w:rPr>
      </w:pPr>
    </w:p>
    <w:p>
      <w:pPr>
        <w:ind w:left="1140" w:right="1619" w:firstLine="326"/>
        <w:spacing w:after="0" w:line="260" w:lineRule="auto"/>
        <w:rPr>
          <w:sz w:val="20"/>
          <w:szCs w:val="20"/>
          <w:color w:val="auto"/>
        </w:rPr>
      </w:pPr>
      <w:r>
        <w:rPr>
          <w:rFonts w:ascii="Arial" w:cs="Arial" w:eastAsia="Arial" w:hAnsi="Arial"/>
          <w:sz w:val="16"/>
          <w:szCs w:val="16"/>
          <w:color w:val="auto"/>
        </w:rPr>
        <w:t>We are not presently engaged in, and we will not engage in, any operations for an indefinite period of time following this offering. We intend to effectuate our initial business combination using cash from the proceeds of this offering and the sale of the private placement warrants, our capital stock, debt or a combination of these as the consideration to be paid in our initial business combination.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72" w:lineRule="exact"/>
        <w:rPr>
          <w:sz w:val="20"/>
          <w:szCs w:val="20"/>
          <w:color w:val="auto"/>
        </w:rPr>
      </w:pPr>
    </w:p>
    <w:p>
      <w:pPr>
        <w:ind w:left="1140" w:right="1599" w:firstLine="326"/>
        <w:spacing w:after="0" w:line="260" w:lineRule="auto"/>
        <w:rPr>
          <w:sz w:val="20"/>
          <w:szCs w:val="20"/>
          <w:color w:val="auto"/>
        </w:rPr>
      </w:pPr>
      <w:r>
        <w:rPr>
          <w:rFonts w:ascii="Arial" w:cs="Arial" w:eastAsia="Arial" w:hAnsi="Arial"/>
          <w:sz w:val="16"/>
          <w:szCs w:val="16"/>
          <w:color w:val="auto"/>
        </w:rPr>
        <w:t>If our initial business combination is paid for using equity or debt securities or not all of the funds released from the trust account are used for payment of the consideration in connection with our initial business combination or used for redemption of our public shares,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72" w:lineRule="exact"/>
        <w:rPr>
          <w:sz w:val="20"/>
          <w:szCs w:val="20"/>
          <w:color w:val="auto"/>
        </w:rPr>
      </w:pPr>
    </w:p>
    <w:p>
      <w:pPr>
        <w:ind w:left="1140" w:right="1699" w:firstLine="326"/>
        <w:spacing w:after="0" w:line="260" w:lineRule="auto"/>
        <w:rPr>
          <w:sz w:val="20"/>
          <w:szCs w:val="20"/>
          <w:color w:val="auto"/>
        </w:rPr>
      </w:pPr>
      <w:r>
        <w:rPr>
          <w:rFonts w:ascii="Arial" w:cs="Arial" w:eastAsia="Arial" w:hAnsi="Arial"/>
          <w:sz w:val="16"/>
          <w:szCs w:val="16"/>
          <w:color w:val="auto"/>
        </w:rPr>
        <w:t>Members of our management team, M. Klein and Company and our Strategic and Operating Partners are from time to time made aware of potential business opportunities, one or more of which we may desire to pursue, for a business combination, but we have not (nor has anyone on our behalf) engaged in any substantive discussions with a business combination target, with respect to a business combination transaction with us. Please see “— Sourcing of Potential Business Combination Targets” for additional information regarding limitations on our access to investment opportunities sourced by M. Klein and Company and our Strategic and Operating Partners.</w:t>
      </w:r>
    </w:p>
    <w:p>
      <w:pPr>
        <w:spacing w:after="0" w:line="72" w:lineRule="exact"/>
        <w:rPr>
          <w:sz w:val="20"/>
          <w:szCs w:val="20"/>
          <w:color w:val="auto"/>
        </w:rPr>
      </w:pPr>
    </w:p>
    <w:p>
      <w:pPr>
        <w:ind w:left="1140" w:right="1799" w:firstLine="326"/>
        <w:spacing w:after="0" w:line="265" w:lineRule="auto"/>
        <w:rPr>
          <w:sz w:val="20"/>
          <w:szCs w:val="20"/>
          <w:color w:val="auto"/>
        </w:rPr>
      </w:pPr>
      <w:r>
        <w:rPr>
          <w:rFonts w:ascii="Arial" w:cs="Arial" w:eastAsia="Arial" w:hAnsi="Arial"/>
          <w:sz w:val="16"/>
          <w:szCs w:val="16"/>
          <w:color w:val="auto"/>
        </w:rPr>
        <w:t>We may seek to raise additional funds in connection with the completion of our initial business combination through a private offering of equity securities or debt securities or loans, and we may effectuate our initial business combination using the proceeds of such offerings or loans rather than using the amounts held in the trust account.</w:t>
      </w:r>
    </w:p>
    <w:p>
      <w:pPr>
        <w:spacing w:after="0" w:line="68" w:lineRule="exact"/>
        <w:rPr>
          <w:sz w:val="20"/>
          <w:szCs w:val="20"/>
          <w:color w:val="auto"/>
        </w:rPr>
      </w:pPr>
    </w:p>
    <w:p>
      <w:pPr>
        <w:ind w:left="1140" w:right="1559" w:firstLine="326"/>
        <w:spacing w:after="0" w:line="281" w:lineRule="auto"/>
        <w:rPr>
          <w:sz w:val="20"/>
          <w:szCs w:val="20"/>
          <w:color w:val="auto"/>
        </w:rPr>
      </w:pPr>
      <w:r>
        <w:rPr>
          <w:rFonts w:ascii="Arial" w:cs="Arial" w:eastAsia="Arial" w:hAnsi="Arial"/>
          <w:sz w:val="15"/>
          <w:szCs w:val="15"/>
          <w:color w:val="auto"/>
        </w:rPr>
        <w:t>In the case of an initial business combination funded with assets other than the trust account assets, our tender offer documents or proxy materials disclosing the business combination would disclose the terms of the financing and, only if required by applicable law, we would seek stockholder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142"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Selection of a target business and structuring of our initial business combination</w:t>
      </w:r>
    </w:p>
    <w:p>
      <w:pPr>
        <w:spacing w:after="0" w:line="101" w:lineRule="exact"/>
        <w:rPr>
          <w:sz w:val="20"/>
          <w:szCs w:val="20"/>
          <w:color w:val="auto"/>
        </w:rPr>
      </w:pPr>
    </w:p>
    <w:p>
      <w:pPr>
        <w:ind w:left="1140" w:right="1619" w:firstLine="326"/>
        <w:spacing w:after="0" w:line="276" w:lineRule="auto"/>
        <w:rPr>
          <w:sz w:val="20"/>
          <w:szCs w:val="20"/>
          <w:color w:val="auto"/>
        </w:rPr>
      </w:pPr>
      <w:r>
        <w:rPr>
          <w:rFonts w:ascii="Arial" w:cs="Arial" w:eastAsia="Arial" w:hAnsi="Arial"/>
          <w:sz w:val="15"/>
          <w:szCs w:val="15"/>
          <w:color w:val="auto"/>
        </w:rPr>
        <w:t>The NYSE rules require that an initial business combination must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 The fair market value of the target or targets will be determined by our board of directors based upon one or more standards generally accepted by the financial community, such as discounted cash flow valuation or value of comparable businesses. If our board is not able to independently determine the fair market value of the target business or businesses, we will obtain an opinion from an independent investment banking firm that is a member of FINRA or from an independent accounting firm, with respect to the satisfaction of such criteria. We do not currently intend to purchase multiple businesses in unrelated industries in conjunction with our initial business combination, although there is no assurance that will be the case. Subject to this requirement, our management will have virtually unrestricted flexibility in identifying and selecting one or more prospective target businesses, although we will not be permitted to effectuate our initial business combination with another blank check company or a similar company with nominal operations.</w:t>
      </w:r>
    </w:p>
    <w:p>
      <w:pPr>
        <w:spacing w:after="0" w:line="61" w:lineRule="exact"/>
        <w:rPr>
          <w:sz w:val="20"/>
          <w:szCs w:val="20"/>
          <w:color w:val="auto"/>
        </w:rPr>
      </w:pPr>
    </w:p>
    <w:p>
      <w:pPr>
        <w:ind w:left="1140" w:right="1599" w:firstLine="326"/>
        <w:spacing w:after="0" w:line="288" w:lineRule="auto"/>
        <w:rPr>
          <w:sz w:val="20"/>
          <w:szCs w:val="20"/>
          <w:color w:val="auto"/>
        </w:rPr>
      </w:pPr>
      <w:r>
        <w:rPr>
          <w:rFonts w:ascii="Arial" w:cs="Arial" w:eastAsia="Arial" w:hAnsi="Arial"/>
          <w:sz w:val="15"/>
          <w:szCs w:val="15"/>
          <w:color w:val="auto"/>
        </w:rPr>
        <w:t>In any case, we will only complete an initial business combination in which we own or acquire 50% or more of the outstanding voting securities of the target or otherwise acquire a controlling interest in the target business sufficient for it not to be required to register as an investment company under the Investment Company Act. If we own or acquire less than 100% of the equity interests or assets of a target</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1" w:name="page92"/>
    <w:bookmarkEnd w:id="91"/>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699"/>
        <w:spacing w:after="0" w:line="265" w:lineRule="auto"/>
        <w:rPr>
          <w:sz w:val="20"/>
          <w:szCs w:val="20"/>
          <w:color w:val="auto"/>
        </w:rPr>
      </w:pPr>
      <w:r>
        <w:rPr>
          <w:rFonts w:ascii="Arial" w:cs="Arial" w:eastAsia="Arial" w:hAnsi="Arial"/>
          <w:sz w:val="16"/>
          <w:szCs w:val="16"/>
          <w:color w:val="auto"/>
        </w:rPr>
        <w:t>business or businesses, the portion of such business or businesses that are owned or acquired by the post-transaction company is what will be valued for purposes of the 80% of net assets test. There is no basis for investors in this offering to evaluate the possible merits or risks of any target business with which we may ultimately complete our initial business combination.</w:t>
      </w:r>
    </w:p>
    <w:p>
      <w:pPr>
        <w:spacing w:after="0" w:line="68" w:lineRule="exact"/>
        <w:rPr>
          <w:sz w:val="20"/>
          <w:szCs w:val="20"/>
          <w:color w:val="auto"/>
        </w:rPr>
      </w:pPr>
    </w:p>
    <w:p>
      <w:pPr>
        <w:ind w:left="1140" w:right="1699" w:firstLine="326"/>
        <w:spacing w:after="0" w:line="262" w:lineRule="auto"/>
        <w:rPr>
          <w:sz w:val="20"/>
          <w:szCs w:val="20"/>
          <w:color w:val="auto"/>
        </w:rPr>
      </w:pPr>
      <w:r>
        <w:rPr>
          <w:rFonts w:ascii="Arial" w:cs="Arial" w:eastAsia="Arial" w:hAnsi="Arial"/>
          <w:sz w:val="16"/>
          <w:szCs w:val="16"/>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72" w:lineRule="exact"/>
        <w:rPr>
          <w:sz w:val="20"/>
          <w:szCs w:val="20"/>
          <w:color w:val="auto"/>
        </w:rPr>
      </w:pPr>
    </w:p>
    <w:p>
      <w:pPr>
        <w:ind w:left="1140" w:right="1619" w:firstLine="326"/>
        <w:spacing w:after="0" w:line="260" w:lineRule="auto"/>
        <w:rPr>
          <w:sz w:val="20"/>
          <w:szCs w:val="20"/>
          <w:color w:val="auto"/>
        </w:rPr>
      </w:pPr>
      <w:r>
        <w:rPr>
          <w:rFonts w:ascii="Arial" w:cs="Arial" w:eastAsia="Arial" w:hAnsi="Arial"/>
          <w:sz w:val="16"/>
          <w:szCs w:val="16"/>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 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w:t>
      </w:r>
    </w:p>
    <w:p>
      <w:pPr>
        <w:spacing w:after="0" w:line="72" w:lineRule="exact"/>
        <w:rPr>
          <w:sz w:val="20"/>
          <w:szCs w:val="20"/>
          <w:color w:val="auto"/>
        </w:rPr>
      </w:pPr>
    </w:p>
    <w:p>
      <w:pPr>
        <w:ind w:left="1140" w:right="1819" w:firstLine="326"/>
        <w:spacing w:after="0" w:line="284" w:lineRule="auto"/>
        <w:rPr>
          <w:sz w:val="20"/>
          <w:szCs w:val="20"/>
          <w:color w:val="auto"/>
        </w:rPr>
      </w:pPr>
      <w:r>
        <w:rPr>
          <w:rFonts w:ascii="Arial" w:cs="Arial" w:eastAsia="Arial" w:hAnsi="Arial"/>
          <w:sz w:val="15"/>
          <w:szCs w:val="15"/>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37"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Lack of business diversification</w:t>
      </w:r>
    </w:p>
    <w:p>
      <w:pPr>
        <w:spacing w:after="0" w:line="101" w:lineRule="exact"/>
        <w:rPr>
          <w:sz w:val="20"/>
          <w:szCs w:val="20"/>
          <w:color w:val="auto"/>
        </w:rPr>
      </w:pPr>
    </w:p>
    <w:p>
      <w:pPr>
        <w:ind w:left="1140" w:right="1699" w:firstLine="326"/>
        <w:spacing w:after="0" w:line="285" w:lineRule="auto"/>
        <w:rPr>
          <w:sz w:val="20"/>
          <w:szCs w:val="20"/>
          <w:color w:val="auto"/>
        </w:rPr>
      </w:pPr>
      <w:r>
        <w:rPr>
          <w:rFonts w:ascii="Arial" w:cs="Arial" w:eastAsia="Arial" w:hAnsi="Arial"/>
          <w:sz w:val="16"/>
          <w:szCs w:val="16"/>
          <w:color w:val="auto"/>
        </w:rPr>
        <w:t>For an indefinite period of time after the completion of our initial business combination, the prospects for our success may depend entirely on the future performance of a single business.</w:t>
      </w:r>
    </w:p>
    <w:p>
      <w:pPr>
        <w:spacing w:after="0" w:line="52" w:lineRule="exact"/>
        <w:rPr>
          <w:sz w:val="20"/>
          <w:szCs w:val="20"/>
          <w:color w:val="auto"/>
        </w:rPr>
      </w:pPr>
    </w:p>
    <w:p>
      <w:pPr>
        <w:ind w:left="1140" w:right="1599" w:firstLine="326"/>
        <w:spacing w:after="0" w:line="265" w:lineRule="auto"/>
        <w:rPr>
          <w:sz w:val="20"/>
          <w:szCs w:val="20"/>
          <w:color w:val="auto"/>
        </w:rPr>
      </w:pPr>
      <w:r>
        <w:rPr>
          <w:rFonts w:ascii="Arial" w:cs="Arial" w:eastAsia="Arial" w:hAnsi="Arial"/>
          <w:sz w:val="16"/>
          <w:szCs w:val="16"/>
          <w:color w:val="auto"/>
        </w:rPr>
        <w:t>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141" w:lineRule="exact"/>
        <w:rPr>
          <w:sz w:val="20"/>
          <w:szCs w:val="20"/>
          <w:color w:val="auto"/>
        </w:rPr>
      </w:pPr>
    </w:p>
    <w:p>
      <w:pPr>
        <w:jc w:val="both"/>
        <w:ind w:left="1800" w:right="1859" w:hanging="335"/>
        <w:spacing w:after="0" w:line="270" w:lineRule="auto"/>
        <w:tabs>
          <w:tab w:leader="none" w:pos="18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25" w:lineRule="exact"/>
        <w:rPr>
          <w:rFonts w:ascii="Arial" w:cs="Arial" w:eastAsia="Arial" w:hAnsi="Arial"/>
          <w:sz w:val="16"/>
          <w:szCs w:val="16"/>
          <w:color w:val="auto"/>
        </w:rPr>
      </w:pPr>
    </w:p>
    <w:p>
      <w:pPr>
        <w:ind w:left="1800" w:right="1659" w:hanging="335"/>
        <w:spacing w:after="0" w:line="285" w:lineRule="auto"/>
        <w:tabs>
          <w:tab w:leader="none" w:pos="18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cause us to depend on the marketing and sale of a single product or limited number of products or services.</w:t>
      </w:r>
    </w:p>
    <w:p>
      <w:pPr>
        <w:spacing w:after="0" w:line="13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Limited ability to evaluate the target’s management team</w:t>
      </w:r>
    </w:p>
    <w:p>
      <w:pPr>
        <w:spacing w:after="0" w:line="101" w:lineRule="exact"/>
        <w:rPr>
          <w:sz w:val="20"/>
          <w:szCs w:val="20"/>
          <w:color w:val="auto"/>
        </w:rPr>
      </w:pPr>
    </w:p>
    <w:p>
      <w:pPr>
        <w:ind w:left="1140" w:right="1579" w:firstLine="326"/>
        <w:spacing w:after="0" w:line="258" w:lineRule="auto"/>
        <w:rPr>
          <w:sz w:val="20"/>
          <w:szCs w:val="20"/>
          <w:color w:val="auto"/>
        </w:rPr>
      </w:pPr>
      <w:r>
        <w:rPr>
          <w:rFonts w:ascii="Arial" w:cs="Arial" w:eastAsia="Arial" w:hAnsi="Arial"/>
          <w:sz w:val="16"/>
          <w:szCs w:val="16"/>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While it is possible that one or more of our directors will remain associated in some capacity with us following our initial business combination, it is highly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77" w:lineRule="exact"/>
        <w:rPr>
          <w:sz w:val="20"/>
          <w:szCs w:val="20"/>
          <w:color w:val="auto"/>
        </w:rPr>
      </w:pPr>
    </w:p>
    <w:p>
      <w:pPr>
        <w:ind w:left="1140" w:right="1959" w:firstLine="326"/>
        <w:spacing w:after="0" w:line="296" w:lineRule="auto"/>
        <w:rPr>
          <w:sz w:val="20"/>
          <w:szCs w:val="20"/>
          <w:color w:val="auto"/>
        </w:rPr>
      </w:pPr>
      <w:r>
        <w:rPr>
          <w:rFonts w:ascii="Arial" w:cs="Arial" w:eastAsia="Arial" w:hAnsi="Arial"/>
          <w:sz w:val="15"/>
          <w:szCs w:val="15"/>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94"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2" w:name="page93"/>
    <w:bookmarkEnd w:id="92"/>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679" w:firstLine="326"/>
        <w:spacing w:after="0" w:line="265" w:lineRule="auto"/>
        <w:rPr>
          <w:sz w:val="20"/>
          <w:szCs w:val="20"/>
          <w:color w:val="auto"/>
        </w:rPr>
      </w:pPr>
      <w:r>
        <w:rPr>
          <w:rFonts w:ascii="Arial" w:cs="Arial" w:eastAsia="Arial" w:hAnsi="Arial"/>
          <w:sz w:val="16"/>
          <w:szCs w:val="16"/>
          <w:color w:val="auto"/>
        </w:rPr>
        <w:t>Following our initial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50"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Stockholders may not have the ability to approve our initial business combination</w:t>
      </w:r>
    </w:p>
    <w:p>
      <w:pPr>
        <w:spacing w:after="0" w:line="101" w:lineRule="exact"/>
        <w:rPr>
          <w:sz w:val="20"/>
          <w:szCs w:val="20"/>
          <w:color w:val="auto"/>
        </w:rPr>
      </w:pPr>
    </w:p>
    <w:p>
      <w:pPr>
        <w:ind w:left="1140" w:right="1599" w:firstLine="326"/>
        <w:spacing w:after="0" w:line="262" w:lineRule="auto"/>
        <w:rPr>
          <w:sz w:val="20"/>
          <w:szCs w:val="20"/>
          <w:color w:val="auto"/>
        </w:rPr>
      </w:pPr>
      <w:r>
        <w:rPr>
          <w:rFonts w:ascii="Arial" w:cs="Arial" w:eastAsia="Arial" w:hAnsi="Arial"/>
          <w:sz w:val="16"/>
          <w:szCs w:val="16"/>
          <w:color w:val="auto"/>
        </w:rPr>
        <w:t>We may conduct redemptions without a stockholder vote pursuant to the tender offer rules of the SEC. However, we will seek stockholder approval if it is required by applicable law or stock exchange rule, or we may decide to seek stockholder approval for business or other reasons. Presented in the table below is a graphic explanation of the types of initial business combinations we may consider and whether stockholder approval is currently required under Delaware law for each such transaction.</w:t>
      </w:r>
    </w:p>
    <w:p>
      <w:pPr>
        <w:spacing w:after="0" w:line="98" w:lineRule="exact"/>
        <w:rPr>
          <w:sz w:val="20"/>
          <w:szCs w:val="20"/>
          <w:color w:val="auto"/>
        </w:rPr>
      </w:pPr>
    </w:p>
    <w:tbl>
      <w:tblPr>
        <w:tblLayout w:type="fixed"/>
        <w:tblInd w:w="1460" w:type="dxa"/>
        <w:tblCellMar>
          <w:top w:w="0" w:type="dxa"/>
          <w:left w:w="0" w:type="dxa"/>
          <w:bottom w:w="0" w:type="dxa"/>
          <w:right w:w="0" w:type="dxa"/>
        </w:tblCellMar>
      </w:tblPr>
      <w:tr>
        <w:trPr>
          <w:trHeight w:val="149"/>
        </w:trPr>
        <w:tc>
          <w:tcPr>
            <w:tcW w:w="5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2"/>
              </w:rPr>
              <w:t>Whether</w:t>
            </w:r>
          </w:p>
        </w:tc>
      </w:tr>
      <w:tr>
        <w:trPr>
          <w:trHeight w:val="147"/>
        </w:trPr>
        <w:tc>
          <w:tcPr>
            <w:tcW w:w="5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w w:val="85"/>
              </w:rPr>
              <w:t>Stockholder</w:t>
            </w:r>
          </w:p>
        </w:tc>
      </w:tr>
      <w:tr>
        <w:trPr>
          <w:trHeight w:val="147"/>
        </w:trPr>
        <w:tc>
          <w:tcPr>
            <w:tcW w:w="5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w w:val="87"/>
              </w:rPr>
              <w:t>Approval is</w:t>
            </w:r>
          </w:p>
        </w:tc>
      </w:tr>
      <w:tr>
        <w:trPr>
          <w:trHeight w:val="168"/>
        </w:trPr>
        <w:tc>
          <w:tcPr>
            <w:tcW w:w="6100" w:type="dxa"/>
            <w:vAlign w:val="bottom"/>
            <w:gridSpan w:val="2"/>
          </w:tcPr>
          <w:p>
            <w:pPr>
              <w:spacing w:after="0"/>
              <w:rPr>
                <w:sz w:val="20"/>
                <w:szCs w:val="20"/>
                <w:color w:val="auto"/>
              </w:rPr>
            </w:pPr>
            <w:r>
              <w:rPr>
                <w:rFonts w:ascii="Arial" w:cs="Arial" w:eastAsia="Arial" w:hAnsi="Arial"/>
                <w:sz w:val="13"/>
                <w:szCs w:val="13"/>
                <w:b w:val="1"/>
                <w:bCs w:val="1"/>
                <w:color w:val="auto"/>
              </w:rPr>
              <w:t>Type of Transaction</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2"/>
              </w:rPr>
              <w:t>Required</w:t>
            </w:r>
          </w:p>
        </w:tc>
      </w:tr>
      <w:tr>
        <w:trPr>
          <w:trHeight w:val="23"/>
        </w:trPr>
        <w:tc>
          <w:tcPr>
            <w:tcW w:w="5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5"/>
        </w:trPr>
        <w:tc>
          <w:tcPr>
            <w:tcW w:w="6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Purchase of assets</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No</w:t>
            </w:r>
          </w:p>
        </w:tc>
      </w:tr>
      <w:tr>
        <w:trPr>
          <w:trHeight w:val="232"/>
        </w:trPr>
        <w:tc>
          <w:tcPr>
            <w:tcW w:w="6100" w:type="dxa"/>
            <w:vAlign w:val="bottom"/>
            <w:gridSpan w:val="2"/>
          </w:tcPr>
          <w:p>
            <w:pPr>
              <w:spacing w:after="0"/>
              <w:rPr>
                <w:sz w:val="20"/>
                <w:szCs w:val="20"/>
                <w:color w:val="auto"/>
              </w:rPr>
            </w:pPr>
            <w:r>
              <w:rPr>
                <w:rFonts w:ascii="Arial" w:cs="Arial" w:eastAsia="Arial" w:hAnsi="Arial"/>
                <w:sz w:val="16"/>
                <w:szCs w:val="16"/>
                <w:color w:val="auto"/>
              </w:rPr>
              <w:t>Purchase of stock of target not involving a merger with the company</w:t>
            </w:r>
          </w:p>
        </w:tc>
        <w:tc>
          <w:tcPr>
            <w:tcW w:w="680" w:type="dxa"/>
            <w:vAlign w:val="bottom"/>
          </w:tcPr>
          <w:p>
            <w:pPr>
              <w:jc w:val="center"/>
              <w:spacing w:after="0"/>
              <w:rPr>
                <w:sz w:val="20"/>
                <w:szCs w:val="20"/>
                <w:color w:val="auto"/>
              </w:rPr>
            </w:pPr>
            <w:r>
              <w:rPr>
                <w:rFonts w:ascii="Arial" w:cs="Arial" w:eastAsia="Arial" w:hAnsi="Arial"/>
                <w:sz w:val="16"/>
                <w:szCs w:val="16"/>
                <w:color w:val="auto"/>
                <w:w w:val="97"/>
              </w:rPr>
              <w:t>No</w:t>
            </w:r>
          </w:p>
        </w:tc>
      </w:tr>
      <w:tr>
        <w:trPr>
          <w:trHeight w:val="233"/>
        </w:trPr>
        <w:tc>
          <w:tcPr>
            <w:tcW w:w="6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Merger of target into a subsidiary of the company</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No</w:t>
            </w:r>
          </w:p>
        </w:tc>
      </w:tr>
      <w:tr>
        <w:trPr>
          <w:trHeight w:val="231"/>
        </w:trPr>
        <w:tc>
          <w:tcPr>
            <w:tcW w:w="6100" w:type="dxa"/>
            <w:vAlign w:val="bottom"/>
            <w:gridSpan w:val="2"/>
          </w:tcPr>
          <w:p>
            <w:pPr>
              <w:spacing w:after="0"/>
              <w:rPr>
                <w:sz w:val="20"/>
                <w:szCs w:val="20"/>
                <w:color w:val="auto"/>
              </w:rPr>
            </w:pPr>
            <w:r>
              <w:rPr>
                <w:rFonts w:ascii="Arial" w:cs="Arial" w:eastAsia="Arial" w:hAnsi="Arial"/>
                <w:sz w:val="16"/>
                <w:szCs w:val="16"/>
                <w:color w:val="auto"/>
              </w:rPr>
              <w:t>Merger of the company with a target</w:t>
            </w:r>
          </w:p>
        </w:tc>
        <w:tc>
          <w:tcPr>
            <w:tcW w:w="680" w:type="dxa"/>
            <w:vAlign w:val="bottom"/>
          </w:tcPr>
          <w:p>
            <w:pPr>
              <w:jc w:val="center"/>
              <w:spacing w:after="0"/>
              <w:rPr>
                <w:sz w:val="20"/>
                <w:szCs w:val="20"/>
                <w:color w:val="auto"/>
              </w:rPr>
            </w:pPr>
            <w:r>
              <w:rPr>
                <w:rFonts w:ascii="Arial" w:cs="Arial" w:eastAsia="Arial" w:hAnsi="Arial"/>
                <w:sz w:val="16"/>
                <w:szCs w:val="16"/>
                <w:color w:val="auto"/>
                <w:w w:val="86"/>
              </w:rPr>
              <w:t>Yes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4674235</wp:posOffset>
            </wp:positionH>
            <wp:positionV relativeFrom="paragraph">
              <wp:posOffset>-596900</wp:posOffset>
            </wp:positionV>
            <wp:extent cx="12446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4460" cy="7620"/>
                    </a:xfrm>
                    <a:prstGeom prst="rect">
                      <a:avLst/>
                    </a:prstGeom>
                    <a:noFill/>
                  </pic:spPr>
                </pic:pic>
              </a:graphicData>
            </a:graphic>
          </wp:anchor>
        </w:drawing>
      </w:r>
    </w:p>
    <w:p>
      <w:pPr>
        <w:spacing w:after="0" w:line="115" w:lineRule="exact"/>
        <w:rPr>
          <w:sz w:val="20"/>
          <w:szCs w:val="20"/>
          <w:color w:val="auto"/>
        </w:rPr>
      </w:pPr>
    </w:p>
    <w:p>
      <w:pPr>
        <w:ind w:left="1140" w:right="2159" w:firstLine="326"/>
        <w:spacing w:after="0" w:line="285" w:lineRule="auto"/>
        <w:rPr>
          <w:sz w:val="20"/>
          <w:szCs w:val="20"/>
          <w:color w:val="auto"/>
        </w:rPr>
      </w:pPr>
      <w:r>
        <w:rPr>
          <w:rFonts w:ascii="Arial" w:cs="Arial" w:eastAsia="Arial" w:hAnsi="Arial"/>
          <w:sz w:val="16"/>
          <w:szCs w:val="16"/>
          <w:color w:val="auto"/>
        </w:rPr>
        <w:t>Under the NYSE’s listing rules, stockholder approval would be required for our initial business combination if, for example:</w:t>
      </w:r>
    </w:p>
    <w:p>
      <w:pPr>
        <w:spacing w:after="0" w:line="113" w:lineRule="exact"/>
        <w:rPr>
          <w:sz w:val="20"/>
          <w:szCs w:val="20"/>
          <w:color w:val="auto"/>
        </w:rPr>
      </w:pPr>
    </w:p>
    <w:p>
      <w:pPr>
        <w:ind w:left="1800" w:right="1779" w:hanging="335"/>
        <w:spacing w:after="0" w:line="280" w:lineRule="auto"/>
        <w:tabs>
          <w:tab w:leader="none" w:pos="18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we issue (other than in a public offering for cash) shares of common stock that will either (a) be equal to or in excess of 20% of the number of shares of common stock then outstanding or</w:t>
      </w:r>
    </w:p>
    <w:p>
      <w:pPr>
        <w:ind w:left="1800"/>
        <w:spacing w:after="0"/>
        <w:rPr>
          <w:rFonts w:ascii="Arial" w:cs="Arial" w:eastAsia="Arial" w:hAnsi="Arial"/>
          <w:sz w:val="15"/>
          <w:szCs w:val="15"/>
          <w:color w:val="auto"/>
        </w:rPr>
      </w:pPr>
      <w:r>
        <w:rPr>
          <w:rFonts w:ascii="Arial" w:cs="Arial" w:eastAsia="Arial" w:hAnsi="Arial"/>
          <w:sz w:val="16"/>
          <w:szCs w:val="16"/>
          <w:color w:val="auto"/>
        </w:rPr>
        <w:t>(b) have voting power equal to or in excess of 20% of the voting power then outstanding;</w:t>
      </w:r>
    </w:p>
    <w:p>
      <w:pPr>
        <w:spacing w:after="0" w:line="171" w:lineRule="exact"/>
        <w:rPr>
          <w:rFonts w:ascii="Arial" w:cs="Arial" w:eastAsia="Arial" w:hAnsi="Arial"/>
          <w:sz w:val="15"/>
          <w:szCs w:val="15"/>
          <w:color w:val="auto"/>
        </w:rPr>
      </w:pPr>
    </w:p>
    <w:p>
      <w:pPr>
        <w:ind w:left="1800" w:right="1579" w:hanging="335"/>
        <w:spacing w:after="0" w:line="280" w:lineRule="auto"/>
        <w:tabs>
          <w:tab w:leader="none" w:pos="18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any of our directors, officers or substantial security holders (as defined by the NYSE rules) has a 5% or greater interest, directly or indirectly, in the target business or assets to be acquired and if the number of shares of common stock to be issued, or if the number of shares of common stock into which the securities may be convertible or exercisable, exceeds either (a) 1% of the number of shares of common stock or 1% of the voting power outstanding before the issuance in the case of any of our directors and officers or (b) 5% of the number of shares of common stock or 5% of the voting power outstanding before the issuance in the case of any substantial securityholders; or</w:t>
      </w:r>
    </w:p>
    <w:p>
      <w:pPr>
        <w:spacing w:after="0" w:line="120" w:lineRule="exact"/>
        <w:rPr>
          <w:rFonts w:ascii="Arial" w:cs="Arial" w:eastAsia="Arial" w:hAnsi="Arial"/>
          <w:sz w:val="15"/>
          <w:szCs w:val="15"/>
          <w:color w:val="auto"/>
        </w:rPr>
      </w:pPr>
    </w:p>
    <w:p>
      <w:pPr>
        <w:ind w:left="1800" w:hanging="335"/>
        <w:spacing w:after="0"/>
        <w:tabs>
          <w:tab w:leader="none" w:pos="18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issuance or potential issuance will result in our undergoing a change of control.</w:t>
      </w:r>
    </w:p>
    <w:p>
      <w:pPr>
        <w:spacing w:after="0" w:line="110" w:lineRule="exact"/>
        <w:rPr>
          <w:sz w:val="20"/>
          <w:szCs w:val="20"/>
          <w:color w:val="auto"/>
        </w:rPr>
      </w:pPr>
    </w:p>
    <w:p>
      <w:pPr>
        <w:ind w:left="1140" w:right="1799" w:firstLine="326"/>
        <w:spacing w:after="0" w:line="265" w:lineRule="auto"/>
        <w:rPr>
          <w:sz w:val="20"/>
          <w:szCs w:val="20"/>
          <w:color w:val="auto"/>
        </w:rPr>
      </w:pPr>
      <w:r>
        <w:rPr>
          <w:rFonts w:ascii="Arial" w:cs="Arial" w:eastAsia="Arial" w:hAnsi="Arial"/>
          <w:sz w:val="16"/>
          <w:szCs w:val="16"/>
          <w:color w:val="auto"/>
        </w:rPr>
        <w:t>The decision as to whether we will seek stockholder approval of a proposed business combination in those instances in which stockholder approval is not required by law will be made by us, solely in our discretion, and will be based on business and legal reasons, which include a variety of factors, including, but not limited to:</w:t>
      </w:r>
    </w:p>
    <w:p>
      <w:pPr>
        <w:spacing w:after="0" w:line="129" w:lineRule="exact"/>
        <w:rPr>
          <w:sz w:val="20"/>
          <w:szCs w:val="20"/>
          <w:color w:val="auto"/>
        </w:rPr>
      </w:pPr>
    </w:p>
    <w:p>
      <w:pPr>
        <w:ind w:left="1800" w:right="1739" w:hanging="335"/>
        <w:spacing w:after="0" w:line="265" w:lineRule="auto"/>
        <w:tabs>
          <w:tab w:leader="none" w:pos="18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timing of the transaction, including in the event we determine stockholder approval would require additional time and there is either not enough time to seek stockholder approval or doing so would place the company at a disadvantage in the transaction or result in other additional burdens on the company;</w:t>
      </w:r>
    </w:p>
    <w:p>
      <w:pPr>
        <w:spacing w:after="0" w:line="129" w:lineRule="exact"/>
        <w:rPr>
          <w:rFonts w:ascii="Arial" w:cs="Arial" w:eastAsia="Arial" w:hAnsi="Arial"/>
          <w:sz w:val="16"/>
          <w:szCs w:val="16"/>
          <w:color w:val="auto"/>
        </w:rPr>
      </w:pPr>
    </w:p>
    <w:p>
      <w:pPr>
        <w:ind w:left="1800" w:hanging="335"/>
        <w:spacing w:after="0"/>
        <w:tabs>
          <w:tab w:leader="none" w:pos="18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expected cost of holding a stockholder vote;</w:t>
      </w:r>
    </w:p>
    <w:p>
      <w:pPr>
        <w:spacing w:after="0" w:line="182" w:lineRule="exact"/>
        <w:rPr>
          <w:rFonts w:ascii="Arial" w:cs="Arial" w:eastAsia="Arial" w:hAnsi="Arial"/>
          <w:sz w:val="16"/>
          <w:szCs w:val="16"/>
          <w:color w:val="auto"/>
        </w:rPr>
      </w:pPr>
    </w:p>
    <w:p>
      <w:pPr>
        <w:ind w:left="1800" w:hanging="335"/>
        <w:spacing w:after="0"/>
        <w:tabs>
          <w:tab w:leader="none" w:pos="18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risk that the stockholders would fail to approve the proposed business combination;</w:t>
      </w:r>
    </w:p>
    <w:p>
      <w:pPr>
        <w:spacing w:after="0" w:line="170" w:lineRule="exact"/>
        <w:rPr>
          <w:rFonts w:ascii="Arial" w:cs="Arial" w:eastAsia="Arial" w:hAnsi="Arial"/>
          <w:sz w:val="16"/>
          <w:szCs w:val="16"/>
          <w:color w:val="auto"/>
        </w:rPr>
      </w:pPr>
    </w:p>
    <w:p>
      <w:pPr>
        <w:ind w:left="1800" w:hanging="335"/>
        <w:spacing w:after="0"/>
        <w:tabs>
          <w:tab w:leader="none" w:pos="18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other time and budget constraints of the company; and</w:t>
      </w:r>
    </w:p>
    <w:p>
      <w:pPr>
        <w:spacing w:after="0" w:line="170" w:lineRule="exact"/>
        <w:rPr>
          <w:rFonts w:ascii="Arial" w:cs="Arial" w:eastAsia="Arial" w:hAnsi="Arial"/>
          <w:sz w:val="16"/>
          <w:szCs w:val="16"/>
          <w:color w:val="auto"/>
        </w:rPr>
      </w:pPr>
    </w:p>
    <w:p>
      <w:pPr>
        <w:ind w:left="1800" w:right="1759" w:hanging="335"/>
        <w:spacing w:after="0" w:line="285" w:lineRule="auto"/>
        <w:tabs>
          <w:tab w:leader="none" w:pos="18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additional legal complexities of a proposed business combination that would be time-consuming and burdensome to present to stockholders.</w:t>
      </w:r>
    </w:p>
    <w:p>
      <w:pPr>
        <w:spacing w:after="0" w:line="211"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3" w:name="page94"/>
    <w:bookmarkEnd w:id="93"/>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Permitted purchases of our securities</w:t>
      </w:r>
    </w:p>
    <w:p>
      <w:pPr>
        <w:spacing w:after="0" w:line="101" w:lineRule="exact"/>
        <w:rPr>
          <w:sz w:val="20"/>
          <w:szCs w:val="20"/>
          <w:color w:val="auto"/>
        </w:rPr>
      </w:pPr>
    </w:p>
    <w:p>
      <w:pPr>
        <w:ind w:left="1140" w:right="1679" w:firstLine="326"/>
        <w:spacing w:after="0" w:line="273" w:lineRule="auto"/>
        <w:rPr>
          <w:sz w:val="20"/>
          <w:szCs w:val="20"/>
          <w:color w:val="auto"/>
        </w:rPr>
      </w:pPr>
      <w:r>
        <w:rPr>
          <w:rFonts w:ascii="Arial" w:cs="Arial" w:eastAsia="Arial" w:hAnsi="Arial"/>
          <w:sz w:val="15"/>
          <w:szCs w:val="15"/>
          <w:color w:val="auto"/>
        </w:rPr>
        <w:t>In the event we seek stockholder approval of our initial business combination and we do not conduct redemptions in connection with our initial business combination pursuant to the tender offer rules, our sponsor, directors, officers, advisors or any of their respective affiliates may purchase public shares or public warrants or a combination thereof in privately negotiated transactions or in the open market either prior to or following the completion of our initial business combination. There is no limit on the number of shares or warrants such persons may purchase. However, they have no current commitments, plans or intentions to engage in such transactions and have not formulated any terms or conditions for any such transactions. In the event our initial stockholders, directors, officers, advisors or any of their respective affiliates determine to make any such purchases at the time of a stockholder vote relating to our initial business combination, such purchases could have the effect of influencing the vote necessary to approve such transaction. None of the funds in the trust account will be used to purchase public shares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Such a purchase may include a contractual acknowledgement that such stockholder, although still the record holder of our shares, is no longer the beneficial owner thereof and therefore agrees not to exercise its redemption rights. Prior to the consummation of this offering, we will adopt an insider trading policy which will require insiders to</w:t>
      </w:r>
    </w:p>
    <w:p>
      <w:pPr>
        <w:spacing w:after="0" w:line="3" w:lineRule="exact"/>
        <w:rPr>
          <w:sz w:val="20"/>
          <w:szCs w:val="20"/>
          <w:color w:val="auto"/>
        </w:rPr>
      </w:pPr>
    </w:p>
    <w:p>
      <w:pPr>
        <w:ind w:left="1140" w:right="1579" w:hanging="1"/>
        <w:spacing w:after="0" w:line="258" w:lineRule="auto"/>
        <w:tabs>
          <w:tab w:leader="none" w:pos="1384"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refrain from purchasing securities when they are in possession of any material non-public information and (2) to clear all trades with our compliance personnel or legal counsel prior to execution. We cannot currently determine whether our insiders will make such purchases pursuant to a Rule 10b5-1 plan, as it will be dependent upon several factors, including but not limited to, the timing and size of such purchases. Depending on such circumstances, our insiders may either make such purchases pursuant to a Rule 10b5-1 plan or determine that such a plan is not necessary.</w:t>
      </w:r>
    </w:p>
    <w:p>
      <w:pPr>
        <w:spacing w:after="0" w:line="74" w:lineRule="exact"/>
        <w:rPr>
          <w:sz w:val="20"/>
          <w:szCs w:val="20"/>
          <w:color w:val="auto"/>
        </w:rPr>
      </w:pPr>
    </w:p>
    <w:p>
      <w:pPr>
        <w:ind w:left="1140" w:right="1639" w:firstLine="326"/>
        <w:spacing w:after="0" w:line="259" w:lineRule="auto"/>
        <w:rPr>
          <w:sz w:val="20"/>
          <w:szCs w:val="20"/>
          <w:color w:val="auto"/>
        </w:rPr>
      </w:pPr>
      <w:r>
        <w:rPr>
          <w:rFonts w:ascii="Arial" w:cs="Arial" w:eastAsia="Arial" w:hAnsi="Arial"/>
          <w:sz w:val="16"/>
          <w:szCs w:val="16"/>
          <w:color w:val="auto"/>
        </w:rPr>
        <w:t>In the event that our sponsor, directors, officers, advisors or any of their respective affiliates purchase public shares in privately negotiated transactions from public stockholders who have already elected to exercise their redemption rights or submitted a proxy to vote against our initial business combination, such selling stockholders would be required to revoke their prior elections to redeem their shares and any proxy to vote against our initial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72" w:lineRule="exact"/>
        <w:rPr>
          <w:sz w:val="20"/>
          <w:szCs w:val="20"/>
          <w:color w:val="auto"/>
        </w:rPr>
      </w:pPr>
    </w:p>
    <w:p>
      <w:pPr>
        <w:ind w:left="1140" w:right="1719" w:firstLine="326"/>
        <w:spacing w:after="0" w:line="261" w:lineRule="auto"/>
        <w:rPr>
          <w:sz w:val="20"/>
          <w:szCs w:val="20"/>
          <w:color w:val="auto"/>
        </w:rPr>
      </w:pPr>
      <w:r>
        <w:rPr>
          <w:rFonts w:ascii="Arial" w:cs="Arial" w:eastAsia="Arial" w:hAnsi="Arial"/>
          <w:sz w:val="16"/>
          <w:szCs w:val="16"/>
          <w:color w:val="auto"/>
        </w:rPr>
        <w:t>The purpose of such purchases could be to vote such shares in favor of the business combination and thereby increase the likelihood of obtaining stockholder approval of our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This may result in the completion of our initial business combination that may not otherwise have been possible.</w:t>
      </w:r>
    </w:p>
    <w:p>
      <w:pPr>
        <w:spacing w:after="0" w:line="71" w:lineRule="exact"/>
        <w:rPr>
          <w:sz w:val="20"/>
          <w:szCs w:val="20"/>
          <w:color w:val="auto"/>
        </w:rPr>
      </w:pPr>
    </w:p>
    <w:p>
      <w:pPr>
        <w:ind w:left="1140" w:right="1699" w:firstLine="326"/>
        <w:spacing w:after="0" w:line="270" w:lineRule="auto"/>
        <w:rPr>
          <w:sz w:val="20"/>
          <w:szCs w:val="20"/>
          <w:color w:val="auto"/>
        </w:rPr>
      </w:pPr>
      <w:r>
        <w:rPr>
          <w:rFonts w:ascii="Arial" w:cs="Arial" w:eastAsia="Arial" w:hAnsi="Arial"/>
          <w:sz w:val="16"/>
          <w:szCs w:val="16"/>
          <w:color w:val="auto"/>
        </w:rPr>
        <w:t>In addition, if such purchases are made, the public “float” of our common stock may be reduced and the number of beneficial holders of our securities may be reduced, which may make it difficult to maintain or obtain the quotation, listing or trading of our securities on a national securities exchange.</w:t>
      </w:r>
    </w:p>
    <w:p>
      <w:pPr>
        <w:spacing w:after="0" w:line="64" w:lineRule="exact"/>
        <w:rPr>
          <w:sz w:val="20"/>
          <w:szCs w:val="20"/>
          <w:color w:val="auto"/>
        </w:rPr>
      </w:pPr>
    </w:p>
    <w:p>
      <w:pPr>
        <w:ind w:left="1140" w:right="1599" w:firstLine="326"/>
        <w:spacing w:after="0" w:line="277" w:lineRule="auto"/>
        <w:rPr>
          <w:sz w:val="20"/>
          <w:szCs w:val="20"/>
          <w:color w:val="auto"/>
        </w:rPr>
      </w:pPr>
      <w:r>
        <w:rPr>
          <w:rFonts w:ascii="Arial" w:cs="Arial" w:eastAsia="Arial" w:hAnsi="Arial"/>
          <w:sz w:val="15"/>
          <w:szCs w:val="15"/>
          <w:color w:val="auto"/>
        </w:rPr>
        <w:t>Our sponsor, officers, directors, advisors and/or any of their respective affiliates anticipate that they may identify the stockholders with whom our sponsor, officers, directors, advisors or any of their respective affiliates may pursue privately negotiated purchases by either the stockholders contacting us directly or by our receipt of redemption requests submitted by stockholders following our mailing of proxy materials in connection with our initial business combination. To the extent that our sponsor, officers, directors, advisors or any of their respective affiliates enter into a private purchase, they would identify and contact only potential selling stockholders who have expressed their election to redeem their shares for a pro rata share of the trust account or vote against our initial business combination. Such persons would select the stockholders from whom to acquire shares based on the number of shares available, the negotiated price per share and such other factors as any such person may deem relevant at the time of purchase. The price per share paid in any such transaction may be different than the amount per share a public stockholder would</w:t>
      </w:r>
    </w:p>
    <w:p>
      <w:pPr>
        <w:spacing w:after="0" w:line="220"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4" w:name="page95"/>
    <w:bookmarkEnd w:id="94"/>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1140" w:right="1739"/>
        <w:spacing w:after="0" w:line="296" w:lineRule="auto"/>
        <w:rPr>
          <w:sz w:val="20"/>
          <w:szCs w:val="20"/>
          <w:color w:val="auto"/>
        </w:rPr>
      </w:pPr>
      <w:r>
        <w:rPr>
          <w:rFonts w:ascii="Arial" w:cs="Arial" w:eastAsia="Arial" w:hAnsi="Arial"/>
          <w:sz w:val="15"/>
          <w:szCs w:val="15"/>
          <w:color w:val="auto"/>
        </w:rPr>
        <w:t>receive if it elected to redeem its shares in connection with our initial business combination. Our sponsor, officers, directors, advisors or any of their respective affiliates will purchase shares only if such purchases comply with Regulation M under the Exchange Act and the other federal securities laws.</w:t>
      </w:r>
    </w:p>
    <w:p>
      <w:pPr>
        <w:spacing w:after="0" w:line="47" w:lineRule="exact"/>
        <w:rPr>
          <w:sz w:val="20"/>
          <w:szCs w:val="20"/>
          <w:color w:val="auto"/>
        </w:rPr>
      </w:pPr>
    </w:p>
    <w:p>
      <w:pPr>
        <w:ind w:left="1140" w:right="1699" w:firstLine="326"/>
        <w:spacing w:after="0" w:line="280" w:lineRule="auto"/>
        <w:rPr>
          <w:sz w:val="20"/>
          <w:szCs w:val="20"/>
          <w:color w:val="auto"/>
        </w:rPr>
      </w:pPr>
      <w:r>
        <w:rPr>
          <w:rFonts w:ascii="Arial" w:cs="Arial" w:eastAsia="Arial" w:hAnsi="Arial"/>
          <w:sz w:val="15"/>
          <w:szCs w:val="15"/>
          <w:color w:val="auto"/>
        </w:rPr>
        <w:t>Any purchases by our sponsor, officers, directors and/or any of their respective affiliates who are affiliated purchasers under Rule 10b-18 under the Exchange Act will only be made to the extent such purchases are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sponsor, officers, directors and/or any of their respective affiliates will be restricted from making purchases of common stock if such purchases would violate Section 9(a)(2) or Rule 10b-5 of the Exchange Act.</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Redemption rights for public stockholders upon completion of our initial business combination</w:t>
      </w:r>
    </w:p>
    <w:p>
      <w:pPr>
        <w:spacing w:after="0" w:line="101" w:lineRule="exact"/>
        <w:rPr>
          <w:sz w:val="20"/>
          <w:szCs w:val="20"/>
          <w:color w:val="auto"/>
        </w:rPr>
      </w:pPr>
    </w:p>
    <w:p>
      <w:pPr>
        <w:ind w:left="1140" w:right="1579" w:firstLine="326"/>
        <w:spacing w:after="0" w:line="275" w:lineRule="auto"/>
        <w:rPr>
          <w:sz w:val="20"/>
          <w:szCs w:val="20"/>
          <w:color w:val="auto"/>
        </w:rPr>
      </w:pPr>
      <w:r>
        <w:rPr>
          <w:rFonts w:ascii="Arial" w:cs="Arial" w:eastAsia="Arial" w:hAnsi="Arial"/>
          <w:sz w:val="15"/>
          <w:szCs w:val="15"/>
          <w:color w:val="auto"/>
        </w:rPr>
        <w:t>We will provide our public stockholders with the opportunity to redeem all or a portion of their public shares upon the completion of our initial business combination at a per share price, payable in cash, equal to the aggregate amount then on deposit in the trust account as of two business days prior to the consummation of our initial business combination, including interest (net of permitted withdrawals), divided by the number of then 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 redemption right will include the requirement that any beneficial owner on whose behalf a redemption right is being exercised must identify itself in order to validly redeem its shares. Each public stockholder may elect to redeem its public shares without voting, and if they do vote, irrespective of whether they vote for or against the proposed transaction. There will be no redemption rights upon the completion of our initial business combination with respect to our warrants. Our sponsor, officers and directors have entered into a letter agreement with us, pursuant to which they have agreed to waive their redemption rights with respect to any founder shares and any public shares held by them in connection with the completion of our initial business combination.</w:t>
      </w:r>
    </w:p>
    <w:p>
      <w:pPr>
        <w:spacing w:after="0" w:line="150"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Manner of conducting redemptions</w:t>
      </w:r>
    </w:p>
    <w:p>
      <w:pPr>
        <w:spacing w:after="0" w:line="101" w:lineRule="exact"/>
        <w:rPr>
          <w:sz w:val="20"/>
          <w:szCs w:val="20"/>
          <w:color w:val="auto"/>
        </w:rPr>
      </w:pPr>
    </w:p>
    <w:p>
      <w:pPr>
        <w:jc w:val="both"/>
        <w:ind w:left="1140" w:right="1679" w:firstLine="326"/>
        <w:spacing w:after="0" w:line="277" w:lineRule="auto"/>
        <w:rPr>
          <w:sz w:val="20"/>
          <w:szCs w:val="20"/>
          <w:color w:val="auto"/>
        </w:rPr>
      </w:pPr>
      <w:r>
        <w:rPr>
          <w:rFonts w:ascii="Arial" w:cs="Arial" w:eastAsia="Arial" w:hAnsi="Arial"/>
          <w:sz w:val="15"/>
          <w:szCs w:val="15"/>
          <w:color w:val="auto"/>
        </w:rPr>
        <w:t>We will provide our public stockholders with the opportunity to redeem all or a portion of their shares of Class A common stock upon the completion of our initial business combination either: (1) in connection with a stockholder meeting called to approve the business combination; or (2) by means of a tender offer.</w:t>
      </w:r>
    </w:p>
    <w:p>
      <w:pPr>
        <w:spacing w:after="0" w:line="1" w:lineRule="exact"/>
        <w:rPr>
          <w:sz w:val="20"/>
          <w:szCs w:val="20"/>
          <w:color w:val="auto"/>
        </w:rPr>
      </w:pPr>
    </w:p>
    <w:p>
      <w:pPr>
        <w:ind w:left="1140" w:right="1639"/>
        <w:spacing w:after="0" w:line="256" w:lineRule="auto"/>
        <w:rPr>
          <w:sz w:val="20"/>
          <w:szCs w:val="20"/>
          <w:color w:val="auto"/>
        </w:rPr>
      </w:pPr>
      <w:r>
        <w:rPr>
          <w:rFonts w:ascii="Arial" w:cs="Arial" w:eastAsia="Arial" w:hAnsi="Arial"/>
          <w:sz w:val="16"/>
          <w:szCs w:val="16"/>
          <w:color w:val="auto"/>
        </w:rPr>
        <w:t>The decision as to whether we will seek stockholder approval of a proposed business combination or conduct a tender offer will be made by us, solely in our discretion, and will be based on a variety of factors such as the timing of the transaction and whether the terms of the transaction would require us to seek stockholder approval under applicable law or stock exchange listing requirement.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typically require stockholder approval. If we structure a business combination transaction with a target company in a manner that requires stockholder approval, we will not have discretion as to whether to seek a stockholder vote to approve the proposed business combination. We currently intend to conduct redemptions pursuant to a stockholder vote unless stockholder approval is not required by applicable law or stock exchange listing requirement and we choose to conduct redemptions pursuant to the tender offer rules of the SEC for business or other reasons.</w:t>
      </w:r>
    </w:p>
    <w:p>
      <w:pPr>
        <w:spacing w:after="0" w:line="79" w:lineRule="exact"/>
        <w:rPr>
          <w:sz w:val="20"/>
          <w:szCs w:val="20"/>
          <w:color w:val="auto"/>
        </w:rPr>
      </w:pPr>
    </w:p>
    <w:p>
      <w:pPr>
        <w:ind w:left="1140" w:right="1859" w:firstLine="326"/>
        <w:spacing w:after="0" w:line="285" w:lineRule="auto"/>
        <w:rPr>
          <w:sz w:val="20"/>
          <w:szCs w:val="20"/>
          <w:color w:val="auto"/>
        </w:rPr>
      </w:pPr>
      <w:r>
        <w:rPr>
          <w:rFonts w:ascii="Arial" w:cs="Arial" w:eastAsia="Arial" w:hAnsi="Arial"/>
          <w:sz w:val="16"/>
          <w:szCs w:val="16"/>
          <w:color w:val="auto"/>
        </w:rPr>
        <w:t>If a stockholder vote is not required and we do not decide to hold a stockholder vote for business or other reasons, we will, pursuant to our amended and restated certificate of incorporation:</w:t>
      </w:r>
    </w:p>
    <w:p>
      <w:pPr>
        <w:spacing w:after="0" w:line="40" w:lineRule="exact"/>
        <w:rPr>
          <w:sz w:val="20"/>
          <w:szCs w:val="20"/>
          <w:color w:val="auto"/>
        </w:rPr>
      </w:pPr>
    </w:p>
    <w:p>
      <w:pPr>
        <w:ind w:left="1800" w:right="1719" w:hanging="335"/>
        <w:spacing w:after="0" w:line="285" w:lineRule="auto"/>
        <w:tabs>
          <w:tab w:leader="none" w:pos="18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conduct the redemptions pursuant to Rule 13e-4 and Regulation 14E of the Exchange Act, which regulate issuer tender offers; and</w:t>
      </w:r>
    </w:p>
    <w:p>
      <w:pPr>
        <w:spacing w:after="0" w:line="27" w:lineRule="exact"/>
        <w:rPr>
          <w:rFonts w:ascii="Arial" w:cs="Arial" w:eastAsia="Arial" w:hAnsi="Arial"/>
          <w:sz w:val="16"/>
          <w:szCs w:val="16"/>
          <w:color w:val="auto"/>
        </w:rPr>
      </w:pPr>
    </w:p>
    <w:p>
      <w:pPr>
        <w:ind w:left="1800" w:right="1699" w:hanging="335"/>
        <w:spacing w:after="0" w:line="265" w:lineRule="auto"/>
        <w:tabs>
          <w:tab w:leader="none" w:pos="18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215"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5" w:name="page96"/>
    <w:bookmarkEnd w:id="95"/>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579" w:firstLine="326"/>
        <w:spacing w:after="0" w:line="265" w:lineRule="auto"/>
        <w:rPr>
          <w:sz w:val="20"/>
          <w:szCs w:val="20"/>
          <w:color w:val="auto"/>
        </w:rPr>
      </w:pPr>
      <w:r>
        <w:rPr>
          <w:rFonts w:ascii="Arial" w:cs="Arial" w:eastAsia="Arial" w:hAnsi="Arial"/>
          <w:sz w:val="16"/>
          <w:szCs w:val="16"/>
          <w:color w:val="auto"/>
        </w:rPr>
        <w:t>Upon the public announcement of our initial business combination, we and our sponsor will terminate any plan established in accordance with Rule 10b5-1 to purchase shares of our Class A common stock in the open market if we elect to redeem our public shares through a tender offer, to comply with Rule 14e-5 under the Exchange Act.</w:t>
      </w:r>
    </w:p>
    <w:p>
      <w:pPr>
        <w:spacing w:after="0" w:line="68" w:lineRule="exact"/>
        <w:rPr>
          <w:sz w:val="20"/>
          <w:szCs w:val="20"/>
          <w:color w:val="auto"/>
        </w:rPr>
      </w:pPr>
    </w:p>
    <w:p>
      <w:pPr>
        <w:ind w:left="1140" w:right="1619" w:firstLine="326"/>
        <w:spacing w:after="0" w:line="277" w:lineRule="auto"/>
        <w:rPr>
          <w:sz w:val="20"/>
          <w:szCs w:val="20"/>
          <w:color w:val="auto"/>
        </w:rPr>
      </w:pPr>
      <w:r>
        <w:rPr>
          <w:rFonts w:ascii="Arial" w:cs="Arial" w:eastAsia="Arial" w:hAnsi="Arial"/>
          <w:sz w:val="15"/>
          <w:szCs w:val="15"/>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number will be based on the requirement that we may not redeem public shares in an amount that would cause our net tangible assets, after payment of the deferred underwriting commissions, to be less than $5,000,001 (so that we do not then become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such initial business combination.</w:t>
      </w:r>
    </w:p>
    <w:p>
      <w:pPr>
        <w:spacing w:after="0" w:line="64" w:lineRule="exact"/>
        <w:rPr>
          <w:sz w:val="20"/>
          <w:szCs w:val="20"/>
          <w:color w:val="auto"/>
        </w:rPr>
      </w:pPr>
    </w:p>
    <w:p>
      <w:pPr>
        <w:ind w:left="1140" w:right="1839" w:firstLine="326"/>
        <w:spacing w:after="0" w:line="270" w:lineRule="auto"/>
        <w:rPr>
          <w:sz w:val="20"/>
          <w:szCs w:val="20"/>
          <w:color w:val="auto"/>
        </w:rPr>
      </w:pPr>
      <w:r>
        <w:rPr>
          <w:rFonts w:ascii="Arial" w:cs="Arial" w:eastAsia="Arial" w:hAnsi="Arial"/>
          <w:sz w:val="16"/>
          <w:szCs w:val="16"/>
          <w:color w:val="auto"/>
        </w:rPr>
        <w:t>If, however, stockholder approval of the transaction is required by applicable law or stock exchange listing requirement, or we decide to obtain stockholder approval for business or other reasons, we will, pursuant to our amended and restated certificate of incorporation:</w:t>
      </w:r>
    </w:p>
    <w:p>
      <w:pPr>
        <w:spacing w:after="0" w:line="113" w:lineRule="exact"/>
        <w:rPr>
          <w:sz w:val="20"/>
          <w:szCs w:val="20"/>
          <w:color w:val="auto"/>
        </w:rPr>
      </w:pPr>
    </w:p>
    <w:p>
      <w:pPr>
        <w:ind w:left="1800" w:right="1679" w:hanging="335"/>
        <w:spacing w:after="0" w:line="270" w:lineRule="auto"/>
        <w:tabs>
          <w:tab w:leader="none" w:pos="18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conduct the redemptions in conjunction with a proxy solicitation pursuant to Regulation 14A of the Exchange Act, which regulates the solicitation of proxies, and not pursuant to the tender offer rules; and</w:t>
      </w:r>
    </w:p>
    <w:p>
      <w:pPr>
        <w:spacing w:after="0" w:line="100" w:lineRule="exact"/>
        <w:rPr>
          <w:rFonts w:ascii="Arial" w:cs="Arial" w:eastAsia="Arial" w:hAnsi="Arial"/>
          <w:sz w:val="16"/>
          <w:szCs w:val="16"/>
          <w:color w:val="auto"/>
        </w:rPr>
      </w:pPr>
    </w:p>
    <w:p>
      <w:pPr>
        <w:ind w:left="1800" w:hanging="335"/>
        <w:spacing w:after="0"/>
        <w:tabs>
          <w:tab w:leader="none" w:pos="18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file proxy materials with the SEC.</w:t>
      </w:r>
    </w:p>
    <w:p>
      <w:pPr>
        <w:spacing w:after="0" w:line="110" w:lineRule="exact"/>
        <w:rPr>
          <w:sz w:val="20"/>
          <w:szCs w:val="20"/>
          <w:color w:val="auto"/>
        </w:rPr>
      </w:pPr>
    </w:p>
    <w:p>
      <w:pPr>
        <w:ind w:left="1140" w:right="1659" w:firstLine="326"/>
        <w:spacing w:after="0" w:line="281" w:lineRule="auto"/>
        <w:rPr>
          <w:sz w:val="20"/>
          <w:szCs w:val="20"/>
          <w:color w:val="auto"/>
        </w:rPr>
      </w:pPr>
      <w:r>
        <w:rPr>
          <w:rFonts w:ascii="Arial" w:cs="Arial" w:eastAsia="Arial" w:hAnsi="Arial"/>
          <w:sz w:val="15"/>
          <w:szCs w:val="15"/>
          <w:color w:val="auto"/>
        </w:rPr>
        <w:t>We expect that a final proxy statement would be mailed to public stockholders at least 10 days prior to the stockholder vote. However, we expect that a draft proxy statement would be made available to such stockholders well in advance of such time, providing additional notice of redemption if we conduct redemptions in conjunction with a proxy solicitation. Although we are not required to do so, we currently intend to comply with the substantive and procedural requirements of Regulation 14A in connection with any stockholder vote even if we are not able to maintain our NYSE listing or Exchange Act registration.</w:t>
      </w:r>
    </w:p>
    <w:p>
      <w:pPr>
        <w:spacing w:after="0" w:line="60" w:lineRule="exact"/>
        <w:rPr>
          <w:sz w:val="20"/>
          <w:szCs w:val="20"/>
          <w:color w:val="auto"/>
        </w:rPr>
      </w:pPr>
    </w:p>
    <w:p>
      <w:pPr>
        <w:jc w:val="both"/>
        <w:ind w:left="1140" w:right="1779" w:firstLine="326"/>
        <w:spacing w:after="0" w:line="270" w:lineRule="auto"/>
        <w:rPr>
          <w:sz w:val="20"/>
          <w:szCs w:val="20"/>
          <w:color w:val="auto"/>
        </w:rPr>
      </w:pPr>
      <w:r>
        <w:rPr>
          <w:rFonts w:ascii="Arial" w:cs="Arial" w:eastAsia="Arial" w:hAnsi="Arial"/>
          <w:sz w:val="16"/>
          <w:szCs w:val="16"/>
          <w:color w:val="auto"/>
        </w:rPr>
        <w:t>In the event that we seek stockholder approval of our initial business combination, we will distribute proxy materials and, in connection therewith, provide our public stockholders with the redemption rights described above upon completion of the initial business combination.</w:t>
      </w:r>
    </w:p>
    <w:p>
      <w:pPr>
        <w:spacing w:after="0" w:line="64" w:lineRule="exact"/>
        <w:rPr>
          <w:sz w:val="20"/>
          <w:szCs w:val="20"/>
          <w:color w:val="auto"/>
        </w:rPr>
      </w:pPr>
    </w:p>
    <w:p>
      <w:pPr>
        <w:ind w:left="1140" w:right="1619" w:firstLine="326"/>
        <w:spacing w:after="0" w:line="276" w:lineRule="auto"/>
        <w:rPr>
          <w:sz w:val="20"/>
          <w:szCs w:val="20"/>
          <w:color w:val="auto"/>
        </w:rPr>
      </w:pPr>
      <w:r>
        <w:rPr>
          <w:rFonts w:ascii="Arial" w:cs="Arial" w:eastAsia="Arial" w:hAnsi="Arial"/>
          <w:sz w:val="15"/>
          <w:szCs w:val="15"/>
          <w:color w:val="auto"/>
        </w:rPr>
        <w:t>If we seek stockholder approval, unless otherwise required by applicable law, regulation or stock exchange rules, we will complete our initial business combination only if a majority of the outstanding shares of common stock voted are voted in favor of the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officers and directors will count towards this quorum and have agreed to vote any founder shares and any public shares held by them in favor of our initial business combination. These quorum and voting thresholds and agreements, may make it more likely that we will consummate our initial business combination. Each public stockholder may elect to redeem its public shares without voting, and if they do vote, irrespective of whether they vote for or against the proposed transaction. In addition, our sponsor, officers and directors have entered into a letter agreement with us, pursuant to which they have agreed to waive their redemption rights with respect to any founder shares and any public shares held by them in connection with the completion of a business combination.</w:t>
      </w:r>
    </w:p>
    <w:p>
      <w:pPr>
        <w:spacing w:after="0" w:line="63" w:lineRule="exact"/>
        <w:rPr>
          <w:sz w:val="20"/>
          <w:szCs w:val="20"/>
          <w:color w:val="auto"/>
        </w:rPr>
      </w:pPr>
    </w:p>
    <w:p>
      <w:pPr>
        <w:ind w:left="1140" w:right="1579" w:firstLine="326"/>
        <w:spacing w:after="0" w:line="274" w:lineRule="auto"/>
        <w:rPr>
          <w:sz w:val="20"/>
          <w:szCs w:val="20"/>
          <w:color w:val="auto"/>
        </w:rPr>
      </w:pPr>
      <w:r>
        <w:rPr>
          <w:rFonts w:ascii="Arial" w:cs="Arial" w:eastAsia="Arial" w:hAnsi="Arial"/>
          <w:sz w:val="15"/>
          <w:szCs w:val="15"/>
          <w:color w:val="auto"/>
        </w:rPr>
        <w:t>Our amended and restated certificate of incorporation will provide that in no event will we redeem our public shares in an amount that would cause our net tangible assets, after payment of the deferred underwriting commissions, to be less than $5,000,001 (so that we do not then become subject to the SEC’s “penny stock” rules). Redemptions of our public shares may also be subject to a higher net tangible asset test or cash requirement pursuant to an agreement relating to our initial business combination. For example, the proposed business combination may require: (1) cash consideration to be paid to the target or its owners;</w:t>
      </w:r>
    </w:p>
    <w:p>
      <w:pPr>
        <w:spacing w:after="0" w:line="4" w:lineRule="exact"/>
        <w:rPr>
          <w:sz w:val="20"/>
          <w:szCs w:val="20"/>
          <w:color w:val="auto"/>
        </w:rPr>
      </w:pPr>
    </w:p>
    <w:p>
      <w:pPr>
        <w:ind w:left="4780" w:right="2559" w:hanging="3641"/>
        <w:spacing w:after="0" w:line="589" w:lineRule="auto"/>
        <w:tabs>
          <w:tab w:leader="none" w:pos="1391" w:val="left"/>
        </w:tabs>
        <w:numPr>
          <w:ilvl w:val="0"/>
          <w:numId w:val="47"/>
        </w:numPr>
        <w:rPr>
          <w:rFonts w:ascii="Arial" w:cs="Arial" w:eastAsia="Arial" w:hAnsi="Arial"/>
          <w:sz w:val="16"/>
          <w:szCs w:val="16"/>
          <w:color w:val="auto"/>
        </w:rPr>
      </w:pPr>
      <w:r>
        <w:rPr>
          <w:rFonts w:ascii="Arial" w:cs="Arial" w:eastAsia="Arial" w:hAnsi="Arial"/>
          <w:sz w:val="16"/>
          <w:szCs w:val="16"/>
          <w:color w:val="auto"/>
        </w:rPr>
        <w:t>cash to be transferred to the target for working capital or other general corporate purposes;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48260</wp:posOffset>
            </wp:positionV>
            <wp:extent cx="6166485"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6" w:name="page97"/>
    <w:bookmarkEnd w:id="96"/>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619"/>
        <w:spacing w:after="0" w:line="281" w:lineRule="auto"/>
        <w:rPr>
          <w:sz w:val="20"/>
          <w:szCs w:val="20"/>
          <w:color w:val="auto"/>
        </w:rPr>
      </w:pPr>
      <w:r>
        <w:rPr>
          <w:rFonts w:ascii="Arial" w:cs="Arial" w:eastAsia="Arial" w:hAnsi="Arial"/>
          <w:sz w:val="15"/>
          <w:szCs w:val="15"/>
          <w:color w:val="auto"/>
        </w:rPr>
        <w:t>or (3) the retention of cash to satisfy other conditions in accordance with the terms of the proposed business combination. In the event the aggregate cash consideration we would be required to pay for all shares of Class A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shares of Class A common stock submitted for redemption will be returned to the holders thereof.</w:t>
      </w:r>
    </w:p>
    <w:p>
      <w:pPr>
        <w:spacing w:after="0" w:line="142"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Limitation on redemption upon completion of our initial business combination if we seek stockholder approval</w:t>
      </w:r>
    </w:p>
    <w:p>
      <w:pPr>
        <w:spacing w:after="0" w:line="124" w:lineRule="exact"/>
        <w:rPr>
          <w:sz w:val="20"/>
          <w:szCs w:val="20"/>
          <w:color w:val="auto"/>
        </w:rPr>
      </w:pPr>
    </w:p>
    <w:p>
      <w:pPr>
        <w:ind w:left="1140" w:right="1579" w:firstLine="326"/>
        <w:spacing w:after="0" w:line="274" w:lineRule="auto"/>
        <w:rPr>
          <w:sz w:val="20"/>
          <w:szCs w:val="20"/>
          <w:color w:val="auto"/>
        </w:rPr>
      </w:pPr>
      <w:r>
        <w:rPr>
          <w:rFonts w:ascii="Arial" w:cs="Arial" w:eastAsia="Arial" w:hAnsi="Arial"/>
          <w:sz w:val="15"/>
          <w:szCs w:val="15"/>
          <w:color w:val="auto"/>
        </w:rPr>
        <w:t>Notwithstanding the foregoing, 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without our prior consent, which we refer to as the “Excess Shares.” We believe this restriction will discourage stockholders from accumulating large blocks of shares, and subsequent attempts by such holders to use their ability to exercise their redemption rights against a proposed business combination as a means to force us or our affiliates to purchase their shares at a significant premium to the then-current market price or on other undesirable terms. Absent this provision, a public stockholder holding more than an aggregate of 15% of the shares sold in this offering could threaten to exercise its redemption rights if such holder’s shares are not purchased by us or our affiliates at a premium to the then-current market price or on other undesirable terms. By limiting our stockholders’ ability to redeem no more than 15% of the shares sold in this offering,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stockholders’ ability to vote all of their shares (including Excess Shares) for or against our initial business combination.</w:t>
      </w:r>
    </w:p>
    <w:p>
      <w:pPr>
        <w:spacing w:after="0" w:line="15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Tendering stock certificates in connection with a tender offer or redemption rights</w:t>
      </w:r>
    </w:p>
    <w:p>
      <w:pPr>
        <w:spacing w:after="0" w:line="101" w:lineRule="exact"/>
        <w:rPr>
          <w:sz w:val="20"/>
          <w:szCs w:val="20"/>
          <w:color w:val="auto"/>
        </w:rPr>
      </w:pPr>
    </w:p>
    <w:p>
      <w:pPr>
        <w:ind w:left="1140" w:right="1599" w:firstLine="326"/>
        <w:spacing w:after="0" w:line="274" w:lineRule="auto"/>
        <w:rPr>
          <w:sz w:val="20"/>
          <w:szCs w:val="20"/>
          <w:color w:val="auto"/>
        </w:rPr>
      </w:pPr>
      <w:r>
        <w:rPr>
          <w:rFonts w:ascii="Arial" w:cs="Arial" w:eastAsia="Arial" w:hAnsi="Arial"/>
          <w:sz w:val="15"/>
          <w:szCs w:val="15"/>
          <w:color w:val="auto"/>
        </w:rPr>
        <w:t>We may require our public stockholders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vote on the proposal to approve the business combination in the event we distribute proxy materials or to deliver their shares to the transfer agent electronically using The Depository Trust Company’s DWAC (Deposit/Withdrawal At Custodian) System, rather than simply voting against the initial business combination at the holder’s option. The tender offer or proxy materials, as applicable, that we will furnish to holders of our public shares in connection with our initial business combination will indicate whether we are requiring public stockholders to satisfy such delivery requirements, which will include the requirement that any beneficial owner on whose behalf a redemption right is being exercised must identify itself in order to validly redeem its shares. Accordingly, a public stockholder would have from the time we send out our tender offer materials until the close of the tender offer period, or up to two business days prior to the vote on the business combination if we distribute proxy materials, as applicable, to tender its shares if it wishes to seek to exercise its redemption rights. Pursuant to the tender offer rules, the tender offer period will be not less than 20 business days and, in the case of a stockholder vote, a final proxy statement would be mailed to public stockholders at least 10 days prior to the stockholder vote. However, we expect that a draft proxy statement would be made available to such stockholders well in advance of such time, providing additional notice of redemption if we conduct redemptions in conjunction with a proxy solicitation. Given the relatively short exercise period, it is advisable for stockholders to use electronic delivery of their public shares.</w:t>
      </w:r>
    </w:p>
    <w:p>
      <w:pPr>
        <w:spacing w:after="0" w:line="270" w:lineRule="exact"/>
        <w:rPr>
          <w:sz w:val="20"/>
          <w:szCs w:val="20"/>
          <w:color w:val="auto"/>
        </w:rPr>
      </w:pPr>
    </w:p>
    <w:p>
      <w:pPr>
        <w:ind w:left="1140" w:right="1639" w:firstLine="326"/>
        <w:spacing w:after="0" w:line="296" w:lineRule="auto"/>
        <w:rPr>
          <w:sz w:val="20"/>
          <w:szCs w:val="20"/>
          <w:color w:val="auto"/>
        </w:rPr>
      </w:pPr>
      <w:r>
        <w:rPr>
          <w:rFonts w:ascii="Arial" w:cs="Arial" w:eastAsia="Arial" w:hAnsi="Arial"/>
          <w:sz w:val="15"/>
          <w:szCs w:val="15"/>
          <w:color w:val="auto"/>
        </w:rPr>
        <w:t>There is a nominal cost associated with the above-referenced tendering process and the act of certificating the shares or delivering them through The Depository Trust Company’s DWAC (Deposit/ Withdrawal At Custodian) System. The transfer agent will typically charge the tendering broker $80.00 and</w:t>
      </w:r>
    </w:p>
    <w:p>
      <w:pPr>
        <w:spacing w:after="0" w:line="206"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7" w:name="page98"/>
    <w:bookmarkEnd w:id="97"/>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599"/>
        <w:spacing w:after="0" w:line="265" w:lineRule="auto"/>
        <w:rPr>
          <w:sz w:val="20"/>
          <w:szCs w:val="20"/>
          <w:color w:val="auto"/>
        </w:rPr>
      </w:pPr>
      <w:r>
        <w:rPr>
          <w:rFonts w:ascii="Arial" w:cs="Arial" w:eastAsia="Arial" w:hAnsi="Arial"/>
          <w:sz w:val="16"/>
          <w:szCs w:val="16"/>
          <w:color w:val="auto"/>
        </w:rPr>
        <w:t>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68" w:lineRule="exact"/>
        <w:rPr>
          <w:sz w:val="20"/>
          <w:szCs w:val="20"/>
          <w:color w:val="auto"/>
        </w:rPr>
      </w:pPr>
    </w:p>
    <w:p>
      <w:pPr>
        <w:ind w:left="1140" w:right="1579" w:firstLine="326"/>
        <w:spacing w:after="0" w:line="257" w:lineRule="auto"/>
        <w:rPr>
          <w:sz w:val="20"/>
          <w:szCs w:val="20"/>
          <w:color w:val="auto"/>
        </w:rPr>
      </w:pPr>
      <w:r>
        <w:rPr>
          <w:rFonts w:ascii="Arial" w:cs="Arial" w:eastAsia="Arial" w:hAnsi="Arial"/>
          <w:sz w:val="16"/>
          <w:szCs w:val="16"/>
          <w:color w:val="auto"/>
        </w:rPr>
        <w:t>The foregoing is different from the procedures used by many blank check companies. In order to perfect redemption rights in connection with their business combinations, many blank check companies would distribute proxy materials for the stockholders’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stockholder to arrange for him or her to deliver his or her certificate to verify ownership. As a result, the stockholder then had an “option window” after the completion of the business combination during which he or she could monitor the price of the company’s stock in the market. If the price rose above the redemption price, he or she could sell his or her shares in the open market before actually delivering his or her shares to the company for cancellation. As a result, the redemption rights, to which stockholders were aware they needed to commit before the stockholder meeting, would become “option” rights surviving past the completion of the business combination until the redeeming holder delivered its certificate. The requirement for physical or electronic delivery prior to the meeting ensures that a redeeming holder’s election to redeem is irrevocable once the business combination is approved.</w:t>
      </w:r>
    </w:p>
    <w:p>
      <w:pPr>
        <w:spacing w:after="0" w:line="78" w:lineRule="exact"/>
        <w:rPr>
          <w:sz w:val="20"/>
          <w:szCs w:val="20"/>
          <w:color w:val="auto"/>
        </w:rPr>
      </w:pPr>
    </w:p>
    <w:p>
      <w:pPr>
        <w:ind w:left="1140" w:right="1659" w:firstLine="326"/>
        <w:spacing w:after="0" w:line="280" w:lineRule="auto"/>
        <w:rPr>
          <w:sz w:val="20"/>
          <w:szCs w:val="20"/>
          <w:color w:val="auto"/>
        </w:rPr>
      </w:pPr>
      <w:r>
        <w:rPr>
          <w:rFonts w:ascii="Arial" w:cs="Arial" w:eastAsia="Arial" w:hAnsi="Arial"/>
          <w:sz w:val="15"/>
          <w:szCs w:val="15"/>
          <w:color w:val="auto"/>
        </w:rPr>
        <w:t>Any request to redeem such shares, once made, may be withdrawn at any time up to the date set forth in the tender offer materials or the date of the stockholder meeting set forth in our proxy materials, as applicable.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59" w:lineRule="exact"/>
        <w:rPr>
          <w:sz w:val="20"/>
          <w:szCs w:val="20"/>
          <w:color w:val="auto"/>
        </w:rPr>
      </w:pPr>
    </w:p>
    <w:p>
      <w:pPr>
        <w:ind w:left="1140" w:right="1599" w:firstLine="326"/>
        <w:spacing w:after="0" w:line="265" w:lineRule="auto"/>
        <w:rPr>
          <w:sz w:val="20"/>
          <w:szCs w:val="20"/>
          <w:color w:val="auto"/>
        </w:rPr>
      </w:pPr>
      <w:r>
        <w:rPr>
          <w:rFonts w:ascii="Arial" w:cs="Arial" w:eastAsia="Arial" w:hAnsi="Arial"/>
          <w:sz w:val="16"/>
          <w:szCs w:val="16"/>
          <w:color w:val="auto"/>
        </w:rPr>
        <w:t>If our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68" w:lineRule="exact"/>
        <w:rPr>
          <w:sz w:val="20"/>
          <w:szCs w:val="20"/>
          <w:color w:val="auto"/>
        </w:rPr>
      </w:pPr>
    </w:p>
    <w:p>
      <w:pPr>
        <w:ind w:left="1140" w:right="1859" w:firstLine="326"/>
        <w:spacing w:after="0" w:line="285" w:lineRule="auto"/>
        <w:rPr>
          <w:sz w:val="20"/>
          <w:szCs w:val="20"/>
          <w:color w:val="auto"/>
        </w:rPr>
      </w:pPr>
      <w:r>
        <w:rPr>
          <w:rFonts w:ascii="Arial" w:cs="Arial" w:eastAsia="Arial" w:hAnsi="Arial"/>
          <w:sz w:val="16"/>
          <w:szCs w:val="16"/>
          <w:color w:val="auto"/>
        </w:rPr>
        <w:t>If our initial proposed business combination is not completed, we may continue to try to complete a business combination with a different target until the end of the completion window.</w:t>
      </w:r>
    </w:p>
    <w:p>
      <w:pPr>
        <w:spacing w:after="0" w:line="13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Redemption of public shares and liquidation if no initial business combination</w:t>
      </w:r>
    </w:p>
    <w:p>
      <w:pPr>
        <w:spacing w:after="0" w:line="101" w:lineRule="exact"/>
        <w:rPr>
          <w:sz w:val="20"/>
          <w:szCs w:val="20"/>
          <w:color w:val="auto"/>
        </w:rPr>
      </w:pPr>
    </w:p>
    <w:p>
      <w:pPr>
        <w:ind w:left="1140" w:right="1579" w:firstLine="326"/>
        <w:spacing w:after="0" w:line="257" w:lineRule="auto"/>
        <w:rPr>
          <w:sz w:val="20"/>
          <w:szCs w:val="20"/>
          <w:color w:val="auto"/>
        </w:rPr>
      </w:pPr>
      <w:r>
        <w:rPr>
          <w:rFonts w:ascii="Arial" w:cs="Arial" w:eastAsia="Arial" w:hAnsi="Arial"/>
          <w:sz w:val="16"/>
          <w:szCs w:val="16"/>
          <w:color w:val="auto"/>
        </w:rPr>
        <w:t>Our amended and restated certificate of incorporation provides that we will have only the time of the completion window to complete our initial business combination. If we are unable to complete our initial business combination within such period, we will: (1) cease all operations except for the purpose of winding up; (2) as promptly as reasonably possible but not more than ten business days thereafter, redeem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completion window.</w:t>
      </w:r>
    </w:p>
    <w:p>
      <w:pPr>
        <w:spacing w:after="0" w:line="79" w:lineRule="exact"/>
        <w:rPr>
          <w:sz w:val="20"/>
          <w:szCs w:val="20"/>
          <w:color w:val="auto"/>
        </w:rPr>
      </w:pPr>
    </w:p>
    <w:p>
      <w:pPr>
        <w:ind w:left="1140" w:right="1639" w:firstLine="326"/>
        <w:spacing w:after="0" w:line="296" w:lineRule="auto"/>
        <w:rPr>
          <w:sz w:val="20"/>
          <w:szCs w:val="20"/>
          <w:color w:val="auto"/>
        </w:rPr>
      </w:pPr>
      <w:r>
        <w:rPr>
          <w:rFonts w:ascii="Arial" w:cs="Arial" w:eastAsia="Arial" w:hAnsi="Arial"/>
          <w:sz w:val="15"/>
          <w:szCs w:val="15"/>
          <w:color w:val="auto"/>
        </w:rPr>
        <w:t>Our initial stockholders,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the completion</w:t>
      </w:r>
    </w:p>
    <w:p>
      <w:pPr>
        <w:spacing w:after="0" w:line="206"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8" w:name="page99"/>
    <w:bookmarkEnd w:id="98"/>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899"/>
        <w:spacing w:after="0" w:line="270" w:lineRule="auto"/>
        <w:rPr>
          <w:sz w:val="20"/>
          <w:szCs w:val="20"/>
          <w:color w:val="auto"/>
        </w:rPr>
      </w:pPr>
      <w:r>
        <w:rPr>
          <w:rFonts w:ascii="Arial" w:cs="Arial" w:eastAsia="Arial" w:hAnsi="Arial"/>
          <w:sz w:val="16"/>
          <w:szCs w:val="16"/>
          <w:color w:val="auto"/>
        </w:rPr>
        <w:t>window. However, if our sponsor or any of our officers and directors acquires public shares after this offering, it will be entitled to liquidating distributions from the trust account with respect to such public shares if we fail to complete our initial business combination within the completion window.</w:t>
      </w:r>
    </w:p>
    <w:p>
      <w:pPr>
        <w:spacing w:after="0" w:line="64" w:lineRule="exact"/>
        <w:rPr>
          <w:sz w:val="20"/>
          <w:szCs w:val="20"/>
          <w:color w:val="auto"/>
        </w:rPr>
      </w:pPr>
    </w:p>
    <w:p>
      <w:pPr>
        <w:ind w:left="1140" w:right="1619" w:firstLine="326"/>
        <w:spacing w:after="0" w:line="258" w:lineRule="auto"/>
        <w:rPr>
          <w:sz w:val="20"/>
          <w:szCs w:val="20"/>
          <w:color w:val="auto"/>
        </w:rPr>
      </w:pPr>
      <w:r>
        <w:rPr>
          <w:rFonts w:ascii="Arial" w:cs="Arial" w:eastAsia="Arial" w:hAnsi="Arial"/>
          <w:sz w:val="16"/>
          <w:szCs w:val="16"/>
          <w:color w:val="auto"/>
        </w:rPr>
        <w:t>Our sponsor, officers and directors have agreed, pursuant to a written agreement with us, that they will not propose any amendment to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unless we provide our public stockholders with the opportunity to redeem their shares of Class A common stock upon approval of any such amendment at a per share price, payable in cash, equal to the aggregate amount then on deposit in the trust account, including interest (net of permitted withdrawals), divided by the number of then outstanding public shares. However, we may not redeem our public shares in an amount that would cause our net tangible assets, after payment of the deferred underwriting commissions, to be less than $5,000,001 (so that we do not then become subject to the SEC’s “penny stock” rules).</w:t>
      </w:r>
    </w:p>
    <w:p>
      <w:pPr>
        <w:spacing w:after="0" w:line="75" w:lineRule="exact"/>
        <w:rPr>
          <w:sz w:val="20"/>
          <w:szCs w:val="20"/>
          <w:color w:val="auto"/>
        </w:rPr>
      </w:pPr>
    </w:p>
    <w:p>
      <w:pPr>
        <w:ind w:left="1140" w:right="1579" w:firstLine="326"/>
        <w:spacing w:after="0" w:line="281" w:lineRule="auto"/>
        <w:rPr>
          <w:sz w:val="20"/>
          <w:szCs w:val="20"/>
          <w:color w:val="auto"/>
        </w:rPr>
      </w:pPr>
      <w:r>
        <w:rPr>
          <w:rFonts w:ascii="Arial" w:cs="Arial" w:eastAsia="Arial" w:hAnsi="Arial"/>
          <w:sz w:val="15"/>
          <w:szCs w:val="15"/>
          <w:color w:val="auto"/>
        </w:rPr>
        <w:t>We expect that all costs and expenses associated with implementing our plan of dissolution, as well as payments to any creditors, will be funded from amounts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spacing w:after="0" w:line="60" w:lineRule="exact"/>
        <w:rPr>
          <w:sz w:val="20"/>
          <w:szCs w:val="20"/>
          <w:color w:val="auto"/>
        </w:rPr>
      </w:pPr>
    </w:p>
    <w:p>
      <w:pPr>
        <w:ind w:left="1140" w:right="1679" w:firstLine="326"/>
        <w:spacing w:after="0" w:line="276" w:lineRule="auto"/>
        <w:rPr>
          <w:sz w:val="20"/>
          <w:szCs w:val="20"/>
          <w:color w:val="auto"/>
        </w:rPr>
      </w:pPr>
      <w:r>
        <w:rPr>
          <w:rFonts w:ascii="Arial" w:cs="Arial" w:eastAsia="Arial" w:hAnsi="Arial"/>
          <w:sz w:val="15"/>
          <w:szCs w:val="15"/>
          <w:color w:val="auto"/>
        </w:rPr>
        <w:t>If we were to expend all of the net proceeds of this offering and the sale of the private placement warrants, other than the proceeds deposited in the trust account, and without taking into account interest, if any, earned on the trust account and any tax payments or expenses for the dissolution of the trust, the per share redemption amount received by stockholders upon our dissolution would be $10.00. The proceeds deposited in the trust account could, however, become subject to the claims of our creditors which would have higher priority than the claims of our public stockholders. We cannot assure you that the actual per share redemption amount received by stockholders will not be substantially less than $10.00. Please see “Risk Factors — If third parties bring claims against us, the proceeds held in the trust account could be reduced and the per share redemption amount received by stockholders may be less than $10.00 per share” and other risk factors described above. Under Section 281(b) of the DGCL, our plan of dissolution must provide for all claims against us to be paid in full or make provision for payments to be made in full, as applicable, if there are sufficient assets. These claims must be paid or provided for before we make any distribution of our remaining assets to our stockholders. While we intend to pay such amounts, if any, we cannot assure you that we will have funds sufficient to pay or provide for all creditors’ claims.</w:t>
      </w:r>
    </w:p>
    <w:p>
      <w:pPr>
        <w:spacing w:after="0" w:line="61" w:lineRule="exact"/>
        <w:rPr>
          <w:sz w:val="20"/>
          <w:szCs w:val="20"/>
          <w:color w:val="auto"/>
        </w:rPr>
      </w:pPr>
    </w:p>
    <w:p>
      <w:pPr>
        <w:ind w:left="1140" w:right="1579" w:firstLine="326"/>
        <w:spacing w:after="0" w:line="274" w:lineRule="auto"/>
        <w:rPr>
          <w:sz w:val="20"/>
          <w:szCs w:val="20"/>
          <w:color w:val="auto"/>
        </w:rPr>
      </w:pPr>
      <w:r>
        <w:rPr>
          <w:rFonts w:ascii="Arial" w:cs="Arial" w:eastAsia="Arial" w:hAnsi="Arial"/>
          <w:sz w:val="15"/>
          <w:szCs w:val="15"/>
          <w:color w:val="auto"/>
        </w:rPr>
        <w:t>Although we will seek to have all vendors, service providers (other than our independent registered public accounting firm), prospective target businesses or other entities with which we do business execute agreements with us waiving any right, title, interest or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we are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w:t>
      </w:r>
    </w:p>
    <w:p>
      <w:pPr>
        <w:spacing w:after="0" w:line="234"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9" w:name="page100"/>
    <w:bookmarkEnd w:id="99"/>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579"/>
        <w:spacing w:after="0" w:line="256" w:lineRule="auto"/>
        <w:rPr>
          <w:sz w:val="20"/>
          <w:szCs w:val="20"/>
          <w:color w:val="auto"/>
        </w:rPr>
      </w:pPr>
      <w:r>
        <w:rPr>
          <w:rFonts w:ascii="Arial" w:cs="Arial" w:eastAsia="Arial" w:hAnsi="Arial"/>
          <w:sz w:val="16"/>
          <w:szCs w:val="16"/>
          <w:color w:val="auto"/>
        </w:rPr>
        <w:t>liable to us if and to the extent any claims by a third party (other than our independent registered public accounting firm) for services rendered or products sold to us, or a prospective target business with which we have discussed entering into a transaction agreement, reduce the amount of funds in the trust account to below (1) $10.00 per public share or (2) the actual amount per public share held in the trust account as of the date of the liquidation of the trust account, if less than $10.00 per share due to reductions in the value of the trust assets, in each case net of permitted withdrawals, except as to any claims by a third party that executed a waiver of any and all rights to the monies held in the trust account (whether any such waiver is enforceable) and except as to any claims under our indemnity of the underwriters of this offering against certain liabilities, including liabilities under the Securities Act.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will indemnify us for claims by third parties including, without limitation, claims by vendors and prospective target businesses. None of our other officers will indemnify us for claims by third parties including, without limitation, claims by vendors and prospective target businesses.</w:t>
      </w:r>
    </w:p>
    <w:p>
      <w:pPr>
        <w:spacing w:after="0" w:line="87"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In the event that the proceeds in the trust account are reduced below: (1) $10.00 per public share; or</w:t>
      </w:r>
    </w:p>
    <w:p>
      <w:pPr>
        <w:spacing w:after="0" w:line="23" w:lineRule="exact"/>
        <w:rPr>
          <w:sz w:val="20"/>
          <w:szCs w:val="20"/>
          <w:color w:val="auto"/>
        </w:rPr>
      </w:pPr>
    </w:p>
    <w:p>
      <w:pPr>
        <w:ind w:left="1140" w:right="1599" w:hanging="1"/>
        <w:spacing w:after="0" w:line="274" w:lineRule="auto"/>
        <w:tabs>
          <w:tab w:leader="none" w:pos="1384"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actual amount per public share held in the trust account as of the date of the liquidation of the trust account, if less than $10.00 per share due to reductions in the value of the trust assets, in each case net of permitted withdrawals,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certain instances. For example, the cost of such legal action may be deemed by the independent directors to be too high relative to the amount recoverable or the independent directors may determine that a favorable outcome is not likely. Accordingly, we cannot assure you that due to claims of creditors the actual value of the per share redemption price will not be substantially less than $10.00 per share. Please see “Risk Factors — If third parties bring claims against us, the proceeds held in the trust account could be reduced and the per share redemption amount received by stockholders may be less than $10.00 per share” and other risk factors described above.</w:t>
      </w:r>
    </w:p>
    <w:p>
      <w:pPr>
        <w:spacing w:after="0" w:line="69" w:lineRule="exact"/>
        <w:rPr>
          <w:sz w:val="20"/>
          <w:szCs w:val="20"/>
          <w:color w:val="auto"/>
        </w:rPr>
      </w:pPr>
    </w:p>
    <w:p>
      <w:pPr>
        <w:ind w:left="1140" w:right="1599" w:firstLine="326"/>
        <w:spacing w:after="0" w:line="279" w:lineRule="auto"/>
        <w:rPr>
          <w:sz w:val="20"/>
          <w:szCs w:val="20"/>
          <w:color w:val="auto"/>
        </w:rPr>
      </w:pPr>
      <w:r>
        <w:rPr>
          <w:rFonts w:ascii="Arial" w:cs="Arial" w:eastAsia="Arial" w:hAnsi="Arial"/>
          <w:sz w:val="15"/>
          <w:szCs w:val="15"/>
          <w:color w:val="auto"/>
        </w:rPr>
        <w:t>We will seek to reduce the possibility that our sponsor will have to indemnify the trust account due to claims of creditors by endeavoring to have all vendors, service providers (other than our independent registered public accounting firm),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In the event that we liquidate and it is subsequently determined that the reserve for claims and liabilities is insufficient, stockholders who received funds from our trust account could be liable for claims made by creditors.</w:t>
      </w:r>
    </w:p>
    <w:p>
      <w:pPr>
        <w:spacing w:after="0" w:line="59" w:lineRule="exact"/>
        <w:rPr>
          <w:sz w:val="20"/>
          <w:szCs w:val="20"/>
          <w:color w:val="auto"/>
        </w:rPr>
      </w:pPr>
    </w:p>
    <w:p>
      <w:pPr>
        <w:ind w:left="1140" w:right="1559" w:firstLine="326"/>
        <w:spacing w:after="0" w:line="259" w:lineRule="auto"/>
        <w:rPr>
          <w:sz w:val="20"/>
          <w:szCs w:val="20"/>
          <w:color w:val="auto"/>
        </w:rPr>
      </w:pPr>
      <w:r>
        <w:rPr>
          <w:rFonts w:ascii="Arial" w:cs="Arial" w:eastAsia="Arial" w:hAnsi="Arial"/>
          <w:sz w:val="16"/>
          <w:szCs w:val="16"/>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the completion window may be considered a liquidating distribution under Delaware law.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w:t>
      </w:r>
    </w:p>
    <w:p>
      <w:pPr>
        <w:spacing w:after="0" w:line="231"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0" w:name="page101"/>
    <w:bookmarkEnd w:id="100"/>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579"/>
        <w:spacing w:after="0" w:line="270" w:lineRule="auto"/>
        <w:rPr>
          <w:sz w:val="20"/>
          <w:szCs w:val="20"/>
          <w:color w:val="auto"/>
        </w:rPr>
      </w:pPr>
      <w:r>
        <w:rPr>
          <w:rFonts w:ascii="Arial" w:cs="Arial" w:eastAsia="Arial" w:hAnsi="Arial"/>
          <w:sz w:val="16"/>
          <w:szCs w:val="16"/>
          <w:color w:val="auto"/>
        </w:rPr>
        <w:t>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64" w:lineRule="exact"/>
        <w:rPr>
          <w:sz w:val="20"/>
          <w:szCs w:val="20"/>
          <w:color w:val="auto"/>
        </w:rPr>
      </w:pPr>
    </w:p>
    <w:p>
      <w:pPr>
        <w:ind w:left="1140" w:right="1639" w:firstLine="326"/>
        <w:spacing w:after="0" w:line="275" w:lineRule="auto"/>
        <w:rPr>
          <w:sz w:val="20"/>
          <w:szCs w:val="20"/>
          <w:color w:val="auto"/>
        </w:rPr>
      </w:pPr>
      <w:r>
        <w:rPr>
          <w:rFonts w:ascii="Arial" w:cs="Arial" w:eastAsia="Arial" w:hAnsi="Arial"/>
          <w:sz w:val="15"/>
          <w:szCs w:val="15"/>
          <w:color w:val="auto"/>
        </w:rPr>
        <w:t>Furthermore, if the pro rata portion of our trust account distributed to our public stockholders upon the redemption of our public shares in the event we do not complete our initial business combination within the completion window, is not considered a liquidating distribution under Delaware law and such redemption distribution is deemed to be unlawful, then pursuant to Section 174 of the DGCL, the statute of limitations for claims of creditors could then be six years after the unlawful redemption distribution, instead of</w:t>
      </w:r>
    </w:p>
    <w:p>
      <w:pPr>
        <w:spacing w:after="0" w:line="2" w:lineRule="exact"/>
        <w:rPr>
          <w:sz w:val="20"/>
          <w:szCs w:val="20"/>
          <w:color w:val="auto"/>
        </w:rPr>
      </w:pPr>
    </w:p>
    <w:p>
      <w:pPr>
        <w:ind w:left="1140" w:right="1599"/>
        <w:spacing w:after="0" w:line="248" w:lineRule="auto"/>
        <w:rPr>
          <w:sz w:val="20"/>
          <w:szCs w:val="20"/>
          <w:color w:val="auto"/>
        </w:rPr>
      </w:pPr>
      <w:r>
        <w:rPr>
          <w:rFonts w:ascii="Arial" w:cs="Arial" w:eastAsia="Arial" w:hAnsi="Arial"/>
          <w:sz w:val="16"/>
          <w:szCs w:val="16"/>
          <w:color w:val="auto"/>
        </w:rPr>
        <w:t>three years, as in the case of a liquidating distribution. If we are unable to complete our initial business combination within the completion window, we will: (1) cease all operations except for the purpose of winding up; (2) as promptly as reasonably possible but not more than ten business days thereafter, redeem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Accordingly, it is our intention to redeem our public shares as soon as reasonably possible following our 24</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month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87" w:lineRule="exact"/>
        <w:rPr>
          <w:sz w:val="20"/>
          <w:szCs w:val="20"/>
          <w:color w:val="auto"/>
        </w:rPr>
      </w:pPr>
    </w:p>
    <w:p>
      <w:pPr>
        <w:ind w:left="1140" w:right="1579" w:firstLine="326"/>
        <w:spacing w:after="0" w:line="258" w:lineRule="auto"/>
        <w:rPr>
          <w:sz w:val="20"/>
          <w:szCs w:val="20"/>
          <w:color w:val="auto"/>
        </w:rPr>
      </w:pPr>
      <w:r>
        <w:rPr>
          <w:rFonts w:ascii="Arial" w:cs="Arial" w:eastAsia="Arial" w:hAnsi="Arial"/>
          <w:sz w:val="16"/>
          <w:szCs w:val="16"/>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subsequent ten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As described above, pursuant to the obligation contained in our underwriting agreement, we will seek to have all vendors, service providers (other than our independent registered public accounting firm), prospective target businesses or other entities with which we do business execute agreements with us waiving any right, title, interest or claim of any kind in or to any monies held in the trust account.</w:t>
      </w:r>
    </w:p>
    <w:p>
      <w:pPr>
        <w:spacing w:after="0" w:line="77" w:lineRule="exact"/>
        <w:rPr>
          <w:sz w:val="20"/>
          <w:szCs w:val="20"/>
          <w:color w:val="auto"/>
        </w:rPr>
      </w:pPr>
    </w:p>
    <w:p>
      <w:pPr>
        <w:ind w:left="1140" w:right="1659" w:firstLine="326"/>
        <w:spacing w:after="0" w:line="285" w:lineRule="auto"/>
        <w:rPr>
          <w:sz w:val="20"/>
          <w:szCs w:val="20"/>
          <w:color w:val="auto"/>
        </w:rPr>
      </w:pPr>
      <w:r>
        <w:rPr>
          <w:rFonts w:ascii="Arial" w:cs="Arial" w:eastAsia="Arial" w:hAnsi="Arial"/>
          <w:sz w:val="16"/>
          <w:szCs w:val="16"/>
          <w:color w:val="auto"/>
        </w:rPr>
        <w:t>As a result of this obligation, the claims that could be made against us are significantly limited and the likelihood that any claim that would result in any liability extending to the trust account is remote.</w:t>
      </w:r>
    </w:p>
    <w:p>
      <w:pPr>
        <w:spacing w:after="0" w:line="52" w:lineRule="exact"/>
        <w:rPr>
          <w:sz w:val="20"/>
          <w:szCs w:val="20"/>
          <w:color w:val="auto"/>
        </w:rPr>
      </w:pPr>
    </w:p>
    <w:p>
      <w:pPr>
        <w:ind w:left="1140" w:right="1579" w:firstLine="326"/>
        <w:spacing w:after="0" w:line="261" w:lineRule="auto"/>
        <w:rPr>
          <w:sz w:val="20"/>
          <w:szCs w:val="20"/>
          <w:color w:val="auto"/>
        </w:rPr>
      </w:pPr>
      <w:r>
        <w:rPr>
          <w:rFonts w:ascii="Arial" w:cs="Arial" w:eastAsia="Arial" w:hAnsi="Arial"/>
          <w:sz w:val="16"/>
          <w:szCs w:val="16"/>
          <w:color w:val="auto"/>
        </w:rPr>
        <w:t>Further, our sponsor may be liable only to the extent necessary to ensure that the amounts in the trust account are not reduced below: (1) $10.00 per public share; or (2) the actual amount per public share held in the trust account as of the date of the liquidation of the trust account, if less than $10.00 per share due to reductions in value of the trust assets, in each case net of permitted withdrawals and will not be liable as to any claims under our indemnity of the underwriters of this offering against certain liabilities, including liabilities under the Securities Act.</w:t>
      </w:r>
    </w:p>
    <w:p>
      <w:pPr>
        <w:spacing w:after="0" w:line="71" w:lineRule="exact"/>
        <w:rPr>
          <w:sz w:val="20"/>
          <w:szCs w:val="20"/>
          <w:color w:val="auto"/>
        </w:rPr>
      </w:pPr>
    </w:p>
    <w:p>
      <w:pPr>
        <w:ind w:left="1140" w:right="1639" w:firstLine="326"/>
        <w:spacing w:after="0" w:line="277" w:lineRule="auto"/>
        <w:rPr>
          <w:sz w:val="20"/>
          <w:szCs w:val="20"/>
          <w:color w:val="auto"/>
        </w:rPr>
      </w:pPr>
      <w:r>
        <w:rPr>
          <w:rFonts w:ascii="Arial" w:cs="Arial" w:eastAsia="Arial" w:hAnsi="Arial"/>
          <w:sz w:val="15"/>
          <w:szCs w:val="15"/>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$10.00 per share to our public stockholders. Additionally, if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Furthermore, our board may be viewed as having breached its fiduciary duty to our creditors and/or may have acted in bad faith, and thereby exposing itself and our company to claims of punitive damages, by paying public stockholders from the trust account</w:t>
      </w:r>
    </w:p>
    <w:p>
      <w:pPr>
        <w:spacing w:after="0" w:line="220"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1" w:name="page102"/>
    <w:bookmarkEnd w:id="101"/>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679"/>
        <w:spacing w:after="0" w:line="281" w:lineRule="auto"/>
        <w:rPr>
          <w:sz w:val="20"/>
          <w:szCs w:val="20"/>
          <w:color w:val="auto"/>
        </w:rPr>
      </w:pPr>
      <w:r>
        <w:rPr>
          <w:rFonts w:ascii="Arial" w:cs="Arial" w:eastAsia="Arial" w:hAnsi="Arial"/>
          <w:sz w:val="15"/>
          <w:szCs w:val="15"/>
          <w:color w:val="auto"/>
        </w:rPr>
        <w:t>prior to addressing the claims of creditors. We cannot assure you that claims will not be brought against us for these reasons. Please see “Risk Factors — 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60" w:lineRule="exact"/>
        <w:rPr>
          <w:sz w:val="20"/>
          <w:szCs w:val="20"/>
          <w:color w:val="auto"/>
        </w:rPr>
      </w:pPr>
    </w:p>
    <w:p>
      <w:pPr>
        <w:ind w:left="1140" w:right="1579" w:firstLine="326"/>
        <w:spacing w:after="0" w:line="259" w:lineRule="auto"/>
        <w:rPr>
          <w:sz w:val="20"/>
          <w:szCs w:val="20"/>
          <w:color w:val="auto"/>
        </w:rPr>
      </w:pPr>
      <w:r>
        <w:rPr>
          <w:rFonts w:ascii="Arial" w:cs="Arial" w:eastAsia="Arial" w:hAnsi="Arial"/>
          <w:sz w:val="16"/>
          <w:szCs w:val="16"/>
          <w:color w:val="auto"/>
        </w:rPr>
        <w:t>Our public stockholders will be entitled to receive funds from the trust account only in the event of the redemption of our public shares if we do not complete our initial business combination within the completion window or if they redeem their respective shares for cash upon the completion of the initial business combination. In no other circumstances will a stockholder have any right or interest of any kind to or in the trust account. In the event we seek stockholder approval in connection with our initial business combination, a stockholder’s voting in connection with our initial business combination alone will not result in a stockholder’s redeeming its shares to us for an applicable pro rata share of the trust account. Such stockholder must have also exercised its redemption rights described above.</w:t>
      </w:r>
    </w:p>
    <w:p>
      <w:pPr>
        <w:spacing w:after="0" w:line="157"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Amended and Restated Certificate of Incorporation</w:t>
      </w:r>
    </w:p>
    <w:p>
      <w:pPr>
        <w:spacing w:after="0" w:line="101" w:lineRule="exact"/>
        <w:rPr>
          <w:sz w:val="20"/>
          <w:szCs w:val="20"/>
          <w:color w:val="auto"/>
        </w:rPr>
      </w:pPr>
    </w:p>
    <w:p>
      <w:pPr>
        <w:ind w:left="1140" w:right="1619" w:firstLine="326"/>
        <w:spacing w:after="0" w:line="258" w:lineRule="auto"/>
        <w:rPr>
          <w:sz w:val="20"/>
          <w:szCs w:val="20"/>
          <w:color w:val="auto"/>
        </w:rPr>
      </w:pPr>
      <w:r>
        <w:rPr>
          <w:rFonts w:ascii="Arial" w:cs="Arial" w:eastAsia="Arial" w:hAnsi="Arial"/>
          <w:sz w:val="16"/>
          <w:szCs w:val="16"/>
          <w:color w:val="auto"/>
        </w:rPr>
        <w:t>Our amended and restated certificate of incorporation will contain certain requirements and restrictions relating to this offering that will apply to us until the consummation of our initial business combination. If we seek to amend any provisions of our amended and restated certificate of incorporation to modify the substance or timing of our obligation to provide for the redemption of our public shares in complete our initial business combination within the completion window or with respect to any other material provisions relating to the rights of holders of our Class A Common Stock or pre-initial business combination business activity, we will provide public stockholders with the opportunity to redeem their public shares in connection with any such vote. Our initial stockholders, officers and directors have agreed to waive any redemption rights with respect to any founder shares and any public shares held by them in connection with the completion of our initial business combination. Specifically, our amended and restated certificate of incorporation will provide, among other things, that:</w:t>
      </w:r>
    </w:p>
    <w:p>
      <w:pPr>
        <w:spacing w:after="0" w:line="75" w:lineRule="exact"/>
        <w:rPr>
          <w:sz w:val="20"/>
          <w:szCs w:val="20"/>
          <w:color w:val="auto"/>
        </w:rPr>
      </w:pPr>
    </w:p>
    <w:p>
      <w:pPr>
        <w:ind w:left="1800" w:right="1679" w:hanging="335"/>
        <w:spacing w:after="0" w:line="277" w:lineRule="auto"/>
        <w:tabs>
          <w:tab w:leader="none" w:pos="18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prior to the consummation of our initial business combination, we shall either: (1) seek stockholder approval of our initial business combination at a meeting called for such purpose at which stockholders may seek to redeem their shares, regardless of whether they vote for or against, or abstain from voting on, the proposed business combination, into their pro rata share of the aggregate amount on deposit in the trust account as of two business days prior to the consummation of our initial business combination, including interest (net of permitted withdrawals); or (2) provide our public stockholders with the opportunity to tender their shares to us by means of a tender offer (and thereby avoid the need for a stockholder vote) for an amount equal to their pro rata share of the aggregate amount on deposit in the trust account as of two business days prior to the consummation of our initial business combination, including interest (net of permitted withdrawals), in each case subject to the limitations described herein;</w:t>
      </w:r>
    </w:p>
    <w:p>
      <w:pPr>
        <w:spacing w:after="0" w:line="60" w:lineRule="exact"/>
        <w:rPr>
          <w:rFonts w:ascii="Arial" w:cs="Arial" w:eastAsia="Arial" w:hAnsi="Arial"/>
          <w:sz w:val="15"/>
          <w:szCs w:val="15"/>
          <w:color w:val="auto"/>
        </w:rPr>
      </w:pPr>
    </w:p>
    <w:p>
      <w:pPr>
        <w:jc w:val="both"/>
        <w:ind w:left="1800" w:right="1579" w:hanging="335"/>
        <w:spacing w:after="0" w:line="265" w:lineRule="auto"/>
        <w:tabs>
          <w:tab w:leader="none" w:pos="18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will consummate our initial business combination only if we have net tangible assets of at least $5,000,001 upon such consummation and, solely if we seek stockholder approval, a majority of the outstanding shares of common stock voted are voted in favor of the business combination at a duly held stockholders meeting;</w:t>
      </w:r>
    </w:p>
    <w:p>
      <w:pPr>
        <w:spacing w:after="0" w:line="68" w:lineRule="exact"/>
        <w:rPr>
          <w:rFonts w:ascii="Arial" w:cs="Arial" w:eastAsia="Arial" w:hAnsi="Arial"/>
          <w:sz w:val="16"/>
          <w:szCs w:val="16"/>
          <w:color w:val="auto"/>
        </w:rPr>
      </w:pPr>
    </w:p>
    <w:p>
      <w:pPr>
        <w:ind w:left="1800" w:right="1819" w:hanging="335"/>
        <w:spacing w:after="0" w:line="285" w:lineRule="auto"/>
        <w:tabs>
          <w:tab w:leader="none" w:pos="18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our initial business combination is not consummated within the completion window, then our existence will terminate and we will distribute all amounts in the trust account; and</w:t>
      </w:r>
    </w:p>
    <w:p>
      <w:pPr>
        <w:spacing w:after="0" w:line="52" w:lineRule="exact"/>
        <w:rPr>
          <w:rFonts w:ascii="Arial" w:cs="Arial" w:eastAsia="Arial" w:hAnsi="Arial"/>
          <w:sz w:val="16"/>
          <w:szCs w:val="16"/>
          <w:color w:val="auto"/>
        </w:rPr>
      </w:pPr>
    </w:p>
    <w:p>
      <w:pPr>
        <w:ind w:left="1800" w:right="1739" w:hanging="335"/>
        <w:spacing w:after="0" w:line="270" w:lineRule="auto"/>
        <w:tabs>
          <w:tab w:leader="none" w:pos="18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prior to our initial business combination, we may not issue additional shares of capital stock that would entitle the holders thereof to (1) receive funds from the trust account or (2) vote on any initial business combination.</w:t>
      </w:r>
    </w:p>
    <w:p>
      <w:pPr>
        <w:spacing w:after="0" w:line="64" w:lineRule="exact"/>
        <w:rPr>
          <w:sz w:val="20"/>
          <w:szCs w:val="20"/>
          <w:color w:val="auto"/>
        </w:rPr>
      </w:pPr>
    </w:p>
    <w:p>
      <w:pPr>
        <w:ind w:left="1140" w:right="1699" w:firstLine="326"/>
        <w:spacing w:after="0" w:line="284" w:lineRule="auto"/>
        <w:rPr>
          <w:sz w:val="20"/>
          <w:szCs w:val="20"/>
          <w:color w:val="auto"/>
        </w:rPr>
      </w:pPr>
      <w:r>
        <w:rPr>
          <w:rFonts w:ascii="Arial" w:cs="Arial" w:eastAsia="Arial" w:hAnsi="Arial"/>
          <w:sz w:val="15"/>
          <w:szCs w:val="15"/>
          <w:color w:val="auto"/>
        </w:rPr>
        <w:t>These provisions cannot be amended without the approval of holders of 65% of our common stock. In the event we seek stockholder approval in connection with our initial business combination, our amended and restated certificate of incorporation will provide that, unless otherwise required by applicable law or stock exchange rules, we may consummate our initial business combination only if approved by a majority of the shares of common stock voted by our stockholders at a duly held stockholders meeting.</w:t>
      </w:r>
    </w:p>
    <w:p>
      <w:pPr>
        <w:spacing w:after="0" w:line="215"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2" w:name="page103"/>
    <w:bookmarkEnd w:id="102"/>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40" w:right="1619"/>
        <w:spacing w:after="0" w:line="258" w:lineRule="auto"/>
        <w:rPr>
          <w:sz w:val="20"/>
          <w:szCs w:val="20"/>
          <w:color w:val="auto"/>
        </w:rPr>
      </w:pPr>
      <w:r>
        <w:rPr>
          <w:rFonts w:ascii="Arial" w:cs="Arial" w:eastAsia="Arial" w:hAnsi="Arial"/>
          <w:sz w:val="16"/>
          <w:szCs w:val="16"/>
          <w:b w:val="1"/>
          <w:bCs w:val="1"/>
          <w:color w:val="auto"/>
        </w:rPr>
        <w:t>Comparison of redemption or purchase prices in connection with our initial business combination and if we fail to complete our initial business combination</w:t>
      </w:r>
    </w:p>
    <w:p>
      <w:pPr>
        <w:spacing w:after="0" w:line="61" w:lineRule="exact"/>
        <w:rPr>
          <w:sz w:val="20"/>
          <w:szCs w:val="20"/>
          <w:color w:val="auto"/>
        </w:rPr>
      </w:pPr>
    </w:p>
    <w:p>
      <w:pPr>
        <w:ind w:left="1140" w:right="1639" w:firstLine="326"/>
        <w:spacing w:after="0" w:line="270" w:lineRule="auto"/>
        <w:rPr>
          <w:sz w:val="20"/>
          <w:szCs w:val="20"/>
          <w:color w:val="auto"/>
        </w:rPr>
      </w:pPr>
      <w:r>
        <w:rPr>
          <w:rFonts w:ascii="Arial" w:cs="Arial" w:eastAsia="Arial" w:hAnsi="Arial"/>
          <w:sz w:val="16"/>
          <w:szCs w:val="16"/>
          <w:color w:val="auto"/>
        </w:rPr>
        <w:t>The following table compares the redemptions and other permitted purchases of public shares that may take place in connection with the completion of our initial business combination and if we are unable to complete our initial business combination within the completion window.</w:t>
      </w:r>
    </w:p>
    <w:p>
      <w:pPr>
        <w:spacing w:after="0" w:line="93" w:lineRule="exact"/>
        <w:rPr>
          <w:sz w:val="20"/>
          <w:szCs w:val="20"/>
          <w:color w:val="auto"/>
        </w:rPr>
      </w:pPr>
    </w:p>
    <w:p>
      <w:pPr>
        <w:ind w:left="2520"/>
        <w:spacing w:after="0"/>
        <w:tabs>
          <w:tab w:leader="none" w:pos="4640" w:val="left"/>
          <w:tab w:leader="none" w:pos="6600" w:val="left"/>
        </w:tabs>
        <w:rPr>
          <w:sz w:val="20"/>
          <w:szCs w:val="20"/>
          <w:color w:val="auto"/>
        </w:rPr>
      </w:pPr>
      <w:r>
        <w:rPr>
          <w:rFonts w:ascii="Arial" w:cs="Arial" w:eastAsia="Arial" w:hAnsi="Arial"/>
          <w:sz w:val="13"/>
          <w:szCs w:val="13"/>
          <w:b w:val="1"/>
          <w:bCs w:val="1"/>
          <w:color w:val="auto"/>
        </w:rPr>
        <w:t>Redemptions in Connection with</w:t>
      </w:r>
      <w:r>
        <w:rPr>
          <w:sz w:val="20"/>
          <w:szCs w:val="20"/>
          <w:color w:val="auto"/>
        </w:rPr>
        <w:tab/>
      </w:r>
      <w:r>
        <w:rPr>
          <w:rFonts w:ascii="Arial" w:cs="Arial" w:eastAsia="Arial" w:hAnsi="Arial"/>
          <w:sz w:val="13"/>
          <w:szCs w:val="13"/>
          <w:b w:val="1"/>
          <w:bCs w:val="1"/>
          <w:color w:val="auto"/>
        </w:rPr>
        <w:t>Other Permitted Purchases of</w:t>
      </w:r>
      <w:r>
        <w:rPr>
          <w:sz w:val="20"/>
          <w:szCs w:val="20"/>
          <w:color w:val="auto"/>
        </w:rPr>
        <w:tab/>
      </w:r>
      <w:r>
        <w:rPr>
          <w:rFonts w:ascii="Arial" w:cs="Arial" w:eastAsia="Arial" w:hAnsi="Arial"/>
          <w:sz w:val="11"/>
          <w:szCs w:val="11"/>
          <w:b w:val="1"/>
          <w:bCs w:val="1"/>
          <w:color w:val="auto"/>
        </w:rPr>
        <w:t>Redemptions if we fail to Complete</w:t>
      </w:r>
    </w:p>
    <w:p>
      <w:pPr>
        <w:spacing w:after="0" w:line="11" w:lineRule="exact"/>
        <w:rPr>
          <w:sz w:val="20"/>
          <w:szCs w:val="20"/>
          <w:color w:val="auto"/>
        </w:rPr>
      </w:pPr>
    </w:p>
    <w:p>
      <w:pPr>
        <w:ind w:left="2540"/>
        <w:spacing w:after="0"/>
        <w:tabs>
          <w:tab w:leader="none" w:pos="4640" w:val="left"/>
          <w:tab w:leader="none" w:pos="6700" w:val="left"/>
        </w:tabs>
        <w:rPr>
          <w:sz w:val="20"/>
          <w:szCs w:val="20"/>
          <w:color w:val="auto"/>
        </w:rPr>
      </w:pPr>
      <w:r>
        <w:rPr>
          <w:rFonts w:ascii="Arial" w:cs="Arial" w:eastAsia="Arial" w:hAnsi="Arial"/>
          <w:sz w:val="13"/>
          <w:szCs w:val="13"/>
          <w:b w:val="1"/>
          <w:bCs w:val="1"/>
          <w:color w:val="auto"/>
        </w:rPr>
        <w:t>our Initial Business Combination</w:t>
      </w:r>
      <w:r>
        <w:rPr>
          <w:sz w:val="20"/>
          <w:szCs w:val="20"/>
          <w:color w:val="auto"/>
        </w:rPr>
        <w:tab/>
      </w:r>
      <w:r>
        <w:rPr>
          <w:rFonts w:ascii="Arial" w:cs="Arial" w:eastAsia="Arial" w:hAnsi="Arial"/>
          <w:sz w:val="13"/>
          <w:szCs w:val="13"/>
          <w:b w:val="1"/>
          <w:bCs w:val="1"/>
          <w:color w:val="auto"/>
        </w:rPr>
        <w:t>Public Shares by our Affiliates</w:t>
      </w:r>
      <w:r>
        <w:rPr>
          <w:sz w:val="20"/>
          <w:szCs w:val="20"/>
          <w:color w:val="auto"/>
        </w:rPr>
        <w:tab/>
      </w:r>
      <w:r>
        <w:rPr>
          <w:rFonts w:ascii="Arial" w:cs="Arial" w:eastAsia="Arial" w:hAnsi="Arial"/>
          <w:sz w:val="11"/>
          <w:szCs w:val="11"/>
          <w:b w:val="1"/>
          <w:bCs w:val="1"/>
          <w:color w:val="auto"/>
        </w:rPr>
        <w:t>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1575435</wp:posOffset>
            </wp:positionH>
            <wp:positionV relativeFrom="paragraph">
              <wp:posOffset>17780</wp:posOffset>
            </wp:positionV>
            <wp:extent cx="385191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51910" cy="762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60" w:lineRule="exact"/>
        <w:rPr>
          <w:sz w:val="20"/>
          <w:szCs w:val="20"/>
          <w:color w:val="auto"/>
        </w:rPr>
      </w:pPr>
    </w:p>
    <w:p>
      <w:pPr>
        <w:ind w:left="1140"/>
        <w:spacing w:after="0" w:line="251" w:lineRule="auto"/>
        <w:rPr>
          <w:sz w:val="20"/>
          <w:szCs w:val="20"/>
          <w:color w:val="auto"/>
        </w:rPr>
      </w:pPr>
      <w:r>
        <w:rPr>
          <w:rFonts w:ascii="Arial" w:cs="Arial" w:eastAsia="Arial" w:hAnsi="Arial"/>
          <w:sz w:val="16"/>
          <w:szCs w:val="16"/>
          <w:b w:val="1"/>
          <w:bCs w:val="1"/>
          <w:color w:val="auto"/>
        </w:rPr>
        <w:t xml:space="preserve">Calculation of </w:t>
      </w:r>
      <w:r>
        <w:rPr>
          <w:rFonts w:ascii="Arial" w:cs="Arial" w:eastAsia="Arial" w:hAnsi="Arial"/>
          <w:sz w:val="16"/>
          <w:szCs w:val="16"/>
          <w:color w:val="auto"/>
        </w:rPr>
        <w:t>Redemptions at the time of</w:t>
      </w:r>
      <w:r>
        <w:rPr>
          <w:rFonts w:ascii="Arial" w:cs="Arial" w:eastAsia="Arial" w:hAnsi="Arial"/>
          <w:sz w:val="16"/>
          <w:szCs w:val="16"/>
          <w:b w:val="1"/>
          <w:bCs w:val="1"/>
          <w:color w:val="auto"/>
        </w:rPr>
        <w:t xml:space="preserve"> redemption price </w:t>
      </w:r>
      <w:r>
        <w:rPr>
          <w:rFonts w:ascii="Arial" w:cs="Arial" w:eastAsia="Arial" w:hAnsi="Arial"/>
          <w:sz w:val="16"/>
          <w:szCs w:val="16"/>
          <w:color w:val="auto"/>
        </w:rPr>
        <w:t>our initial business</w:t>
      </w:r>
    </w:p>
    <w:p>
      <w:pPr>
        <w:ind w:left="2480"/>
        <w:spacing w:after="0"/>
        <w:rPr>
          <w:sz w:val="20"/>
          <w:szCs w:val="20"/>
          <w:color w:val="auto"/>
        </w:rPr>
      </w:pPr>
      <w:r>
        <w:rPr>
          <w:rFonts w:ascii="Arial" w:cs="Arial" w:eastAsia="Arial" w:hAnsi="Arial"/>
          <w:sz w:val="15"/>
          <w:szCs w:val="15"/>
          <w:color w:val="auto"/>
        </w:rPr>
        <w:t>combination may be made</w:t>
      </w:r>
    </w:p>
    <w:p>
      <w:pPr>
        <w:spacing w:after="0" w:line="10" w:lineRule="exact"/>
        <w:rPr>
          <w:sz w:val="20"/>
          <w:szCs w:val="20"/>
          <w:color w:val="auto"/>
        </w:rPr>
      </w:pPr>
    </w:p>
    <w:p>
      <w:pPr>
        <w:ind w:left="2480"/>
        <w:spacing w:after="0"/>
        <w:rPr>
          <w:sz w:val="20"/>
          <w:szCs w:val="20"/>
          <w:color w:val="auto"/>
        </w:rPr>
      </w:pPr>
      <w:r>
        <w:rPr>
          <w:rFonts w:ascii="Arial" w:cs="Arial" w:eastAsia="Arial" w:hAnsi="Arial"/>
          <w:sz w:val="16"/>
          <w:szCs w:val="16"/>
          <w:color w:val="auto"/>
        </w:rPr>
        <w:t>pursuant to a tender offer</w:t>
      </w:r>
    </w:p>
    <w:p>
      <w:pPr>
        <w:ind w:left="2480"/>
        <w:spacing w:after="0"/>
        <w:rPr>
          <w:sz w:val="20"/>
          <w:szCs w:val="20"/>
          <w:color w:val="auto"/>
        </w:rPr>
      </w:pPr>
      <w:r>
        <w:rPr>
          <w:rFonts w:ascii="Arial" w:cs="Arial" w:eastAsia="Arial" w:hAnsi="Arial"/>
          <w:sz w:val="16"/>
          <w:szCs w:val="16"/>
          <w:color w:val="auto"/>
        </w:rPr>
        <w:t>or in connection with a</w:t>
      </w:r>
    </w:p>
    <w:p>
      <w:pPr>
        <w:ind w:left="2480"/>
        <w:spacing w:after="0"/>
        <w:rPr>
          <w:sz w:val="20"/>
          <w:szCs w:val="20"/>
          <w:color w:val="auto"/>
        </w:rPr>
      </w:pPr>
      <w:r>
        <w:rPr>
          <w:rFonts w:ascii="Arial" w:cs="Arial" w:eastAsia="Arial" w:hAnsi="Arial"/>
          <w:sz w:val="16"/>
          <w:szCs w:val="16"/>
          <w:color w:val="auto"/>
        </w:rPr>
        <w:t>stockholder vote. The</w:t>
      </w:r>
    </w:p>
    <w:p>
      <w:pPr>
        <w:ind w:left="2480"/>
        <w:spacing w:after="0"/>
        <w:rPr>
          <w:sz w:val="20"/>
          <w:szCs w:val="20"/>
          <w:color w:val="auto"/>
        </w:rPr>
      </w:pPr>
      <w:r>
        <w:rPr>
          <w:rFonts w:ascii="Arial" w:cs="Arial" w:eastAsia="Arial" w:hAnsi="Arial"/>
          <w:sz w:val="16"/>
          <w:szCs w:val="16"/>
          <w:color w:val="auto"/>
        </w:rPr>
        <w:t>redemption price will be</w:t>
      </w:r>
    </w:p>
    <w:p>
      <w:pPr>
        <w:ind w:left="2480"/>
        <w:spacing w:after="0"/>
        <w:rPr>
          <w:sz w:val="20"/>
          <w:szCs w:val="20"/>
          <w:color w:val="auto"/>
        </w:rPr>
      </w:pPr>
      <w:r>
        <w:rPr>
          <w:rFonts w:ascii="Arial" w:cs="Arial" w:eastAsia="Arial" w:hAnsi="Arial"/>
          <w:sz w:val="16"/>
          <w:szCs w:val="16"/>
          <w:color w:val="auto"/>
        </w:rPr>
        <w:t>the same whether we</w:t>
      </w:r>
    </w:p>
    <w:p>
      <w:pPr>
        <w:ind w:left="2480"/>
        <w:spacing w:after="0"/>
        <w:rPr>
          <w:sz w:val="20"/>
          <w:szCs w:val="20"/>
          <w:color w:val="auto"/>
        </w:rPr>
      </w:pPr>
      <w:r>
        <w:rPr>
          <w:rFonts w:ascii="Arial" w:cs="Arial" w:eastAsia="Arial" w:hAnsi="Arial"/>
          <w:sz w:val="16"/>
          <w:szCs w:val="16"/>
          <w:color w:val="auto"/>
        </w:rPr>
        <w:t>conduct redemptions</w:t>
      </w:r>
    </w:p>
    <w:p>
      <w:pPr>
        <w:ind w:left="2480"/>
        <w:spacing w:after="0"/>
        <w:rPr>
          <w:sz w:val="20"/>
          <w:szCs w:val="20"/>
          <w:color w:val="auto"/>
        </w:rPr>
      </w:pPr>
      <w:r>
        <w:rPr>
          <w:rFonts w:ascii="Arial" w:cs="Arial" w:eastAsia="Arial" w:hAnsi="Arial"/>
          <w:sz w:val="16"/>
          <w:szCs w:val="16"/>
          <w:color w:val="auto"/>
        </w:rPr>
        <w:t>pursuant to a tender offer</w:t>
      </w:r>
    </w:p>
    <w:p>
      <w:pPr>
        <w:ind w:left="2480"/>
        <w:spacing w:after="0"/>
        <w:rPr>
          <w:sz w:val="20"/>
          <w:szCs w:val="20"/>
          <w:color w:val="auto"/>
        </w:rPr>
      </w:pPr>
      <w:r>
        <w:rPr>
          <w:rFonts w:ascii="Arial" w:cs="Arial" w:eastAsia="Arial" w:hAnsi="Arial"/>
          <w:sz w:val="16"/>
          <w:szCs w:val="16"/>
          <w:color w:val="auto"/>
        </w:rPr>
        <w:t>or in connection with a</w:t>
      </w:r>
    </w:p>
    <w:p>
      <w:pPr>
        <w:ind w:left="2480"/>
        <w:spacing w:after="0"/>
        <w:rPr>
          <w:sz w:val="20"/>
          <w:szCs w:val="20"/>
          <w:color w:val="auto"/>
        </w:rPr>
      </w:pPr>
      <w:r>
        <w:rPr>
          <w:rFonts w:ascii="Arial" w:cs="Arial" w:eastAsia="Arial" w:hAnsi="Arial"/>
          <w:sz w:val="16"/>
          <w:szCs w:val="16"/>
          <w:color w:val="auto"/>
        </w:rPr>
        <w:t>stockholder vote. In either</w:t>
      </w:r>
    </w:p>
    <w:p>
      <w:pPr>
        <w:ind w:left="2480"/>
        <w:spacing w:after="0"/>
        <w:rPr>
          <w:sz w:val="20"/>
          <w:szCs w:val="20"/>
          <w:color w:val="auto"/>
        </w:rPr>
      </w:pPr>
      <w:r>
        <w:rPr>
          <w:rFonts w:ascii="Arial" w:cs="Arial" w:eastAsia="Arial" w:hAnsi="Arial"/>
          <w:sz w:val="16"/>
          <w:szCs w:val="16"/>
          <w:color w:val="auto"/>
        </w:rPr>
        <w:t>case, our public</w:t>
      </w:r>
    </w:p>
    <w:p>
      <w:pPr>
        <w:ind w:left="2480"/>
        <w:spacing w:after="0"/>
        <w:rPr>
          <w:sz w:val="20"/>
          <w:szCs w:val="20"/>
          <w:color w:val="auto"/>
        </w:rPr>
      </w:pPr>
      <w:r>
        <w:rPr>
          <w:rFonts w:ascii="Arial" w:cs="Arial" w:eastAsia="Arial" w:hAnsi="Arial"/>
          <w:sz w:val="16"/>
          <w:szCs w:val="16"/>
          <w:color w:val="auto"/>
        </w:rPr>
        <w:t>stockholders may redeem</w:t>
      </w:r>
    </w:p>
    <w:p>
      <w:pPr>
        <w:ind w:left="2480"/>
        <w:spacing w:after="0"/>
        <w:rPr>
          <w:sz w:val="20"/>
          <w:szCs w:val="20"/>
          <w:color w:val="auto"/>
        </w:rPr>
      </w:pPr>
      <w:r>
        <w:rPr>
          <w:rFonts w:ascii="Arial" w:cs="Arial" w:eastAsia="Arial" w:hAnsi="Arial"/>
          <w:sz w:val="15"/>
          <w:szCs w:val="15"/>
          <w:color w:val="auto"/>
        </w:rPr>
        <w:t>their public shares for cash</w:t>
      </w:r>
    </w:p>
    <w:p>
      <w:pPr>
        <w:spacing w:after="0" w:line="10" w:lineRule="exact"/>
        <w:rPr>
          <w:sz w:val="20"/>
          <w:szCs w:val="20"/>
          <w:color w:val="auto"/>
        </w:rPr>
      </w:pPr>
    </w:p>
    <w:p>
      <w:pPr>
        <w:ind w:left="2480"/>
        <w:spacing w:after="0"/>
        <w:rPr>
          <w:sz w:val="20"/>
          <w:szCs w:val="20"/>
          <w:color w:val="auto"/>
        </w:rPr>
      </w:pPr>
      <w:r>
        <w:rPr>
          <w:rFonts w:ascii="Arial" w:cs="Arial" w:eastAsia="Arial" w:hAnsi="Arial"/>
          <w:sz w:val="16"/>
          <w:szCs w:val="16"/>
          <w:color w:val="auto"/>
        </w:rPr>
        <w:t>equal to the aggregate</w:t>
      </w:r>
    </w:p>
    <w:p>
      <w:pPr>
        <w:ind w:left="2480"/>
        <w:spacing w:after="0"/>
        <w:rPr>
          <w:sz w:val="20"/>
          <w:szCs w:val="20"/>
          <w:color w:val="auto"/>
        </w:rPr>
      </w:pPr>
      <w:r>
        <w:rPr>
          <w:rFonts w:ascii="Arial" w:cs="Arial" w:eastAsia="Arial" w:hAnsi="Arial"/>
          <w:sz w:val="16"/>
          <w:szCs w:val="16"/>
          <w:color w:val="auto"/>
        </w:rPr>
        <w:t>amount then on deposit in</w:t>
      </w:r>
    </w:p>
    <w:p>
      <w:pPr>
        <w:ind w:left="2480"/>
        <w:spacing w:after="0"/>
        <w:rPr>
          <w:sz w:val="20"/>
          <w:szCs w:val="20"/>
          <w:color w:val="auto"/>
        </w:rPr>
      </w:pPr>
      <w:r>
        <w:rPr>
          <w:rFonts w:ascii="Arial" w:cs="Arial" w:eastAsia="Arial" w:hAnsi="Arial"/>
          <w:sz w:val="15"/>
          <w:szCs w:val="15"/>
          <w:color w:val="auto"/>
        </w:rPr>
        <w:t>the trust account as of two</w:t>
      </w:r>
    </w:p>
    <w:p>
      <w:pPr>
        <w:spacing w:after="0" w:line="10" w:lineRule="exact"/>
        <w:rPr>
          <w:sz w:val="20"/>
          <w:szCs w:val="20"/>
          <w:color w:val="auto"/>
        </w:rPr>
      </w:pPr>
    </w:p>
    <w:p>
      <w:pPr>
        <w:ind w:left="2480"/>
        <w:spacing w:after="0"/>
        <w:rPr>
          <w:sz w:val="20"/>
          <w:szCs w:val="20"/>
          <w:color w:val="auto"/>
        </w:rPr>
      </w:pPr>
      <w:r>
        <w:rPr>
          <w:rFonts w:ascii="Arial" w:cs="Arial" w:eastAsia="Arial" w:hAnsi="Arial"/>
          <w:sz w:val="16"/>
          <w:szCs w:val="16"/>
          <w:color w:val="auto"/>
        </w:rPr>
        <w:t>business days prior to the</w:t>
      </w:r>
    </w:p>
    <w:p>
      <w:pPr>
        <w:ind w:left="2480"/>
        <w:spacing w:after="0"/>
        <w:rPr>
          <w:sz w:val="20"/>
          <w:szCs w:val="20"/>
          <w:color w:val="auto"/>
        </w:rPr>
      </w:pPr>
      <w:r>
        <w:rPr>
          <w:rFonts w:ascii="Arial" w:cs="Arial" w:eastAsia="Arial" w:hAnsi="Arial"/>
          <w:sz w:val="16"/>
          <w:szCs w:val="16"/>
          <w:color w:val="auto"/>
        </w:rPr>
        <w:t>consummation of the</w:t>
      </w:r>
    </w:p>
    <w:p>
      <w:pPr>
        <w:ind w:left="2480"/>
        <w:spacing w:after="0"/>
        <w:rPr>
          <w:sz w:val="20"/>
          <w:szCs w:val="20"/>
          <w:color w:val="auto"/>
        </w:rPr>
      </w:pPr>
      <w:r>
        <w:rPr>
          <w:rFonts w:ascii="Arial" w:cs="Arial" w:eastAsia="Arial" w:hAnsi="Arial"/>
          <w:sz w:val="16"/>
          <w:szCs w:val="16"/>
          <w:color w:val="auto"/>
        </w:rPr>
        <w:t>initial business</w:t>
      </w:r>
    </w:p>
    <w:p>
      <w:pPr>
        <w:ind w:left="2480"/>
        <w:spacing w:after="0"/>
        <w:rPr>
          <w:sz w:val="20"/>
          <w:szCs w:val="20"/>
          <w:color w:val="auto"/>
        </w:rPr>
      </w:pPr>
      <w:r>
        <w:rPr>
          <w:rFonts w:ascii="Arial" w:cs="Arial" w:eastAsia="Arial" w:hAnsi="Arial"/>
          <w:sz w:val="16"/>
          <w:szCs w:val="16"/>
          <w:color w:val="auto"/>
        </w:rPr>
        <w:t>combination (which is</w:t>
      </w:r>
    </w:p>
    <w:p>
      <w:pPr>
        <w:ind w:left="2480"/>
        <w:spacing w:after="0"/>
        <w:rPr>
          <w:sz w:val="20"/>
          <w:szCs w:val="20"/>
          <w:color w:val="auto"/>
        </w:rPr>
      </w:pPr>
      <w:r>
        <w:rPr>
          <w:rFonts w:ascii="Arial" w:cs="Arial" w:eastAsia="Arial" w:hAnsi="Arial"/>
          <w:sz w:val="16"/>
          <w:szCs w:val="16"/>
          <w:color w:val="auto"/>
        </w:rPr>
        <w:t>initially anticipated to be</w:t>
      </w:r>
    </w:p>
    <w:p>
      <w:pPr>
        <w:ind w:left="2480"/>
        <w:spacing w:after="0"/>
        <w:rPr>
          <w:sz w:val="20"/>
          <w:szCs w:val="20"/>
          <w:color w:val="auto"/>
        </w:rPr>
      </w:pPr>
      <w:r>
        <w:rPr>
          <w:rFonts w:ascii="Arial" w:cs="Arial" w:eastAsia="Arial" w:hAnsi="Arial"/>
          <w:sz w:val="16"/>
          <w:szCs w:val="16"/>
          <w:color w:val="auto"/>
        </w:rPr>
        <w:t>$10.00 per share),</w:t>
      </w:r>
    </w:p>
    <w:p>
      <w:pPr>
        <w:ind w:left="2480"/>
        <w:spacing w:after="0"/>
        <w:rPr>
          <w:sz w:val="20"/>
          <w:szCs w:val="20"/>
          <w:color w:val="auto"/>
        </w:rPr>
      </w:pPr>
      <w:r>
        <w:rPr>
          <w:rFonts w:ascii="Arial" w:cs="Arial" w:eastAsia="Arial" w:hAnsi="Arial"/>
          <w:sz w:val="16"/>
          <w:szCs w:val="16"/>
          <w:color w:val="auto"/>
        </w:rPr>
        <w:t>including interest (net of</w:t>
      </w:r>
    </w:p>
    <w:p>
      <w:pPr>
        <w:ind w:left="2480"/>
        <w:spacing w:after="0"/>
        <w:rPr>
          <w:sz w:val="20"/>
          <w:szCs w:val="20"/>
          <w:color w:val="auto"/>
        </w:rPr>
      </w:pPr>
      <w:r>
        <w:rPr>
          <w:rFonts w:ascii="Arial" w:cs="Arial" w:eastAsia="Arial" w:hAnsi="Arial"/>
          <w:sz w:val="16"/>
          <w:szCs w:val="16"/>
          <w:color w:val="auto"/>
        </w:rPr>
        <w:t>permitted withdrawals),</w:t>
      </w:r>
    </w:p>
    <w:p>
      <w:pPr>
        <w:ind w:left="2480"/>
        <w:spacing w:after="0"/>
        <w:rPr>
          <w:sz w:val="20"/>
          <w:szCs w:val="20"/>
          <w:color w:val="auto"/>
        </w:rPr>
      </w:pPr>
      <w:r>
        <w:rPr>
          <w:rFonts w:ascii="Arial" w:cs="Arial" w:eastAsia="Arial" w:hAnsi="Arial"/>
          <w:sz w:val="16"/>
          <w:szCs w:val="16"/>
          <w:color w:val="auto"/>
        </w:rPr>
        <w:t>divided by the number of</w:t>
      </w:r>
    </w:p>
    <w:p>
      <w:pPr>
        <w:ind w:left="2480"/>
        <w:spacing w:after="0"/>
        <w:rPr>
          <w:sz w:val="20"/>
          <w:szCs w:val="20"/>
          <w:color w:val="auto"/>
        </w:rPr>
      </w:pPr>
      <w:r>
        <w:rPr>
          <w:rFonts w:ascii="Arial" w:cs="Arial" w:eastAsia="Arial" w:hAnsi="Arial"/>
          <w:sz w:val="16"/>
          <w:szCs w:val="16"/>
          <w:color w:val="auto"/>
        </w:rPr>
        <w:t>then outstanding public</w:t>
      </w:r>
    </w:p>
    <w:p>
      <w:pPr>
        <w:ind w:left="2480"/>
        <w:spacing w:after="0"/>
        <w:rPr>
          <w:sz w:val="20"/>
          <w:szCs w:val="20"/>
          <w:color w:val="auto"/>
        </w:rPr>
      </w:pPr>
      <w:r>
        <w:rPr>
          <w:rFonts w:ascii="Arial" w:cs="Arial" w:eastAsia="Arial" w:hAnsi="Arial"/>
          <w:sz w:val="16"/>
          <w:szCs w:val="16"/>
          <w:color w:val="auto"/>
        </w:rPr>
        <w:t>shares, subject to the</w:t>
      </w:r>
    </w:p>
    <w:p>
      <w:pPr>
        <w:ind w:left="2480"/>
        <w:spacing w:after="0"/>
        <w:rPr>
          <w:sz w:val="20"/>
          <w:szCs w:val="20"/>
          <w:color w:val="auto"/>
        </w:rPr>
      </w:pPr>
      <w:r>
        <w:rPr>
          <w:rFonts w:ascii="Arial" w:cs="Arial" w:eastAsia="Arial" w:hAnsi="Arial"/>
          <w:sz w:val="16"/>
          <w:szCs w:val="16"/>
          <w:color w:val="auto"/>
        </w:rPr>
        <w:t>limitation that no</w:t>
      </w:r>
    </w:p>
    <w:p>
      <w:pPr>
        <w:ind w:left="2480"/>
        <w:spacing w:after="0"/>
        <w:rPr>
          <w:sz w:val="20"/>
          <w:szCs w:val="20"/>
          <w:color w:val="auto"/>
        </w:rPr>
      </w:pPr>
      <w:r>
        <w:rPr>
          <w:rFonts w:ascii="Arial" w:cs="Arial" w:eastAsia="Arial" w:hAnsi="Arial"/>
          <w:sz w:val="16"/>
          <w:szCs w:val="16"/>
          <w:color w:val="auto"/>
        </w:rPr>
        <w:t>redemptions will take</w:t>
      </w:r>
    </w:p>
    <w:p>
      <w:pPr>
        <w:ind w:left="2480"/>
        <w:spacing w:after="0"/>
        <w:rPr>
          <w:sz w:val="20"/>
          <w:szCs w:val="20"/>
          <w:color w:val="auto"/>
        </w:rPr>
      </w:pPr>
      <w:r>
        <w:rPr>
          <w:rFonts w:ascii="Arial" w:cs="Arial" w:eastAsia="Arial" w:hAnsi="Arial"/>
          <w:sz w:val="16"/>
          <w:szCs w:val="16"/>
          <w:color w:val="auto"/>
        </w:rPr>
        <w:t>place if all of the</w:t>
      </w:r>
    </w:p>
    <w:p>
      <w:pPr>
        <w:ind w:left="2480"/>
        <w:spacing w:after="0"/>
        <w:rPr>
          <w:sz w:val="20"/>
          <w:szCs w:val="20"/>
          <w:color w:val="auto"/>
        </w:rPr>
      </w:pPr>
      <w:r>
        <w:rPr>
          <w:rFonts w:ascii="Arial" w:cs="Arial" w:eastAsia="Arial" w:hAnsi="Arial"/>
          <w:sz w:val="16"/>
          <w:szCs w:val="16"/>
          <w:color w:val="auto"/>
        </w:rPr>
        <w:t>redemptions would cause</w:t>
      </w:r>
    </w:p>
    <w:p>
      <w:pPr>
        <w:ind w:left="2480"/>
        <w:spacing w:after="0"/>
        <w:rPr>
          <w:sz w:val="20"/>
          <w:szCs w:val="20"/>
          <w:color w:val="auto"/>
        </w:rPr>
      </w:pPr>
      <w:r>
        <w:rPr>
          <w:rFonts w:ascii="Arial" w:cs="Arial" w:eastAsia="Arial" w:hAnsi="Arial"/>
          <w:sz w:val="16"/>
          <w:szCs w:val="16"/>
          <w:color w:val="auto"/>
        </w:rPr>
        <w:t>our net tangible assets to</w:t>
      </w:r>
    </w:p>
    <w:p>
      <w:pPr>
        <w:ind w:left="2480"/>
        <w:spacing w:after="0"/>
        <w:rPr>
          <w:sz w:val="20"/>
          <w:szCs w:val="20"/>
          <w:color w:val="auto"/>
        </w:rPr>
      </w:pPr>
      <w:r>
        <w:rPr>
          <w:rFonts w:ascii="Arial" w:cs="Arial" w:eastAsia="Arial" w:hAnsi="Arial"/>
          <w:sz w:val="16"/>
          <w:szCs w:val="16"/>
          <w:color w:val="auto"/>
        </w:rPr>
        <w:t>be less than $5,000,001</w:t>
      </w:r>
    </w:p>
    <w:p>
      <w:pPr>
        <w:ind w:left="2480"/>
        <w:spacing w:after="0"/>
        <w:rPr>
          <w:sz w:val="20"/>
          <w:szCs w:val="20"/>
          <w:color w:val="auto"/>
        </w:rPr>
      </w:pPr>
      <w:r>
        <w:rPr>
          <w:rFonts w:ascii="Arial" w:cs="Arial" w:eastAsia="Arial" w:hAnsi="Arial"/>
          <w:sz w:val="16"/>
          <w:szCs w:val="16"/>
          <w:color w:val="auto"/>
        </w:rPr>
        <w:t>and any limitations</w:t>
      </w:r>
    </w:p>
    <w:p>
      <w:pPr>
        <w:ind w:left="2480"/>
        <w:spacing w:after="0"/>
        <w:rPr>
          <w:sz w:val="20"/>
          <w:szCs w:val="20"/>
          <w:color w:val="auto"/>
        </w:rPr>
      </w:pPr>
      <w:r>
        <w:rPr>
          <w:rFonts w:ascii="Arial" w:cs="Arial" w:eastAsia="Arial" w:hAnsi="Arial"/>
          <w:sz w:val="16"/>
          <w:szCs w:val="16"/>
          <w:color w:val="auto"/>
        </w:rPr>
        <w:t>(including but not limited</w:t>
      </w:r>
    </w:p>
    <w:p>
      <w:pPr>
        <w:ind w:left="2480"/>
        <w:spacing w:after="0"/>
        <w:rPr>
          <w:sz w:val="20"/>
          <w:szCs w:val="20"/>
          <w:color w:val="auto"/>
        </w:rPr>
      </w:pPr>
      <w:r>
        <w:rPr>
          <w:rFonts w:ascii="Arial" w:cs="Arial" w:eastAsia="Arial" w:hAnsi="Arial"/>
          <w:sz w:val="16"/>
          <w:szCs w:val="16"/>
          <w:color w:val="auto"/>
        </w:rPr>
        <w:t>to cash requirements)</w:t>
      </w:r>
    </w:p>
    <w:p>
      <w:pPr>
        <w:ind w:left="2480"/>
        <w:spacing w:after="0"/>
        <w:rPr>
          <w:sz w:val="20"/>
          <w:szCs w:val="20"/>
          <w:color w:val="auto"/>
        </w:rPr>
      </w:pPr>
      <w:r>
        <w:rPr>
          <w:rFonts w:ascii="Arial" w:cs="Arial" w:eastAsia="Arial" w:hAnsi="Arial"/>
          <w:sz w:val="16"/>
          <w:szCs w:val="16"/>
          <w:color w:val="auto"/>
        </w:rPr>
        <w:t>agreed to in connection</w:t>
      </w:r>
    </w:p>
    <w:p>
      <w:pPr>
        <w:ind w:left="2480"/>
        <w:spacing w:after="0"/>
        <w:rPr>
          <w:sz w:val="20"/>
          <w:szCs w:val="20"/>
          <w:color w:val="auto"/>
        </w:rPr>
      </w:pPr>
      <w:r>
        <w:rPr>
          <w:rFonts w:ascii="Arial" w:cs="Arial" w:eastAsia="Arial" w:hAnsi="Arial"/>
          <w:sz w:val="16"/>
          <w:szCs w:val="16"/>
          <w:color w:val="auto"/>
        </w:rPr>
        <w:t>with the negotiation of</w:t>
      </w:r>
    </w:p>
    <w:p>
      <w:pPr>
        <w:ind w:left="2480"/>
        <w:spacing w:after="0"/>
        <w:rPr>
          <w:sz w:val="20"/>
          <w:szCs w:val="20"/>
          <w:color w:val="auto"/>
        </w:rPr>
      </w:pPr>
      <w:r>
        <w:rPr>
          <w:rFonts w:ascii="Arial" w:cs="Arial" w:eastAsia="Arial" w:hAnsi="Arial"/>
          <w:sz w:val="16"/>
          <w:szCs w:val="16"/>
          <w:color w:val="auto"/>
        </w:rPr>
        <w:t>terms of a proposed</w:t>
      </w:r>
    </w:p>
    <w:p>
      <w:pPr>
        <w:ind w:left="2480"/>
        <w:spacing w:after="0"/>
        <w:rPr>
          <w:sz w:val="20"/>
          <w:szCs w:val="20"/>
          <w:color w:val="auto"/>
        </w:rPr>
      </w:pPr>
      <w:r>
        <w:rPr>
          <w:rFonts w:ascii="Arial" w:cs="Arial" w:eastAsia="Arial" w:hAnsi="Arial"/>
          <w:sz w:val="16"/>
          <w:szCs w:val="16"/>
          <w:color w:val="auto"/>
        </w:rPr>
        <w:t>business combination.</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If we seek stockholder approval of our initial business combination, our sponsor, directors, officers, advisors or any of their respective affiliates may purchase shares in privately negotiated transactions or in the open market either prior to or following the completion of our initial business combination. Such purchases will only be made to the extent such purchases are made in compliance with Rule 10b-18, which is a safe harbor from liability for manipulation under Section 9(a)(2) and</w:t>
      </w:r>
    </w:p>
    <w:p>
      <w:pPr>
        <w:spacing w:after="0" w:line="3"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Rule 10b- 5 of the Exchange Act. None of the funds in the trust account will be used to purchase shares in such transactions.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right="1599"/>
        <w:spacing w:after="0" w:line="258" w:lineRule="auto"/>
        <w:rPr>
          <w:sz w:val="20"/>
          <w:szCs w:val="20"/>
          <w:color w:val="auto"/>
        </w:rPr>
      </w:pPr>
      <w:r>
        <w:rPr>
          <w:rFonts w:ascii="Arial" w:cs="Arial" w:eastAsia="Arial" w:hAnsi="Arial"/>
          <w:sz w:val="15"/>
          <w:szCs w:val="15"/>
          <w:color w:val="auto"/>
        </w:rPr>
        <w:t>If we are unable to complete our initial business combination within the completion window, we will redeem all public shares at a per share price, payable in cash, equal to the aggregate amount then on deposit in the trust account, including interest (net of permitted withdrawals and up to $100,000 of interest to pay dissolution expenses), divided by the number of then outstanding public shares.</w:t>
      </w:r>
    </w:p>
    <w:p>
      <w:pPr>
        <w:spacing w:after="0" w:line="4953" w:lineRule="exact"/>
        <w:rPr>
          <w:sz w:val="20"/>
          <w:szCs w:val="20"/>
          <w:color w:val="auto"/>
        </w:rPr>
      </w:pPr>
    </w:p>
    <w:p>
      <w:pPr>
        <w:sectPr>
          <w:pgSz w:w="11900" w:h="16838" w:orient="portrait"/>
          <w:cols w:equalWidth="0" w:num="3">
            <w:col w:w="4340" w:space="200"/>
            <w:col w:w="1840" w:space="220"/>
            <w:col w:w="35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247650</wp:posOffset>
            </wp:positionV>
            <wp:extent cx="6166485"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3" w:name="page104"/>
    <w:bookmarkEnd w:id="103"/>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ind w:right="1639"/>
        <w:spacing w:after="0"/>
        <w:tabs>
          <w:tab w:leader="none" w:pos="3820" w:val="left"/>
          <w:tab w:leader="none" w:pos="1860" w:val="left"/>
        </w:tabs>
        <w:rPr>
          <w:sz w:val="20"/>
          <w:szCs w:val="20"/>
          <w:color w:val="auto"/>
        </w:rPr>
      </w:pPr>
      <w:r>
        <w:rPr>
          <w:rFonts w:ascii="Arial" w:cs="Arial" w:eastAsia="Arial" w:hAnsi="Arial"/>
          <w:sz w:val="13"/>
          <w:szCs w:val="13"/>
          <w:b w:val="1"/>
          <w:bCs w:val="1"/>
          <w:color w:val="auto"/>
        </w:rPr>
        <w:t>Redemptions in Connection with</w:t>
      </w:r>
      <w:r>
        <w:rPr>
          <w:sz w:val="20"/>
          <w:szCs w:val="20"/>
          <w:color w:val="auto"/>
        </w:rPr>
        <w:tab/>
      </w:r>
      <w:r>
        <w:rPr>
          <w:rFonts w:ascii="Arial" w:cs="Arial" w:eastAsia="Arial" w:hAnsi="Arial"/>
          <w:sz w:val="13"/>
          <w:szCs w:val="13"/>
          <w:b w:val="1"/>
          <w:bCs w:val="1"/>
          <w:color w:val="auto"/>
        </w:rPr>
        <w:t>Other Permitted Purchases of</w:t>
      </w:r>
      <w:r>
        <w:rPr>
          <w:sz w:val="20"/>
          <w:szCs w:val="20"/>
          <w:color w:val="auto"/>
        </w:rPr>
        <w:tab/>
      </w:r>
      <w:r>
        <w:rPr>
          <w:rFonts w:ascii="Arial" w:cs="Arial" w:eastAsia="Arial" w:hAnsi="Arial"/>
          <w:sz w:val="11"/>
          <w:szCs w:val="11"/>
          <w:b w:val="1"/>
          <w:bCs w:val="1"/>
          <w:color w:val="auto"/>
        </w:rPr>
        <w:t>Redemptions if we fail to Complete</w:t>
      </w:r>
    </w:p>
    <w:p>
      <w:pPr>
        <w:spacing w:after="0" w:line="11" w:lineRule="exact"/>
        <w:rPr>
          <w:sz w:val="20"/>
          <w:szCs w:val="20"/>
          <w:color w:val="auto"/>
        </w:rPr>
      </w:pPr>
    </w:p>
    <w:p>
      <w:pPr>
        <w:ind w:left="2540"/>
        <w:spacing w:after="0"/>
        <w:tabs>
          <w:tab w:leader="none" w:pos="4640" w:val="left"/>
          <w:tab w:leader="none" w:pos="6700" w:val="left"/>
        </w:tabs>
        <w:rPr>
          <w:sz w:val="20"/>
          <w:szCs w:val="20"/>
          <w:color w:val="auto"/>
        </w:rPr>
      </w:pPr>
      <w:r>
        <w:rPr>
          <w:rFonts w:ascii="Arial" w:cs="Arial" w:eastAsia="Arial" w:hAnsi="Arial"/>
          <w:sz w:val="13"/>
          <w:szCs w:val="13"/>
          <w:b w:val="1"/>
          <w:bCs w:val="1"/>
          <w:color w:val="auto"/>
        </w:rPr>
        <w:t>our Initial Business Combination</w:t>
      </w:r>
      <w:r>
        <w:rPr>
          <w:sz w:val="20"/>
          <w:szCs w:val="20"/>
          <w:color w:val="auto"/>
        </w:rPr>
        <w:tab/>
      </w:r>
      <w:r>
        <w:rPr>
          <w:rFonts w:ascii="Arial" w:cs="Arial" w:eastAsia="Arial" w:hAnsi="Arial"/>
          <w:sz w:val="13"/>
          <w:szCs w:val="13"/>
          <w:b w:val="1"/>
          <w:bCs w:val="1"/>
          <w:color w:val="auto"/>
        </w:rPr>
        <w:t>Public Shares by our Affiliates</w:t>
      </w:r>
      <w:r>
        <w:rPr>
          <w:sz w:val="20"/>
          <w:szCs w:val="20"/>
          <w:color w:val="auto"/>
        </w:rPr>
        <w:tab/>
      </w:r>
      <w:r>
        <w:rPr>
          <w:rFonts w:ascii="Arial" w:cs="Arial" w:eastAsia="Arial" w:hAnsi="Arial"/>
          <w:sz w:val="11"/>
          <w:szCs w:val="11"/>
          <w:b w:val="1"/>
          <w:bCs w:val="1"/>
          <w:color w:val="auto"/>
        </w:rPr>
        <w:t>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1575435</wp:posOffset>
            </wp:positionH>
            <wp:positionV relativeFrom="paragraph">
              <wp:posOffset>17780</wp:posOffset>
            </wp:positionV>
            <wp:extent cx="385191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51910" cy="762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60" w:lineRule="exact"/>
        <w:rPr>
          <w:sz w:val="20"/>
          <w:szCs w:val="20"/>
          <w:color w:val="auto"/>
        </w:rPr>
      </w:pPr>
    </w:p>
    <w:p>
      <w:pPr>
        <w:ind w:left="1140"/>
        <w:spacing w:after="0"/>
        <w:tabs>
          <w:tab w:leader="none" w:pos="2460" w:val="left"/>
        </w:tabs>
        <w:rPr>
          <w:sz w:val="20"/>
          <w:szCs w:val="20"/>
          <w:color w:val="auto"/>
        </w:rPr>
      </w:pPr>
      <w:r>
        <w:rPr>
          <w:rFonts w:ascii="Arial" w:cs="Arial" w:eastAsia="Arial" w:hAnsi="Arial"/>
          <w:sz w:val="16"/>
          <w:szCs w:val="16"/>
          <w:b w:val="1"/>
          <w:bCs w:val="1"/>
          <w:color w:val="auto"/>
        </w:rPr>
        <w:t>Impact to</w:t>
      </w:r>
      <w:r>
        <w:rPr>
          <w:sz w:val="20"/>
          <w:szCs w:val="20"/>
          <w:color w:val="auto"/>
        </w:rPr>
        <w:tab/>
      </w:r>
      <w:r>
        <w:rPr>
          <w:rFonts w:ascii="Arial" w:cs="Arial" w:eastAsia="Arial" w:hAnsi="Arial"/>
          <w:sz w:val="15"/>
          <w:szCs w:val="15"/>
          <w:color w:val="auto"/>
        </w:rPr>
        <w:t>The redemptions in</w:t>
      </w:r>
    </w:p>
    <w:p>
      <w:pPr>
        <w:spacing w:after="0" w:line="17" w:lineRule="exact"/>
        <w:rPr>
          <w:sz w:val="20"/>
          <w:szCs w:val="20"/>
          <w:color w:val="auto"/>
        </w:rPr>
      </w:pPr>
    </w:p>
    <w:p>
      <w:pPr>
        <w:ind w:left="1140"/>
        <w:spacing w:after="0"/>
        <w:tabs>
          <w:tab w:leader="none" w:pos="2460" w:val="left"/>
        </w:tabs>
        <w:rPr>
          <w:sz w:val="20"/>
          <w:szCs w:val="20"/>
          <w:color w:val="auto"/>
        </w:rPr>
      </w:pPr>
      <w:r>
        <w:rPr>
          <w:rFonts w:ascii="Arial" w:cs="Arial" w:eastAsia="Arial" w:hAnsi="Arial"/>
          <w:sz w:val="16"/>
          <w:szCs w:val="16"/>
          <w:b w:val="1"/>
          <w:bCs w:val="1"/>
          <w:color w:val="auto"/>
        </w:rPr>
        <w:t>remaining</w:t>
      </w:r>
      <w:r>
        <w:rPr>
          <w:sz w:val="20"/>
          <w:szCs w:val="20"/>
          <w:color w:val="auto"/>
        </w:rPr>
        <w:tab/>
      </w:r>
      <w:r>
        <w:rPr>
          <w:rFonts w:ascii="Arial" w:cs="Arial" w:eastAsia="Arial" w:hAnsi="Arial"/>
          <w:sz w:val="16"/>
          <w:szCs w:val="16"/>
          <w:color w:val="auto"/>
        </w:rPr>
        <w:t>connection with our initial</w:t>
      </w:r>
    </w:p>
    <w:p>
      <w:pPr>
        <w:ind w:left="1140"/>
        <w:spacing w:after="0"/>
        <w:tabs>
          <w:tab w:leader="none" w:pos="2460" w:val="left"/>
        </w:tabs>
        <w:rPr>
          <w:sz w:val="20"/>
          <w:szCs w:val="20"/>
          <w:color w:val="auto"/>
        </w:rPr>
      </w:pPr>
      <w:r>
        <w:rPr>
          <w:rFonts w:ascii="Arial" w:cs="Arial" w:eastAsia="Arial" w:hAnsi="Arial"/>
          <w:sz w:val="16"/>
          <w:szCs w:val="16"/>
          <w:b w:val="1"/>
          <w:bCs w:val="1"/>
          <w:color w:val="auto"/>
        </w:rPr>
        <w:t>stockholders</w:t>
      </w:r>
      <w:r>
        <w:rPr>
          <w:sz w:val="20"/>
          <w:szCs w:val="20"/>
          <w:color w:val="auto"/>
        </w:rPr>
        <w:tab/>
      </w:r>
      <w:r>
        <w:rPr>
          <w:rFonts w:ascii="Arial" w:cs="Arial" w:eastAsia="Arial" w:hAnsi="Arial"/>
          <w:sz w:val="16"/>
          <w:szCs w:val="16"/>
          <w:color w:val="auto"/>
        </w:rPr>
        <w:t>business combination will</w:t>
      </w:r>
    </w:p>
    <w:p>
      <w:pPr>
        <w:ind w:left="2480"/>
        <w:spacing w:after="0"/>
        <w:rPr>
          <w:sz w:val="20"/>
          <w:szCs w:val="20"/>
          <w:color w:val="auto"/>
        </w:rPr>
      </w:pPr>
      <w:r>
        <w:rPr>
          <w:rFonts w:ascii="Arial" w:cs="Arial" w:eastAsia="Arial" w:hAnsi="Arial"/>
          <w:sz w:val="15"/>
          <w:szCs w:val="15"/>
          <w:color w:val="auto"/>
        </w:rPr>
        <w:t>reduce the book value per</w:t>
      </w:r>
    </w:p>
    <w:p>
      <w:pPr>
        <w:spacing w:after="0" w:line="10" w:lineRule="exact"/>
        <w:rPr>
          <w:sz w:val="20"/>
          <w:szCs w:val="20"/>
          <w:color w:val="auto"/>
        </w:rPr>
      </w:pPr>
    </w:p>
    <w:p>
      <w:pPr>
        <w:ind w:left="2480"/>
        <w:spacing w:after="0"/>
        <w:rPr>
          <w:sz w:val="20"/>
          <w:szCs w:val="20"/>
          <w:color w:val="auto"/>
        </w:rPr>
      </w:pPr>
      <w:r>
        <w:rPr>
          <w:rFonts w:ascii="Arial" w:cs="Arial" w:eastAsia="Arial" w:hAnsi="Arial"/>
          <w:sz w:val="16"/>
          <w:szCs w:val="16"/>
          <w:color w:val="auto"/>
        </w:rPr>
        <w:t>share for our remaining</w:t>
      </w:r>
    </w:p>
    <w:p>
      <w:pPr>
        <w:ind w:left="2480"/>
        <w:spacing w:after="0"/>
        <w:rPr>
          <w:sz w:val="20"/>
          <w:szCs w:val="20"/>
          <w:color w:val="auto"/>
        </w:rPr>
      </w:pPr>
      <w:r>
        <w:rPr>
          <w:rFonts w:ascii="Arial" w:cs="Arial" w:eastAsia="Arial" w:hAnsi="Arial"/>
          <w:sz w:val="16"/>
          <w:szCs w:val="16"/>
          <w:color w:val="auto"/>
        </w:rPr>
        <w:t>stockholders, who will</w:t>
      </w:r>
    </w:p>
    <w:p>
      <w:pPr>
        <w:ind w:left="2480"/>
        <w:spacing w:after="0"/>
        <w:rPr>
          <w:sz w:val="20"/>
          <w:szCs w:val="20"/>
          <w:color w:val="auto"/>
        </w:rPr>
      </w:pPr>
      <w:r>
        <w:rPr>
          <w:rFonts w:ascii="Arial" w:cs="Arial" w:eastAsia="Arial" w:hAnsi="Arial"/>
          <w:sz w:val="16"/>
          <w:szCs w:val="16"/>
          <w:color w:val="auto"/>
        </w:rPr>
        <w:t>bear the burden of the</w:t>
      </w:r>
    </w:p>
    <w:p>
      <w:pPr>
        <w:ind w:left="2480"/>
        <w:spacing w:after="0"/>
        <w:rPr>
          <w:sz w:val="20"/>
          <w:szCs w:val="20"/>
          <w:color w:val="auto"/>
        </w:rPr>
      </w:pPr>
      <w:r>
        <w:rPr>
          <w:rFonts w:ascii="Arial" w:cs="Arial" w:eastAsia="Arial" w:hAnsi="Arial"/>
          <w:sz w:val="16"/>
          <w:szCs w:val="16"/>
          <w:color w:val="auto"/>
        </w:rPr>
        <w:t>deferred underwriting</w:t>
      </w:r>
    </w:p>
    <w:p>
      <w:pPr>
        <w:ind w:left="2480"/>
        <w:spacing w:after="0"/>
        <w:rPr>
          <w:sz w:val="20"/>
          <w:szCs w:val="20"/>
          <w:color w:val="auto"/>
        </w:rPr>
      </w:pPr>
      <w:r>
        <w:rPr>
          <w:rFonts w:ascii="Arial" w:cs="Arial" w:eastAsia="Arial" w:hAnsi="Arial"/>
          <w:sz w:val="16"/>
          <w:szCs w:val="16"/>
          <w:color w:val="auto"/>
        </w:rPr>
        <w:t>commissions and</w:t>
      </w:r>
    </w:p>
    <w:p>
      <w:pPr>
        <w:ind w:left="2480"/>
        <w:spacing w:after="0"/>
        <w:rPr>
          <w:sz w:val="20"/>
          <w:szCs w:val="20"/>
          <w:color w:val="auto"/>
        </w:rPr>
      </w:pPr>
      <w:r>
        <w:rPr>
          <w:rFonts w:ascii="Arial" w:cs="Arial" w:eastAsia="Arial" w:hAnsi="Arial"/>
          <w:sz w:val="16"/>
          <w:szCs w:val="16"/>
          <w:color w:val="auto"/>
        </w:rPr>
        <w:t>permitted withdrawals (to</w:t>
      </w:r>
    </w:p>
    <w:p>
      <w:pPr>
        <w:ind w:left="2480"/>
        <w:spacing w:after="0"/>
        <w:rPr>
          <w:sz w:val="20"/>
          <w:szCs w:val="20"/>
          <w:color w:val="auto"/>
        </w:rPr>
      </w:pPr>
      <w:r>
        <w:rPr>
          <w:rFonts w:ascii="Arial" w:cs="Arial" w:eastAsia="Arial" w:hAnsi="Arial"/>
          <w:sz w:val="16"/>
          <w:szCs w:val="16"/>
          <w:color w:val="auto"/>
        </w:rPr>
        <w:t>the extent not paid from</w:t>
      </w:r>
    </w:p>
    <w:p>
      <w:pPr>
        <w:ind w:left="2480"/>
        <w:spacing w:after="0"/>
        <w:rPr>
          <w:sz w:val="20"/>
          <w:szCs w:val="20"/>
          <w:color w:val="auto"/>
        </w:rPr>
      </w:pPr>
      <w:r>
        <w:rPr>
          <w:rFonts w:ascii="Arial" w:cs="Arial" w:eastAsia="Arial" w:hAnsi="Arial"/>
          <w:sz w:val="16"/>
          <w:szCs w:val="16"/>
          <w:color w:val="auto"/>
        </w:rPr>
        <w:t>amounts accrued as</w:t>
      </w:r>
    </w:p>
    <w:p>
      <w:pPr>
        <w:ind w:left="2480"/>
        <w:spacing w:after="0"/>
        <w:rPr>
          <w:sz w:val="20"/>
          <w:szCs w:val="20"/>
          <w:color w:val="auto"/>
        </w:rPr>
      </w:pPr>
      <w:r>
        <w:rPr>
          <w:rFonts w:ascii="Arial" w:cs="Arial" w:eastAsia="Arial" w:hAnsi="Arial"/>
          <w:sz w:val="16"/>
          <w:szCs w:val="16"/>
          <w:color w:val="auto"/>
        </w:rPr>
        <w:t>interest on the funds held</w:t>
      </w:r>
    </w:p>
    <w:p>
      <w:pPr>
        <w:ind w:left="2480"/>
        <w:spacing w:after="0"/>
        <w:rPr>
          <w:sz w:val="20"/>
          <w:szCs w:val="20"/>
          <w:color w:val="auto"/>
        </w:rPr>
      </w:pPr>
      <w:r>
        <w:rPr>
          <w:rFonts w:ascii="Arial" w:cs="Arial" w:eastAsia="Arial" w:hAnsi="Arial"/>
          <w:sz w:val="16"/>
          <w:szCs w:val="16"/>
          <w:color w:val="auto"/>
        </w:rPr>
        <w:t>in the trust account).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If the permitted purchases described above are made, there will be no impact to our remaining stockholders because the purchase price would not be paid by us.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redemption of our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public shares if we fail to</w:t>
      </w:r>
    </w:p>
    <w:p>
      <w:pPr>
        <w:spacing w:after="0"/>
        <w:rPr>
          <w:sz w:val="20"/>
          <w:szCs w:val="20"/>
          <w:color w:val="auto"/>
        </w:rPr>
      </w:pPr>
      <w:r>
        <w:rPr>
          <w:rFonts w:ascii="Arial" w:cs="Arial" w:eastAsia="Arial" w:hAnsi="Arial"/>
          <w:sz w:val="16"/>
          <w:szCs w:val="16"/>
          <w:color w:val="auto"/>
        </w:rPr>
        <w:t>complete our initial</w:t>
      </w:r>
    </w:p>
    <w:p>
      <w:pPr>
        <w:spacing w:after="0"/>
        <w:rPr>
          <w:sz w:val="20"/>
          <w:szCs w:val="20"/>
          <w:color w:val="auto"/>
        </w:rPr>
      </w:pPr>
      <w:r>
        <w:rPr>
          <w:rFonts w:ascii="Arial" w:cs="Arial" w:eastAsia="Arial" w:hAnsi="Arial"/>
          <w:sz w:val="16"/>
          <w:szCs w:val="16"/>
          <w:color w:val="auto"/>
        </w:rPr>
        <w:t>business combination will</w:t>
      </w:r>
    </w:p>
    <w:p>
      <w:pPr>
        <w:spacing w:after="0"/>
        <w:rPr>
          <w:sz w:val="20"/>
          <w:szCs w:val="20"/>
          <w:color w:val="auto"/>
        </w:rPr>
      </w:pPr>
      <w:r>
        <w:rPr>
          <w:rFonts w:ascii="Arial" w:cs="Arial" w:eastAsia="Arial" w:hAnsi="Arial"/>
          <w:sz w:val="16"/>
          <w:szCs w:val="16"/>
          <w:color w:val="auto"/>
        </w:rPr>
        <w:t>reduce the book value per</w:t>
      </w:r>
    </w:p>
    <w:p>
      <w:pPr>
        <w:spacing w:after="0"/>
        <w:rPr>
          <w:sz w:val="20"/>
          <w:szCs w:val="20"/>
          <w:color w:val="auto"/>
        </w:rPr>
      </w:pPr>
      <w:r>
        <w:rPr>
          <w:rFonts w:ascii="Arial" w:cs="Arial" w:eastAsia="Arial" w:hAnsi="Arial"/>
          <w:sz w:val="15"/>
          <w:szCs w:val="15"/>
          <w:color w:val="auto"/>
        </w:rPr>
        <w:t>share for the shares held by</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our initial stockholders,</w:t>
      </w:r>
    </w:p>
    <w:p>
      <w:pPr>
        <w:spacing w:after="0"/>
        <w:rPr>
          <w:sz w:val="20"/>
          <w:szCs w:val="20"/>
          <w:color w:val="auto"/>
        </w:rPr>
      </w:pPr>
      <w:r>
        <w:rPr>
          <w:rFonts w:ascii="Arial" w:cs="Arial" w:eastAsia="Arial" w:hAnsi="Arial"/>
          <w:sz w:val="16"/>
          <w:szCs w:val="16"/>
          <w:color w:val="auto"/>
        </w:rPr>
        <w:t>who will be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our only remaining</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stockholders after such</w:t>
      </w:r>
    </w:p>
    <w:p>
      <w:pPr>
        <w:spacing w:after="0"/>
        <w:rPr>
          <w:sz w:val="20"/>
          <w:szCs w:val="20"/>
          <w:color w:val="auto"/>
        </w:rPr>
      </w:pPr>
      <w:r>
        <w:rPr>
          <w:rFonts w:ascii="Arial" w:cs="Arial" w:eastAsia="Arial" w:hAnsi="Arial"/>
          <w:sz w:val="16"/>
          <w:szCs w:val="16"/>
          <w:color w:val="auto"/>
        </w:rPr>
        <w:t>redemptions.</w:t>
      </w:r>
    </w:p>
    <w:p>
      <w:pPr>
        <w:spacing w:after="0" w:line="713" w:lineRule="exact"/>
        <w:rPr>
          <w:sz w:val="20"/>
          <w:szCs w:val="20"/>
          <w:color w:val="auto"/>
        </w:rPr>
      </w:pPr>
    </w:p>
    <w:p>
      <w:pPr>
        <w:sectPr>
          <w:pgSz w:w="11900" w:h="16838" w:orient="portrait"/>
          <w:cols w:equalWidth="0" w:num="3">
            <w:col w:w="4300" w:space="240"/>
            <w:col w:w="1800" w:space="260"/>
            <w:col w:w="3539"/>
          </w:cols>
          <w:pgMar w:left="320" w:top="131" w:right="1440" w:bottom="1440" w:gutter="0" w:footer="0" w:header="0"/>
          <w:type w:val="continuous"/>
        </w:sectPr>
      </w:pPr>
    </w:p>
    <w:p>
      <w:pPr>
        <w:spacing w:after="0" w:line="148"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Comparison of This Offering to Those of Blank Check Companies Subject to Rule 419</w:t>
      </w:r>
    </w:p>
    <w:p>
      <w:pPr>
        <w:spacing w:after="0" w:line="101" w:lineRule="exact"/>
        <w:rPr>
          <w:sz w:val="20"/>
          <w:szCs w:val="20"/>
          <w:color w:val="auto"/>
        </w:rPr>
      </w:pPr>
    </w:p>
    <w:p>
      <w:pPr>
        <w:ind w:left="1140" w:right="1859" w:firstLine="326"/>
        <w:spacing w:after="0" w:line="284" w:lineRule="auto"/>
        <w:rPr>
          <w:sz w:val="20"/>
          <w:szCs w:val="20"/>
          <w:color w:val="auto"/>
        </w:rPr>
      </w:pPr>
      <w:r>
        <w:rPr>
          <w:rFonts w:ascii="Arial" w:cs="Arial" w:eastAsia="Arial" w:hAnsi="Arial"/>
          <w:sz w:val="15"/>
          <w:szCs w:val="15"/>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option to purchase additional units. None of the provisions of Rule 419 apply to our offering.</w:t>
      </w:r>
    </w:p>
    <w:p>
      <w:pPr>
        <w:sectPr>
          <w:pgSz w:w="11900" w:h="16838" w:orient="portrait"/>
          <w:cols w:equalWidth="0" w:num="1">
            <w:col w:w="10139"/>
          </w:cols>
          <w:pgMar w:left="320" w:top="131" w:right="1440" w:bottom="1440" w:gutter="0" w:footer="0" w:header="0"/>
          <w:type w:val="continuous"/>
        </w:sectPr>
      </w:pPr>
    </w:p>
    <w:p>
      <w:pPr>
        <w:spacing w:after="0" w:line="73" w:lineRule="exact"/>
        <w:rPr>
          <w:sz w:val="20"/>
          <w:szCs w:val="20"/>
          <w:color w:val="auto"/>
        </w:rPr>
      </w:pPr>
    </w:p>
    <w:tbl>
      <w:tblPr>
        <w:tblLayout w:type="fixed"/>
        <w:tblInd w:w="1140" w:type="dxa"/>
        <w:tblCellMar>
          <w:top w:w="0" w:type="dxa"/>
          <w:left w:w="0" w:type="dxa"/>
          <w:bottom w:w="0" w:type="dxa"/>
          <w:right w:w="0" w:type="dxa"/>
        </w:tblCellMar>
      </w:tblPr>
      <w:tr>
        <w:trPr>
          <w:trHeight w:val="168"/>
        </w:trPr>
        <w:tc>
          <w:tcPr>
            <w:tcW w:w="1660" w:type="dxa"/>
            <w:vAlign w:val="bottom"/>
          </w:tcPr>
          <w:p>
            <w:pPr>
              <w:spacing w:after="0"/>
              <w:rPr>
                <w:sz w:val="14"/>
                <w:szCs w:val="14"/>
                <w:color w:val="auto"/>
              </w:rPr>
            </w:pPr>
          </w:p>
        </w:tc>
        <w:tc>
          <w:tcPr>
            <w:tcW w:w="2740" w:type="dxa"/>
            <w:vAlign w:val="bottom"/>
          </w:tcPr>
          <w:p>
            <w:pPr>
              <w:ind w:left="760"/>
              <w:spacing w:after="0"/>
              <w:rPr>
                <w:sz w:val="20"/>
                <w:szCs w:val="20"/>
                <w:color w:val="auto"/>
              </w:rPr>
            </w:pPr>
            <w:r>
              <w:rPr>
                <w:rFonts w:ascii="Arial" w:cs="Arial" w:eastAsia="Arial" w:hAnsi="Arial"/>
                <w:sz w:val="13"/>
                <w:szCs w:val="13"/>
                <w:b w:val="1"/>
                <w:bCs w:val="1"/>
                <w:color w:val="auto"/>
              </w:rPr>
              <w:t>Terms of Our Offering</w:t>
            </w:r>
          </w:p>
        </w:tc>
        <w:tc>
          <w:tcPr>
            <w:tcW w:w="0" w:type="dxa"/>
            <w:vAlign w:val="bottom"/>
          </w:tcPr>
          <w:p>
            <w:pPr>
              <w:spacing w:after="0"/>
              <w:rPr>
                <w:sz w:val="1"/>
                <w:szCs w:val="1"/>
                <w:color w:val="auto"/>
              </w:rPr>
            </w:pPr>
          </w:p>
        </w:tc>
      </w:tr>
      <w:tr>
        <w:trPr>
          <w:trHeight w:val="23"/>
        </w:trPr>
        <w:tc>
          <w:tcPr>
            <w:tcW w:w="1660" w:type="dxa"/>
            <w:vAlign w:val="bottom"/>
            <w:vMerge w:val="restart"/>
          </w:tcPr>
          <w:p>
            <w:pPr>
              <w:spacing w:after="0"/>
              <w:rPr>
                <w:sz w:val="20"/>
                <w:szCs w:val="20"/>
                <w:color w:val="auto"/>
              </w:rPr>
            </w:pPr>
            <w:r>
              <w:rPr>
                <w:rFonts w:ascii="Arial" w:cs="Arial" w:eastAsia="Arial" w:hAnsi="Arial"/>
                <w:sz w:val="16"/>
                <w:szCs w:val="16"/>
                <w:b w:val="1"/>
                <w:bCs w:val="1"/>
                <w:color w:val="auto"/>
              </w:rPr>
              <w:t>Escrow of offering</w:t>
            </w:r>
          </w:p>
        </w:tc>
        <w:tc>
          <w:tcPr>
            <w:tcW w:w="2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660" w:type="dxa"/>
            <w:vAlign w:val="bottom"/>
            <w:vMerge w:val="continue"/>
          </w:tcPr>
          <w:p>
            <w:pPr>
              <w:spacing w:after="0"/>
              <w:rPr>
                <w:sz w:val="17"/>
                <w:szCs w:val="17"/>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The rules of the NYSE provide that at</w:t>
            </w:r>
          </w:p>
        </w:tc>
        <w:tc>
          <w:tcPr>
            <w:tcW w:w="0" w:type="dxa"/>
            <w:vAlign w:val="bottom"/>
          </w:tcPr>
          <w:p>
            <w:pPr>
              <w:spacing w:after="0"/>
              <w:rPr>
                <w:sz w:val="1"/>
                <w:szCs w:val="1"/>
                <w:color w:val="auto"/>
              </w:rPr>
            </w:pPr>
          </w:p>
        </w:tc>
      </w:tr>
      <w:tr>
        <w:trPr>
          <w:trHeight w:val="187"/>
        </w:trPr>
        <w:tc>
          <w:tcPr>
            <w:tcW w:w="1660" w:type="dxa"/>
            <w:vAlign w:val="bottom"/>
          </w:tcPr>
          <w:p>
            <w:pPr>
              <w:spacing w:after="0"/>
              <w:rPr>
                <w:sz w:val="20"/>
                <w:szCs w:val="20"/>
                <w:color w:val="auto"/>
              </w:rPr>
            </w:pPr>
            <w:r>
              <w:rPr>
                <w:rFonts w:ascii="Arial" w:cs="Arial" w:eastAsia="Arial" w:hAnsi="Arial"/>
                <w:sz w:val="16"/>
                <w:szCs w:val="16"/>
                <w:b w:val="1"/>
                <w:bCs w:val="1"/>
                <w:color w:val="auto"/>
              </w:rPr>
              <w:t>proceeds</w:t>
            </w:r>
          </w:p>
        </w:tc>
        <w:tc>
          <w:tcPr>
            <w:tcW w:w="2740" w:type="dxa"/>
            <w:vAlign w:val="bottom"/>
          </w:tcPr>
          <w:p>
            <w:pPr>
              <w:spacing w:after="0"/>
              <w:rPr>
                <w:sz w:val="20"/>
                <w:szCs w:val="20"/>
                <w:color w:val="auto"/>
              </w:rPr>
            </w:pPr>
            <w:r>
              <w:rPr>
                <w:rFonts w:ascii="Arial" w:cs="Arial" w:eastAsia="Arial" w:hAnsi="Arial"/>
                <w:sz w:val="16"/>
                <w:szCs w:val="16"/>
                <w:color w:val="auto"/>
              </w:rPr>
              <w:t>least 90% of the gross proceeds from</w:t>
            </w: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this offering and the sale of the private</w:t>
            </w: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placement warrants be deposited in a</w:t>
            </w:r>
          </w:p>
        </w:tc>
        <w:tc>
          <w:tcPr>
            <w:tcW w:w="0" w:type="dxa"/>
            <w:vAlign w:val="bottom"/>
          </w:tcPr>
          <w:p>
            <w:pPr>
              <w:spacing w:after="0"/>
              <w:rPr>
                <w:sz w:val="1"/>
                <w:szCs w:val="1"/>
                <w:color w:val="auto"/>
              </w:rPr>
            </w:pPr>
          </w:p>
        </w:tc>
      </w:tr>
      <w:tr>
        <w:trPr>
          <w:trHeight w:val="207"/>
        </w:trPr>
        <w:tc>
          <w:tcPr>
            <w:tcW w:w="16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trust account.</w:t>
            </w:r>
          </w:p>
        </w:tc>
        <w:tc>
          <w:tcPr>
            <w:tcW w:w="0" w:type="dxa"/>
            <w:vAlign w:val="bottom"/>
          </w:tcPr>
          <w:p>
            <w:pPr>
              <w:spacing w:after="0"/>
              <w:rPr>
                <w:sz w:val="1"/>
                <w:szCs w:val="1"/>
                <w:color w:val="auto"/>
              </w:rPr>
            </w:pPr>
          </w:p>
        </w:tc>
      </w:tr>
      <w:tr>
        <w:trPr>
          <w:trHeight w:val="258"/>
        </w:trPr>
        <w:tc>
          <w:tcPr>
            <w:tcW w:w="1660" w:type="dxa"/>
            <w:vAlign w:val="bottom"/>
          </w:tcPr>
          <w:p>
            <w:pPr>
              <w:spacing w:after="0"/>
              <w:rPr>
                <w:sz w:val="22"/>
                <w:szCs w:val="22"/>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$1,500,000,000 of the net proceeds of</w:t>
            </w: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this offering and the sale of the private</w:t>
            </w: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placement warrants will be deposited</w:t>
            </w: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into a trust account located in the</w:t>
            </w: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United States with Continental Stock</w:t>
            </w: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Transfer &amp; Trust Company acting as</w:t>
            </w:r>
          </w:p>
        </w:tc>
        <w:tc>
          <w:tcPr>
            <w:tcW w:w="0" w:type="dxa"/>
            <w:vAlign w:val="bottom"/>
          </w:tcPr>
          <w:p>
            <w:pPr>
              <w:spacing w:after="0"/>
              <w:rPr>
                <w:sz w:val="1"/>
                <w:szCs w:val="1"/>
                <w:color w:val="auto"/>
              </w:rPr>
            </w:pPr>
          </w:p>
        </w:tc>
      </w:tr>
      <w:tr>
        <w:trPr>
          <w:trHeight w:val="207"/>
        </w:trPr>
        <w:tc>
          <w:tcPr>
            <w:tcW w:w="16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trustee.</w:t>
            </w:r>
          </w:p>
        </w:tc>
        <w:tc>
          <w:tcPr>
            <w:tcW w:w="0" w:type="dxa"/>
            <w:vAlign w:val="bottom"/>
          </w:tcPr>
          <w:p>
            <w:pPr>
              <w:spacing w:after="0"/>
              <w:rPr>
                <w:sz w:val="1"/>
                <w:szCs w:val="1"/>
                <w:color w:val="auto"/>
              </w:rPr>
            </w:pPr>
          </w:p>
        </w:tc>
      </w:tr>
      <w:tr>
        <w:trPr>
          <w:trHeight w:val="351"/>
        </w:trPr>
        <w:tc>
          <w:tcPr>
            <w:tcW w:w="1660" w:type="dxa"/>
            <w:vAlign w:val="bottom"/>
          </w:tcPr>
          <w:p>
            <w:pPr>
              <w:spacing w:after="0"/>
              <w:rPr>
                <w:sz w:val="20"/>
                <w:szCs w:val="20"/>
                <w:color w:val="auto"/>
              </w:rPr>
            </w:pPr>
            <w:r>
              <w:rPr>
                <w:rFonts w:ascii="Arial" w:cs="Arial" w:eastAsia="Arial" w:hAnsi="Arial"/>
                <w:sz w:val="16"/>
                <w:szCs w:val="16"/>
                <w:b w:val="1"/>
                <w:bCs w:val="1"/>
                <w:color w:val="auto"/>
              </w:rPr>
              <w:t>Investment of net</w:t>
            </w:r>
          </w:p>
        </w:tc>
        <w:tc>
          <w:tcPr>
            <w:tcW w:w="2740" w:type="dxa"/>
            <w:vAlign w:val="bottom"/>
          </w:tcPr>
          <w:p>
            <w:pPr>
              <w:spacing w:after="0"/>
              <w:rPr>
                <w:sz w:val="20"/>
                <w:szCs w:val="20"/>
                <w:color w:val="auto"/>
              </w:rPr>
            </w:pPr>
            <w:r>
              <w:rPr>
                <w:rFonts w:ascii="Arial" w:cs="Arial" w:eastAsia="Arial" w:hAnsi="Arial"/>
                <w:sz w:val="16"/>
                <w:szCs w:val="16"/>
                <w:color w:val="auto"/>
              </w:rPr>
              <w:t>$1,500,000,000 of the net offering</w:t>
            </w:r>
          </w:p>
        </w:tc>
        <w:tc>
          <w:tcPr>
            <w:tcW w:w="0" w:type="dxa"/>
            <w:vAlign w:val="bottom"/>
          </w:tcPr>
          <w:p>
            <w:pPr>
              <w:spacing w:after="0"/>
              <w:rPr>
                <w:sz w:val="1"/>
                <w:szCs w:val="1"/>
                <w:color w:val="auto"/>
              </w:rPr>
            </w:pPr>
          </w:p>
        </w:tc>
      </w:tr>
      <w:tr>
        <w:trPr>
          <w:trHeight w:val="187"/>
        </w:trPr>
        <w:tc>
          <w:tcPr>
            <w:tcW w:w="1660" w:type="dxa"/>
            <w:vAlign w:val="bottom"/>
          </w:tcPr>
          <w:p>
            <w:pPr>
              <w:spacing w:after="0"/>
              <w:rPr>
                <w:sz w:val="20"/>
                <w:szCs w:val="20"/>
                <w:color w:val="auto"/>
              </w:rPr>
            </w:pPr>
            <w:r>
              <w:rPr>
                <w:rFonts w:ascii="Arial" w:cs="Arial" w:eastAsia="Arial" w:hAnsi="Arial"/>
                <w:sz w:val="16"/>
                <w:szCs w:val="16"/>
                <w:b w:val="1"/>
                <w:bCs w:val="1"/>
                <w:color w:val="auto"/>
              </w:rPr>
              <w:t>proceeds</w:t>
            </w:r>
          </w:p>
        </w:tc>
        <w:tc>
          <w:tcPr>
            <w:tcW w:w="2740" w:type="dxa"/>
            <w:vAlign w:val="bottom"/>
          </w:tcPr>
          <w:p>
            <w:pPr>
              <w:spacing w:after="0"/>
              <w:rPr>
                <w:sz w:val="20"/>
                <w:szCs w:val="20"/>
                <w:color w:val="auto"/>
              </w:rPr>
            </w:pPr>
            <w:r>
              <w:rPr>
                <w:rFonts w:ascii="Arial" w:cs="Arial" w:eastAsia="Arial" w:hAnsi="Arial"/>
                <w:sz w:val="16"/>
                <w:szCs w:val="16"/>
                <w:color w:val="auto"/>
              </w:rPr>
              <w:t>proceeds and the sale of the private</w:t>
            </w: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w w:val="98"/>
              </w:rPr>
              <w:t>placement warrants held in trust will be</w:t>
            </w: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invested only in U.S. government</w:t>
            </w: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treasury bills with a maturity of</w:t>
            </w: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185 days or less or in money market</w:t>
            </w: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funds that meet certain conditions</w:t>
            </w: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under Rule 2a-7 under the Investment</w:t>
            </w: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Company Act and that invest only in</w:t>
            </w:r>
          </w:p>
        </w:tc>
        <w:tc>
          <w:tcPr>
            <w:tcW w:w="0" w:type="dxa"/>
            <w:vAlign w:val="bottom"/>
          </w:tcPr>
          <w:p>
            <w:pPr>
              <w:spacing w:after="0"/>
              <w:rPr>
                <w:sz w:val="1"/>
                <w:szCs w:val="1"/>
                <w:color w:val="auto"/>
              </w:rPr>
            </w:pPr>
          </w:p>
        </w:tc>
      </w:tr>
      <w:tr>
        <w:trPr>
          <w:trHeight w:val="207"/>
        </w:trPr>
        <w:tc>
          <w:tcPr>
            <w:tcW w:w="16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direct U.S. government obligations.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180213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802130" cy="7620"/>
                    </a:xfrm>
                    <a:prstGeom prst="rect">
                      <a:avLst/>
                    </a:prstGeom>
                    <a:noFill/>
                  </pic:spPr>
                </pic:pic>
              </a:graphicData>
            </a:graphic>
          </wp:anchor>
        </w:drawing>
      </w:r>
    </w:p>
    <w:p>
      <w:pPr>
        <w:spacing w:after="0" w:line="58" w:lineRule="exact"/>
        <w:rPr>
          <w:sz w:val="20"/>
          <w:szCs w:val="20"/>
          <w:color w:val="auto"/>
        </w:rPr>
      </w:pPr>
    </w:p>
    <w:p>
      <w:pPr>
        <w:ind w:right="1599"/>
        <w:spacing w:after="0" w:line="259" w:lineRule="auto"/>
        <w:rPr>
          <w:sz w:val="20"/>
          <w:szCs w:val="20"/>
          <w:color w:val="auto"/>
        </w:rPr>
      </w:pPr>
      <w:r>
        <w:rPr>
          <w:rFonts w:ascii="Arial" w:cs="Arial" w:eastAsia="Arial" w:hAnsi="Arial"/>
          <w:sz w:val="15"/>
          <w:szCs w:val="15"/>
          <w:color w:val="auto"/>
        </w:rPr>
        <w:t>Approximately $1,275,750,000 of the offering proceeds, representing the gross proceeds of this offering less allowable underwriting commissions, expenses and company deductions under Rule 419,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261" w:lineRule="exact"/>
        <w:rPr>
          <w:sz w:val="20"/>
          <w:szCs w:val="20"/>
          <w:color w:val="auto"/>
        </w:rPr>
      </w:pPr>
    </w:p>
    <w:p>
      <w:pPr>
        <w:ind w:right="1599"/>
        <w:spacing w:after="0" w:line="263" w:lineRule="auto"/>
        <w:rPr>
          <w:sz w:val="20"/>
          <w:szCs w:val="20"/>
          <w:color w:val="auto"/>
        </w:rPr>
      </w:pPr>
      <w:r>
        <w:rPr>
          <w:rFonts w:ascii="Arial" w:cs="Arial" w:eastAsia="Arial" w:hAnsi="Arial"/>
          <w:sz w:val="15"/>
          <w:szCs w:val="15"/>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735" w:lineRule="exact"/>
        <w:rPr>
          <w:sz w:val="20"/>
          <w:szCs w:val="20"/>
          <w:color w:val="auto"/>
        </w:rPr>
      </w:pPr>
    </w:p>
    <w:p>
      <w:pPr>
        <w:sectPr>
          <w:pgSz w:w="11900" w:h="16838" w:orient="portrait"/>
          <w:cols w:equalWidth="0" w:num="2">
            <w:col w:w="5540" w:space="200"/>
            <w:col w:w="439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247650</wp:posOffset>
            </wp:positionV>
            <wp:extent cx="6166485"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4" w:name="page105"/>
    <w:bookmarkEnd w:id="104"/>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140"/>
        <w:spacing w:after="0" w:line="309" w:lineRule="auto"/>
        <w:rPr>
          <w:sz w:val="20"/>
          <w:szCs w:val="20"/>
          <w:color w:val="auto"/>
        </w:rPr>
      </w:pPr>
      <w:r>
        <w:rPr>
          <w:rFonts w:ascii="Arial" w:cs="Arial" w:eastAsia="Arial" w:hAnsi="Arial"/>
          <w:sz w:val="15"/>
          <w:szCs w:val="15"/>
          <w:b w:val="1"/>
          <w:bCs w:val="1"/>
          <w:color w:val="auto"/>
        </w:rPr>
        <w:t>Receipt of interest on escrowed funds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79"/>
        <w:spacing w:after="0"/>
        <w:rPr>
          <w:sz w:val="20"/>
          <w:szCs w:val="20"/>
          <w:color w:val="auto"/>
        </w:rPr>
      </w:pPr>
      <w:r>
        <w:rPr>
          <w:rFonts w:ascii="Arial" w:cs="Arial" w:eastAsia="Arial" w:hAnsi="Arial"/>
          <w:sz w:val="13"/>
          <w:szCs w:val="13"/>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173990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39900" cy="7620"/>
                    </a:xfrm>
                    <a:prstGeom prst="rect">
                      <a:avLst/>
                    </a:prstGeom>
                    <a:noFill/>
                  </pic:spPr>
                </pic:pic>
              </a:graphicData>
            </a:graphic>
          </wp:anchor>
        </w:drawing>
      </w:r>
    </w:p>
    <w:p>
      <w:pPr>
        <w:spacing w:after="0" w:line="58"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Interest on proceeds from the trust account to be paid to stockholders is reduced by: (1) permitted withdrawals; and (2) in the event of our liquidation for failure to complete our initial business combination within the allotted time, up to $100,000 of net interest that may be released to us should we have no or insufficient working capital to fund the costs and expenses of our dissolution and liquidation.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180213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802130" cy="7620"/>
                    </a:xfrm>
                    <a:prstGeom prst="rect">
                      <a:avLst/>
                    </a:prstGeom>
                    <a:noFill/>
                  </pic:spPr>
                </pic:pic>
              </a:graphicData>
            </a:graphic>
          </wp:anchor>
        </w:drawing>
      </w:r>
    </w:p>
    <w:p>
      <w:pPr>
        <w:spacing w:after="0" w:line="58" w:lineRule="exact"/>
        <w:rPr>
          <w:sz w:val="20"/>
          <w:szCs w:val="20"/>
          <w:color w:val="auto"/>
        </w:rPr>
      </w:pPr>
    </w:p>
    <w:p>
      <w:pPr>
        <w:ind w:right="1599"/>
        <w:spacing w:after="0" w:line="245" w:lineRule="auto"/>
        <w:rPr>
          <w:sz w:val="20"/>
          <w:szCs w:val="20"/>
          <w:color w:val="auto"/>
        </w:rPr>
      </w:pPr>
      <w:r>
        <w:rPr>
          <w:rFonts w:ascii="Arial" w:cs="Arial" w:eastAsia="Arial" w:hAnsi="Arial"/>
          <w:sz w:val="16"/>
          <w:szCs w:val="16"/>
          <w:color w:val="auto"/>
        </w:rPr>
        <w:t>Interest on funds in escrow account would be held for the sole benefit of investors, unless and only after the funds held in escrow were released to us in connection with our completion of a business combination.</w:t>
      </w:r>
    </w:p>
    <w:p>
      <w:pPr>
        <w:spacing w:after="0" w:line="1242" w:lineRule="exact"/>
        <w:rPr>
          <w:sz w:val="20"/>
          <w:szCs w:val="20"/>
          <w:color w:val="auto"/>
        </w:rPr>
      </w:pPr>
    </w:p>
    <w:p>
      <w:pPr>
        <w:sectPr>
          <w:pgSz w:w="11900" w:h="16838" w:orient="portrait"/>
          <w:cols w:equalWidth="0" w:num="3">
            <w:col w:w="2540" w:space="260"/>
            <w:col w:w="2660" w:space="280"/>
            <w:col w:w="4399"/>
          </w:cols>
          <w:pgMar w:left="320" w:top="131" w:right="1440" w:bottom="1440" w:gutter="0" w:footer="0" w:header="0"/>
        </w:sectPr>
      </w:pPr>
    </w:p>
    <w:p>
      <w:pPr>
        <w:ind w:left="1140"/>
        <w:spacing w:after="0"/>
        <w:rPr>
          <w:sz w:val="20"/>
          <w:szCs w:val="20"/>
          <w:color w:val="auto"/>
        </w:rPr>
      </w:pPr>
      <w:r>
        <w:rPr>
          <w:rFonts w:ascii="Arial" w:cs="Arial" w:eastAsia="Arial" w:hAnsi="Arial"/>
          <w:sz w:val="16"/>
          <w:szCs w:val="16"/>
          <w:b w:val="1"/>
          <w:bCs w:val="1"/>
          <w:color w:val="auto"/>
        </w:rPr>
        <w:t>Limitation on fair</w:t>
      </w:r>
    </w:p>
    <w:p>
      <w:pPr>
        <w:spacing w:after="0" w:line="17" w:lineRule="exact"/>
        <w:rPr>
          <w:sz w:val="20"/>
          <w:szCs w:val="20"/>
          <w:color w:val="auto"/>
        </w:rPr>
      </w:pPr>
    </w:p>
    <w:p>
      <w:pPr>
        <w:ind w:left="1140"/>
        <w:spacing w:after="0"/>
        <w:rPr>
          <w:sz w:val="20"/>
          <w:szCs w:val="20"/>
          <w:color w:val="auto"/>
        </w:rPr>
      </w:pPr>
      <w:r>
        <w:rPr>
          <w:rFonts w:ascii="Arial" w:cs="Arial" w:eastAsia="Arial" w:hAnsi="Arial"/>
          <w:sz w:val="13"/>
          <w:szCs w:val="13"/>
          <w:b w:val="1"/>
          <w:bCs w:val="1"/>
          <w:color w:val="auto"/>
        </w:rPr>
        <w:t>value or net assets of</w:t>
      </w:r>
    </w:p>
    <w:p>
      <w:pPr>
        <w:spacing w:after="0" w:line="3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target business</w:t>
      </w:r>
    </w:p>
    <w:p>
      <w:pPr>
        <w:spacing w:after="0" w:line="20" w:lineRule="exact"/>
        <w:rPr>
          <w:sz w:val="20"/>
          <w:szCs w:val="20"/>
          <w:color w:val="auto"/>
        </w:rPr>
      </w:pPr>
      <w:r>
        <w:rPr>
          <w:sz w:val="20"/>
          <w:szCs w:val="20"/>
          <w:color w:val="auto"/>
        </w:rPr>
        <w:br w:type="column"/>
      </w:r>
    </w:p>
    <w:p>
      <w:pPr>
        <w:spacing w:after="0" w:line="242" w:lineRule="auto"/>
        <w:rPr>
          <w:sz w:val="20"/>
          <w:szCs w:val="20"/>
          <w:color w:val="auto"/>
        </w:rPr>
      </w:pPr>
      <w:r>
        <w:rPr>
          <w:rFonts w:ascii="Arial" w:cs="Arial" w:eastAsia="Arial" w:hAnsi="Arial"/>
          <w:sz w:val="16"/>
          <w:szCs w:val="16"/>
          <w:color w:val="auto"/>
        </w:rPr>
        <w:t>The NYSE rules require that an initial business combination must be with one or more operating businesses or assets with a fair market value equal to at least 80% of the net assets held in the trust account (net of amounts disbursed to management for working capital purposes, if applicable, and excluding the amount of any deferred underwriting discount).</w:t>
      </w:r>
    </w:p>
    <w:p>
      <w:pPr>
        <w:spacing w:after="0" w:line="20" w:lineRule="exact"/>
        <w:rPr>
          <w:sz w:val="20"/>
          <w:szCs w:val="20"/>
          <w:color w:val="auto"/>
        </w:rPr>
      </w:pPr>
      <w:r>
        <w:rPr>
          <w:sz w:val="20"/>
          <w:szCs w:val="20"/>
          <w:color w:val="auto"/>
        </w:rPr>
        <w:br w:type="column"/>
      </w:r>
    </w:p>
    <w:p>
      <w:pPr>
        <w:ind w:right="1719"/>
        <w:spacing w:after="0" w:line="279" w:lineRule="auto"/>
        <w:rPr>
          <w:sz w:val="20"/>
          <w:szCs w:val="20"/>
          <w:color w:val="auto"/>
        </w:rPr>
      </w:pPr>
      <w:r>
        <w:rPr>
          <w:rFonts w:ascii="Arial" w:cs="Arial" w:eastAsia="Arial" w:hAnsi="Arial"/>
          <w:sz w:val="15"/>
          <w:szCs w:val="15"/>
          <w:color w:val="auto"/>
        </w:rPr>
        <w:t>The fair value or net assets of a target business must represent at least 80% of the maximum offering proceeds.</w:t>
      </w:r>
    </w:p>
    <w:p>
      <w:pPr>
        <w:spacing w:after="0" w:line="1400" w:lineRule="exact"/>
        <w:rPr>
          <w:sz w:val="20"/>
          <w:szCs w:val="20"/>
          <w:color w:val="auto"/>
        </w:rPr>
      </w:pPr>
    </w:p>
    <w:p>
      <w:pPr>
        <w:sectPr>
          <w:pgSz w:w="11900" w:h="16838" w:orient="portrait"/>
          <w:cols w:equalWidth="0" w:num="3">
            <w:col w:w="2520" w:space="280"/>
            <w:col w:w="2700" w:space="240"/>
            <w:col w:w="4399"/>
          </w:cols>
          <w:pgMar w:left="320" w:top="131" w:right="1440" w:bottom="1440" w:gutter="0" w:footer="0" w:header="0"/>
          <w:type w:val="continuous"/>
        </w:sectPr>
      </w:pPr>
    </w:p>
    <w:p>
      <w:pPr>
        <w:ind w:left="1140"/>
        <w:spacing w:after="0"/>
        <w:rPr>
          <w:sz w:val="20"/>
          <w:szCs w:val="20"/>
          <w:color w:val="auto"/>
        </w:rPr>
      </w:pPr>
      <w:r>
        <w:rPr>
          <w:rFonts w:ascii="Arial" w:cs="Arial" w:eastAsia="Arial" w:hAnsi="Arial"/>
          <w:sz w:val="13"/>
          <w:szCs w:val="13"/>
          <w:b w:val="1"/>
          <w:bCs w:val="1"/>
          <w:color w:val="auto"/>
        </w:rPr>
        <w:t>Trading of securities</w:t>
      </w:r>
    </w:p>
    <w:p>
      <w:pPr>
        <w:spacing w:after="0" w:line="52"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issued</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Arial" w:cs="Arial" w:eastAsia="Arial" w:hAnsi="Arial"/>
          <w:sz w:val="15"/>
          <w:szCs w:val="15"/>
          <w:color w:val="auto"/>
        </w:rPr>
        <w:t>The units will begin trading on or promptly after the date of this prospectus. The Class A common stock and warrants constituting the units will begin separate trading on the 52</w:t>
      </w:r>
      <w:r>
        <w:rPr>
          <w:rFonts w:ascii="Arial" w:cs="Arial" w:eastAsia="Arial" w:hAnsi="Arial"/>
          <w:sz w:val="22"/>
          <w:szCs w:val="22"/>
          <w:color w:val="auto"/>
          <w:vertAlign w:val="superscript"/>
        </w:rPr>
        <w:t>nd</w:t>
      </w:r>
      <w:r>
        <w:rPr>
          <w:rFonts w:ascii="Arial" w:cs="Arial" w:eastAsia="Arial" w:hAnsi="Arial"/>
          <w:sz w:val="15"/>
          <w:szCs w:val="15"/>
          <w:color w:val="auto"/>
        </w:rPr>
        <w:t xml:space="preserve"> day following the date of this prospectus unless Citigroup Global Markets Inc. informs us of its decision to allow earlier separate trading, subject to our having filed the Current Report on Form 8- K described below and having issued a press release announcing when such separate trading will begin. We will file the Current Report on Form 8-K promptly after the closing of this offering. If the underwriters’ option to purchase additional units is exercised following the initial filing of such Current Report on Form 8-K, a second or amended Current Report on Form 8-K will be filed to provide updated financial information to reflect the exercise of the underwriters’ option to purchase additional units.</w:t>
      </w:r>
    </w:p>
    <w:p>
      <w:pPr>
        <w:spacing w:after="0" w:line="20" w:lineRule="exact"/>
        <w:rPr>
          <w:sz w:val="20"/>
          <w:szCs w:val="20"/>
          <w:color w:val="auto"/>
        </w:rPr>
      </w:pPr>
      <w:r>
        <w:rPr>
          <w:sz w:val="20"/>
          <w:szCs w:val="20"/>
          <w:color w:val="auto"/>
        </w:rPr>
        <w:br w:type="column"/>
      </w:r>
    </w:p>
    <w:p>
      <w:pPr>
        <w:ind w:right="1639"/>
        <w:spacing w:after="0" w:line="245" w:lineRule="auto"/>
        <w:rPr>
          <w:sz w:val="20"/>
          <w:szCs w:val="20"/>
          <w:color w:val="auto"/>
        </w:rPr>
      </w:pPr>
      <w:r>
        <w:rPr>
          <w:rFonts w:ascii="Arial" w:cs="Arial" w:eastAsia="Arial" w:hAnsi="Arial"/>
          <w:sz w:val="16"/>
          <w:szCs w:val="16"/>
          <w:color w:val="auto"/>
        </w:rPr>
        <w:t>No trading of the units or the underlying common stock and warrants would be permitted until the completion of a business combination. During this period, the securities would be held in the escrow or trust account.</w:t>
      </w:r>
    </w:p>
    <w:p>
      <w:pPr>
        <w:spacing w:after="0" w:line="3455" w:lineRule="exact"/>
        <w:rPr>
          <w:sz w:val="20"/>
          <w:szCs w:val="20"/>
          <w:color w:val="auto"/>
        </w:rPr>
      </w:pPr>
    </w:p>
    <w:p>
      <w:pPr>
        <w:sectPr>
          <w:pgSz w:w="11900" w:h="16838" w:orient="portrait"/>
          <w:cols w:equalWidth="0" w:num="3">
            <w:col w:w="2500" w:space="300"/>
            <w:col w:w="2700" w:space="240"/>
            <w:col w:w="4399"/>
          </w:cols>
          <w:pgMar w:left="320" w:top="131" w:right="1440" w:bottom="1440" w:gutter="0" w:footer="0" w:header="0"/>
          <w:type w:val="continuous"/>
        </w:sectPr>
      </w:pPr>
    </w:p>
    <w:p>
      <w:pPr>
        <w:ind w:left="1140"/>
        <w:spacing w:after="0"/>
        <w:rPr>
          <w:sz w:val="20"/>
          <w:szCs w:val="20"/>
          <w:color w:val="auto"/>
        </w:rPr>
      </w:pPr>
      <w:r>
        <w:rPr>
          <w:rFonts w:ascii="Arial" w:cs="Arial" w:eastAsia="Arial" w:hAnsi="Arial"/>
          <w:sz w:val="13"/>
          <w:szCs w:val="13"/>
          <w:b w:val="1"/>
          <w:bCs w:val="1"/>
          <w:color w:val="auto"/>
        </w:rPr>
        <w:t>Exercise of the</w:t>
      </w:r>
    </w:p>
    <w:p>
      <w:pPr>
        <w:spacing w:after="0" w:line="52"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warrants</w:t>
      </w:r>
    </w:p>
    <w:p>
      <w:pPr>
        <w:spacing w:after="0" w:line="20" w:lineRule="exact"/>
        <w:rPr>
          <w:sz w:val="20"/>
          <w:szCs w:val="20"/>
          <w:color w:val="auto"/>
        </w:rPr>
      </w:pPr>
      <w:r>
        <w:rPr>
          <w:sz w:val="20"/>
          <w:szCs w:val="20"/>
          <w:color w:val="auto"/>
        </w:rPr>
        <w:br w:type="column"/>
      </w:r>
    </w:p>
    <w:p>
      <w:pPr>
        <w:spacing w:after="0"/>
        <w:tabs>
          <w:tab w:leader="none" w:pos="2920" w:val="left"/>
        </w:tabs>
        <w:rPr>
          <w:sz w:val="20"/>
          <w:szCs w:val="20"/>
          <w:color w:val="auto"/>
        </w:rPr>
      </w:pPr>
      <w:r>
        <w:rPr>
          <w:rFonts w:ascii="Arial" w:cs="Arial" w:eastAsia="Arial" w:hAnsi="Arial"/>
          <w:sz w:val="16"/>
          <w:szCs w:val="16"/>
          <w:color w:val="auto"/>
        </w:rPr>
        <w:t>The warrants cannot be exercised until</w:t>
      </w:r>
      <w:r>
        <w:rPr>
          <w:sz w:val="20"/>
          <w:szCs w:val="20"/>
          <w:color w:val="auto"/>
        </w:rPr>
        <w:tab/>
      </w:r>
      <w:r>
        <w:rPr>
          <w:rFonts w:ascii="Arial" w:cs="Arial" w:eastAsia="Arial" w:hAnsi="Arial"/>
          <w:sz w:val="15"/>
          <w:szCs w:val="15"/>
          <w:color w:val="auto"/>
        </w:rPr>
        <w:t>The warrants could be exercised prior to</w:t>
      </w:r>
    </w:p>
    <w:p>
      <w:pPr>
        <w:spacing w:after="0" w:line="13" w:lineRule="exact"/>
        <w:rPr>
          <w:sz w:val="20"/>
          <w:szCs w:val="20"/>
          <w:color w:val="auto"/>
        </w:rPr>
      </w:pPr>
    </w:p>
    <w:p>
      <w:pPr>
        <w:spacing w:after="0"/>
        <w:tabs>
          <w:tab w:leader="none" w:pos="2920" w:val="left"/>
        </w:tabs>
        <w:rPr>
          <w:sz w:val="20"/>
          <w:szCs w:val="20"/>
          <w:color w:val="auto"/>
        </w:rPr>
      </w:pPr>
      <w:r>
        <w:rPr>
          <w:rFonts w:ascii="Arial" w:cs="Arial" w:eastAsia="Arial" w:hAnsi="Arial"/>
          <w:sz w:val="16"/>
          <w:szCs w:val="16"/>
          <w:color w:val="auto"/>
        </w:rPr>
        <w:t>the later of 30 days after the completion</w:t>
      </w:r>
      <w:r>
        <w:rPr>
          <w:sz w:val="20"/>
          <w:szCs w:val="20"/>
          <w:color w:val="auto"/>
        </w:rPr>
        <w:tab/>
      </w:r>
      <w:r>
        <w:rPr>
          <w:rFonts w:ascii="Arial" w:cs="Arial" w:eastAsia="Arial" w:hAnsi="Arial"/>
          <w:sz w:val="15"/>
          <w:szCs w:val="15"/>
          <w:color w:val="auto"/>
        </w:rPr>
        <w:t>the completion of a business</w:t>
      </w:r>
    </w:p>
    <w:p>
      <w:pPr>
        <w:spacing w:after="0"/>
        <w:tabs>
          <w:tab w:leader="none" w:pos="2920" w:val="left"/>
        </w:tabs>
        <w:rPr>
          <w:sz w:val="20"/>
          <w:szCs w:val="20"/>
          <w:color w:val="auto"/>
        </w:rPr>
      </w:pPr>
      <w:r>
        <w:rPr>
          <w:rFonts w:ascii="Arial" w:cs="Arial" w:eastAsia="Arial" w:hAnsi="Arial"/>
          <w:sz w:val="16"/>
          <w:szCs w:val="16"/>
          <w:color w:val="auto"/>
        </w:rPr>
        <w:t>of our initial business combination and</w:t>
      </w:r>
      <w:r>
        <w:rPr>
          <w:sz w:val="20"/>
          <w:szCs w:val="20"/>
          <w:color w:val="auto"/>
        </w:rPr>
        <w:tab/>
      </w:r>
      <w:r>
        <w:rPr>
          <w:rFonts w:ascii="Arial" w:cs="Arial" w:eastAsia="Arial" w:hAnsi="Arial"/>
          <w:sz w:val="15"/>
          <w:szCs w:val="15"/>
          <w:color w:val="auto"/>
        </w:rPr>
        <w:t>combination, but securities received and</w:t>
      </w:r>
    </w:p>
    <w:p>
      <w:pPr>
        <w:spacing w:after="0"/>
        <w:tabs>
          <w:tab w:leader="none" w:pos="2920" w:val="left"/>
        </w:tabs>
        <w:rPr>
          <w:sz w:val="20"/>
          <w:szCs w:val="20"/>
          <w:color w:val="auto"/>
        </w:rPr>
      </w:pPr>
      <w:r>
        <w:rPr>
          <w:rFonts w:ascii="Arial" w:cs="Arial" w:eastAsia="Arial" w:hAnsi="Arial"/>
          <w:sz w:val="16"/>
          <w:szCs w:val="16"/>
          <w:color w:val="auto"/>
        </w:rPr>
        <w:t>12 months from the closing of this</w:t>
      </w:r>
      <w:r>
        <w:rPr>
          <w:sz w:val="20"/>
          <w:szCs w:val="20"/>
          <w:color w:val="auto"/>
        </w:rPr>
        <w:tab/>
      </w:r>
      <w:r>
        <w:rPr>
          <w:rFonts w:ascii="Arial" w:cs="Arial" w:eastAsia="Arial" w:hAnsi="Arial"/>
          <w:sz w:val="15"/>
          <w:szCs w:val="15"/>
          <w:color w:val="auto"/>
        </w:rPr>
        <w:t>cash paid in connection with the exercise</w:t>
      </w:r>
    </w:p>
    <w:p>
      <w:pPr>
        <w:spacing w:after="0"/>
        <w:tabs>
          <w:tab w:leader="none" w:pos="2920" w:val="left"/>
        </w:tabs>
        <w:rPr>
          <w:sz w:val="20"/>
          <w:szCs w:val="20"/>
          <w:color w:val="auto"/>
        </w:rPr>
      </w:pPr>
      <w:r>
        <w:rPr>
          <w:rFonts w:ascii="Arial" w:cs="Arial" w:eastAsia="Arial" w:hAnsi="Arial"/>
          <w:sz w:val="15"/>
          <w:szCs w:val="15"/>
          <w:color w:val="auto"/>
        </w:rPr>
        <w:t>offering.</w:t>
      </w:r>
      <w:r>
        <w:rPr>
          <w:sz w:val="20"/>
          <w:szCs w:val="20"/>
          <w:color w:val="auto"/>
        </w:rPr>
        <w:tab/>
      </w:r>
      <w:r>
        <w:rPr>
          <w:rFonts w:ascii="Arial" w:cs="Arial" w:eastAsia="Arial" w:hAnsi="Arial"/>
          <w:sz w:val="15"/>
          <w:szCs w:val="15"/>
          <w:color w:val="auto"/>
        </w:rPr>
        <w:t>would be deposited in the escrow or trust</w:t>
      </w:r>
    </w:p>
    <w:p>
      <w:pPr>
        <w:spacing w:after="0" w:line="11" w:lineRule="exact"/>
        <w:rPr>
          <w:sz w:val="20"/>
          <w:szCs w:val="20"/>
          <w:color w:val="auto"/>
        </w:rPr>
      </w:pPr>
    </w:p>
    <w:p>
      <w:pPr>
        <w:jc w:val="center"/>
        <w:ind w:right="879"/>
        <w:spacing w:after="0"/>
        <w:rPr>
          <w:sz w:val="20"/>
          <w:szCs w:val="20"/>
          <w:color w:val="auto"/>
        </w:rPr>
      </w:pPr>
      <w:r>
        <w:rPr>
          <w:rFonts w:ascii="Arial" w:cs="Arial" w:eastAsia="Arial" w:hAnsi="Arial"/>
          <w:sz w:val="16"/>
          <w:szCs w:val="16"/>
          <w:color w:val="auto"/>
        </w:rPr>
        <w:t>account.</w:t>
      </w:r>
    </w:p>
    <w:p>
      <w:pPr>
        <w:spacing w:after="0" w:line="352"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-1778635</wp:posOffset>
            </wp:positionH>
            <wp:positionV relativeFrom="paragraph">
              <wp:posOffset>233045</wp:posOffset>
            </wp:positionV>
            <wp:extent cx="6166485"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2">
            <w:col w:w="2120" w:space="680"/>
            <w:col w:w="7339"/>
          </w:cols>
          <w:pgMar w:left="320" w:top="131" w:right="1440" w:bottom="1440" w:gutter="0" w:footer="0" w:header="0"/>
          <w:type w:val="continuous"/>
        </w:sectPr>
      </w:pPr>
    </w:p>
    <w:bookmarkStart w:id="105" w:name="page106"/>
    <w:bookmarkEnd w:id="105"/>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1140" w:type="dxa"/>
        <w:tblCellMar>
          <w:top w:w="0" w:type="dxa"/>
          <w:left w:w="0" w:type="dxa"/>
          <w:bottom w:w="0" w:type="dxa"/>
          <w:right w:w="0" w:type="dxa"/>
        </w:tblCellMar>
      </w:tblPr>
      <w:tr>
        <w:trPr>
          <w:trHeight w:val="168"/>
        </w:trPr>
        <w:tc>
          <w:tcPr>
            <w:tcW w:w="1660" w:type="dxa"/>
            <w:vAlign w:val="bottom"/>
          </w:tcPr>
          <w:p>
            <w:pPr>
              <w:spacing w:after="0"/>
              <w:rPr>
                <w:sz w:val="14"/>
                <w:szCs w:val="14"/>
                <w:color w:val="auto"/>
              </w:rPr>
            </w:pPr>
          </w:p>
        </w:tc>
        <w:tc>
          <w:tcPr>
            <w:tcW w:w="2740" w:type="dxa"/>
            <w:vAlign w:val="bottom"/>
          </w:tcPr>
          <w:p>
            <w:pPr>
              <w:ind w:left="760"/>
              <w:spacing w:after="0"/>
              <w:rPr>
                <w:sz w:val="20"/>
                <w:szCs w:val="20"/>
                <w:color w:val="auto"/>
              </w:rPr>
            </w:pPr>
            <w:r>
              <w:rPr>
                <w:rFonts w:ascii="Arial" w:cs="Arial" w:eastAsia="Arial" w:hAnsi="Arial"/>
                <w:sz w:val="13"/>
                <w:szCs w:val="13"/>
                <w:b w:val="1"/>
                <w:bCs w:val="1"/>
                <w:color w:val="auto"/>
              </w:rPr>
              <w:t>Terms of Our Offering</w:t>
            </w:r>
          </w:p>
        </w:tc>
      </w:tr>
      <w:tr>
        <w:trPr>
          <w:trHeight w:val="23"/>
        </w:trPr>
        <w:tc>
          <w:tcPr>
            <w:tcW w:w="166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196"/>
        </w:trPr>
        <w:tc>
          <w:tcPr>
            <w:tcW w:w="440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Election to remain an   </w:t>
            </w:r>
            <w:r>
              <w:rPr>
                <w:rFonts w:ascii="Arial" w:cs="Arial" w:eastAsia="Arial" w:hAnsi="Arial"/>
                <w:sz w:val="16"/>
                <w:szCs w:val="16"/>
                <w:color w:val="auto"/>
              </w:rPr>
              <w:t>We will provide our public</w:t>
            </w:r>
          </w:p>
        </w:tc>
      </w:tr>
      <w:tr>
        <w:trPr>
          <w:trHeight w:val="187"/>
        </w:trPr>
        <w:tc>
          <w:tcPr>
            <w:tcW w:w="1660" w:type="dxa"/>
            <w:vAlign w:val="bottom"/>
          </w:tcPr>
          <w:p>
            <w:pPr>
              <w:spacing w:after="0"/>
              <w:rPr>
                <w:sz w:val="20"/>
                <w:szCs w:val="20"/>
                <w:color w:val="auto"/>
              </w:rPr>
            </w:pPr>
            <w:r>
              <w:rPr>
                <w:rFonts w:ascii="Arial" w:cs="Arial" w:eastAsia="Arial" w:hAnsi="Arial"/>
                <w:sz w:val="16"/>
                <w:szCs w:val="16"/>
                <w:b w:val="1"/>
                <w:bCs w:val="1"/>
                <w:color w:val="auto"/>
              </w:rPr>
              <w:t>investor</w:t>
            </w:r>
          </w:p>
        </w:tc>
        <w:tc>
          <w:tcPr>
            <w:tcW w:w="2740" w:type="dxa"/>
            <w:vAlign w:val="bottom"/>
          </w:tcPr>
          <w:p>
            <w:pPr>
              <w:spacing w:after="0"/>
              <w:rPr>
                <w:sz w:val="20"/>
                <w:szCs w:val="20"/>
                <w:color w:val="auto"/>
              </w:rPr>
            </w:pPr>
            <w:r>
              <w:rPr>
                <w:rFonts w:ascii="Arial" w:cs="Arial" w:eastAsia="Arial" w:hAnsi="Arial"/>
                <w:sz w:val="16"/>
                <w:szCs w:val="16"/>
                <w:color w:val="auto"/>
              </w:rPr>
              <w:t>stockholders with the opportunity to</w:t>
            </w:r>
          </w:p>
        </w:tc>
      </w:tr>
      <w:tr>
        <w:trPr>
          <w:trHeight w:val="183"/>
        </w:trPr>
        <w:tc>
          <w:tcPr>
            <w:tcW w:w="166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redeem their public shares for cash</w:t>
            </w:r>
          </w:p>
        </w:tc>
      </w:tr>
      <w:tr>
        <w:trPr>
          <w:trHeight w:val="183"/>
        </w:trPr>
        <w:tc>
          <w:tcPr>
            <w:tcW w:w="166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equal to their pro rata share of the</w:t>
            </w:r>
          </w:p>
        </w:tc>
      </w:tr>
      <w:tr>
        <w:trPr>
          <w:trHeight w:val="197"/>
        </w:trPr>
        <w:tc>
          <w:tcPr>
            <w:tcW w:w="1660" w:type="dxa"/>
            <w:vAlign w:val="bottom"/>
          </w:tcPr>
          <w:p>
            <w:pPr>
              <w:spacing w:after="0"/>
              <w:rPr>
                <w:sz w:val="17"/>
                <w:szCs w:val="17"/>
                <w:color w:val="auto"/>
              </w:rPr>
            </w:pPr>
          </w:p>
        </w:tc>
        <w:tc>
          <w:tcPr>
            <w:tcW w:w="2740" w:type="dxa"/>
            <w:vAlign w:val="bottom"/>
          </w:tcPr>
          <w:p>
            <w:pPr>
              <w:spacing w:after="0"/>
              <w:rPr>
                <w:sz w:val="20"/>
                <w:szCs w:val="20"/>
                <w:color w:val="auto"/>
              </w:rPr>
            </w:pPr>
            <w:r>
              <w:rPr>
                <w:rFonts w:ascii="Arial" w:cs="Arial" w:eastAsia="Arial" w:hAnsi="Arial"/>
                <w:sz w:val="16"/>
                <w:szCs w:val="16"/>
                <w:color w:val="auto"/>
                <w:w w:val="94"/>
              </w:rPr>
              <w:t>aggregate amount then on deposit in the</w:t>
            </w:r>
          </w:p>
        </w:tc>
      </w:tr>
    </w:tbl>
    <w:p>
      <w:pPr>
        <w:ind w:left="2800"/>
        <w:spacing w:after="0"/>
        <w:rPr>
          <w:sz w:val="20"/>
          <w:szCs w:val="20"/>
          <w:color w:val="auto"/>
        </w:rPr>
      </w:pPr>
      <w:r>
        <w:rPr>
          <w:rFonts w:ascii="Arial" w:cs="Arial" w:eastAsia="Arial" w:hAnsi="Arial"/>
          <w:sz w:val="16"/>
          <w:szCs w:val="16"/>
          <w:color w:val="auto"/>
        </w:rPr>
        <w:t>trust account as of two business days</w:t>
      </w:r>
    </w:p>
    <w:p>
      <w:pPr>
        <w:ind w:left="2800"/>
        <w:spacing w:after="0"/>
        <w:rPr>
          <w:sz w:val="20"/>
          <w:szCs w:val="20"/>
          <w:color w:val="auto"/>
        </w:rPr>
      </w:pPr>
      <w:r>
        <w:rPr>
          <w:rFonts w:ascii="Arial" w:cs="Arial" w:eastAsia="Arial" w:hAnsi="Arial"/>
          <w:sz w:val="16"/>
          <w:szCs w:val="16"/>
          <w:color w:val="auto"/>
        </w:rPr>
        <w:t>prior to the consummation of our initial</w:t>
      </w:r>
    </w:p>
    <w:p>
      <w:pPr>
        <w:ind w:left="2800"/>
        <w:spacing w:after="0"/>
        <w:rPr>
          <w:sz w:val="20"/>
          <w:szCs w:val="20"/>
          <w:color w:val="auto"/>
        </w:rPr>
      </w:pPr>
      <w:r>
        <w:rPr>
          <w:rFonts w:ascii="Arial" w:cs="Arial" w:eastAsia="Arial" w:hAnsi="Arial"/>
          <w:sz w:val="16"/>
          <w:szCs w:val="16"/>
          <w:color w:val="auto"/>
        </w:rPr>
        <w:t>business combination, including</w:t>
      </w:r>
    </w:p>
    <w:p>
      <w:pPr>
        <w:ind w:left="2800"/>
        <w:spacing w:after="0"/>
        <w:rPr>
          <w:sz w:val="20"/>
          <w:szCs w:val="20"/>
          <w:color w:val="auto"/>
        </w:rPr>
      </w:pPr>
      <w:r>
        <w:rPr>
          <w:rFonts w:ascii="Arial" w:cs="Arial" w:eastAsia="Arial" w:hAnsi="Arial"/>
          <w:sz w:val="16"/>
          <w:szCs w:val="16"/>
          <w:color w:val="auto"/>
        </w:rPr>
        <w:t>interest, net of permitted withdrawals,</w:t>
      </w:r>
    </w:p>
    <w:p>
      <w:pPr>
        <w:ind w:left="2800"/>
        <w:spacing w:after="0"/>
        <w:rPr>
          <w:sz w:val="20"/>
          <w:szCs w:val="20"/>
          <w:color w:val="auto"/>
        </w:rPr>
      </w:pPr>
      <w:r>
        <w:rPr>
          <w:rFonts w:ascii="Arial" w:cs="Arial" w:eastAsia="Arial" w:hAnsi="Arial"/>
          <w:sz w:val="16"/>
          <w:szCs w:val="16"/>
          <w:color w:val="auto"/>
        </w:rPr>
        <w:t>upon the completion of our initial</w:t>
      </w:r>
    </w:p>
    <w:p>
      <w:pPr>
        <w:ind w:left="2800"/>
        <w:spacing w:after="0"/>
        <w:rPr>
          <w:sz w:val="20"/>
          <w:szCs w:val="20"/>
          <w:color w:val="auto"/>
        </w:rPr>
      </w:pPr>
      <w:r>
        <w:rPr>
          <w:rFonts w:ascii="Arial" w:cs="Arial" w:eastAsia="Arial" w:hAnsi="Arial"/>
          <w:sz w:val="16"/>
          <w:szCs w:val="16"/>
          <w:color w:val="auto"/>
        </w:rPr>
        <w:t>business combination, subject to the</w:t>
      </w:r>
    </w:p>
    <w:p>
      <w:pPr>
        <w:ind w:left="2800"/>
        <w:spacing w:after="0"/>
        <w:rPr>
          <w:sz w:val="20"/>
          <w:szCs w:val="20"/>
          <w:color w:val="auto"/>
        </w:rPr>
      </w:pPr>
      <w:r>
        <w:rPr>
          <w:rFonts w:ascii="Arial" w:cs="Arial" w:eastAsia="Arial" w:hAnsi="Arial"/>
          <w:sz w:val="16"/>
          <w:szCs w:val="16"/>
          <w:color w:val="auto"/>
        </w:rPr>
        <w:t>limitations described herein. We may</w:t>
      </w:r>
    </w:p>
    <w:p>
      <w:pPr>
        <w:ind w:left="2800"/>
        <w:spacing w:after="0"/>
        <w:rPr>
          <w:sz w:val="20"/>
          <w:szCs w:val="20"/>
          <w:color w:val="auto"/>
        </w:rPr>
      </w:pPr>
      <w:r>
        <w:rPr>
          <w:rFonts w:ascii="Arial" w:cs="Arial" w:eastAsia="Arial" w:hAnsi="Arial"/>
          <w:sz w:val="16"/>
          <w:szCs w:val="16"/>
          <w:color w:val="auto"/>
        </w:rPr>
        <w:t>not be required by applicable law or</w:t>
      </w:r>
    </w:p>
    <w:p>
      <w:pPr>
        <w:ind w:left="2800"/>
        <w:spacing w:after="0"/>
        <w:rPr>
          <w:sz w:val="20"/>
          <w:szCs w:val="20"/>
          <w:color w:val="auto"/>
        </w:rPr>
      </w:pPr>
      <w:r>
        <w:rPr>
          <w:rFonts w:ascii="Arial" w:cs="Arial" w:eastAsia="Arial" w:hAnsi="Arial"/>
          <w:sz w:val="16"/>
          <w:szCs w:val="16"/>
          <w:color w:val="auto"/>
        </w:rPr>
        <w:t>stock exchange rules to hold a</w:t>
      </w:r>
    </w:p>
    <w:p>
      <w:pPr>
        <w:ind w:left="2800"/>
        <w:spacing w:after="0"/>
        <w:rPr>
          <w:sz w:val="20"/>
          <w:szCs w:val="20"/>
          <w:color w:val="auto"/>
        </w:rPr>
      </w:pPr>
      <w:r>
        <w:rPr>
          <w:rFonts w:ascii="Arial" w:cs="Arial" w:eastAsia="Arial" w:hAnsi="Arial"/>
          <w:sz w:val="15"/>
          <w:szCs w:val="15"/>
          <w:color w:val="auto"/>
        </w:rPr>
        <w:t>stockholder vote. If we are not required</w:t>
      </w:r>
    </w:p>
    <w:p>
      <w:pPr>
        <w:spacing w:after="0" w:line="10"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by applicable law or stock exchange</w:t>
      </w:r>
    </w:p>
    <w:p>
      <w:pPr>
        <w:ind w:left="2800"/>
        <w:spacing w:after="0"/>
        <w:rPr>
          <w:sz w:val="20"/>
          <w:szCs w:val="20"/>
          <w:color w:val="auto"/>
        </w:rPr>
      </w:pPr>
      <w:r>
        <w:rPr>
          <w:rFonts w:ascii="Arial" w:cs="Arial" w:eastAsia="Arial" w:hAnsi="Arial"/>
          <w:sz w:val="16"/>
          <w:szCs w:val="16"/>
          <w:color w:val="auto"/>
        </w:rPr>
        <w:t>rules and do not otherwise decide to</w:t>
      </w:r>
    </w:p>
    <w:p>
      <w:pPr>
        <w:ind w:left="2800"/>
        <w:spacing w:after="0"/>
        <w:rPr>
          <w:sz w:val="20"/>
          <w:szCs w:val="20"/>
          <w:color w:val="auto"/>
        </w:rPr>
      </w:pPr>
      <w:r>
        <w:rPr>
          <w:rFonts w:ascii="Arial" w:cs="Arial" w:eastAsia="Arial" w:hAnsi="Arial"/>
          <w:sz w:val="16"/>
          <w:szCs w:val="16"/>
          <w:color w:val="auto"/>
        </w:rPr>
        <w:t>hold a stockholder vote, we will,</w:t>
      </w:r>
    </w:p>
    <w:p>
      <w:pPr>
        <w:ind w:left="2800"/>
        <w:spacing w:after="0"/>
        <w:rPr>
          <w:sz w:val="20"/>
          <w:szCs w:val="20"/>
          <w:color w:val="auto"/>
        </w:rPr>
      </w:pPr>
      <w:r>
        <w:rPr>
          <w:rFonts w:ascii="Arial" w:cs="Arial" w:eastAsia="Arial" w:hAnsi="Arial"/>
          <w:sz w:val="16"/>
          <w:szCs w:val="16"/>
          <w:color w:val="auto"/>
        </w:rPr>
        <w:t>pursuant to our amended and restated</w:t>
      </w:r>
    </w:p>
    <w:p>
      <w:pPr>
        <w:ind w:left="2800"/>
        <w:spacing w:after="0"/>
        <w:rPr>
          <w:sz w:val="20"/>
          <w:szCs w:val="20"/>
          <w:color w:val="auto"/>
        </w:rPr>
      </w:pPr>
      <w:r>
        <w:rPr>
          <w:rFonts w:ascii="Arial" w:cs="Arial" w:eastAsia="Arial" w:hAnsi="Arial"/>
          <w:sz w:val="15"/>
          <w:szCs w:val="15"/>
          <w:color w:val="auto"/>
        </w:rPr>
        <w:t>certificate of incorporation, conduct the</w:t>
      </w:r>
    </w:p>
    <w:p>
      <w:pPr>
        <w:spacing w:after="0" w:line="10"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redemptions pursuant to the tender</w:t>
      </w:r>
    </w:p>
    <w:p>
      <w:pPr>
        <w:ind w:left="2800"/>
        <w:spacing w:after="0"/>
        <w:rPr>
          <w:sz w:val="20"/>
          <w:szCs w:val="20"/>
          <w:color w:val="auto"/>
        </w:rPr>
      </w:pPr>
      <w:r>
        <w:rPr>
          <w:rFonts w:ascii="Arial" w:cs="Arial" w:eastAsia="Arial" w:hAnsi="Arial"/>
          <w:sz w:val="16"/>
          <w:szCs w:val="16"/>
          <w:color w:val="auto"/>
        </w:rPr>
        <w:t>offer rules of the SEC and file tender</w:t>
      </w:r>
    </w:p>
    <w:p>
      <w:pPr>
        <w:ind w:left="2800"/>
        <w:spacing w:after="0"/>
        <w:rPr>
          <w:sz w:val="20"/>
          <w:szCs w:val="20"/>
          <w:color w:val="auto"/>
        </w:rPr>
      </w:pPr>
      <w:r>
        <w:rPr>
          <w:rFonts w:ascii="Arial" w:cs="Arial" w:eastAsia="Arial" w:hAnsi="Arial"/>
          <w:sz w:val="16"/>
          <w:szCs w:val="16"/>
          <w:color w:val="auto"/>
        </w:rPr>
        <w:t>offer documents with the SEC which</w:t>
      </w:r>
    </w:p>
    <w:p>
      <w:pPr>
        <w:ind w:left="2800"/>
        <w:spacing w:after="0"/>
        <w:rPr>
          <w:sz w:val="20"/>
          <w:szCs w:val="20"/>
          <w:color w:val="auto"/>
        </w:rPr>
      </w:pPr>
      <w:r>
        <w:rPr>
          <w:rFonts w:ascii="Arial" w:cs="Arial" w:eastAsia="Arial" w:hAnsi="Arial"/>
          <w:sz w:val="16"/>
          <w:szCs w:val="16"/>
          <w:color w:val="auto"/>
        </w:rPr>
        <w:t>will contain substantially the same</w:t>
      </w:r>
    </w:p>
    <w:p>
      <w:pPr>
        <w:ind w:left="2800"/>
        <w:spacing w:after="0"/>
        <w:rPr>
          <w:sz w:val="20"/>
          <w:szCs w:val="20"/>
          <w:color w:val="auto"/>
        </w:rPr>
      </w:pPr>
      <w:r>
        <w:rPr>
          <w:rFonts w:ascii="Arial" w:cs="Arial" w:eastAsia="Arial" w:hAnsi="Arial"/>
          <w:sz w:val="16"/>
          <w:szCs w:val="16"/>
          <w:color w:val="auto"/>
        </w:rPr>
        <w:t>financial and other information about</w:t>
      </w:r>
    </w:p>
    <w:p>
      <w:pPr>
        <w:ind w:left="2800"/>
        <w:spacing w:after="0"/>
        <w:rPr>
          <w:sz w:val="20"/>
          <w:szCs w:val="20"/>
          <w:color w:val="auto"/>
        </w:rPr>
      </w:pPr>
      <w:r>
        <w:rPr>
          <w:rFonts w:ascii="Arial" w:cs="Arial" w:eastAsia="Arial" w:hAnsi="Arial"/>
          <w:sz w:val="15"/>
          <w:szCs w:val="15"/>
          <w:color w:val="auto"/>
        </w:rPr>
        <w:t>the initial business combination and the</w:t>
      </w:r>
    </w:p>
    <w:p>
      <w:pPr>
        <w:spacing w:after="0" w:line="10"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redemption rights as is required under</w:t>
      </w:r>
    </w:p>
    <w:p>
      <w:pPr>
        <w:ind w:left="2800"/>
        <w:spacing w:after="0"/>
        <w:rPr>
          <w:sz w:val="20"/>
          <w:szCs w:val="20"/>
          <w:color w:val="auto"/>
        </w:rPr>
      </w:pPr>
      <w:r>
        <w:rPr>
          <w:rFonts w:ascii="Arial" w:cs="Arial" w:eastAsia="Arial" w:hAnsi="Arial"/>
          <w:sz w:val="16"/>
          <w:szCs w:val="16"/>
          <w:color w:val="auto"/>
        </w:rPr>
        <w:t>the SEC’s proxy rules. If, however, we</w:t>
      </w:r>
    </w:p>
    <w:p>
      <w:pPr>
        <w:ind w:left="2800"/>
        <w:spacing w:after="0"/>
        <w:rPr>
          <w:sz w:val="20"/>
          <w:szCs w:val="20"/>
          <w:color w:val="auto"/>
        </w:rPr>
      </w:pPr>
      <w:r>
        <w:rPr>
          <w:rFonts w:ascii="Arial" w:cs="Arial" w:eastAsia="Arial" w:hAnsi="Arial"/>
          <w:sz w:val="16"/>
          <w:szCs w:val="16"/>
          <w:color w:val="auto"/>
        </w:rPr>
        <w:t>hold a stockholder vote, we will, like</w:t>
      </w:r>
    </w:p>
    <w:p>
      <w:pPr>
        <w:ind w:left="2800"/>
        <w:spacing w:after="0"/>
        <w:rPr>
          <w:sz w:val="20"/>
          <w:szCs w:val="20"/>
          <w:color w:val="auto"/>
        </w:rPr>
      </w:pPr>
      <w:r>
        <w:rPr>
          <w:rFonts w:ascii="Arial" w:cs="Arial" w:eastAsia="Arial" w:hAnsi="Arial"/>
          <w:sz w:val="16"/>
          <w:szCs w:val="16"/>
          <w:color w:val="auto"/>
        </w:rPr>
        <w:t>many blank check companies, offer to</w:t>
      </w:r>
    </w:p>
    <w:p>
      <w:pPr>
        <w:ind w:left="2800"/>
        <w:spacing w:after="0"/>
        <w:rPr>
          <w:sz w:val="20"/>
          <w:szCs w:val="20"/>
          <w:color w:val="auto"/>
        </w:rPr>
      </w:pPr>
      <w:r>
        <w:rPr>
          <w:rFonts w:ascii="Arial" w:cs="Arial" w:eastAsia="Arial" w:hAnsi="Arial"/>
          <w:sz w:val="16"/>
          <w:szCs w:val="16"/>
          <w:color w:val="auto"/>
        </w:rPr>
        <w:t>redeem shares in conjunction with a</w:t>
      </w:r>
    </w:p>
    <w:p>
      <w:pPr>
        <w:ind w:left="2800"/>
        <w:spacing w:after="0"/>
        <w:rPr>
          <w:sz w:val="20"/>
          <w:szCs w:val="20"/>
          <w:color w:val="auto"/>
        </w:rPr>
      </w:pPr>
      <w:r>
        <w:rPr>
          <w:rFonts w:ascii="Arial" w:cs="Arial" w:eastAsia="Arial" w:hAnsi="Arial"/>
          <w:sz w:val="16"/>
          <w:szCs w:val="16"/>
          <w:color w:val="auto"/>
        </w:rPr>
        <w:t>proxy solicitation pursuant to the proxy</w:t>
      </w:r>
    </w:p>
    <w:p>
      <w:pPr>
        <w:ind w:left="2800"/>
        <w:spacing w:after="0"/>
        <w:rPr>
          <w:sz w:val="20"/>
          <w:szCs w:val="20"/>
          <w:color w:val="auto"/>
        </w:rPr>
      </w:pPr>
      <w:r>
        <w:rPr>
          <w:rFonts w:ascii="Arial" w:cs="Arial" w:eastAsia="Arial" w:hAnsi="Arial"/>
          <w:sz w:val="16"/>
          <w:szCs w:val="16"/>
          <w:color w:val="auto"/>
        </w:rPr>
        <w:t>rules and not pursuant to the tender</w:t>
      </w:r>
    </w:p>
    <w:p>
      <w:pPr>
        <w:ind w:left="2800"/>
        <w:spacing w:after="0"/>
        <w:rPr>
          <w:sz w:val="20"/>
          <w:szCs w:val="20"/>
          <w:color w:val="auto"/>
        </w:rPr>
      </w:pPr>
      <w:r>
        <w:rPr>
          <w:rFonts w:ascii="Arial" w:cs="Arial" w:eastAsia="Arial" w:hAnsi="Arial"/>
          <w:sz w:val="15"/>
          <w:szCs w:val="15"/>
          <w:color w:val="auto"/>
        </w:rPr>
        <w:t>offer rules. Pursuant to the tender offer</w:t>
      </w:r>
    </w:p>
    <w:p>
      <w:pPr>
        <w:spacing w:after="0" w:line="11" w:lineRule="exact"/>
        <w:rPr>
          <w:sz w:val="20"/>
          <w:szCs w:val="20"/>
          <w:color w:val="auto"/>
        </w:rPr>
      </w:pPr>
    </w:p>
    <w:p>
      <w:pPr>
        <w:ind w:left="2800"/>
        <w:spacing w:after="0"/>
        <w:rPr>
          <w:sz w:val="20"/>
          <w:szCs w:val="20"/>
          <w:color w:val="auto"/>
        </w:rPr>
      </w:pPr>
      <w:r>
        <w:rPr>
          <w:rFonts w:ascii="Arial" w:cs="Arial" w:eastAsia="Arial" w:hAnsi="Arial"/>
          <w:sz w:val="15"/>
          <w:szCs w:val="15"/>
          <w:color w:val="auto"/>
        </w:rPr>
        <w:t>rules, the tender offer period will be not</w:t>
      </w:r>
    </w:p>
    <w:p>
      <w:pPr>
        <w:spacing w:after="0" w:line="10"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less than 20 business days and, in the</w:t>
      </w:r>
    </w:p>
    <w:p>
      <w:pPr>
        <w:ind w:left="2800"/>
        <w:spacing w:after="0"/>
        <w:rPr>
          <w:sz w:val="20"/>
          <w:szCs w:val="20"/>
          <w:color w:val="auto"/>
        </w:rPr>
      </w:pPr>
      <w:r>
        <w:rPr>
          <w:rFonts w:ascii="Arial" w:cs="Arial" w:eastAsia="Arial" w:hAnsi="Arial"/>
          <w:sz w:val="16"/>
          <w:szCs w:val="16"/>
          <w:color w:val="auto"/>
        </w:rPr>
        <w:t>case of a stockholder vote, a final</w:t>
      </w:r>
    </w:p>
    <w:p>
      <w:pPr>
        <w:ind w:left="2800"/>
        <w:spacing w:after="0"/>
        <w:rPr>
          <w:sz w:val="20"/>
          <w:szCs w:val="20"/>
          <w:color w:val="auto"/>
        </w:rPr>
      </w:pPr>
      <w:r>
        <w:rPr>
          <w:rFonts w:ascii="Arial" w:cs="Arial" w:eastAsia="Arial" w:hAnsi="Arial"/>
          <w:sz w:val="16"/>
          <w:szCs w:val="16"/>
          <w:color w:val="auto"/>
        </w:rPr>
        <w:t>proxy statement would be mailed to</w:t>
      </w:r>
    </w:p>
    <w:p>
      <w:pPr>
        <w:ind w:left="2800"/>
        <w:spacing w:after="0"/>
        <w:rPr>
          <w:sz w:val="20"/>
          <w:szCs w:val="20"/>
          <w:color w:val="auto"/>
        </w:rPr>
      </w:pPr>
      <w:r>
        <w:rPr>
          <w:rFonts w:ascii="Arial" w:cs="Arial" w:eastAsia="Arial" w:hAnsi="Arial"/>
          <w:sz w:val="16"/>
          <w:szCs w:val="16"/>
          <w:color w:val="auto"/>
        </w:rPr>
        <w:t>public stockholders at least 10 days</w:t>
      </w:r>
    </w:p>
    <w:p>
      <w:pPr>
        <w:ind w:left="2800"/>
        <w:spacing w:after="0"/>
        <w:rPr>
          <w:sz w:val="20"/>
          <w:szCs w:val="20"/>
          <w:color w:val="auto"/>
        </w:rPr>
      </w:pPr>
      <w:r>
        <w:rPr>
          <w:rFonts w:ascii="Arial" w:cs="Arial" w:eastAsia="Arial" w:hAnsi="Arial"/>
          <w:sz w:val="16"/>
          <w:szCs w:val="16"/>
          <w:color w:val="auto"/>
        </w:rPr>
        <w:t>prior to the stockholder vote. However,</w:t>
      </w:r>
    </w:p>
    <w:p>
      <w:pPr>
        <w:ind w:left="2800"/>
        <w:spacing w:after="0"/>
        <w:rPr>
          <w:sz w:val="20"/>
          <w:szCs w:val="20"/>
          <w:color w:val="auto"/>
        </w:rPr>
      </w:pPr>
      <w:r>
        <w:rPr>
          <w:rFonts w:ascii="Arial" w:cs="Arial" w:eastAsia="Arial" w:hAnsi="Arial"/>
          <w:sz w:val="16"/>
          <w:szCs w:val="16"/>
          <w:color w:val="auto"/>
        </w:rPr>
        <w:t>we expect that a draft proxy statement</w:t>
      </w:r>
    </w:p>
    <w:p>
      <w:pPr>
        <w:ind w:left="2800"/>
        <w:spacing w:after="0"/>
        <w:rPr>
          <w:sz w:val="20"/>
          <w:szCs w:val="20"/>
          <w:color w:val="auto"/>
        </w:rPr>
      </w:pPr>
      <w:r>
        <w:rPr>
          <w:rFonts w:ascii="Arial" w:cs="Arial" w:eastAsia="Arial" w:hAnsi="Arial"/>
          <w:sz w:val="16"/>
          <w:szCs w:val="16"/>
          <w:color w:val="auto"/>
        </w:rPr>
        <w:t>would be made available to such</w:t>
      </w:r>
    </w:p>
    <w:p>
      <w:pPr>
        <w:ind w:left="2800"/>
        <w:spacing w:after="0"/>
        <w:rPr>
          <w:sz w:val="20"/>
          <w:szCs w:val="20"/>
          <w:color w:val="auto"/>
        </w:rPr>
      </w:pPr>
      <w:r>
        <w:rPr>
          <w:rFonts w:ascii="Arial" w:cs="Arial" w:eastAsia="Arial" w:hAnsi="Arial"/>
          <w:sz w:val="16"/>
          <w:szCs w:val="16"/>
          <w:color w:val="auto"/>
        </w:rPr>
        <w:t>stockholders well in advance of such</w:t>
      </w:r>
    </w:p>
    <w:p>
      <w:pPr>
        <w:ind w:left="2800"/>
        <w:spacing w:after="0"/>
        <w:rPr>
          <w:sz w:val="20"/>
          <w:szCs w:val="20"/>
          <w:color w:val="auto"/>
        </w:rPr>
      </w:pPr>
      <w:r>
        <w:rPr>
          <w:rFonts w:ascii="Arial" w:cs="Arial" w:eastAsia="Arial" w:hAnsi="Arial"/>
          <w:sz w:val="16"/>
          <w:szCs w:val="16"/>
          <w:color w:val="auto"/>
        </w:rPr>
        <w:t>time, providing additional notice of</w:t>
      </w:r>
    </w:p>
    <w:p>
      <w:pPr>
        <w:ind w:left="2800"/>
        <w:spacing w:after="0"/>
        <w:rPr>
          <w:sz w:val="20"/>
          <w:szCs w:val="20"/>
          <w:color w:val="auto"/>
        </w:rPr>
      </w:pPr>
      <w:r>
        <w:rPr>
          <w:rFonts w:ascii="Arial" w:cs="Arial" w:eastAsia="Arial" w:hAnsi="Arial"/>
          <w:sz w:val="16"/>
          <w:szCs w:val="16"/>
          <w:color w:val="auto"/>
        </w:rPr>
        <w:t>redemption if we conduct redemptions</w:t>
      </w:r>
    </w:p>
    <w:p>
      <w:pPr>
        <w:ind w:left="2800"/>
        <w:spacing w:after="0"/>
        <w:rPr>
          <w:sz w:val="20"/>
          <w:szCs w:val="20"/>
          <w:color w:val="auto"/>
        </w:rPr>
      </w:pPr>
      <w:r>
        <w:rPr>
          <w:rFonts w:ascii="Arial" w:cs="Arial" w:eastAsia="Arial" w:hAnsi="Arial"/>
          <w:sz w:val="16"/>
          <w:szCs w:val="16"/>
          <w:color w:val="auto"/>
        </w:rPr>
        <w:t>in conjunction with a proxy</w:t>
      </w:r>
    </w:p>
    <w:p>
      <w:pPr>
        <w:ind w:left="2800"/>
        <w:spacing w:after="0"/>
        <w:rPr>
          <w:sz w:val="20"/>
          <w:szCs w:val="20"/>
          <w:color w:val="auto"/>
        </w:rPr>
      </w:pPr>
      <w:r>
        <w:rPr>
          <w:rFonts w:ascii="Arial" w:cs="Arial" w:eastAsia="Arial" w:hAnsi="Arial"/>
          <w:sz w:val="16"/>
          <w:szCs w:val="16"/>
          <w:color w:val="auto"/>
        </w:rPr>
        <w:t>solicitation. If we seek stockholder</w:t>
      </w:r>
    </w:p>
    <w:p>
      <w:pPr>
        <w:ind w:left="2800"/>
        <w:spacing w:after="0"/>
        <w:rPr>
          <w:sz w:val="20"/>
          <w:szCs w:val="20"/>
          <w:color w:val="auto"/>
        </w:rPr>
      </w:pPr>
      <w:r>
        <w:rPr>
          <w:rFonts w:ascii="Arial" w:cs="Arial" w:eastAsia="Arial" w:hAnsi="Arial"/>
          <w:sz w:val="16"/>
          <w:szCs w:val="16"/>
          <w:color w:val="auto"/>
        </w:rPr>
        <w:t>approval, we will complete our initial</w:t>
      </w:r>
    </w:p>
    <w:p>
      <w:pPr>
        <w:ind w:left="2800"/>
        <w:spacing w:after="0"/>
        <w:rPr>
          <w:sz w:val="20"/>
          <w:szCs w:val="20"/>
          <w:color w:val="auto"/>
        </w:rPr>
      </w:pPr>
      <w:r>
        <w:rPr>
          <w:rFonts w:ascii="Arial" w:cs="Arial" w:eastAsia="Arial" w:hAnsi="Arial"/>
          <w:sz w:val="16"/>
          <w:szCs w:val="16"/>
          <w:color w:val="auto"/>
        </w:rPr>
        <w:t>business combination only if a majority</w:t>
      </w:r>
    </w:p>
    <w:p>
      <w:pPr>
        <w:ind w:left="2800"/>
        <w:spacing w:after="0"/>
        <w:rPr>
          <w:sz w:val="20"/>
          <w:szCs w:val="20"/>
          <w:color w:val="auto"/>
        </w:rPr>
      </w:pPr>
      <w:r>
        <w:rPr>
          <w:rFonts w:ascii="Arial" w:cs="Arial" w:eastAsia="Arial" w:hAnsi="Arial"/>
          <w:sz w:val="16"/>
          <w:szCs w:val="16"/>
          <w:color w:val="auto"/>
        </w:rPr>
        <w:t>of the outstanding shares of common</w:t>
      </w:r>
    </w:p>
    <w:p>
      <w:pPr>
        <w:ind w:left="2800"/>
        <w:spacing w:after="0"/>
        <w:rPr>
          <w:sz w:val="20"/>
          <w:szCs w:val="20"/>
          <w:color w:val="auto"/>
        </w:rPr>
      </w:pPr>
      <w:r>
        <w:rPr>
          <w:rFonts w:ascii="Arial" w:cs="Arial" w:eastAsia="Arial" w:hAnsi="Arial"/>
          <w:sz w:val="16"/>
          <w:szCs w:val="16"/>
          <w:color w:val="auto"/>
        </w:rPr>
        <w:t>stock voted are voted in favor of the</w:t>
      </w:r>
    </w:p>
    <w:p>
      <w:pPr>
        <w:ind w:left="2800"/>
        <w:spacing w:after="0"/>
        <w:rPr>
          <w:sz w:val="20"/>
          <w:szCs w:val="20"/>
          <w:color w:val="auto"/>
        </w:rPr>
      </w:pPr>
      <w:r>
        <w:rPr>
          <w:rFonts w:ascii="Arial" w:cs="Arial" w:eastAsia="Arial" w:hAnsi="Arial"/>
          <w:sz w:val="16"/>
          <w:szCs w:val="16"/>
          <w:color w:val="auto"/>
        </w:rPr>
        <w:t>business combination. A quorum for</w:t>
      </w:r>
    </w:p>
    <w:p>
      <w:pPr>
        <w:ind w:left="2800"/>
        <w:spacing w:after="0"/>
        <w:rPr>
          <w:sz w:val="20"/>
          <w:szCs w:val="20"/>
          <w:color w:val="auto"/>
        </w:rPr>
      </w:pPr>
      <w:r>
        <w:rPr>
          <w:rFonts w:ascii="Arial" w:cs="Arial" w:eastAsia="Arial" w:hAnsi="Arial"/>
          <w:sz w:val="15"/>
          <w:szCs w:val="15"/>
          <w:color w:val="auto"/>
        </w:rPr>
        <w:t>such meeting will consist of the holders</w:t>
      </w:r>
    </w:p>
    <w:p>
      <w:pPr>
        <w:spacing w:after="0" w:line="11" w:lineRule="exact"/>
        <w:rPr>
          <w:sz w:val="20"/>
          <w:szCs w:val="20"/>
          <w:color w:val="auto"/>
        </w:rPr>
      </w:pPr>
    </w:p>
    <w:p>
      <w:pPr>
        <w:ind w:left="2800"/>
        <w:spacing w:after="0"/>
        <w:rPr>
          <w:sz w:val="20"/>
          <w:szCs w:val="20"/>
          <w:color w:val="auto"/>
        </w:rPr>
      </w:pPr>
      <w:r>
        <w:rPr>
          <w:rFonts w:ascii="Arial" w:cs="Arial" w:eastAsia="Arial" w:hAnsi="Arial"/>
          <w:sz w:val="15"/>
          <w:szCs w:val="15"/>
          <w:color w:val="auto"/>
        </w:rPr>
        <w:t>present in person or by proxy of shares</w:t>
      </w:r>
    </w:p>
    <w:p>
      <w:pPr>
        <w:spacing w:after="0" w:line="10"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of outstanding capital stock of the</w:t>
      </w:r>
    </w:p>
    <w:p>
      <w:pPr>
        <w:ind w:left="2800"/>
        <w:spacing w:after="0"/>
        <w:rPr>
          <w:sz w:val="20"/>
          <w:szCs w:val="20"/>
          <w:color w:val="auto"/>
        </w:rPr>
      </w:pPr>
      <w:r>
        <w:rPr>
          <w:rFonts w:ascii="Arial" w:cs="Arial" w:eastAsia="Arial" w:hAnsi="Arial"/>
          <w:sz w:val="16"/>
          <w:szCs w:val="16"/>
          <w:color w:val="auto"/>
        </w:rPr>
        <w:t>company representing a</w:t>
      </w:r>
    </w:p>
    <w:p>
      <w:pPr>
        <w:spacing w:after="0" w:line="27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180213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802130" cy="7620"/>
                    </a:xfrm>
                    <a:prstGeom prst="rect">
                      <a:avLst/>
                    </a:prstGeom>
                    <a:noFill/>
                  </pic:spPr>
                </pic:pic>
              </a:graphicData>
            </a:graphic>
          </wp:anchor>
        </w:drawing>
      </w:r>
    </w:p>
    <w:p>
      <w:pPr>
        <w:spacing w:after="0" w:line="58" w:lineRule="exact"/>
        <w:rPr>
          <w:sz w:val="20"/>
          <w:szCs w:val="20"/>
          <w:color w:val="auto"/>
        </w:rPr>
      </w:pPr>
    </w:p>
    <w:p>
      <w:pPr>
        <w:ind w:right="1579"/>
        <w:spacing w:after="0" w:line="252" w:lineRule="auto"/>
        <w:rPr>
          <w:sz w:val="20"/>
          <w:szCs w:val="20"/>
          <w:color w:val="auto"/>
        </w:rPr>
      </w:pPr>
      <w:r>
        <w:rPr>
          <w:rFonts w:ascii="Arial" w:cs="Arial" w:eastAsia="Arial" w:hAnsi="Arial"/>
          <w:sz w:val="15"/>
          <w:szCs w:val="15"/>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stockholder of the company or require the return of his, her or its investment. If the company has not received the notification by the end of the 45</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business day, funds and interest or dividends, if any, held in the trust or escrow account are automatically returned to the stockholder. Unless a sufficient number of investors elect to remain investors, all funds on deposit in the escrow account must be returned to all of the investors and none of the securities are issued.</w:t>
      </w:r>
    </w:p>
    <w:p>
      <w:pPr>
        <w:sectPr>
          <w:pgSz w:w="11900" w:h="16838" w:orient="portrait"/>
          <w:cols w:equalWidth="0" w:num="2">
            <w:col w:w="5540" w:space="200"/>
            <w:col w:w="4399"/>
          </w:cols>
          <w:pgMar w:left="320" w:top="131" w:right="1440" w:bottom="1440" w:gutter="0" w:footer="0" w:header="0"/>
        </w:sectPr>
      </w:pPr>
    </w:p>
    <w:bookmarkStart w:id="106" w:name="page107"/>
    <w:bookmarkEnd w:id="106"/>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560"/>
        <w:spacing w:after="0"/>
        <w:rPr>
          <w:sz w:val="20"/>
          <w:szCs w:val="20"/>
          <w:color w:val="auto"/>
        </w:rPr>
      </w:pPr>
      <w:r>
        <w:rPr>
          <w:rFonts w:ascii="Arial" w:cs="Arial" w:eastAsia="Arial" w:hAnsi="Arial"/>
          <w:sz w:val="13"/>
          <w:szCs w:val="13"/>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1777365</wp:posOffset>
            </wp:positionH>
            <wp:positionV relativeFrom="paragraph">
              <wp:posOffset>26670</wp:posOffset>
            </wp:positionV>
            <wp:extent cx="173990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39900" cy="7620"/>
                    </a:xfrm>
                    <a:prstGeom prst="rect">
                      <a:avLst/>
                    </a:prstGeom>
                    <a:noFill/>
                  </pic:spPr>
                </pic:pic>
              </a:graphicData>
            </a:graphic>
          </wp:anchor>
        </w:drawing>
      </w:r>
    </w:p>
    <w:p>
      <w:pPr>
        <w:spacing w:after="0" w:line="58"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majority of the voting power of all</w:t>
      </w:r>
    </w:p>
    <w:p>
      <w:pPr>
        <w:spacing w:after="0" w:line="13"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outstanding shares of capital stock of</w:t>
      </w:r>
    </w:p>
    <w:p>
      <w:pPr>
        <w:ind w:left="2800"/>
        <w:spacing w:after="0"/>
        <w:rPr>
          <w:sz w:val="20"/>
          <w:szCs w:val="20"/>
          <w:color w:val="auto"/>
        </w:rPr>
      </w:pPr>
      <w:r>
        <w:rPr>
          <w:rFonts w:ascii="Arial" w:cs="Arial" w:eastAsia="Arial" w:hAnsi="Arial"/>
          <w:sz w:val="16"/>
          <w:szCs w:val="16"/>
          <w:color w:val="auto"/>
        </w:rPr>
        <w:t>the company entitled to vote at such</w:t>
      </w:r>
    </w:p>
    <w:p>
      <w:pPr>
        <w:ind w:left="2800"/>
        <w:spacing w:after="0"/>
        <w:rPr>
          <w:sz w:val="20"/>
          <w:szCs w:val="20"/>
          <w:color w:val="auto"/>
        </w:rPr>
      </w:pPr>
      <w:r>
        <w:rPr>
          <w:rFonts w:ascii="Arial" w:cs="Arial" w:eastAsia="Arial" w:hAnsi="Arial"/>
          <w:sz w:val="16"/>
          <w:szCs w:val="16"/>
          <w:color w:val="auto"/>
        </w:rPr>
        <w:t>meeting. Additionally, each public</w:t>
      </w:r>
    </w:p>
    <w:p>
      <w:pPr>
        <w:ind w:left="2800"/>
        <w:spacing w:after="0"/>
        <w:rPr>
          <w:sz w:val="20"/>
          <w:szCs w:val="20"/>
          <w:color w:val="auto"/>
        </w:rPr>
      </w:pPr>
      <w:r>
        <w:rPr>
          <w:rFonts w:ascii="Arial" w:cs="Arial" w:eastAsia="Arial" w:hAnsi="Arial"/>
          <w:sz w:val="16"/>
          <w:szCs w:val="16"/>
          <w:color w:val="auto"/>
        </w:rPr>
        <w:t>stockholder may elect to redeem its</w:t>
      </w:r>
    </w:p>
    <w:p>
      <w:pPr>
        <w:ind w:left="2800"/>
        <w:spacing w:after="0"/>
        <w:rPr>
          <w:sz w:val="20"/>
          <w:szCs w:val="20"/>
          <w:color w:val="auto"/>
        </w:rPr>
      </w:pPr>
      <w:r>
        <w:rPr>
          <w:rFonts w:ascii="Arial" w:cs="Arial" w:eastAsia="Arial" w:hAnsi="Arial"/>
          <w:sz w:val="16"/>
          <w:szCs w:val="16"/>
          <w:color w:val="auto"/>
        </w:rPr>
        <w:t>public shares without voting and, if</w:t>
      </w:r>
    </w:p>
    <w:p>
      <w:pPr>
        <w:ind w:left="2800"/>
        <w:spacing w:after="0"/>
        <w:rPr>
          <w:sz w:val="20"/>
          <w:szCs w:val="20"/>
          <w:color w:val="auto"/>
        </w:rPr>
      </w:pPr>
      <w:r>
        <w:rPr>
          <w:rFonts w:ascii="Arial" w:cs="Arial" w:eastAsia="Arial" w:hAnsi="Arial"/>
          <w:sz w:val="16"/>
          <w:szCs w:val="16"/>
          <w:color w:val="auto"/>
        </w:rPr>
        <w:t>they do vote, irrespective of whether</w:t>
      </w:r>
    </w:p>
    <w:p>
      <w:pPr>
        <w:ind w:left="2800"/>
        <w:spacing w:after="0"/>
        <w:rPr>
          <w:sz w:val="20"/>
          <w:szCs w:val="20"/>
          <w:color w:val="auto"/>
        </w:rPr>
      </w:pPr>
      <w:r>
        <w:rPr>
          <w:rFonts w:ascii="Arial" w:cs="Arial" w:eastAsia="Arial" w:hAnsi="Arial"/>
          <w:sz w:val="16"/>
          <w:szCs w:val="16"/>
          <w:color w:val="auto"/>
        </w:rPr>
        <w:t>they vote for or against the proposed</w:t>
      </w:r>
    </w:p>
    <w:p>
      <w:pPr>
        <w:ind w:left="2800"/>
        <w:spacing w:after="0"/>
        <w:rPr>
          <w:sz w:val="20"/>
          <w:szCs w:val="20"/>
          <w:color w:val="auto"/>
        </w:rPr>
      </w:pPr>
      <w:r>
        <w:rPr>
          <w:rFonts w:ascii="Arial" w:cs="Arial" w:eastAsia="Arial" w:hAnsi="Arial"/>
          <w:sz w:val="16"/>
          <w:szCs w:val="16"/>
          <w:color w:val="auto"/>
        </w:rPr>
        <w:t>transaction.</w:t>
      </w:r>
    </w:p>
    <w:p>
      <w:pPr>
        <w:spacing w:after="0" w:line="153" w:lineRule="exact"/>
        <w:rPr>
          <w:sz w:val="20"/>
          <w:szCs w:val="20"/>
          <w:color w:val="auto"/>
        </w:rPr>
      </w:pPr>
    </w:p>
    <w:p>
      <w:pPr>
        <w:ind w:left="1140"/>
        <w:spacing w:after="0"/>
        <w:tabs>
          <w:tab w:leader="none" w:pos="2780" w:val="left"/>
        </w:tabs>
        <w:rPr>
          <w:sz w:val="20"/>
          <w:szCs w:val="20"/>
          <w:color w:val="auto"/>
        </w:rPr>
      </w:pPr>
      <w:r>
        <w:rPr>
          <w:rFonts w:ascii="Arial" w:cs="Arial" w:eastAsia="Arial" w:hAnsi="Arial"/>
          <w:sz w:val="16"/>
          <w:szCs w:val="16"/>
          <w:b w:val="1"/>
          <w:bCs w:val="1"/>
          <w:color w:val="auto"/>
        </w:rPr>
        <w:t>Business combination</w:t>
      </w:r>
      <w:r>
        <w:rPr>
          <w:sz w:val="20"/>
          <w:szCs w:val="20"/>
          <w:color w:val="auto"/>
        </w:rPr>
        <w:tab/>
      </w:r>
      <w:r>
        <w:rPr>
          <w:rFonts w:ascii="Arial" w:cs="Arial" w:eastAsia="Arial" w:hAnsi="Arial"/>
          <w:sz w:val="15"/>
          <w:szCs w:val="15"/>
          <w:color w:val="auto"/>
        </w:rPr>
        <w:t>If we are unable to complete an initial</w:t>
      </w:r>
    </w:p>
    <w:p>
      <w:pPr>
        <w:spacing w:after="0" w:line="17" w:lineRule="exact"/>
        <w:rPr>
          <w:sz w:val="20"/>
          <w:szCs w:val="20"/>
          <w:color w:val="auto"/>
        </w:rPr>
      </w:pPr>
    </w:p>
    <w:p>
      <w:pPr>
        <w:ind w:left="1140"/>
        <w:spacing w:after="0"/>
        <w:tabs>
          <w:tab w:leader="none" w:pos="2780" w:val="left"/>
        </w:tabs>
        <w:rPr>
          <w:sz w:val="20"/>
          <w:szCs w:val="20"/>
          <w:color w:val="auto"/>
        </w:rPr>
      </w:pPr>
      <w:r>
        <w:rPr>
          <w:rFonts w:ascii="Arial" w:cs="Arial" w:eastAsia="Arial" w:hAnsi="Arial"/>
          <w:sz w:val="16"/>
          <w:szCs w:val="16"/>
          <w:b w:val="1"/>
          <w:bCs w:val="1"/>
          <w:color w:val="auto"/>
        </w:rPr>
        <w:t>deadline</w:t>
      </w:r>
      <w:r>
        <w:rPr>
          <w:sz w:val="20"/>
          <w:szCs w:val="20"/>
          <w:color w:val="auto"/>
        </w:rPr>
        <w:tab/>
      </w:r>
      <w:r>
        <w:rPr>
          <w:rFonts w:ascii="Arial" w:cs="Arial" w:eastAsia="Arial" w:hAnsi="Arial"/>
          <w:sz w:val="16"/>
          <w:szCs w:val="16"/>
          <w:color w:val="auto"/>
        </w:rPr>
        <w:t>business combination within the</w:t>
      </w:r>
    </w:p>
    <w:p>
      <w:pPr>
        <w:ind w:left="2800"/>
        <w:spacing w:after="0"/>
        <w:rPr>
          <w:sz w:val="20"/>
          <w:szCs w:val="20"/>
          <w:color w:val="auto"/>
        </w:rPr>
      </w:pPr>
      <w:r>
        <w:rPr>
          <w:rFonts w:ascii="Arial" w:cs="Arial" w:eastAsia="Arial" w:hAnsi="Arial"/>
          <w:sz w:val="16"/>
          <w:szCs w:val="16"/>
          <w:color w:val="auto"/>
        </w:rPr>
        <w:t>completion window, we will: (1) cease</w:t>
      </w:r>
    </w:p>
    <w:p>
      <w:pPr>
        <w:ind w:left="2800"/>
        <w:spacing w:after="0"/>
        <w:rPr>
          <w:sz w:val="20"/>
          <w:szCs w:val="20"/>
          <w:color w:val="auto"/>
        </w:rPr>
      </w:pPr>
      <w:r>
        <w:rPr>
          <w:rFonts w:ascii="Arial" w:cs="Arial" w:eastAsia="Arial" w:hAnsi="Arial"/>
          <w:sz w:val="15"/>
          <w:szCs w:val="15"/>
          <w:color w:val="auto"/>
        </w:rPr>
        <w:t>all operations except for the purpose of</w:t>
      </w:r>
    </w:p>
    <w:p>
      <w:pPr>
        <w:spacing w:after="0" w:line="10"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winding up; (2) as promptly as</w:t>
      </w:r>
    </w:p>
    <w:p>
      <w:pPr>
        <w:ind w:left="2800"/>
        <w:spacing w:after="0"/>
        <w:rPr>
          <w:sz w:val="20"/>
          <w:szCs w:val="20"/>
          <w:color w:val="auto"/>
        </w:rPr>
      </w:pPr>
      <w:r>
        <w:rPr>
          <w:rFonts w:ascii="Arial" w:cs="Arial" w:eastAsia="Arial" w:hAnsi="Arial"/>
          <w:sz w:val="16"/>
          <w:szCs w:val="16"/>
          <w:color w:val="auto"/>
        </w:rPr>
        <w:t>reasonably possible but not more than</w:t>
      </w:r>
    </w:p>
    <w:p>
      <w:pPr>
        <w:ind w:left="2800"/>
        <w:spacing w:after="0"/>
        <w:rPr>
          <w:sz w:val="20"/>
          <w:szCs w:val="20"/>
          <w:color w:val="auto"/>
        </w:rPr>
      </w:pPr>
      <w:r>
        <w:rPr>
          <w:rFonts w:ascii="Arial" w:cs="Arial" w:eastAsia="Arial" w:hAnsi="Arial"/>
          <w:sz w:val="16"/>
          <w:szCs w:val="16"/>
          <w:color w:val="auto"/>
        </w:rPr>
        <w:t>ten business days thereafter, redeem</w:t>
      </w:r>
    </w:p>
    <w:p>
      <w:pPr>
        <w:ind w:left="2800"/>
        <w:spacing w:after="0"/>
        <w:rPr>
          <w:sz w:val="20"/>
          <w:szCs w:val="20"/>
          <w:color w:val="auto"/>
        </w:rPr>
      </w:pPr>
      <w:r>
        <w:rPr>
          <w:rFonts w:ascii="Arial" w:cs="Arial" w:eastAsia="Arial" w:hAnsi="Arial"/>
          <w:sz w:val="16"/>
          <w:szCs w:val="16"/>
          <w:color w:val="auto"/>
        </w:rPr>
        <w:t>100% of the public shares, at a per</w:t>
      </w:r>
    </w:p>
    <w:p>
      <w:pPr>
        <w:ind w:left="2800"/>
        <w:spacing w:after="0"/>
        <w:rPr>
          <w:sz w:val="20"/>
          <w:szCs w:val="20"/>
          <w:color w:val="auto"/>
        </w:rPr>
      </w:pPr>
      <w:r>
        <w:rPr>
          <w:rFonts w:ascii="Arial" w:cs="Arial" w:eastAsia="Arial" w:hAnsi="Arial"/>
          <w:sz w:val="16"/>
          <w:szCs w:val="16"/>
          <w:color w:val="auto"/>
        </w:rPr>
        <w:t>share price, payable in cash, equal to</w:t>
      </w:r>
    </w:p>
    <w:p>
      <w:pPr>
        <w:ind w:left="2800"/>
        <w:spacing w:after="0"/>
        <w:rPr>
          <w:sz w:val="20"/>
          <w:szCs w:val="20"/>
          <w:color w:val="auto"/>
        </w:rPr>
      </w:pPr>
      <w:r>
        <w:rPr>
          <w:rFonts w:ascii="Arial" w:cs="Arial" w:eastAsia="Arial" w:hAnsi="Arial"/>
          <w:sz w:val="15"/>
          <w:szCs w:val="15"/>
          <w:color w:val="auto"/>
        </w:rPr>
        <w:t>the aggregate amount then on deposit in</w:t>
      </w:r>
    </w:p>
    <w:p>
      <w:pPr>
        <w:spacing w:after="0" w:line="11" w:lineRule="exact"/>
        <w:rPr>
          <w:sz w:val="20"/>
          <w:szCs w:val="20"/>
          <w:color w:val="auto"/>
        </w:rPr>
      </w:pPr>
    </w:p>
    <w:p>
      <w:pPr>
        <w:ind w:left="2800"/>
        <w:spacing w:after="0"/>
        <w:rPr>
          <w:sz w:val="20"/>
          <w:szCs w:val="20"/>
          <w:color w:val="auto"/>
        </w:rPr>
      </w:pPr>
      <w:r>
        <w:rPr>
          <w:rFonts w:ascii="Arial" w:cs="Arial" w:eastAsia="Arial" w:hAnsi="Arial"/>
          <w:sz w:val="15"/>
          <w:szCs w:val="15"/>
          <w:color w:val="auto"/>
        </w:rPr>
        <w:t>the trust account, including interest (net</w:t>
      </w:r>
    </w:p>
    <w:p>
      <w:pPr>
        <w:spacing w:after="0" w:line="10"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of permitted withdrawals and up to</w:t>
      </w:r>
    </w:p>
    <w:p>
      <w:pPr>
        <w:ind w:left="2800"/>
        <w:spacing w:after="0"/>
        <w:rPr>
          <w:sz w:val="20"/>
          <w:szCs w:val="20"/>
          <w:color w:val="auto"/>
        </w:rPr>
      </w:pPr>
      <w:r>
        <w:rPr>
          <w:rFonts w:ascii="Arial" w:cs="Arial" w:eastAsia="Arial" w:hAnsi="Arial"/>
          <w:sz w:val="16"/>
          <w:szCs w:val="16"/>
          <w:color w:val="auto"/>
        </w:rPr>
        <w:t>$100,000 of interest to pay dissolution</w:t>
      </w:r>
    </w:p>
    <w:p>
      <w:pPr>
        <w:ind w:left="2800"/>
        <w:spacing w:after="0"/>
        <w:rPr>
          <w:sz w:val="20"/>
          <w:szCs w:val="20"/>
          <w:color w:val="auto"/>
        </w:rPr>
      </w:pPr>
      <w:r>
        <w:rPr>
          <w:rFonts w:ascii="Arial" w:cs="Arial" w:eastAsia="Arial" w:hAnsi="Arial"/>
          <w:sz w:val="16"/>
          <w:szCs w:val="16"/>
          <w:color w:val="auto"/>
        </w:rPr>
        <w:t>expenses), divided by the number of</w:t>
      </w:r>
    </w:p>
    <w:p>
      <w:pPr>
        <w:ind w:left="2800"/>
        <w:spacing w:after="0"/>
        <w:rPr>
          <w:sz w:val="20"/>
          <w:szCs w:val="20"/>
          <w:color w:val="auto"/>
        </w:rPr>
      </w:pPr>
      <w:r>
        <w:rPr>
          <w:rFonts w:ascii="Arial" w:cs="Arial" w:eastAsia="Arial" w:hAnsi="Arial"/>
          <w:sz w:val="16"/>
          <w:szCs w:val="16"/>
          <w:color w:val="auto"/>
        </w:rPr>
        <w:t>then outstanding public shares, which</w:t>
      </w:r>
    </w:p>
    <w:p>
      <w:pPr>
        <w:ind w:left="2800"/>
        <w:spacing w:after="0"/>
        <w:rPr>
          <w:sz w:val="20"/>
          <w:szCs w:val="20"/>
          <w:color w:val="auto"/>
        </w:rPr>
      </w:pPr>
      <w:r>
        <w:rPr>
          <w:rFonts w:ascii="Arial" w:cs="Arial" w:eastAsia="Arial" w:hAnsi="Arial"/>
          <w:sz w:val="16"/>
          <w:szCs w:val="16"/>
          <w:color w:val="auto"/>
        </w:rPr>
        <w:t>redemption will completely extinguish</w:t>
      </w:r>
    </w:p>
    <w:p>
      <w:pPr>
        <w:ind w:left="2800"/>
        <w:spacing w:after="0"/>
        <w:rPr>
          <w:sz w:val="20"/>
          <w:szCs w:val="20"/>
          <w:color w:val="auto"/>
        </w:rPr>
      </w:pPr>
      <w:r>
        <w:rPr>
          <w:rFonts w:ascii="Arial" w:cs="Arial" w:eastAsia="Arial" w:hAnsi="Arial"/>
          <w:sz w:val="16"/>
          <w:szCs w:val="16"/>
          <w:color w:val="auto"/>
        </w:rPr>
        <w:t>public stockholders’ rights as</w:t>
      </w:r>
    </w:p>
    <w:p>
      <w:pPr>
        <w:ind w:left="2800"/>
        <w:spacing w:after="0"/>
        <w:rPr>
          <w:sz w:val="20"/>
          <w:szCs w:val="20"/>
          <w:color w:val="auto"/>
        </w:rPr>
      </w:pPr>
      <w:r>
        <w:rPr>
          <w:rFonts w:ascii="Arial" w:cs="Arial" w:eastAsia="Arial" w:hAnsi="Arial"/>
          <w:sz w:val="16"/>
          <w:szCs w:val="16"/>
          <w:color w:val="auto"/>
        </w:rPr>
        <w:t>stockholders (including the right to</w:t>
      </w:r>
    </w:p>
    <w:p>
      <w:pPr>
        <w:ind w:left="2800"/>
        <w:spacing w:after="0"/>
        <w:rPr>
          <w:sz w:val="20"/>
          <w:szCs w:val="20"/>
          <w:color w:val="auto"/>
        </w:rPr>
      </w:pPr>
      <w:r>
        <w:rPr>
          <w:rFonts w:ascii="Arial" w:cs="Arial" w:eastAsia="Arial" w:hAnsi="Arial"/>
          <w:sz w:val="16"/>
          <w:szCs w:val="16"/>
          <w:color w:val="auto"/>
        </w:rPr>
        <w:t>receive further liquidating distributions,</w:t>
      </w:r>
    </w:p>
    <w:p>
      <w:pPr>
        <w:ind w:left="2800"/>
        <w:spacing w:after="0"/>
        <w:rPr>
          <w:sz w:val="20"/>
          <w:szCs w:val="20"/>
          <w:color w:val="auto"/>
        </w:rPr>
      </w:pPr>
      <w:r>
        <w:rPr>
          <w:rFonts w:ascii="Arial" w:cs="Arial" w:eastAsia="Arial" w:hAnsi="Arial"/>
          <w:sz w:val="16"/>
          <w:szCs w:val="16"/>
          <w:color w:val="auto"/>
        </w:rPr>
        <w:t>if any), subject to applicable law; and</w:t>
      </w:r>
    </w:p>
    <w:p>
      <w:pPr>
        <w:ind w:left="2800"/>
        <w:spacing w:after="0"/>
        <w:rPr>
          <w:sz w:val="20"/>
          <w:szCs w:val="20"/>
          <w:color w:val="auto"/>
        </w:rPr>
      </w:pPr>
      <w:r>
        <w:rPr>
          <w:rFonts w:ascii="Arial" w:cs="Arial" w:eastAsia="Arial" w:hAnsi="Arial"/>
          <w:sz w:val="16"/>
          <w:szCs w:val="16"/>
          <w:color w:val="auto"/>
        </w:rPr>
        <w:t>(3) as promptly as reasonably possible</w:t>
      </w:r>
    </w:p>
    <w:p>
      <w:pPr>
        <w:ind w:left="2800"/>
        <w:spacing w:after="0"/>
        <w:rPr>
          <w:sz w:val="20"/>
          <w:szCs w:val="20"/>
          <w:color w:val="auto"/>
        </w:rPr>
      </w:pPr>
      <w:r>
        <w:rPr>
          <w:rFonts w:ascii="Arial" w:cs="Arial" w:eastAsia="Arial" w:hAnsi="Arial"/>
          <w:sz w:val="16"/>
          <w:szCs w:val="16"/>
          <w:color w:val="auto"/>
        </w:rPr>
        <w:t>following such redemption, subject to</w:t>
      </w:r>
    </w:p>
    <w:p>
      <w:pPr>
        <w:ind w:left="2800"/>
        <w:spacing w:after="0"/>
        <w:rPr>
          <w:sz w:val="20"/>
          <w:szCs w:val="20"/>
          <w:color w:val="auto"/>
        </w:rPr>
      </w:pPr>
      <w:r>
        <w:rPr>
          <w:rFonts w:ascii="Arial" w:cs="Arial" w:eastAsia="Arial" w:hAnsi="Arial"/>
          <w:sz w:val="16"/>
          <w:szCs w:val="16"/>
          <w:color w:val="auto"/>
        </w:rPr>
        <w:t>the approval of our remaining</w:t>
      </w:r>
    </w:p>
    <w:p>
      <w:pPr>
        <w:ind w:left="2800"/>
        <w:spacing w:after="0"/>
        <w:rPr>
          <w:sz w:val="20"/>
          <w:szCs w:val="20"/>
          <w:color w:val="auto"/>
        </w:rPr>
      </w:pPr>
      <w:r>
        <w:rPr>
          <w:rFonts w:ascii="Arial" w:cs="Arial" w:eastAsia="Arial" w:hAnsi="Arial"/>
          <w:sz w:val="15"/>
          <w:szCs w:val="15"/>
          <w:color w:val="auto"/>
        </w:rPr>
        <w:t>stockholders and our board of directors,</w:t>
      </w:r>
    </w:p>
    <w:p>
      <w:pPr>
        <w:spacing w:after="0" w:line="10"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dissolve and liquidate, subject in each</w:t>
      </w:r>
    </w:p>
    <w:p>
      <w:pPr>
        <w:ind w:left="2800"/>
        <w:spacing w:after="0"/>
        <w:rPr>
          <w:sz w:val="20"/>
          <w:szCs w:val="20"/>
          <w:color w:val="auto"/>
        </w:rPr>
      </w:pPr>
      <w:r>
        <w:rPr>
          <w:rFonts w:ascii="Arial" w:cs="Arial" w:eastAsia="Arial" w:hAnsi="Arial"/>
          <w:sz w:val="15"/>
          <w:szCs w:val="15"/>
          <w:color w:val="auto"/>
        </w:rPr>
        <w:t>case to our obligations under Delaware</w:t>
      </w:r>
    </w:p>
    <w:p>
      <w:pPr>
        <w:spacing w:after="0" w:line="10"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law to provide for claims of creditors</w:t>
      </w:r>
    </w:p>
    <w:p>
      <w:pPr>
        <w:ind w:left="2800"/>
        <w:spacing w:after="0"/>
        <w:rPr>
          <w:sz w:val="20"/>
          <w:szCs w:val="20"/>
          <w:color w:val="auto"/>
        </w:rPr>
      </w:pPr>
      <w:r>
        <w:rPr>
          <w:rFonts w:ascii="Arial" w:cs="Arial" w:eastAsia="Arial" w:hAnsi="Arial"/>
          <w:sz w:val="16"/>
          <w:szCs w:val="16"/>
          <w:color w:val="auto"/>
        </w:rPr>
        <w:t>and the requirements of other</w:t>
      </w:r>
    </w:p>
    <w:p>
      <w:pPr>
        <w:ind w:left="2800"/>
        <w:spacing w:after="0"/>
        <w:rPr>
          <w:sz w:val="20"/>
          <w:szCs w:val="20"/>
          <w:color w:val="auto"/>
        </w:rPr>
      </w:pPr>
      <w:r>
        <w:rPr>
          <w:rFonts w:ascii="Arial" w:cs="Arial" w:eastAsia="Arial" w:hAnsi="Arial"/>
          <w:sz w:val="16"/>
          <w:szCs w:val="16"/>
          <w:color w:val="auto"/>
        </w:rPr>
        <w:t>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180213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8021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right="1619"/>
        <w:spacing w:after="0" w:line="267" w:lineRule="auto"/>
        <w:rPr>
          <w:sz w:val="20"/>
          <w:szCs w:val="20"/>
          <w:color w:val="auto"/>
        </w:rPr>
      </w:pPr>
      <w:r>
        <w:rPr>
          <w:rFonts w:ascii="Arial" w:cs="Arial" w:eastAsia="Arial" w:hAnsi="Arial"/>
          <w:sz w:val="15"/>
          <w:szCs w:val="15"/>
          <w:color w:val="auto"/>
        </w:rPr>
        <w:t>If an acquisition has not been completed within 18 months after the effective date of the company’s registration statement, funds held in the trust or escrow account are returned to investors.</w:t>
      </w:r>
    </w:p>
    <w:p>
      <w:pPr>
        <w:sectPr>
          <w:pgSz w:w="11900" w:h="16838" w:orient="portrait"/>
          <w:cols w:equalWidth="0" w:num="2">
            <w:col w:w="5540" w:space="200"/>
            <w:col w:w="4399"/>
          </w:cols>
          <w:pgMar w:left="320" w:top="131" w:right="1440"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56"/>
        </w:trPr>
        <w:tc>
          <w:tcPr>
            <w:tcW w:w="2800" w:type="dxa"/>
            <w:vAlign w:val="bottom"/>
          </w:tcPr>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tc>
        <w:tc>
          <w:tcPr>
            <w:tcW w:w="2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6"/>
        </w:trPr>
        <w:tc>
          <w:tcPr>
            <w:tcW w:w="2800" w:type="dxa"/>
            <w:vAlign w:val="bottom"/>
          </w:tcPr>
          <w:p>
            <w:pPr>
              <w:spacing w:after="0"/>
              <w:rPr>
                <w:sz w:val="24"/>
                <w:szCs w:val="24"/>
                <w:color w:val="auto"/>
              </w:rPr>
            </w:pPr>
          </w:p>
        </w:tc>
        <w:tc>
          <w:tcPr>
            <w:tcW w:w="2740" w:type="dxa"/>
            <w:vAlign w:val="bottom"/>
          </w:tcPr>
          <w:p>
            <w:pPr>
              <w:ind w:left="760"/>
              <w:spacing w:after="0"/>
              <w:rPr>
                <w:sz w:val="20"/>
                <w:szCs w:val="20"/>
                <w:color w:val="auto"/>
              </w:rPr>
            </w:pPr>
            <w:r>
              <w:rPr>
                <w:rFonts w:ascii="Arial" w:cs="Arial" w:eastAsia="Arial" w:hAnsi="Arial"/>
                <w:sz w:val="13"/>
                <w:szCs w:val="13"/>
                <w:b w:val="1"/>
                <w:bCs w:val="1"/>
                <w:color w:val="auto"/>
              </w:rPr>
              <w:t>Terms of Our Offering</w:t>
            </w:r>
          </w:p>
        </w:tc>
        <w:tc>
          <w:tcPr>
            <w:tcW w:w="0" w:type="dxa"/>
            <w:vAlign w:val="bottom"/>
          </w:tcPr>
          <w:p>
            <w:pPr>
              <w:spacing w:after="0"/>
              <w:rPr>
                <w:sz w:val="1"/>
                <w:szCs w:val="1"/>
                <w:color w:val="auto"/>
              </w:rPr>
            </w:pPr>
          </w:p>
        </w:tc>
      </w:tr>
      <w:tr>
        <w:trPr>
          <w:trHeight w:val="23"/>
        </w:trPr>
        <w:tc>
          <w:tcPr>
            <w:tcW w:w="2800" w:type="dxa"/>
            <w:vAlign w:val="bottom"/>
            <w:vMerge w:val="restart"/>
          </w:tcPr>
          <w:p>
            <w:pPr>
              <w:ind w:left="1140"/>
              <w:spacing w:after="0"/>
              <w:rPr>
                <w:sz w:val="20"/>
                <w:szCs w:val="20"/>
                <w:color w:val="auto"/>
              </w:rPr>
            </w:pPr>
            <w:r>
              <w:rPr>
                <w:rFonts w:ascii="Arial" w:cs="Arial" w:eastAsia="Arial" w:hAnsi="Arial"/>
                <w:sz w:val="16"/>
                <w:szCs w:val="16"/>
                <w:b w:val="1"/>
                <w:bCs w:val="1"/>
                <w:color w:val="auto"/>
              </w:rPr>
              <w:t>Release of funds</w:t>
            </w:r>
          </w:p>
        </w:tc>
        <w:tc>
          <w:tcPr>
            <w:tcW w:w="2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800" w:type="dxa"/>
            <w:vAlign w:val="bottom"/>
            <w:vMerge w:val="continue"/>
          </w:tcPr>
          <w:p>
            <w:pPr>
              <w:spacing w:after="0"/>
              <w:rPr>
                <w:sz w:val="17"/>
                <w:szCs w:val="17"/>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Except with respect to permitted</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w w:val="99"/>
              </w:rPr>
              <w:t>withdrawals, the funds held in the trust</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account will not be released from the</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trust account until the earliest of:</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(1) the completion of our initial</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business combination; (2) the</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redemption of any public shares</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w w:val="98"/>
              </w:rPr>
              <w:t>properly submitted in connection with a</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w w:val="94"/>
              </w:rPr>
              <w:t>stockholder vote to amend our amended</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w w:val="98"/>
              </w:rPr>
              <w:t>and restated certificate of incorporation</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to modify the substance or timing of</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our obligation to provide for the</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redemption of our public shares in</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connection with an initial business</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w w:val="99"/>
              </w:rPr>
              <w:t>combination or to redeem 100% of our</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w w:val="98"/>
              </w:rPr>
              <w:t>public shares if we do not complete our</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initial business combination within the</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completion window; and (3) the</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w w:val="98"/>
              </w:rPr>
              <w:t>redemption of all of our public shares if</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we are unable to complete our initial</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business combination within the</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completion window, subject to</w:t>
            </w:r>
          </w:p>
        </w:tc>
        <w:tc>
          <w:tcPr>
            <w:tcW w:w="0" w:type="dxa"/>
            <w:vAlign w:val="bottom"/>
          </w:tcPr>
          <w:p>
            <w:pPr>
              <w:spacing w:after="0"/>
              <w:rPr>
                <w:sz w:val="1"/>
                <w:szCs w:val="1"/>
                <w:color w:val="auto"/>
              </w:rPr>
            </w:pPr>
          </w:p>
        </w:tc>
      </w:tr>
      <w:tr>
        <w:trPr>
          <w:trHeight w:val="207"/>
        </w:trPr>
        <w:tc>
          <w:tcPr>
            <w:tcW w:w="28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applicable law.</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180213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802130" cy="7620"/>
                    </a:xfrm>
                    <a:prstGeom prst="rect">
                      <a:avLst/>
                    </a:prstGeom>
                    <a:noFill/>
                  </pic:spPr>
                </pic:pic>
              </a:graphicData>
            </a:graphic>
          </wp:anchor>
        </w:drawing>
      </w:r>
    </w:p>
    <w:p>
      <w:pPr>
        <w:spacing w:after="0" w:line="58" w:lineRule="exact"/>
        <w:rPr>
          <w:sz w:val="20"/>
          <w:szCs w:val="20"/>
          <w:color w:val="auto"/>
        </w:rPr>
      </w:pPr>
    </w:p>
    <w:p>
      <w:pPr>
        <w:ind w:right="1619"/>
        <w:spacing w:after="0" w:line="267" w:lineRule="auto"/>
        <w:rPr>
          <w:sz w:val="20"/>
          <w:szCs w:val="20"/>
          <w:color w:val="auto"/>
        </w:rPr>
      </w:pPr>
      <w:r>
        <w:rPr>
          <w:rFonts w:ascii="Arial" w:cs="Arial" w:eastAsia="Arial" w:hAnsi="Arial"/>
          <w:sz w:val="15"/>
          <w:szCs w:val="15"/>
          <w:color w:val="auto"/>
        </w:rPr>
        <w:t>The proceeds held in the escrow account are not released until the earlier of the completion of a business combination and the failure to effect a business combination within the allotted time.</w:t>
      </w:r>
    </w:p>
    <w:p>
      <w:pPr>
        <w:spacing w:after="0" w:line="3426" w:lineRule="exact"/>
        <w:rPr>
          <w:sz w:val="20"/>
          <w:szCs w:val="20"/>
          <w:color w:val="auto"/>
        </w:rPr>
      </w:pPr>
    </w:p>
    <w:p>
      <w:pPr>
        <w:sectPr>
          <w:pgSz w:w="11900" w:h="16838" w:orient="portrait"/>
          <w:cols w:equalWidth="0" w:num="2">
            <w:col w:w="5540" w:space="200"/>
            <w:col w:w="4399"/>
          </w:cols>
          <w:pgMar w:left="320" w:top="131" w:right="1440" w:bottom="1440" w:gutter="0" w:footer="0" w:header="0"/>
        </w:sectPr>
      </w:pPr>
    </w:p>
    <w:p>
      <w:pPr>
        <w:ind w:left="1140"/>
        <w:spacing w:after="0" w:line="285" w:lineRule="auto"/>
        <w:rPr>
          <w:sz w:val="20"/>
          <w:szCs w:val="20"/>
          <w:color w:val="auto"/>
        </w:rPr>
      </w:pPr>
      <w:r>
        <w:rPr>
          <w:rFonts w:ascii="Arial" w:cs="Arial" w:eastAsia="Arial" w:hAnsi="Arial"/>
          <w:sz w:val="14"/>
          <w:szCs w:val="14"/>
          <w:b w:val="1"/>
          <w:bCs w:val="1"/>
          <w:color w:val="auto"/>
        </w:rPr>
        <w:t>Limitation on redemption rights of stockholders holding more than 15% of the shares sold in this offering if we hold a stockholder vote</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5"/>
          <w:szCs w:val="15"/>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Excess Shares (more than an aggregate of 15% of the shares sold in this offering). Our public stockholders’ inability to redeem Excess Shares will reduce their influence over our ability to complete our initial business combination and they could suffer a material loss on their investment in us if they sell Excess Shares in open market transactions.</w:t>
      </w:r>
    </w:p>
    <w:p>
      <w:pPr>
        <w:spacing w:after="0" w:line="20" w:lineRule="exact"/>
        <w:rPr>
          <w:sz w:val="20"/>
          <w:szCs w:val="20"/>
          <w:color w:val="auto"/>
        </w:rPr>
      </w:pPr>
      <w:r>
        <w:rPr>
          <w:sz w:val="20"/>
          <w:szCs w:val="20"/>
          <w:color w:val="auto"/>
        </w:rPr>
        <w:br w:type="column"/>
      </w:r>
    </w:p>
    <w:p>
      <w:pPr>
        <w:ind w:right="1599"/>
        <w:spacing w:after="0" w:line="245" w:lineRule="auto"/>
        <w:rPr>
          <w:sz w:val="20"/>
          <w:szCs w:val="20"/>
          <w:color w:val="auto"/>
        </w:rPr>
      </w:pPr>
      <w:r>
        <w:rPr>
          <w:rFonts w:ascii="Arial" w:cs="Arial" w:eastAsia="Arial" w:hAnsi="Arial"/>
          <w:sz w:val="16"/>
          <w:szCs w:val="16"/>
          <w:color w:val="auto"/>
        </w:rPr>
        <w:t>Most blank check companies provide no restrictions on the ability of stockholders to redeem shares based on the number of shares held by such stockholders in connection with an initial business combination.</w:t>
      </w:r>
    </w:p>
    <w:p>
      <w:pPr>
        <w:spacing w:after="0" w:line="3321" w:lineRule="exact"/>
        <w:rPr>
          <w:sz w:val="20"/>
          <w:szCs w:val="20"/>
          <w:color w:val="auto"/>
        </w:rPr>
      </w:pPr>
    </w:p>
    <w:p>
      <w:pPr>
        <w:sectPr>
          <w:pgSz w:w="11900" w:h="16838" w:orient="portrait"/>
          <w:cols w:equalWidth="0" w:num="3">
            <w:col w:w="2600" w:space="200"/>
            <w:col w:w="2720" w:space="220"/>
            <w:col w:w="439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247650</wp:posOffset>
            </wp:positionV>
            <wp:extent cx="6166485"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156"/>
        </w:trPr>
        <w:tc>
          <w:tcPr>
            <w:tcW w:w="2800" w:type="dxa"/>
            <w:vAlign w:val="bottom"/>
          </w:tcPr>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tc>
        <w:tc>
          <w:tcPr>
            <w:tcW w:w="2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6"/>
        </w:trPr>
        <w:tc>
          <w:tcPr>
            <w:tcW w:w="2800" w:type="dxa"/>
            <w:vAlign w:val="bottom"/>
          </w:tcPr>
          <w:p>
            <w:pPr>
              <w:spacing w:after="0"/>
              <w:rPr>
                <w:sz w:val="24"/>
                <w:szCs w:val="24"/>
                <w:color w:val="auto"/>
              </w:rPr>
            </w:pPr>
          </w:p>
        </w:tc>
        <w:tc>
          <w:tcPr>
            <w:tcW w:w="2740" w:type="dxa"/>
            <w:vAlign w:val="bottom"/>
          </w:tcPr>
          <w:p>
            <w:pPr>
              <w:ind w:left="760"/>
              <w:spacing w:after="0"/>
              <w:rPr>
                <w:sz w:val="20"/>
                <w:szCs w:val="20"/>
                <w:color w:val="auto"/>
              </w:rPr>
            </w:pPr>
            <w:r>
              <w:rPr>
                <w:rFonts w:ascii="Arial" w:cs="Arial" w:eastAsia="Arial" w:hAnsi="Arial"/>
                <w:sz w:val="13"/>
                <w:szCs w:val="13"/>
                <w:b w:val="1"/>
                <w:bCs w:val="1"/>
                <w:color w:val="auto"/>
              </w:rPr>
              <w:t>Terms of Our Offering</w:t>
            </w:r>
          </w:p>
        </w:tc>
        <w:tc>
          <w:tcPr>
            <w:tcW w:w="0" w:type="dxa"/>
            <w:vAlign w:val="bottom"/>
          </w:tcPr>
          <w:p>
            <w:pPr>
              <w:spacing w:after="0"/>
              <w:rPr>
                <w:sz w:val="1"/>
                <w:szCs w:val="1"/>
                <w:color w:val="auto"/>
              </w:rPr>
            </w:pPr>
          </w:p>
        </w:tc>
      </w:tr>
      <w:tr>
        <w:trPr>
          <w:trHeight w:val="23"/>
        </w:trPr>
        <w:tc>
          <w:tcPr>
            <w:tcW w:w="2800" w:type="dxa"/>
            <w:vAlign w:val="bottom"/>
            <w:vMerge w:val="restart"/>
          </w:tcPr>
          <w:p>
            <w:pPr>
              <w:ind w:left="1140"/>
              <w:spacing w:after="0"/>
              <w:rPr>
                <w:sz w:val="20"/>
                <w:szCs w:val="20"/>
                <w:color w:val="auto"/>
              </w:rPr>
            </w:pPr>
            <w:r>
              <w:rPr>
                <w:rFonts w:ascii="Arial" w:cs="Arial" w:eastAsia="Arial" w:hAnsi="Arial"/>
                <w:sz w:val="16"/>
                <w:szCs w:val="16"/>
                <w:b w:val="1"/>
                <w:bCs w:val="1"/>
                <w:color w:val="auto"/>
              </w:rPr>
              <w:t>Tendering stock</w:t>
            </w:r>
          </w:p>
        </w:tc>
        <w:tc>
          <w:tcPr>
            <w:tcW w:w="2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800" w:type="dxa"/>
            <w:vAlign w:val="bottom"/>
            <w:vMerge w:val="continue"/>
          </w:tcPr>
          <w:p>
            <w:pPr>
              <w:spacing w:after="0"/>
              <w:rPr>
                <w:sz w:val="17"/>
                <w:szCs w:val="17"/>
                <w:color w:val="auto"/>
              </w:rPr>
            </w:pPr>
          </w:p>
        </w:tc>
        <w:tc>
          <w:tcPr>
            <w:tcW w:w="2740" w:type="dxa"/>
            <w:vAlign w:val="bottom"/>
          </w:tcPr>
          <w:p>
            <w:pPr>
              <w:spacing w:after="0"/>
              <w:rPr>
                <w:sz w:val="20"/>
                <w:szCs w:val="20"/>
                <w:color w:val="auto"/>
              </w:rPr>
            </w:pPr>
            <w:r>
              <w:rPr>
                <w:rFonts w:ascii="Arial" w:cs="Arial" w:eastAsia="Arial" w:hAnsi="Arial"/>
                <w:sz w:val="16"/>
                <w:szCs w:val="16"/>
                <w:color w:val="auto"/>
                <w:w w:val="96"/>
              </w:rPr>
              <w:t>We may require our public stockholders</w:t>
            </w:r>
          </w:p>
        </w:tc>
        <w:tc>
          <w:tcPr>
            <w:tcW w:w="0" w:type="dxa"/>
            <w:vAlign w:val="bottom"/>
          </w:tcPr>
          <w:p>
            <w:pPr>
              <w:spacing w:after="0"/>
              <w:rPr>
                <w:sz w:val="1"/>
                <w:szCs w:val="1"/>
                <w:color w:val="auto"/>
              </w:rPr>
            </w:pPr>
          </w:p>
        </w:tc>
      </w:tr>
      <w:tr>
        <w:trPr>
          <w:trHeight w:val="183"/>
        </w:trPr>
        <w:tc>
          <w:tcPr>
            <w:tcW w:w="2800" w:type="dxa"/>
            <w:vAlign w:val="bottom"/>
          </w:tcPr>
          <w:p>
            <w:pPr>
              <w:ind w:left="1140"/>
              <w:spacing w:after="0"/>
              <w:rPr>
                <w:sz w:val="20"/>
                <w:szCs w:val="20"/>
                <w:color w:val="auto"/>
              </w:rPr>
            </w:pPr>
            <w:r>
              <w:rPr>
                <w:rFonts w:ascii="Arial" w:cs="Arial" w:eastAsia="Arial" w:hAnsi="Arial"/>
                <w:sz w:val="16"/>
                <w:szCs w:val="16"/>
                <w:b w:val="1"/>
                <w:bCs w:val="1"/>
                <w:color w:val="auto"/>
              </w:rPr>
              <w:t>certificates in</w:t>
            </w:r>
          </w:p>
        </w:tc>
        <w:tc>
          <w:tcPr>
            <w:tcW w:w="2740" w:type="dxa"/>
            <w:vAlign w:val="bottom"/>
          </w:tcPr>
          <w:p>
            <w:pPr>
              <w:spacing w:after="0"/>
              <w:rPr>
                <w:sz w:val="20"/>
                <w:szCs w:val="20"/>
                <w:color w:val="auto"/>
              </w:rPr>
            </w:pPr>
            <w:r>
              <w:rPr>
                <w:rFonts w:ascii="Arial" w:cs="Arial" w:eastAsia="Arial" w:hAnsi="Arial"/>
                <w:sz w:val="16"/>
                <w:szCs w:val="16"/>
                <w:color w:val="auto"/>
              </w:rPr>
              <w:t>seeking to exercise their redemption</w:t>
            </w:r>
          </w:p>
        </w:tc>
        <w:tc>
          <w:tcPr>
            <w:tcW w:w="0" w:type="dxa"/>
            <w:vAlign w:val="bottom"/>
          </w:tcPr>
          <w:p>
            <w:pPr>
              <w:spacing w:after="0"/>
              <w:rPr>
                <w:sz w:val="1"/>
                <w:szCs w:val="1"/>
                <w:color w:val="auto"/>
              </w:rPr>
            </w:pPr>
          </w:p>
        </w:tc>
      </w:tr>
      <w:tr>
        <w:trPr>
          <w:trHeight w:val="183"/>
        </w:trPr>
        <w:tc>
          <w:tcPr>
            <w:tcW w:w="2800" w:type="dxa"/>
            <w:vAlign w:val="bottom"/>
          </w:tcPr>
          <w:p>
            <w:pPr>
              <w:ind w:left="1140"/>
              <w:spacing w:after="0"/>
              <w:rPr>
                <w:sz w:val="20"/>
                <w:szCs w:val="20"/>
                <w:color w:val="auto"/>
              </w:rPr>
            </w:pPr>
            <w:r>
              <w:rPr>
                <w:rFonts w:ascii="Arial" w:cs="Arial" w:eastAsia="Arial" w:hAnsi="Arial"/>
                <w:sz w:val="16"/>
                <w:szCs w:val="16"/>
                <w:b w:val="1"/>
                <w:bCs w:val="1"/>
                <w:color w:val="auto"/>
              </w:rPr>
              <w:t>connection with a</w:t>
            </w:r>
          </w:p>
        </w:tc>
        <w:tc>
          <w:tcPr>
            <w:tcW w:w="2740" w:type="dxa"/>
            <w:vAlign w:val="bottom"/>
          </w:tcPr>
          <w:p>
            <w:pPr>
              <w:spacing w:after="0"/>
              <w:rPr>
                <w:sz w:val="20"/>
                <w:szCs w:val="20"/>
                <w:color w:val="auto"/>
              </w:rPr>
            </w:pPr>
            <w:r>
              <w:rPr>
                <w:rFonts w:ascii="Arial" w:cs="Arial" w:eastAsia="Arial" w:hAnsi="Arial"/>
                <w:sz w:val="16"/>
                <w:szCs w:val="16"/>
                <w:color w:val="auto"/>
                <w:w w:val="99"/>
              </w:rPr>
              <w:t>rights, whether they are record holders</w:t>
            </w:r>
          </w:p>
        </w:tc>
        <w:tc>
          <w:tcPr>
            <w:tcW w:w="0" w:type="dxa"/>
            <w:vAlign w:val="bottom"/>
          </w:tcPr>
          <w:p>
            <w:pPr>
              <w:spacing w:after="0"/>
              <w:rPr>
                <w:sz w:val="1"/>
                <w:szCs w:val="1"/>
                <w:color w:val="auto"/>
              </w:rPr>
            </w:pPr>
          </w:p>
        </w:tc>
      </w:tr>
      <w:tr>
        <w:trPr>
          <w:trHeight w:val="183"/>
        </w:trPr>
        <w:tc>
          <w:tcPr>
            <w:tcW w:w="2800" w:type="dxa"/>
            <w:vAlign w:val="bottom"/>
          </w:tcPr>
          <w:p>
            <w:pPr>
              <w:ind w:left="1140"/>
              <w:spacing w:after="0"/>
              <w:rPr>
                <w:sz w:val="20"/>
                <w:szCs w:val="20"/>
                <w:color w:val="auto"/>
              </w:rPr>
            </w:pPr>
            <w:r>
              <w:rPr>
                <w:rFonts w:ascii="Arial" w:cs="Arial" w:eastAsia="Arial" w:hAnsi="Arial"/>
                <w:sz w:val="16"/>
                <w:szCs w:val="16"/>
                <w:b w:val="1"/>
                <w:bCs w:val="1"/>
                <w:color w:val="auto"/>
              </w:rPr>
              <w:t>tender offer or</w:t>
            </w:r>
          </w:p>
        </w:tc>
        <w:tc>
          <w:tcPr>
            <w:tcW w:w="2740" w:type="dxa"/>
            <w:vAlign w:val="bottom"/>
          </w:tcPr>
          <w:p>
            <w:pPr>
              <w:spacing w:after="0"/>
              <w:rPr>
                <w:sz w:val="20"/>
                <w:szCs w:val="20"/>
                <w:color w:val="auto"/>
              </w:rPr>
            </w:pPr>
            <w:r>
              <w:rPr>
                <w:rFonts w:ascii="Arial" w:cs="Arial" w:eastAsia="Arial" w:hAnsi="Arial"/>
                <w:sz w:val="16"/>
                <w:szCs w:val="16"/>
                <w:color w:val="auto"/>
                <w:w w:val="98"/>
              </w:rPr>
              <w:t>or hold their shares in “street name,” to</w:t>
            </w:r>
          </w:p>
        </w:tc>
        <w:tc>
          <w:tcPr>
            <w:tcW w:w="0" w:type="dxa"/>
            <w:vAlign w:val="bottom"/>
          </w:tcPr>
          <w:p>
            <w:pPr>
              <w:spacing w:after="0"/>
              <w:rPr>
                <w:sz w:val="1"/>
                <w:szCs w:val="1"/>
                <w:color w:val="auto"/>
              </w:rPr>
            </w:pPr>
          </w:p>
        </w:tc>
      </w:tr>
      <w:tr>
        <w:trPr>
          <w:trHeight w:val="187"/>
        </w:trPr>
        <w:tc>
          <w:tcPr>
            <w:tcW w:w="2800" w:type="dxa"/>
            <w:vAlign w:val="bottom"/>
          </w:tcPr>
          <w:p>
            <w:pPr>
              <w:ind w:left="1140"/>
              <w:spacing w:after="0"/>
              <w:rPr>
                <w:sz w:val="20"/>
                <w:szCs w:val="20"/>
                <w:color w:val="auto"/>
              </w:rPr>
            </w:pPr>
            <w:r>
              <w:rPr>
                <w:rFonts w:ascii="Arial" w:cs="Arial" w:eastAsia="Arial" w:hAnsi="Arial"/>
                <w:sz w:val="16"/>
                <w:szCs w:val="16"/>
                <w:b w:val="1"/>
                <w:bCs w:val="1"/>
                <w:color w:val="auto"/>
              </w:rPr>
              <w:t>redemption rights</w:t>
            </w:r>
          </w:p>
        </w:tc>
        <w:tc>
          <w:tcPr>
            <w:tcW w:w="2740" w:type="dxa"/>
            <w:vAlign w:val="bottom"/>
          </w:tcPr>
          <w:p>
            <w:pPr>
              <w:spacing w:after="0"/>
              <w:rPr>
                <w:sz w:val="20"/>
                <w:szCs w:val="20"/>
                <w:color w:val="auto"/>
              </w:rPr>
            </w:pPr>
            <w:r>
              <w:rPr>
                <w:rFonts w:ascii="Arial" w:cs="Arial" w:eastAsia="Arial" w:hAnsi="Arial"/>
                <w:sz w:val="16"/>
                <w:szCs w:val="16"/>
                <w:color w:val="auto"/>
              </w:rPr>
              <w:t>either tender their certificates to our</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w w:val="98"/>
              </w:rPr>
              <w:t>transfer agent prior to the date set forth</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in the tender offer documents or proxy</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materials mailed to such holders or up</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to two business days prior to the vote</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w w:val="95"/>
              </w:rPr>
              <w:t>on the proposal to approve the business</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combination in the event we distribute</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proxy materials, or to deliver their</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shares to the transfer agent</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electronically using The Depository</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Trust Company’s DWAC</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(Deposit/Withdrawal At Custodian)</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System, at the holder’s option. The</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tender offer or proxy materials, as</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applicable, that we will furnish to</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holders of our public shares in</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connection with our initial business</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combination will indicate whether we</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are requiring public stockholders to</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satisfy such delivery requirements,</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which will include the requirement that</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w w:val="97"/>
              </w:rPr>
              <w:t>any beneficial owner on whose behalf a</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redemption right is being exercised</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must identify itself in order to validly</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redeem its shares. Accordingly, a</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w w:val="98"/>
              </w:rPr>
              <w:t>public stockholder would have from the</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time we send out our tender offer</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materials until the close of the tender</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w w:val="97"/>
              </w:rPr>
              <w:t>offer period, or up to two business days</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prior to the vote on the business</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combination if we distribute proxy</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materials, as applicable, to tender its</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6"/>
                <w:szCs w:val="16"/>
                <w:color w:val="auto"/>
                <w:w w:val="95"/>
              </w:rPr>
              <w:t>shares if it wishes to seek to exercise its</w:t>
            </w:r>
          </w:p>
        </w:tc>
        <w:tc>
          <w:tcPr>
            <w:tcW w:w="0" w:type="dxa"/>
            <w:vAlign w:val="bottom"/>
          </w:tcPr>
          <w:p>
            <w:pPr>
              <w:spacing w:after="0"/>
              <w:rPr>
                <w:sz w:val="1"/>
                <w:szCs w:val="1"/>
                <w:color w:val="auto"/>
              </w:rPr>
            </w:pPr>
          </w:p>
        </w:tc>
      </w:tr>
      <w:tr>
        <w:trPr>
          <w:trHeight w:val="207"/>
        </w:trPr>
        <w:tc>
          <w:tcPr>
            <w:tcW w:w="28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6"/>
                <w:szCs w:val="16"/>
                <w:color w:val="auto"/>
              </w:rPr>
              <w:t>redemption rights.</w:t>
            </w:r>
          </w:p>
        </w:tc>
        <w:tc>
          <w:tcPr>
            <w:tcW w:w="0" w:type="dxa"/>
            <w:vAlign w:val="bottom"/>
          </w:tcPr>
          <w:p>
            <w:pPr>
              <w:spacing w:after="0"/>
              <w:rPr>
                <w:sz w:val="1"/>
                <w:szCs w:val="1"/>
                <w:color w:val="auto"/>
              </w:rPr>
            </w:pPr>
          </w:p>
        </w:tc>
      </w:tr>
      <w:tr>
        <w:trPr>
          <w:trHeight w:val="587"/>
        </w:trPr>
        <w:tc>
          <w:tcPr>
            <w:tcW w:w="2800" w:type="dxa"/>
            <w:vAlign w:val="bottom"/>
          </w:tcPr>
          <w:p>
            <w:pPr>
              <w:ind w:left="1140"/>
              <w:spacing w:after="0"/>
              <w:rPr>
                <w:sz w:val="20"/>
                <w:szCs w:val="20"/>
                <w:color w:val="auto"/>
              </w:rPr>
            </w:pPr>
            <w:r>
              <w:rPr>
                <w:rFonts w:ascii="Arial" w:cs="Arial" w:eastAsia="Arial" w:hAnsi="Arial"/>
                <w:sz w:val="16"/>
                <w:szCs w:val="16"/>
                <w:b w:val="1"/>
                <w:bCs w:val="1"/>
                <w:color w:val="auto"/>
              </w:rPr>
              <w:t>Competition</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180213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802130" cy="7620"/>
                    </a:xfrm>
                    <a:prstGeom prst="rect">
                      <a:avLst/>
                    </a:prstGeom>
                    <a:noFill/>
                  </pic:spPr>
                </pic:pic>
              </a:graphicData>
            </a:graphic>
          </wp:anchor>
        </w:drawing>
      </w:r>
    </w:p>
    <w:p>
      <w:pPr>
        <w:spacing w:after="0" w:line="58" w:lineRule="exact"/>
        <w:rPr>
          <w:sz w:val="20"/>
          <w:szCs w:val="20"/>
          <w:color w:val="auto"/>
        </w:rPr>
      </w:pPr>
    </w:p>
    <w:p>
      <w:pPr>
        <w:ind w:right="1599"/>
        <w:spacing w:after="0" w:line="259" w:lineRule="auto"/>
        <w:rPr>
          <w:sz w:val="20"/>
          <w:szCs w:val="20"/>
          <w:color w:val="auto"/>
        </w:rPr>
      </w:pPr>
      <w:r>
        <w:rPr>
          <w:rFonts w:ascii="Arial" w:cs="Arial" w:eastAsia="Arial" w:hAnsi="Arial"/>
          <w:sz w:val="15"/>
          <w:szCs w:val="15"/>
          <w:color w:val="auto"/>
        </w:rPr>
        <w:t>In order to perfect redemption rights in connection with their business combinations, holders could vote against a proposed business combination and check a box on the proxy card indicating such holders were seeking to exercise their redemption rights. After the business combination was approved, the company would contact such stockholders to arrange for them to deliver their certificate to verify ownership.</w:t>
      </w:r>
    </w:p>
    <w:p>
      <w:pPr>
        <w:spacing w:after="0" w:line="5608" w:lineRule="exact"/>
        <w:rPr>
          <w:sz w:val="20"/>
          <w:szCs w:val="20"/>
          <w:color w:val="auto"/>
        </w:rPr>
      </w:pPr>
    </w:p>
    <w:p>
      <w:pPr>
        <w:sectPr>
          <w:pgSz w:w="11900" w:h="16838" w:orient="portrait"/>
          <w:cols w:equalWidth="0" w:num="2">
            <w:col w:w="5540" w:space="200"/>
            <w:col w:w="4399"/>
          </w:cols>
          <w:pgMar w:left="320" w:top="131" w:right="1440" w:bottom="1440" w:gutter="0" w:footer="0" w:header="0"/>
        </w:sectPr>
      </w:pPr>
    </w:p>
    <w:p>
      <w:pPr>
        <w:ind w:left="1140" w:right="1639" w:firstLine="326"/>
        <w:spacing w:after="0" w:line="257"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public companies and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stockholders who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9" w:name="page110"/>
    <w:bookmarkEnd w:id="109"/>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Certain Potential Conflicts of Interest Relating to M. Klein and Company</w:t>
      </w:r>
    </w:p>
    <w:p>
      <w:pPr>
        <w:spacing w:after="0" w:line="101" w:lineRule="exact"/>
        <w:rPr>
          <w:sz w:val="20"/>
          <w:szCs w:val="20"/>
          <w:color w:val="auto"/>
        </w:rPr>
      </w:pPr>
    </w:p>
    <w:p>
      <w:pPr>
        <w:ind w:left="1140" w:right="1619" w:firstLine="326"/>
        <w:spacing w:after="0" w:line="262" w:lineRule="auto"/>
        <w:rPr>
          <w:sz w:val="20"/>
          <w:szCs w:val="20"/>
          <w:color w:val="auto"/>
        </w:rPr>
      </w:pPr>
      <w:r>
        <w:rPr>
          <w:rFonts w:ascii="Arial" w:cs="Arial" w:eastAsia="Arial" w:hAnsi="Arial"/>
          <w:sz w:val="16"/>
          <w:szCs w:val="16"/>
          <w:color w:val="auto"/>
        </w:rPr>
        <w:t>Our sponsor is an affiliate of M. Klein and Company. Mr. Klein is the founder and managing partner of M. Klein and Company and acts as a strategic advisor to its clients. Mr. Klein has a fiduciary duty to</w:t>
      </w:r>
    </w:p>
    <w:p>
      <w:pPr>
        <w:spacing w:after="0" w:line="1" w:lineRule="exact"/>
        <w:rPr>
          <w:sz w:val="20"/>
          <w:szCs w:val="20"/>
          <w:color w:val="auto"/>
        </w:rPr>
      </w:pPr>
    </w:p>
    <w:p>
      <w:pPr>
        <w:ind w:left="1140" w:right="1699"/>
        <w:spacing w:after="0" w:line="260" w:lineRule="auto"/>
        <w:rPr>
          <w:sz w:val="20"/>
          <w:szCs w:val="20"/>
          <w:color w:val="auto"/>
        </w:rPr>
      </w:pPr>
      <w:r>
        <w:rPr>
          <w:rFonts w:ascii="Arial" w:cs="Arial" w:eastAsia="Arial" w:hAnsi="Arial"/>
          <w:sz w:val="16"/>
          <w:szCs w:val="16"/>
          <w:color w:val="auto"/>
        </w:rPr>
        <w:t>M. Klein and Company. As a result, Mr. Klein may have a duty to offer acquisition opportunities to clients of M. Klein and Company. Mr. Klein will have no duty to offer acquisition opportunities to the Company unless presented to him solely in his capacity as an officer or director of the Company and after he has satisfied his contractual and fiduciary obligations to other parties.</w:t>
      </w:r>
    </w:p>
    <w:p>
      <w:pPr>
        <w:spacing w:after="0" w:line="72" w:lineRule="exact"/>
        <w:rPr>
          <w:sz w:val="20"/>
          <w:szCs w:val="20"/>
          <w:color w:val="auto"/>
        </w:rPr>
      </w:pPr>
    </w:p>
    <w:p>
      <w:pPr>
        <w:ind w:left="1140" w:right="1619" w:firstLine="326"/>
        <w:spacing w:after="0" w:line="258" w:lineRule="auto"/>
        <w:rPr>
          <w:sz w:val="20"/>
          <w:szCs w:val="20"/>
          <w:color w:val="auto"/>
        </w:rPr>
      </w:pPr>
      <w:r>
        <w:rPr>
          <w:rFonts w:ascii="Arial" w:cs="Arial" w:eastAsia="Arial" w:hAnsi="Arial"/>
          <w:sz w:val="16"/>
          <w:szCs w:val="16"/>
          <w:color w:val="auto"/>
        </w:rPr>
        <w:t>As a result, M. Klein and Company’s clients may compete with us for acquisition opportunities in the same industries and sectors as we may target for our initial business combination. If any of them decide to pursue any such opportunity, we may be precluded from procuring such opportunities. In addition, investment ideas generated within M. Klein and Company, including by Mr. Klein and other persons who may make decisions for the company, may be suitable both for us and for M. Klein and Company or any of its clients, and will be directed initially to such persons rather than to us. None of Mr. Klein, M. Klein and Company or members of our management team who are also employed by M. Klein and Company have any obligation to present us with any opportunity for a potential business combination of which they become aware unless it is offered to them solely in their capacity as a director or officer of the Company and after they have satisfied their contractual and fiduciary obligations to other parties.</w:t>
      </w:r>
    </w:p>
    <w:p>
      <w:pPr>
        <w:spacing w:after="0" w:line="77" w:lineRule="exact"/>
        <w:rPr>
          <w:sz w:val="20"/>
          <w:szCs w:val="20"/>
          <w:color w:val="auto"/>
        </w:rPr>
      </w:pPr>
    </w:p>
    <w:p>
      <w:pPr>
        <w:ind w:left="1140" w:right="1559" w:firstLine="326"/>
        <w:spacing w:after="0" w:line="258" w:lineRule="auto"/>
        <w:rPr>
          <w:sz w:val="20"/>
          <w:szCs w:val="20"/>
          <w:color w:val="auto"/>
        </w:rPr>
      </w:pPr>
      <w:r>
        <w:rPr>
          <w:rFonts w:ascii="Arial" w:cs="Arial" w:eastAsia="Arial" w:hAnsi="Arial"/>
          <w:sz w:val="16"/>
          <w:szCs w:val="16"/>
          <w:color w:val="auto"/>
        </w:rPr>
        <w:t>In addition, Mr. Klein and M. Klein and Company may sponsor or form other blank check companies similar to ours during the period in which we are seeking an initial business combination. In particular, M. Klein and Company, Mr. Klein and the Operating Partners, as well as our board of directors, have formed and are actively engaged in Churchill Capital Corp II and Churchill Capital Corp III, special purpose acquisition corporations that completed their initial public offerings in July 2019 and February 2020, respectively. Churchill Capital Corp II and Churchill Capital Corp III, like us, may pursue initial business combination targets in any businesses or industries and have until July 1, 2021 and February 19, 2022, respectively, to do so (absent an extension in accordance with their charters). Any such companies, including Churchill Capital Corp II and Churchill Capital Corp III, may present additional conflicts of interest in pursuing an acquisition target.</w:t>
      </w:r>
    </w:p>
    <w:p>
      <w:pPr>
        <w:spacing w:after="0" w:line="77" w:lineRule="exact"/>
        <w:rPr>
          <w:sz w:val="20"/>
          <w:szCs w:val="20"/>
          <w:color w:val="auto"/>
        </w:rPr>
      </w:pPr>
    </w:p>
    <w:p>
      <w:pPr>
        <w:ind w:left="1140" w:right="1619" w:firstLine="326"/>
        <w:spacing w:after="0" w:line="320" w:lineRule="auto"/>
        <w:rPr>
          <w:sz w:val="20"/>
          <w:szCs w:val="20"/>
          <w:color w:val="auto"/>
        </w:rPr>
      </w:pPr>
      <w:r>
        <w:rPr>
          <w:rFonts w:ascii="Arial" w:cs="Arial" w:eastAsia="Arial" w:hAnsi="Arial"/>
          <w:sz w:val="15"/>
          <w:szCs w:val="15"/>
          <w:color w:val="auto"/>
        </w:rPr>
        <w:t>The potential conflicts described above may limit our ability to enter into a business combination or other transactions. These circumstances could give rise to numerous situations where interests may conflict.</w:t>
      </w:r>
    </w:p>
    <w:p>
      <w:pPr>
        <w:spacing w:after="0" w:line="29" w:lineRule="exact"/>
        <w:rPr>
          <w:sz w:val="20"/>
          <w:szCs w:val="20"/>
          <w:color w:val="auto"/>
        </w:rPr>
      </w:pPr>
    </w:p>
    <w:p>
      <w:pPr>
        <w:ind w:left="1140" w:right="1579" w:firstLine="326"/>
        <w:spacing w:after="0" w:line="261" w:lineRule="auto"/>
        <w:rPr>
          <w:sz w:val="20"/>
          <w:szCs w:val="20"/>
          <w:color w:val="auto"/>
        </w:rPr>
      </w:pPr>
      <w:r>
        <w:rPr>
          <w:rFonts w:ascii="Arial" w:cs="Arial" w:eastAsia="Arial" w:hAnsi="Arial"/>
          <w:sz w:val="16"/>
          <w:szCs w:val="16"/>
          <w:color w:val="auto"/>
        </w:rPr>
        <w:t>Additionally, the engagement of M. Klein and Company, or another affiliate of our sponsor, as our lead financial advisor in connection with our initial business combination may present certain conflicts of interest. See “Risk Factors — We may engage M. Klein and Company, or another affiliate of our sponsor, as our lead financial advisor on our business combinations and other transactions. Any fee in connection with such engagement may be conditioned upon the completion of such transactions. This financial interest in the completion of such transactions may influence the advice such affiliate provides.”</w:t>
      </w:r>
    </w:p>
    <w:p>
      <w:pPr>
        <w:spacing w:after="0" w:line="71" w:lineRule="exact"/>
        <w:rPr>
          <w:sz w:val="20"/>
          <w:szCs w:val="20"/>
          <w:color w:val="auto"/>
        </w:rPr>
      </w:pPr>
    </w:p>
    <w:p>
      <w:pPr>
        <w:ind w:left="1140" w:right="1679" w:firstLine="326"/>
        <w:spacing w:after="0" w:line="285" w:lineRule="auto"/>
        <w:rPr>
          <w:sz w:val="20"/>
          <w:szCs w:val="20"/>
          <w:color w:val="auto"/>
        </w:rPr>
      </w:pPr>
      <w:r>
        <w:rPr>
          <w:rFonts w:ascii="Arial" w:cs="Arial" w:eastAsia="Arial" w:hAnsi="Arial"/>
          <w:sz w:val="16"/>
          <w:szCs w:val="16"/>
          <w:color w:val="auto"/>
        </w:rPr>
        <w:t>There can be no assurance that these or other conflicts of interest with the potential for adverse effects on the Company and investors will not arise.</w:t>
      </w:r>
    </w:p>
    <w:p>
      <w:pPr>
        <w:spacing w:after="0" w:line="138"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Limitations on Our Access to Investment Opportunities Sourced by M. Klein and Company</w:t>
      </w:r>
    </w:p>
    <w:p>
      <w:pPr>
        <w:spacing w:after="0" w:line="97" w:lineRule="exact"/>
        <w:rPr>
          <w:sz w:val="20"/>
          <w:szCs w:val="20"/>
          <w:color w:val="auto"/>
        </w:rPr>
      </w:pPr>
    </w:p>
    <w:p>
      <w:pPr>
        <w:ind w:left="1140" w:right="1599" w:firstLine="326"/>
        <w:spacing w:after="0" w:line="279" w:lineRule="auto"/>
        <w:rPr>
          <w:sz w:val="20"/>
          <w:szCs w:val="20"/>
          <w:color w:val="auto"/>
        </w:rPr>
      </w:pPr>
      <w:r>
        <w:rPr>
          <w:rFonts w:ascii="Arial" w:cs="Arial" w:eastAsia="Arial" w:hAnsi="Arial"/>
          <w:sz w:val="15"/>
          <w:szCs w:val="15"/>
          <w:color w:val="auto"/>
        </w:rPr>
        <w:t>M. Klein and Company may compete with us for acquisition opportunities that we may target for our initial business combination. If M. Klein and Company decides to pursue any such opportunity or determines in its sole discretion not to offer such opportunity to us, we may be precluded from procuring such opportunities. In addition, investment ideas generated within M. Klein and Company or by persons who may make decisions for us may be suitable for both us and for M. Klein and Company may be directed to M. Klein and Company or other third parties rather than to us. M. Klein and Company does not have any fiduciary, contractual or other obligations or duties to our company, including, without limitation, to present us with any opportunity for a potential business combination of which they become 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0" w:name="page111"/>
    <w:bookmarkEnd w:id="110"/>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599" w:firstLine="326"/>
        <w:spacing w:after="0" w:line="260" w:lineRule="auto"/>
        <w:rPr>
          <w:sz w:val="20"/>
          <w:szCs w:val="20"/>
          <w:color w:val="auto"/>
        </w:rPr>
      </w:pPr>
      <w:r>
        <w:rPr>
          <w:rFonts w:ascii="Arial" w:cs="Arial" w:eastAsia="Arial" w:hAnsi="Arial"/>
          <w:sz w:val="16"/>
          <w:szCs w:val="16"/>
          <w:color w:val="auto"/>
        </w:rPr>
        <w:t>Our management team, in their other endeavors (including any affiliation they may have with M. Klein and Company), may choose or be required to present potential business combinations or other transactions to M. Klein and Company or third parties, before they present such opportunities to us. Please see “Risk Factors — Certain of our officers and directors are now, and all of them may in the future become, affiliated with entities engaged in business activities similar to those intended to be conducted by us and, accordingly, may have conflicts of interest in determining to which entity a particular business opportunity or other transaction should be presented.”</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Not all Members of Our Management Team are Independent of M. Klein and Company</w:t>
      </w:r>
    </w:p>
    <w:p>
      <w:pPr>
        <w:spacing w:after="0" w:line="97" w:lineRule="exact"/>
        <w:rPr>
          <w:sz w:val="20"/>
          <w:szCs w:val="20"/>
          <w:color w:val="auto"/>
        </w:rPr>
      </w:pPr>
    </w:p>
    <w:p>
      <w:pPr>
        <w:ind w:left="1140" w:right="1719" w:firstLine="326"/>
        <w:spacing w:after="0" w:line="260" w:lineRule="auto"/>
        <w:rPr>
          <w:sz w:val="20"/>
          <w:szCs w:val="20"/>
          <w:color w:val="auto"/>
        </w:rPr>
      </w:pPr>
      <w:r>
        <w:rPr>
          <w:rFonts w:ascii="Arial" w:cs="Arial" w:eastAsia="Arial" w:hAnsi="Arial"/>
          <w:sz w:val="16"/>
          <w:szCs w:val="16"/>
          <w:color w:val="auto"/>
        </w:rPr>
        <w:t>Our management team is responsible for the management of our affairs. Mr. Klein is the founder and managing partner of M. Klein and Company and acts as a strategic advisor to its clients. Mr. Klein has a fiduciary duty to M. Klein and Company. As a result, Mr. Klein may have a duty to offer acquisition opportunities to clients of M. Klein and Company. Mr. Klein will have no duty to offer acquisition opportunities to the Company unless presented to him in his capacity as an officer or director of the Company. Please see “Management — Conflicts of Interest” for additional information regarding conflicts of interest relating to our management team.</w:t>
      </w:r>
    </w:p>
    <w:p>
      <w:pPr>
        <w:spacing w:after="0" w:line="15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Sponsor Indemnity</w:t>
      </w:r>
    </w:p>
    <w:p>
      <w:pPr>
        <w:spacing w:after="0" w:line="101" w:lineRule="exact"/>
        <w:rPr>
          <w:sz w:val="20"/>
          <w:szCs w:val="20"/>
          <w:color w:val="auto"/>
        </w:rPr>
      </w:pPr>
    </w:p>
    <w:p>
      <w:pPr>
        <w:ind w:left="1140" w:right="1579" w:firstLine="326"/>
        <w:spacing w:after="0" w:line="275" w:lineRule="auto"/>
        <w:rPr>
          <w:sz w:val="20"/>
          <w:szCs w:val="20"/>
          <w:color w:val="auto"/>
        </w:rPr>
      </w:pPr>
      <w:r>
        <w:rPr>
          <w:rFonts w:ascii="Arial" w:cs="Arial" w:eastAsia="Arial" w:hAnsi="Arial"/>
          <w:sz w:val="15"/>
          <w:szCs w:val="15"/>
          <w:color w:val="auto"/>
        </w:rPr>
        <w:t>Our sponsor has agreed that it will be liable to us if and to the extent any claims by a third party (other than our independent registered public accounting firm) for services rendered or products sold to us, or a prospective target business with which we have discussed entering into a transaction agreement, reduce the amount of funds in the trust account to below: (1) $10.00 per public share; or (2) the actual amount per public share held in the trust account as of the date of the liquidation of the trust account, if less than $10.00 per share due to reductions in the value of the trust assets, in each case, net of permitted withdrawals, except as to any claims by a third party that executed a waiver of any and all rights to the monies held in the trust account (whether any such waiver is enforceable) and except as to any claims under our indemnity of the underwriters of this offering against certain liabilities, including liabilities under the Securities Act.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 Therefore, we cannot assure you that our sponsor would be able to satisfy those obligations. We believe the likelihood of our sponsor having to indemnify the trust account is limited because we will endeavor to have all vendors and prospective target businesses as well as other entities execute agreements with us waiving any right, title, interest or claim of any kind in or to monies held in the trust account.</w:t>
      </w:r>
    </w:p>
    <w:p>
      <w:pPr>
        <w:spacing w:after="0" w:line="148"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Facilities</w:t>
      </w:r>
    </w:p>
    <w:p>
      <w:pPr>
        <w:spacing w:after="0" w:line="80" w:lineRule="exact"/>
        <w:rPr>
          <w:sz w:val="20"/>
          <w:szCs w:val="20"/>
          <w:color w:val="auto"/>
        </w:rPr>
      </w:pPr>
    </w:p>
    <w:p>
      <w:pPr>
        <w:ind w:left="1140" w:right="1579" w:firstLine="326"/>
        <w:spacing w:after="0" w:line="239" w:lineRule="auto"/>
        <w:rPr>
          <w:sz w:val="20"/>
          <w:szCs w:val="20"/>
          <w:color w:val="auto"/>
        </w:rPr>
      </w:pPr>
      <w:r>
        <w:rPr>
          <w:rFonts w:ascii="Arial" w:cs="Arial" w:eastAsia="Arial" w:hAnsi="Arial"/>
          <w:sz w:val="16"/>
          <w:szCs w:val="16"/>
          <w:color w:val="auto"/>
        </w:rPr>
        <w:t>We currently maintain our executive offices at 640 Fifth Avenue, 12</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Floor, New York, NY 10019. The cost for this space is included in the $50,000 per month fee that we will pay an affiliate of our sponsor for office space, administrative and support services. We consider our current office space adequate for our current operations.</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Employees</w:t>
      </w:r>
    </w:p>
    <w:p>
      <w:pPr>
        <w:spacing w:after="0" w:line="101" w:lineRule="exact"/>
        <w:rPr>
          <w:sz w:val="20"/>
          <w:szCs w:val="20"/>
          <w:color w:val="auto"/>
        </w:rPr>
      </w:pPr>
    </w:p>
    <w:p>
      <w:pPr>
        <w:ind w:left="1140" w:right="1619" w:firstLine="326"/>
        <w:spacing w:after="0" w:line="260" w:lineRule="auto"/>
        <w:rPr>
          <w:sz w:val="20"/>
          <w:szCs w:val="20"/>
          <w:color w:val="auto"/>
        </w:rPr>
      </w:pPr>
      <w:r>
        <w:rPr>
          <w:rFonts w:ascii="Arial" w:cs="Arial" w:eastAsia="Arial" w:hAnsi="Arial"/>
          <w:sz w:val="16"/>
          <w:szCs w:val="16"/>
          <w:color w:val="auto"/>
        </w:rPr>
        <w:t>We currently have two officers and do not intend to have any full-time employees prior to the completion of our initial business combination. Members of our management team are not obligated to devote any specific number of hours to our matters but they intend to devote as much of their time as they deem necessary to our affairs until we have completed our initial business combination. The amount of time that any such person will devote in any time period to our company will vary based on whether a target business has been selected for our initial business combination and the current stage of the business combination process.</w:t>
      </w:r>
    </w:p>
    <w:p>
      <w:pPr>
        <w:spacing w:after="0" w:line="268"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224790</wp:posOffset>
            </wp:positionV>
            <wp:extent cx="6166485"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1" w:name="page112"/>
    <w:bookmarkEnd w:id="111"/>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Periodic Reporting and Financial Information</w:t>
      </w:r>
    </w:p>
    <w:p>
      <w:pPr>
        <w:spacing w:after="0" w:line="101" w:lineRule="exact"/>
        <w:rPr>
          <w:sz w:val="20"/>
          <w:szCs w:val="20"/>
          <w:color w:val="auto"/>
        </w:rPr>
      </w:pPr>
    </w:p>
    <w:p>
      <w:pPr>
        <w:ind w:left="1140" w:right="1759" w:firstLine="326"/>
        <w:spacing w:after="0" w:line="265" w:lineRule="auto"/>
        <w:rPr>
          <w:sz w:val="20"/>
          <w:szCs w:val="20"/>
          <w:color w:val="auto"/>
        </w:rPr>
      </w:pPr>
      <w:r>
        <w:rPr>
          <w:rFonts w:ascii="Arial" w:cs="Arial" w:eastAsia="Arial" w:hAnsi="Arial"/>
          <w:sz w:val="16"/>
          <w:szCs w:val="16"/>
          <w:color w:val="auto"/>
        </w:rPr>
        <w:t>We will register our units, Class A common stock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accounting firm.</w:t>
      </w:r>
    </w:p>
    <w:p>
      <w:pPr>
        <w:spacing w:after="0" w:line="68" w:lineRule="exact"/>
        <w:rPr>
          <w:sz w:val="20"/>
          <w:szCs w:val="20"/>
          <w:color w:val="auto"/>
        </w:rPr>
      </w:pPr>
    </w:p>
    <w:p>
      <w:pPr>
        <w:ind w:left="1140" w:right="1599" w:firstLine="326"/>
        <w:spacing w:after="0" w:line="257" w:lineRule="auto"/>
        <w:rPr>
          <w:sz w:val="20"/>
          <w:szCs w:val="20"/>
          <w:color w:val="auto"/>
        </w:rPr>
      </w:pPr>
      <w:r>
        <w:rPr>
          <w:rFonts w:ascii="Arial" w:cs="Arial" w:eastAsia="Arial" w:hAnsi="Arial"/>
          <w:sz w:val="16"/>
          <w:szCs w:val="16"/>
          <w:color w:val="auto"/>
        </w:rPr>
        <w:t>We will provide stockholders with audited financial statements of the prospective target business as part of the tender offer materials or proxy solicitation materials sent to stockholders to assist them in assessing the target business. These financial statements may be required to be prepared in accordance with, or be reconciled to, GAAP or IFRS, depending on the circumstances and the historical financial statements may be required to be audited in accordance with the 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completion window. We cannot assure you that any particular target business identified by us as a potential business combination candidate will have financial statements prepared in accordance with GAAP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79" w:lineRule="exact"/>
        <w:rPr>
          <w:sz w:val="20"/>
          <w:szCs w:val="20"/>
          <w:color w:val="auto"/>
        </w:rPr>
      </w:pPr>
    </w:p>
    <w:p>
      <w:pPr>
        <w:ind w:left="1140" w:right="1559" w:firstLine="326"/>
        <w:spacing w:after="0" w:line="260" w:lineRule="auto"/>
        <w:rPr>
          <w:sz w:val="20"/>
          <w:szCs w:val="20"/>
          <w:color w:val="auto"/>
        </w:rPr>
      </w:pPr>
      <w:r>
        <w:rPr>
          <w:rFonts w:ascii="Arial" w:cs="Arial" w:eastAsia="Arial" w:hAnsi="Arial"/>
          <w:sz w:val="16"/>
          <w:szCs w:val="16"/>
          <w:color w:val="auto"/>
        </w:rPr>
        <w:t>We will be required to evaluate our internal control procedures for the fiscal year ending December 31, 2021 as required by the Sarbanes-Oxley Act. Only in the event we are deemed to be a large accelerated filer or an accelerated filer and no longer an emerging growth company will we be required to have our internal control procedures audited.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72" w:lineRule="exact"/>
        <w:rPr>
          <w:sz w:val="20"/>
          <w:szCs w:val="20"/>
          <w:color w:val="auto"/>
        </w:rPr>
      </w:pPr>
    </w:p>
    <w:p>
      <w:pPr>
        <w:ind w:left="1140" w:right="1759" w:firstLine="326"/>
        <w:spacing w:after="0" w:line="262" w:lineRule="auto"/>
        <w:rPr>
          <w:sz w:val="20"/>
          <w:szCs w:val="20"/>
          <w:color w:val="auto"/>
        </w:rPr>
      </w:pPr>
      <w:r>
        <w:rPr>
          <w:rFonts w:ascii="Arial" w:cs="Arial" w:eastAsia="Arial" w:hAnsi="Arial"/>
          <w:sz w:val="16"/>
          <w:szCs w:val="16"/>
          <w:color w:val="auto"/>
        </w:rPr>
        <w:t>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72" w:lineRule="exact"/>
        <w:rPr>
          <w:sz w:val="20"/>
          <w:szCs w:val="20"/>
          <w:color w:val="auto"/>
        </w:rPr>
      </w:pPr>
    </w:p>
    <w:p>
      <w:pPr>
        <w:ind w:left="1140" w:right="1599" w:firstLine="326"/>
        <w:spacing w:after="0" w:line="278" w:lineRule="auto"/>
        <w:rPr>
          <w:sz w:val="20"/>
          <w:szCs w:val="20"/>
          <w:color w:val="auto"/>
        </w:rPr>
      </w:pPr>
      <w:r>
        <w:rPr>
          <w:rFonts w:ascii="Arial" w:cs="Arial" w:eastAsia="Arial" w:hAnsi="Arial"/>
          <w:sz w:val="15"/>
          <w:szCs w:val="15"/>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61" w:lineRule="exact"/>
        <w:rPr>
          <w:sz w:val="20"/>
          <w:szCs w:val="20"/>
          <w:color w:val="auto"/>
        </w:rPr>
      </w:pPr>
    </w:p>
    <w:p>
      <w:pPr>
        <w:ind w:left="1140" w:right="1759" w:firstLine="326"/>
        <w:spacing w:after="0" w:line="284" w:lineRule="auto"/>
        <w:rPr>
          <w:sz w:val="20"/>
          <w:szCs w:val="20"/>
          <w:color w:val="auto"/>
        </w:rPr>
      </w:pPr>
      <w:r>
        <w:rPr>
          <w:rFonts w:ascii="Arial" w:cs="Arial" w:eastAsia="Arial" w:hAnsi="Arial"/>
          <w:sz w:val="15"/>
          <w:szCs w:val="15"/>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56"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We will remain an emerging growth company until the earlier of: (1) the last day of the fiscal year</w:t>
      </w:r>
    </w:p>
    <w:p>
      <w:pPr>
        <w:spacing w:after="0" w:line="23" w:lineRule="exact"/>
        <w:rPr>
          <w:sz w:val="20"/>
          <w:szCs w:val="20"/>
          <w:color w:val="auto"/>
        </w:rPr>
      </w:pPr>
    </w:p>
    <w:p>
      <w:pPr>
        <w:ind w:left="1140" w:right="1579" w:hanging="1"/>
        <w:spacing w:after="0" w:line="272" w:lineRule="auto"/>
        <w:tabs>
          <w:tab w:leader="none" w:pos="1415" w:val="left"/>
        </w:tabs>
        <w:numPr>
          <w:ilvl w:val="0"/>
          <w:numId w:val="50"/>
        </w:numPr>
        <w:rPr>
          <w:rFonts w:ascii="Arial" w:cs="Arial" w:eastAsia="Arial" w:hAnsi="Arial"/>
          <w:sz w:val="15"/>
          <w:szCs w:val="15"/>
          <w:color w:val="auto"/>
        </w:rPr>
      </w:pPr>
      <w:r>
        <w:rPr>
          <w:rFonts w:ascii="Arial" w:cs="Arial" w:eastAsia="Arial" w:hAnsi="Arial"/>
          <w:sz w:val="15"/>
          <w:szCs w:val="15"/>
          <w:color w:val="auto"/>
        </w:rPr>
        <w:t>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end of the prior fiscal year’s second fiscal quarter; and (2) the date on which we have issued more than</w:t>
      </w:r>
    </w:p>
    <w:p>
      <w:pPr>
        <w:ind w:left="1140" w:right="1899"/>
        <w:spacing w:after="0" w:line="270" w:lineRule="auto"/>
        <w:rPr>
          <w:rFonts w:ascii="Arial" w:cs="Arial" w:eastAsia="Arial" w:hAnsi="Arial"/>
          <w:sz w:val="15"/>
          <w:szCs w:val="15"/>
          <w:color w:val="auto"/>
        </w:rPr>
      </w:pPr>
      <w:r>
        <w:rPr>
          <w:rFonts w:ascii="Arial" w:cs="Arial" w:eastAsia="Arial" w:hAnsi="Arial"/>
          <w:sz w:val="16"/>
          <w:szCs w:val="16"/>
          <w:color w:val="auto"/>
        </w:rPr>
        <w:t>$1.00 billion in non-convertible debt during the prior three-year period. References herein to “emerging growth company” shall have the meaning associated with it in the JOBS Act.</w:t>
      </w:r>
    </w:p>
    <w:p>
      <w:pPr>
        <w:spacing w:after="0" w:line="223"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2" w:name="page113"/>
    <w:bookmarkEnd w:id="112"/>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Legal Proceedings</w:t>
      </w:r>
    </w:p>
    <w:p>
      <w:pPr>
        <w:spacing w:after="0" w:line="101" w:lineRule="exact"/>
        <w:rPr>
          <w:sz w:val="20"/>
          <w:szCs w:val="20"/>
          <w:color w:val="auto"/>
        </w:rPr>
      </w:pPr>
    </w:p>
    <w:p>
      <w:pPr>
        <w:ind w:left="1140" w:right="1659" w:firstLine="326"/>
        <w:spacing w:after="0" w:line="265" w:lineRule="auto"/>
        <w:rPr>
          <w:sz w:val="20"/>
          <w:szCs w:val="20"/>
          <w:color w:val="auto"/>
        </w:rPr>
      </w:pPr>
      <w:r>
        <w:rPr>
          <w:rFonts w:ascii="Arial" w:cs="Arial" w:eastAsia="Arial" w:hAnsi="Arial"/>
          <w:sz w:val="16"/>
          <w:szCs w:val="16"/>
          <w:color w:val="auto"/>
        </w:rPr>
        <w:t>There is no material litigation, arbitration or governmental proceeding currently pending against us or any members of our management team in their capacity as such, and we and the members of our management team have not been subject to any such proceeding in the 12 months preceding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3" w:name="page114"/>
    <w:bookmarkEnd w:id="113"/>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auto"/>
        </w:rPr>
        <w:t>MANAGEMENT</w:t>
      </w:r>
    </w:p>
    <w:p>
      <w:pPr>
        <w:spacing w:after="0" w:line="183"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Directors, Director Nominees and Executive Officers</w:t>
      </w:r>
    </w:p>
    <w:p>
      <w:pPr>
        <w:spacing w:after="0" w:line="101"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Our directors, director nominees and officers are as follows:</w:t>
      </w:r>
    </w:p>
    <w:p>
      <w:pPr>
        <w:spacing w:after="0" w:line="126" w:lineRule="exact"/>
        <w:rPr>
          <w:sz w:val="20"/>
          <w:szCs w:val="20"/>
          <w:color w:val="auto"/>
        </w:rPr>
      </w:pPr>
    </w:p>
    <w:tbl>
      <w:tblPr>
        <w:tblLayout w:type="fixed"/>
        <w:tblInd w:w="1140" w:type="dxa"/>
        <w:tblCellMar>
          <w:top w:w="0" w:type="dxa"/>
          <w:left w:w="0" w:type="dxa"/>
          <w:bottom w:w="0" w:type="dxa"/>
          <w:right w:w="0" w:type="dxa"/>
        </w:tblCellMar>
      </w:tblPr>
      <w:tr>
        <w:trPr>
          <w:trHeight w:val="168"/>
        </w:trPr>
        <w:tc>
          <w:tcPr>
            <w:tcW w:w="176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4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Age</w:t>
            </w:r>
          </w:p>
        </w:tc>
        <w:tc>
          <w:tcPr>
            <w:tcW w:w="5240" w:type="dxa"/>
            <w:vAlign w:val="bottom"/>
          </w:tcPr>
          <w:p>
            <w:pPr>
              <w:spacing w:after="0"/>
              <w:rPr>
                <w:sz w:val="20"/>
                <w:szCs w:val="20"/>
                <w:color w:val="auto"/>
              </w:rPr>
            </w:pPr>
            <w:r>
              <w:rPr>
                <w:rFonts w:ascii="Arial" w:cs="Arial" w:eastAsia="Arial" w:hAnsi="Arial"/>
                <w:sz w:val="13"/>
                <w:szCs w:val="13"/>
                <w:b w:val="1"/>
                <w:bCs w:val="1"/>
                <w:color w:val="auto"/>
              </w:rPr>
              <w:t>Title</w:t>
            </w:r>
          </w:p>
        </w:tc>
      </w:tr>
      <w:tr>
        <w:trPr>
          <w:trHeight w:val="23"/>
        </w:trPr>
        <w:tc>
          <w:tcPr>
            <w:tcW w:w="1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24"/>
        </w:trPr>
        <w:tc>
          <w:tcPr>
            <w:tcW w:w="1760" w:type="dxa"/>
            <w:vAlign w:val="bottom"/>
            <w:gridSpan w:val="2"/>
          </w:tcPr>
          <w:p>
            <w:pPr>
              <w:spacing w:after="0"/>
              <w:rPr>
                <w:sz w:val="20"/>
                <w:szCs w:val="20"/>
                <w:color w:val="auto"/>
              </w:rPr>
            </w:pPr>
            <w:r>
              <w:rPr>
                <w:rFonts w:ascii="Arial" w:cs="Arial" w:eastAsia="Arial" w:hAnsi="Arial"/>
                <w:sz w:val="16"/>
                <w:szCs w:val="16"/>
                <w:color w:val="auto"/>
              </w:rPr>
              <w:t>Michael Klein</w:t>
            </w:r>
          </w:p>
        </w:tc>
        <w:tc>
          <w:tcPr>
            <w:tcW w:w="240" w:type="dxa"/>
            <w:vAlign w:val="bottom"/>
          </w:tcPr>
          <w:p>
            <w:pPr>
              <w:jc w:val="center"/>
              <w:spacing w:after="0"/>
              <w:rPr>
                <w:sz w:val="20"/>
                <w:szCs w:val="20"/>
                <w:color w:val="auto"/>
              </w:rPr>
            </w:pPr>
            <w:r>
              <w:rPr>
                <w:rFonts w:ascii="Arial" w:cs="Arial" w:eastAsia="Arial" w:hAnsi="Arial"/>
                <w:sz w:val="16"/>
                <w:szCs w:val="16"/>
                <w:color w:val="auto"/>
                <w:w w:val="89"/>
              </w:rPr>
              <w:t>56</w:t>
            </w:r>
          </w:p>
        </w:tc>
        <w:tc>
          <w:tcPr>
            <w:tcW w:w="20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6"/>
                <w:szCs w:val="16"/>
                <w:color w:val="auto"/>
                <w:w w:val="99"/>
              </w:rPr>
              <w:t>Chief Executive Officer, President and Chairman of the Board of Directors</w:t>
            </w:r>
          </w:p>
        </w:tc>
      </w:tr>
      <w:tr>
        <w:trPr>
          <w:trHeight w:val="232"/>
        </w:trPr>
        <w:tc>
          <w:tcPr>
            <w:tcW w:w="1760" w:type="dxa"/>
            <w:vAlign w:val="bottom"/>
            <w:gridSpan w:val="2"/>
          </w:tcPr>
          <w:p>
            <w:pPr>
              <w:spacing w:after="0"/>
              <w:rPr>
                <w:sz w:val="20"/>
                <w:szCs w:val="20"/>
                <w:color w:val="auto"/>
              </w:rPr>
            </w:pPr>
            <w:r>
              <w:rPr>
                <w:rFonts w:ascii="Arial" w:cs="Arial" w:eastAsia="Arial" w:hAnsi="Arial"/>
                <w:sz w:val="16"/>
                <w:szCs w:val="16"/>
                <w:color w:val="auto"/>
              </w:rPr>
              <w:t>Jay Taragin</w:t>
            </w:r>
          </w:p>
        </w:tc>
        <w:tc>
          <w:tcPr>
            <w:tcW w:w="240" w:type="dxa"/>
            <w:vAlign w:val="bottom"/>
          </w:tcPr>
          <w:p>
            <w:pPr>
              <w:jc w:val="center"/>
              <w:spacing w:after="0"/>
              <w:rPr>
                <w:sz w:val="20"/>
                <w:szCs w:val="20"/>
                <w:color w:val="auto"/>
              </w:rPr>
            </w:pPr>
            <w:r>
              <w:rPr>
                <w:rFonts w:ascii="Arial" w:cs="Arial" w:eastAsia="Arial" w:hAnsi="Arial"/>
                <w:sz w:val="16"/>
                <w:szCs w:val="16"/>
                <w:color w:val="auto"/>
                <w:w w:val="89"/>
              </w:rPr>
              <w:t>54</w:t>
            </w:r>
          </w:p>
        </w:tc>
        <w:tc>
          <w:tcPr>
            <w:tcW w:w="2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232"/>
        </w:trPr>
        <w:tc>
          <w:tcPr>
            <w:tcW w:w="1760" w:type="dxa"/>
            <w:vAlign w:val="bottom"/>
            <w:gridSpan w:val="2"/>
          </w:tcPr>
          <w:p>
            <w:pPr>
              <w:spacing w:after="0"/>
              <w:rPr>
                <w:sz w:val="20"/>
                <w:szCs w:val="20"/>
                <w:color w:val="auto"/>
              </w:rPr>
            </w:pPr>
            <w:r>
              <w:rPr>
                <w:rFonts w:ascii="Arial" w:cs="Arial" w:eastAsia="Arial" w:hAnsi="Arial"/>
                <w:sz w:val="16"/>
                <w:szCs w:val="16"/>
                <w:color w:val="auto"/>
              </w:rPr>
              <w:t>Glenn R. August</w:t>
            </w:r>
          </w:p>
        </w:tc>
        <w:tc>
          <w:tcPr>
            <w:tcW w:w="240" w:type="dxa"/>
            <w:vAlign w:val="bottom"/>
          </w:tcPr>
          <w:p>
            <w:pPr>
              <w:jc w:val="center"/>
              <w:spacing w:after="0"/>
              <w:rPr>
                <w:sz w:val="20"/>
                <w:szCs w:val="20"/>
                <w:color w:val="auto"/>
              </w:rPr>
            </w:pPr>
            <w:r>
              <w:rPr>
                <w:rFonts w:ascii="Arial" w:cs="Arial" w:eastAsia="Arial" w:hAnsi="Arial"/>
                <w:sz w:val="16"/>
                <w:szCs w:val="16"/>
                <w:color w:val="auto"/>
                <w:w w:val="89"/>
              </w:rPr>
              <w:t>58</w:t>
            </w:r>
          </w:p>
        </w:tc>
        <w:tc>
          <w:tcPr>
            <w:tcW w:w="2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Director Nominee</w:t>
            </w:r>
          </w:p>
        </w:tc>
      </w:tr>
      <w:tr>
        <w:trPr>
          <w:trHeight w:val="245"/>
        </w:trPr>
        <w:tc>
          <w:tcPr>
            <w:tcW w:w="1760" w:type="dxa"/>
            <w:vAlign w:val="bottom"/>
            <w:gridSpan w:val="2"/>
          </w:tcPr>
          <w:p>
            <w:pPr>
              <w:spacing w:after="0"/>
              <w:rPr>
                <w:sz w:val="20"/>
                <w:szCs w:val="20"/>
                <w:color w:val="auto"/>
              </w:rPr>
            </w:pPr>
            <w:r>
              <w:rPr>
                <w:rFonts w:ascii="Arial" w:cs="Arial" w:eastAsia="Arial" w:hAnsi="Arial"/>
                <w:sz w:val="16"/>
                <w:szCs w:val="16"/>
                <w:color w:val="auto"/>
              </w:rPr>
              <w:t>William J. Bynum</w:t>
            </w:r>
          </w:p>
        </w:tc>
        <w:tc>
          <w:tcPr>
            <w:tcW w:w="240" w:type="dxa"/>
            <w:vAlign w:val="bottom"/>
          </w:tcPr>
          <w:p>
            <w:pPr>
              <w:jc w:val="center"/>
              <w:spacing w:after="0"/>
              <w:rPr>
                <w:sz w:val="20"/>
                <w:szCs w:val="20"/>
                <w:color w:val="auto"/>
              </w:rPr>
            </w:pPr>
            <w:r>
              <w:rPr>
                <w:rFonts w:ascii="Arial" w:cs="Arial" w:eastAsia="Arial" w:hAnsi="Arial"/>
                <w:sz w:val="16"/>
                <w:szCs w:val="16"/>
                <w:color w:val="auto"/>
                <w:w w:val="89"/>
              </w:rPr>
              <w:t>61</w:t>
            </w:r>
          </w:p>
        </w:tc>
        <w:tc>
          <w:tcPr>
            <w:tcW w:w="20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Director Nominee</w:t>
            </w:r>
          </w:p>
        </w:tc>
      </w:tr>
      <w:tr>
        <w:trPr>
          <w:trHeight w:val="245"/>
        </w:trPr>
        <w:tc>
          <w:tcPr>
            <w:tcW w:w="1760" w:type="dxa"/>
            <w:vAlign w:val="bottom"/>
            <w:gridSpan w:val="2"/>
          </w:tcPr>
          <w:p>
            <w:pPr>
              <w:spacing w:after="0"/>
              <w:rPr>
                <w:sz w:val="20"/>
                <w:szCs w:val="20"/>
                <w:color w:val="auto"/>
              </w:rPr>
            </w:pPr>
            <w:r>
              <w:rPr>
                <w:rFonts w:ascii="Arial" w:cs="Arial" w:eastAsia="Arial" w:hAnsi="Arial"/>
                <w:sz w:val="16"/>
                <w:szCs w:val="16"/>
                <w:color w:val="auto"/>
              </w:rPr>
              <w:t>Bonnie Jonas</w:t>
            </w:r>
          </w:p>
        </w:tc>
        <w:tc>
          <w:tcPr>
            <w:tcW w:w="240" w:type="dxa"/>
            <w:vAlign w:val="bottom"/>
          </w:tcPr>
          <w:p>
            <w:pPr>
              <w:jc w:val="center"/>
              <w:spacing w:after="0"/>
              <w:rPr>
                <w:sz w:val="20"/>
                <w:szCs w:val="20"/>
                <w:color w:val="auto"/>
              </w:rPr>
            </w:pPr>
            <w:r>
              <w:rPr>
                <w:rFonts w:ascii="Arial" w:cs="Arial" w:eastAsia="Arial" w:hAnsi="Arial"/>
                <w:sz w:val="16"/>
                <w:szCs w:val="16"/>
                <w:color w:val="auto"/>
                <w:w w:val="89"/>
              </w:rPr>
              <w:t>51</w:t>
            </w:r>
          </w:p>
        </w:tc>
        <w:tc>
          <w:tcPr>
            <w:tcW w:w="20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Director Nominee</w:t>
            </w:r>
          </w:p>
        </w:tc>
      </w:tr>
      <w:tr>
        <w:trPr>
          <w:trHeight w:val="245"/>
        </w:trPr>
        <w:tc>
          <w:tcPr>
            <w:tcW w:w="1760" w:type="dxa"/>
            <w:vAlign w:val="bottom"/>
            <w:gridSpan w:val="2"/>
          </w:tcPr>
          <w:p>
            <w:pPr>
              <w:spacing w:after="0"/>
              <w:rPr>
                <w:sz w:val="20"/>
                <w:szCs w:val="20"/>
                <w:color w:val="auto"/>
              </w:rPr>
            </w:pPr>
            <w:r>
              <w:rPr>
                <w:rFonts w:ascii="Arial" w:cs="Arial" w:eastAsia="Arial" w:hAnsi="Arial"/>
                <w:sz w:val="16"/>
                <w:szCs w:val="16"/>
                <w:color w:val="auto"/>
              </w:rPr>
              <w:t>Mark Klein</w:t>
            </w:r>
          </w:p>
        </w:tc>
        <w:tc>
          <w:tcPr>
            <w:tcW w:w="240" w:type="dxa"/>
            <w:vAlign w:val="bottom"/>
          </w:tcPr>
          <w:p>
            <w:pPr>
              <w:jc w:val="center"/>
              <w:spacing w:after="0"/>
              <w:rPr>
                <w:sz w:val="20"/>
                <w:szCs w:val="20"/>
                <w:color w:val="auto"/>
              </w:rPr>
            </w:pPr>
            <w:r>
              <w:rPr>
                <w:rFonts w:ascii="Arial" w:cs="Arial" w:eastAsia="Arial" w:hAnsi="Arial"/>
                <w:sz w:val="16"/>
                <w:szCs w:val="16"/>
                <w:color w:val="auto"/>
                <w:w w:val="89"/>
              </w:rPr>
              <w:t>58</w:t>
            </w:r>
          </w:p>
        </w:tc>
        <w:tc>
          <w:tcPr>
            <w:tcW w:w="20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Director Nominee</w:t>
            </w:r>
          </w:p>
        </w:tc>
      </w:tr>
      <w:tr>
        <w:trPr>
          <w:trHeight w:val="221"/>
        </w:trPr>
        <w:tc>
          <w:tcPr>
            <w:tcW w:w="1760" w:type="dxa"/>
            <w:vAlign w:val="bottom"/>
            <w:gridSpan w:val="2"/>
          </w:tcPr>
          <w:p>
            <w:pPr>
              <w:spacing w:after="0"/>
              <w:rPr>
                <w:sz w:val="20"/>
                <w:szCs w:val="20"/>
                <w:color w:val="auto"/>
              </w:rPr>
            </w:pPr>
            <w:r>
              <w:rPr>
                <w:rFonts w:ascii="Arial" w:cs="Arial" w:eastAsia="Arial" w:hAnsi="Arial"/>
                <w:sz w:val="16"/>
                <w:szCs w:val="16"/>
                <w:color w:val="auto"/>
              </w:rPr>
              <w:t>Malcolm S.</w:t>
            </w:r>
          </w:p>
        </w:tc>
        <w:tc>
          <w:tcPr>
            <w:tcW w:w="24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20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Director Nominee</w:t>
            </w:r>
          </w:p>
        </w:tc>
      </w:tr>
      <w:tr>
        <w:trPr>
          <w:trHeight w:val="207"/>
        </w:trPr>
        <w:tc>
          <w:tcPr>
            <w:tcW w:w="1760" w:type="dxa"/>
            <w:vAlign w:val="bottom"/>
            <w:gridSpan w:val="2"/>
          </w:tcPr>
          <w:p>
            <w:pPr>
              <w:spacing w:after="0"/>
              <w:rPr>
                <w:sz w:val="20"/>
                <w:szCs w:val="20"/>
                <w:color w:val="auto"/>
              </w:rPr>
            </w:pPr>
            <w:r>
              <w:rPr>
                <w:rFonts w:ascii="Arial" w:cs="Arial" w:eastAsia="Arial" w:hAnsi="Arial"/>
                <w:sz w:val="16"/>
                <w:szCs w:val="16"/>
                <w:color w:val="auto"/>
              </w:rPr>
              <w:t>McDermid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40" w:type="dxa"/>
            <w:vAlign w:val="bottom"/>
          </w:tcPr>
          <w:p>
            <w:pPr>
              <w:spacing w:after="0"/>
              <w:rPr>
                <w:sz w:val="18"/>
                <w:szCs w:val="18"/>
                <w:color w:val="auto"/>
              </w:rPr>
            </w:pPr>
          </w:p>
        </w:tc>
      </w:tr>
      <w:tr>
        <w:trPr>
          <w:trHeight w:val="257"/>
        </w:trPr>
        <w:tc>
          <w:tcPr>
            <w:tcW w:w="1760" w:type="dxa"/>
            <w:vAlign w:val="bottom"/>
            <w:gridSpan w:val="2"/>
          </w:tcPr>
          <w:p>
            <w:pPr>
              <w:spacing w:after="0"/>
              <w:rPr>
                <w:sz w:val="20"/>
                <w:szCs w:val="20"/>
                <w:color w:val="auto"/>
              </w:rPr>
            </w:pPr>
            <w:r>
              <w:rPr>
                <w:rFonts w:ascii="Arial" w:cs="Arial" w:eastAsia="Arial" w:hAnsi="Arial"/>
                <w:sz w:val="16"/>
                <w:szCs w:val="16"/>
                <w:color w:val="auto"/>
              </w:rPr>
              <w:t>Karen G. Mills</w:t>
            </w:r>
          </w:p>
        </w:tc>
        <w:tc>
          <w:tcPr>
            <w:tcW w:w="240" w:type="dxa"/>
            <w:vAlign w:val="bottom"/>
          </w:tcPr>
          <w:p>
            <w:pPr>
              <w:jc w:val="center"/>
              <w:spacing w:after="0"/>
              <w:rPr>
                <w:sz w:val="20"/>
                <w:szCs w:val="20"/>
                <w:color w:val="auto"/>
              </w:rPr>
            </w:pPr>
            <w:r>
              <w:rPr>
                <w:rFonts w:ascii="Arial" w:cs="Arial" w:eastAsia="Arial" w:hAnsi="Arial"/>
                <w:sz w:val="16"/>
                <w:szCs w:val="16"/>
                <w:color w:val="auto"/>
                <w:w w:val="89"/>
              </w:rPr>
              <w:t>66</w:t>
            </w:r>
          </w:p>
        </w:tc>
        <w:tc>
          <w:tcPr>
            <w:tcW w:w="200" w:type="dxa"/>
            <w:vAlign w:val="bottom"/>
          </w:tcPr>
          <w:p>
            <w:pPr>
              <w:spacing w:after="0"/>
              <w:rPr>
                <w:sz w:val="22"/>
                <w:szCs w:val="22"/>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Director Nominee</w:t>
            </w:r>
          </w:p>
        </w:tc>
      </w:tr>
    </w:tbl>
    <w:p>
      <w:pPr>
        <w:spacing w:after="0" w:line="135" w:lineRule="exact"/>
        <w:rPr>
          <w:sz w:val="20"/>
          <w:szCs w:val="20"/>
          <w:color w:val="auto"/>
        </w:rPr>
      </w:pPr>
    </w:p>
    <w:p>
      <w:pPr>
        <w:ind w:left="1140" w:right="1619" w:firstLine="326"/>
        <w:spacing w:after="0" w:line="256" w:lineRule="auto"/>
        <w:rPr>
          <w:sz w:val="20"/>
          <w:szCs w:val="20"/>
          <w:color w:val="auto"/>
        </w:rPr>
      </w:pPr>
      <w:r>
        <w:rPr>
          <w:rFonts w:ascii="Arial" w:cs="Arial" w:eastAsia="Arial" w:hAnsi="Arial"/>
          <w:sz w:val="16"/>
          <w:szCs w:val="16"/>
          <w:b w:val="1"/>
          <w:bCs w:val="1"/>
          <w:i w:val="1"/>
          <w:iCs w:val="1"/>
          <w:color w:val="auto"/>
        </w:rPr>
        <w:t xml:space="preserve">Michael Klein </w:t>
      </w:r>
      <w:r>
        <w:rPr>
          <w:rFonts w:ascii="Arial" w:cs="Arial" w:eastAsia="Arial" w:hAnsi="Arial"/>
          <w:sz w:val="16"/>
          <w:szCs w:val="16"/>
          <w:color w:val="auto"/>
        </w:rPr>
        <w:t>is our Chief Executive Officer, President and the Chairman of our Board of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Klein is also the Chief Executive Officer and Chairman of the Board of Directors of Churchill Capital Corp II, a blank check company whose sponsor is an affiliate of M. Klein and Company, LLC and Chief Executive Officer, President and Chairman of the Board of Directors of Churchill Capital Corp III, a blank check company whose sponsor is an affiliate of M. Klein and Company, LLC. Mr. Klein is currently a Director of Credit Suisse Group AG and Credit Suisse AG. Mr. Klein was the co-founder and Chairman of Churchill Capital Corp, a blank check company formed in 2018. Churchill Capital Corp merged with Clarivate Analytics in May 2019, and Mr. Klein currently serves on the board of directors of Clarivate Analytics. Mr. Klein is the founder and managing partner of M. Klein and Company, which he founded in 2012. M. Klein and Company is a global strategic advisory firm that provides its clients a variety of advice tailored to their objectives. Mr. Klein is a strategic advisor to global companies, boards of directors, senior executives, governments and institutional investors. Mr. Klein’s background in strategic advisory work was built during his 30-year career, including more than two decades at Citi and its predecessors, during which he initiated and executed strategic advisory transactions. He began his career as an investment banker in the M&amp;A Advisory Group at Salomon Smith Barney and subsequently became Chairman and Co-Chief Executive Officer of Citi Markets and Banking, with responsibilities for global corporate and investment banking and Global Transaction Services across Citi. Mr. Klein is a graduate of The Wharton School of the University of Pennsylvania, where he earned his Bachelors of Science in Economics with concentrations in finance and accounting. Mr. Klein was selected to serve on the board of directors due to his significant investment banking and advisory experience.</w:t>
      </w:r>
    </w:p>
    <w:p>
      <w:pPr>
        <w:spacing w:after="0" w:line="87" w:lineRule="exact"/>
        <w:rPr>
          <w:sz w:val="20"/>
          <w:szCs w:val="20"/>
          <w:color w:val="auto"/>
        </w:rPr>
      </w:pPr>
    </w:p>
    <w:p>
      <w:pPr>
        <w:ind w:left="1140" w:right="1639" w:firstLine="326"/>
        <w:spacing w:after="0" w:line="259" w:lineRule="auto"/>
        <w:rPr>
          <w:sz w:val="20"/>
          <w:szCs w:val="20"/>
          <w:color w:val="auto"/>
        </w:rPr>
      </w:pPr>
      <w:r>
        <w:rPr>
          <w:rFonts w:ascii="Arial" w:cs="Arial" w:eastAsia="Arial" w:hAnsi="Arial"/>
          <w:sz w:val="16"/>
          <w:szCs w:val="16"/>
          <w:b w:val="1"/>
          <w:bCs w:val="1"/>
          <w:i w:val="1"/>
          <w:iCs w:val="1"/>
          <w:color w:val="auto"/>
        </w:rPr>
        <w:t xml:space="preserve">Jay Taragin </w:t>
      </w:r>
      <w:r>
        <w:rPr>
          <w:rFonts w:ascii="Arial" w:cs="Arial" w:eastAsia="Arial" w:hAnsi="Arial"/>
          <w:sz w:val="16"/>
          <w:szCs w:val="16"/>
          <w:color w:val="auto"/>
        </w:rPr>
        <w:t>is our Chief Financial Officer since May 2020. Mr. Taragin is also the Chief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of Churchill Capital Corp III since December 2019 and Chief Financial Officer of M. Klein and Company which he joined in May 2019. Prior to joining M. Klein and Company, Mr. Taragin served as the US Scotiabank Chief Financial Officer from 2013 to 2017. Prior to Scotiabank, Mr. Taragin held a Chief Operating and Financial Officer role from 2009 to 2012 at Fundcore Finance Group LLC and held a variety of senior finance and audit roles at Merrill Lynch &amp; Company from 1993 to 2009. In addition, Mr. Taragin worked at Credit Suisse and PricewaterhouseCoopers as a senior auditor and accountant. Mr. Taragin is a CPA and holds a master’s degree in business administration from New York University Stern School of Business and a bachelor’s degree from Yeshiva University.</w:t>
      </w:r>
    </w:p>
    <w:p>
      <w:pPr>
        <w:spacing w:after="0" w:line="72" w:lineRule="exact"/>
        <w:rPr>
          <w:sz w:val="20"/>
          <w:szCs w:val="20"/>
          <w:color w:val="auto"/>
        </w:rPr>
      </w:pPr>
    </w:p>
    <w:p>
      <w:pPr>
        <w:ind w:left="1140" w:right="1599" w:firstLine="326"/>
        <w:spacing w:after="0" w:line="284" w:lineRule="auto"/>
        <w:rPr>
          <w:sz w:val="20"/>
          <w:szCs w:val="20"/>
          <w:color w:val="auto"/>
        </w:rPr>
      </w:pPr>
      <w:r>
        <w:rPr>
          <w:rFonts w:ascii="Arial" w:cs="Arial" w:eastAsia="Arial" w:hAnsi="Arial"/>
          <w:sz w:val="15"/>
          <w:szCs w:val="15"/>
          <w:b w:val="1"/>
          <w:bCs w:val="1"/>
          <w:i w:val="1"/>
          <w:iCs w:val="1"/>
          <w:color w:val="auto"/>
        </w:rPr>
        <w:t xml:space="preserve">Glenn R. August </w:t>
      </w:r>
      <w:r>
        <w:rPr>
          <w:rFonts w:ascii="Arial" w:cs="Arial" w:eastAsia="Arial" w:hAnsi="Arial"/>
          <w:sz w:val="15"/>
          <w:szCs w:val="15"/>
          <w:color w:val="auto"/>
        </w:rPr>
        <w:t>is a Director Nominee and is also a Director of Churchill Capital Corp II and Churchill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Capital Corp III. Mr. August is the Founder, Senior Partner and Chief Executive Officer of Oak Hill Advisors. In addition, he serves as global head of the firm’s distressed investment business. Mr. August has played leadership roles in numerous restructurings and served on numerous public and private company boards since 1987. Since 1996, he co-founded each of Oak Hill Advisors’ funds, where he serves as</w:t>
      </w:r>
    </w:p>
    <w:p>
      <w:pPr>
        <w:spacing w:after="0" w:line="227"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4" w:name="page115"/>
    <w:bookmarkEnd w:id="114"/>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839"/>
        <w:spacing w:after="0" w:line="265" w:lineRule="auto"/>
        <w:rPr>
          <w:sz w:val="20"/>
          <w:szCs w:val="20"/>
          <w:color w:val="auto"/>
        </w:rPr>
      </w:pPr>
      <w:r>
        <w:rPr>
          <w:rFonts w:ascii="Arial" w:cs="Arial" w:eastAsia="Arial" w:hAnsi="Arial"/>
          <w:sz w:val="16"/>
          <w:szCs w:val="16"/>
          <w:color w:val="auto"/>
        </w:rPr>
        <w:t>Managing Partner. He co-founded the predecessor firm to Oak Hill Advisors in 1987 and took over responsibility for its credit and distressed investment activities in 1990. Mr. August earned a Bachelor of Science degree from Cornell University and an M.B.A. from Harvard Business School, where he was a Baker Scholar.</w:t>
      </w:r>
    </w:p>
    <w:p>
      <w:pPr>
        <w:spacing w:after="0" w:line="68" w:lineRule="exact"/>
        <w:rPr>
          <w:sz w:val="20"/>
          <w:szCs w:val="20"/>
          <w:color w:val="auto"/>
        </w:rPr>
      </w:pPr>
    </w:p>
    <w:p>
      <w:pPr>
        <w:ind w:left="1140" w:right="1679" w:firstLine="326"/>
        <w:spacing w:after="0" w:line="258" w:lineRule="auto"/>
        <w:rPr>
          <w:sz w:val="20"/>
          <w:szCs w:val="20"/>
          <w:color w:val="auto"/>
        </w:rPr>
      </w:pPr>
      <w:r>
        <w:rPr>
          <w:rFonts w:ascii="Arial" w:cs="Arial" w:eastAsia="Arial" w:hAnsi="Arial"/>
          <w:sz w:val="16"/>
          <w:szCs w:val="16"/>
          <w:b w:val="1"/>
          <w:bCs w:val="1"/>
          <w:i w:val="1"/>
          <w:iCs w:val="1"/>
          <w:color w:val="auto"/>
        </w:rPr>
        <w:t xml:space="preserve">William J. Bynum </w:t>
      </w:r>
      <w:r>
        <w:rPr>
          <w:rFonts w:ascii="Arial" w:cs="Arial" w:eastAsia="Arial" w:hAnsi="Arial"/>
          <w:sz w:val="16"/>
          <w:szCs w:val="16"/>
          <w:color w:val="auto"/>
        </w:rPr>
        <w:t>is a Director Nominee. He is the Chief Executive Officer of HOPE (Hope Enterprise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Hope Credit Union and Hope Policy Institute), a family of organizations founded by him in 1994 that provides financial services; leverages private, public and philanthropic resources; and engages in policy analysis to fulfill its mission of strengthening communities, building assets, and improving lives in economically distressed parts of Alabama, Arkansas, Louisiana, Mississippi and Tennessee. Mr. Bynum serves on the boards of the Aspen Institute, NAACP Legal Defense Fund, Prosperity Now, and William Winter Institute for Racial Reconciliation. He previously chaired the Treasury Department’s Community Development Advisory Board and the Consumer Financial Protection Bureau Consumer Advisory Board. Mr. Bynum is a graduate of the University of North Carolina at Chapel Hill, and has completed executive coursework at the Harvard Business School.</w:t>
      </w:r>
    </w:p>
    <w:p>
      <w:pPr>
        <w:spacing w:after="0" w:line="77" w:lineRule="exact"/>
        <w:rPr>
          <w:sz w:val="20"/>
          <w:szCs w:val="20"/>
          <w:color w:val="auto"/>
        </w:rPr>
      </w:pPr>
    </w:p>
    <w:p>
      <w:pPr>
        <w:ind w:left="1140" w:right="1579" w:firstLine="326"/>
        <w:spacing w:after="0" w:line="276" w:lineRule="auto"/>
        <w:rPr>
          <w:sz w:val="20"/>
          <w:szCs w:val="20"/>
          <w:color w:val="auto"/>
        </w:rPr>
      </w:pPr>
      <w:r>
        <w:rPr>
          <w:rFonts w:ascii="Arial" w:cs="Arial" w:eastAsia="Arial" w:hAnsi="Arial"/>
          <w:sz w:val="15"/>
          <w:szCs w:val="15"/>
          <w:b w:val="1"/>
          <w:bCs w:val="1"/>
          <w:i w:val="1"/>
          <w:iCs w:val="1"/>
          <w:color w:val="auto"/>
        </w:rPr>
        <w:t xml:space="preserve">Bonnie Jonas </w:t>
      </w:r>
      <w:r>
        <w:rPr>
          <w:rFonts w:ascii="Arial" w:cs="Arial" w:eastAsia="Arial" w:hAnsi="Arial"/>
          <w:sz w:val="15"/>
          <w:szCs w:val="15"/>
          <w:color w:val="auto"/>
        </w:rPr>
        <w:t>is a Director Nominee and also a Director of Churchill Capital III. She is the cofounder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Pallas Global Group, LLC (“Pallas Global”), a company that provides independent monitoring and consulting services to corporations and organizations. Prior to co-founding Pallas Global, Ms. Jonas served for 18 years as an Assistant United States Attorney in the U.S. Attorney’s Office for the Southern District of New York (the “SDNY”). Ms. Jonas’s most recent position with the SDNY was as Deputy Chief of the Criminal Division, from 2013 to 2016. She also served as the SDNY’s Financial Fraud Coordinator for President Obama’s Financial Fraud Enforcement Task Force and as Co-Chief of the General Crimes Unit. Ms. Jonas was an attorney with the law firm Paul, Weiss, Rifkind, Wharton &amp; Garrison LLP and a law clerk for the Honorable Reena Raggi of the U.S. District Court in the Eastern District of New York. Earlier in her career, Ms. Jonas worked as a consultant at Peterson Consulting, where she evaluated settlement amounts in connection with pending asbestos litigation. Ms. Jonas is a graduate of the Wharton School at the University of Pennsylvania and Columbia University School of Law.</w:t>
      </w:r>
    </w:p>
    <w:p>
      <w:pPr>
        <w:spacing w:after="0" w:line="66" w:lineRule="exact"/>
        <w:rPr>
          <w:sz w:val="20"/>
          <w:szCs w:val="20"/>
          <w:color w:val="auto"/>
        </w:rPr>
      </w:pPr>
    </w:p>
    <w:p>
      <w:pPr>
        <w:ind w:left="1140" w:right="1579" w:firstLine="326"/>
        <w:spacing w:after="0" w:line="257" w:lineRule="auto"/>
        <w:rPr>
          <w:sz w:val="20"/>
          <w:szCs w:val="20"/>
          <w:color w:val="auto"/>
        </w:rPr>
      </w:pPr>
      <w:r>
        <w:rPr>
          <w:rFonts w:ascii="Arial" w:cs="Arial" w:eastAsia="Arial" w:hAnsi="Arial"/>
          <w:sz w:val="16"/>
          <w:szCs w:val="16"/>
          <w:b w:val="1"/>
          <w:bCs w:val="1"/>
          <w:i w:val="1"/>
          <w:iCs w:val="1"/>
          <w:color w:val="auto"/>
        </w:rPr>
        <w:t xml:space="preserve">Mark Klein </w:t>
      </w:r>
      <w:r>
        <w:rPr>
          <w:rFonts w:ascii="Arial" w:cs="Arial" w:eastAsia="Arial" w:hAnsi="Arial"/>
          <w:sz w:val="16"/>
          <w:szCs w:val="16"/>
          <w:color w:val="auto"/>
        </w:rPr>
        <w:t>is a Director Nominee and also a Director of Churchill Capital Corp II and Churchill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 Corp III. He is the President and Chief Executive Officer of Sutter Rock Capital, and has been a director of Sutter Rock Capital since 2011. Since 2010, Mr. Klein has served as a Managing Member and Majority Partner of M. Klein and Company, LLC. Mr. Klein also serves on the Board of Directors for Atlantic Alliance Partnership Corp. and has served as an investment adviser at B. Riley Wealth Management since April 2012. Mr. Klein was a Director of National Holding Corporations from 2011 to 2014, where he also served as Chief Executive Officer and Co-Chairman from March 2013 to December 2014. He served as a director of New University Holdings Corp., from its inception in 2010 through August 2011, when New University Holdings Corp. merged with ePals, Inc. In addition, from April 2010 until May 2011, Mr. Klein served as the Chief Executive Officer and President and a Director of 57th Street General Acquisition Corp. until it completed a merger with Crumbs Bake Shop. Subsequently, Mr. Klein served as a member of the Board of Directors of Crumbs from May 2011 to March 2014. Mr. Klein has a Bachelor’s degree, with high distinction, in Business Administration from Emory University and an MBA from the J. L. Kellogg School of Management, Northwestern University.</w:t>
      </w:r>
    </w:p>
    <w:p>
      <w:pPr>
        <w:spacing w:after="0" w:line="79" w:lineRule="exact"/>
        <w:rPr>
          <w:sz w:val="20"/>
          <w:szCs w:val="20"/>
          <w:color w:val="auto"/>
        </w:rPr>
      </w:pPr>
    </w:p>
    <w:p>
      <w:pPr>
        <w:ind w:left="1140" w:right="1599" w:firstLine="326"/>
        <w:spacing w:after="0" w:line="278" w:lineRule="auto"/>
        <w:rPr>
          <w:sz w:val="20"/>
          <w:szCs w:val="20"/>
          <w:color w:val="auto"/>
        </w:rPr>
      </w:pPr>
      <w:r>
        <w:rPr>
          <w:rFonts w:ascii="Arial" w:cs="Arial" w:eastAsia="Arial" w:hAnsi="Arial"/>
          <w:sz w:val="15"/>
          <w:szCs w:val="15"/>
          <w:b w:val="1"/>
          <w:bCs w:val="1"/>
          <w:i w:val="1"/>
          <w:iCs w:val="1"/>
          <w:color w:val="auto"/>
        </w:rPr>
        <w:t xml:space="preserve">Malcolm S. McDermid </w:t>
      </w:r>
      <w:r>
        <w:rPr>
          <w:rFonts w:ascii="Arial" w:cs="Arial" w:eastAsia="Arial" w:hAnsi="Arial"/>
          <w:sz w:val="15"/>
          <w:szCs w:val="15"/>
          <w:color w:val="auto"/>
        </w:rPr>
        <w:t>is a Director Nominee and also a Director of Churchill Capital Corp II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Churchill Capital Corp III. He was previously was a Director of Churchill Capital Corp. Mr. McDermid is also a Managing Director with Emerson Collective where he has led Emerson Collective’s venture capital investing efforts since August 2017. He was previously a Partner with Andreessen Horowitz, a venture capital firm based in Menlo Park, California from March 2013 to July 2017. Prior to Andreessen Horowitz, Mr. McDermid was a Director with Stifel Nicolaus, formerly Thomas Weisel Partners, a technology focused investment bank in San Francisco. He began his career at Citigroup as a financial analyst. Mr. McDermid received a Bachelor of Arts degree in Computer Science and Quantitative Economics from Tufts University and a Master of Arts in Law and Diplomacy from the Fletcher School at Tufts University.</w:t>
      </w:r>
    </w:p>
    <w:p>
      <w:pPr>
        <w:spacing w:after="0" w:line="61" w:lineRule="exact"/>
        <w:rPr>
          <w:sz w:val="20"/>
          <w:szCs w:val="20"/>
          <w:color w:val="auto"/>
        </w:rPr>
      </w:pPr>
    </w:p>
    <w:p>
      <w:pPr>
        <w:jc w:val="both"/>
        <w:ind w:left="1140" w:right="1899" w:firstLine="326"/>
        <w:spacing w:after="0" w:line="296" w:lineRule="auto"/>
        <w:rPr>
          <w:sz w:val="20"/>
          <w:szCs w:val="20"/>
          <w:color w:val="auto"/>
        </w:rPr>
      </w:pPr>
      <w:r>
        <w:rPr>
          <w:rFonts w:ascii="Arial" w:cs="Arial" w:eastAsia="Arial" w:hAnsi="Arial"/>
          <w:sz w:val="15"/>
          <w:szCs w:val="15"/>
          <w:b w:val="1"/>
          <w:bCs w:val="1"/>
          <w:i w:val="1"/>
          <w:iCs w:val="1"/>
          <w:color w:val="auto"/>
        </w:rPr>
        <w:t xml:space="preserve">Karen G. Mills </w:t>
      </w:r>
      <w:r>
        <w:rPr>
          <w:rFonts w:ascii="Arial" w:cs="Arial" w:eastAsia="Arial" w:hAnsi="Arial"/>
          <w:sz w:val="15"/>
          <w:szCs w:val="15"/>
          <w:color w:val="auto"/>
        </w:rPr>
        <w:t>is a Director Nominee and also a Director of Churchill Capital Corp II and Churchill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Capital Corp III. Ms. Mills is a Director of Clarivate Analytics. Ms. Mills is also a Senior Fellow at the Harvard Business School and the Harvard Kennedy School since January 2014, focusing on economic</w:t>
      </w:r>
    </w:p>
    <w:p>
      <w:pPr>
        <w:spacing w:after="0" w:line="206"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5" w:name="page116"/>
    <w:bookmarkEnd w:id="115"/>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579"/>
        <w:spacing w:after="0" w:line="274" w:lineRule="auto"/>
        <w:rPr>
          <w:sz w:val="20"/>
          <w:szCs w:val="20"/>
          <w:color w:val="auto"/>
        </w:rPr>
      </w:pPr>
      <w:r>
        <w:rPr>
          <w:rFonts w:ascii="Arial" w:cs="Arial" w:eastAsia="Arial" w:hAnsi="Arial"/>
          <w:sz w:val="15"/>
          <w:szCs w:val="15"/>
          <w:color w:val="auto"/>
        </w:rPr>
        <w:t>policy, U.S. competitiveness, entrepreneurship and innovation. Ms. Mills was a member of President Barack Obama’s Cabinet, serving as the Administrator of the U.S. Small Business Administration from April 2009 to August 2013. Ms. Mills is the President of MMP Group since October 1993, which invests in financial services, consumer products and technology-enabled solutions businesses. Ms. Mills is Vice Chair of the immigration services company Envoy Global since September 2014. She also serves as Chair of the Advisory Committee for the Private Capital Research Institute since March 2017. Ms. Mills holds an</w:t>
      </w:r>
    </w:p>
    <w:p>
      <w:pPr>
        <w:spacing w:after="0" w:line="4" w:lineRule="exact"/>
        <w:rPr>
          <w:sz w:val="20"/>
          <w:szCs w:val="20"/>
          <w:color w:val="auto"/>
        </w:rPr>
      </w:pPr>
    </w:p>
    <w:p>
      <w:pPr>
        <w:ind w:left="1140" w:right="2119"/>
        <w:spacing w:after="0" w:line="270" w:lineRule="auto"/>
        <w:rPr>
          <w:sz w:val="20"/>
          <w:szCs w:val="20"/>
          <w:color w:val="auto"/>
        </w:rPr>
      </w:pPr>
      <w:r>
        <w:rPr>
          <w:rFonts w:ascii="Arial" w:cs="Arial" w:eastAsia="Arial" w:hAnsi="Arial"/>
          <w:sz w:val="16"/>
          <w:szCs w:val="16"/>
          <w:color w:val="auto"/>
        </w:rPr>
        <w:t>A.B. degree in Economics from Harvard University, Magna Cum Laude, and earned an M.B.A. from Harvard Business School, where she was a Baker Scholar.</w:t>
      </w:r>
    </w:p>
    <w:p>
      <w:pPr>
        <w:spacing w:after="0" w:line="145"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Number and Terms of Office of Officers and Directors</w:t>
      </w:r>
    </w:p>
    <w:p>
      <w:pPr>
        <w:spacing w:after="0" w:line="101" w:lineRule="exact"/>
        <w:rPr>
          <w:sz w:val="20"/>
          <w:szCs w:val="20"/>
          <w:color w:val="auto"/>
        </w:rPr>
      </w:pPr>
    </w:p>
    <w:p>
      <w:pPr>
        <w:ind w:left="1140" w:right="1579" w:firstLine="326"/>
        <w:spacing w:after="0" w:line="275" w:lineRule="auto"/>
        <w:rPr>
          <w:sz w:val="20"/>
          <w:szCs w:val="20"/>
          <w:color w:val="auto"/>
        </w:rPr>
      </w:pPr>
      <w:r>
        <w:rPr>
          <w:rFonts w:ascii="Arial" w:cs="Arial" w:eastAsia="Arial" w:hAnsi="Arial"/>
          <w:sz w:val="15"/>
          <w:szCs w:val="15"/>
          <w:color w:val="auto"/>
        </w:rPr>
        <w:t>Upon the effectiveness of the registration statement of which this prospectus forms a part, we expect that our board of directors will consist of seven members. Holders of our founder shares will have the right to elect all of our directors prior to consummation of our initial business combination and holders of our public shares will not have the right to vote on the election of directors during such time. These provisions of our amended and restated certificate of incorporation may only be amended if approved by a majority of at least 90% of our common stock voting at a stockholder meeting. Our board of directors will be divided into three classes with only one class of directors being elected in each year and each class (except for those directors appointed prior to our first annual meeting of stockholders) serving a three-year term. The term of office of the first class of directors, consisting of Glenn R. August and Malcolm S. McDermid, will expire at our first annual meeting of stockholders. The term of office of the second class of directors, consisting of Mark Klein and Karen G. Mills, will expire at the second annual meeting of stockholders. The term of office of the third class of directors, consisting of William J. Bynum, Bonnie Jonas and Michael Klein, will expire at the third annual meeting of stockholders. We may not hold an annual meeting of stockholders until after we consummate our initial business combination. Subject to any other special rights applicable to the stockholders, any vacancies on our board of directors may be filled by the affirmative vote of a majority of the directors present and voting at the meeting of our board that includes any directors representing our sponsor then on our board, or by a majority of the holders of our founder shares.</w:t>
      </w:r>
    </w:p>
    <w:p>
      <w:pPr>
        <w:spacing w:after="0" w:line="65" w:lineRule="exact"/>
        <w:rPr>
          <w:sz w:val="20"/>
          <w:szCs w:val="20"/>
          <w:color w:val="auto"/>
        </w:rPr>
      </w:pPr>
    </w:p>
    <w:p>
      <w:pPr>
        <w:ind w:left="1140" w:right="1579" w:firstLine="326"/>
        <w:spacing w:after="0" w:line="261" w:lineRule="auto"/>
        <w:rPr>
          <w:sz w:val="20"/>
          <w:szCs w:val="20"/>
          <w:color w:val="auto"/>
        </w:rPr>
      </w:pPr>
      <w:r>
        <w:rPr>
          <w:rFonts w:ascii="Arial" w:cs="Arial" w:eastAsia="Arial" w:hAnsi="Arial"/>
          <w:sz w:val="16"/>
          <w:szCs w:val="16"/>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will provide that our officers may consist of a Chief Executive Officer, a President, a Chief Financial Officer, Vice Presidents, a Secretary, Assistant Secretaries, a Treasurer, Assistant Treasurers and such other offices as may be determined by the board of directors.</w:t>
      </w:r>
    </w:p>
    <w:p>
      <w:pPr>
        <w:spacing w:after="0" w:line="153"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Director Independence</w:t>
      </w:r>
    </w:p>
    <w:p>
      <w:pPr>
        <w:spacing w:after="0" w:line="101" w:lineRule="exact"/>
        <w:rPr>
          <w:sz w:val="20"/>
          <w:szCs w:val="20"/>
          <w:color w:val="auto"/>
        </w:rPr>
      </w:pPr>
    </w:p>
    <w:p>
      <w:pPr>
        <w:ind w:left="1140" w:right="1579" w:firstLine="326"/>
        <w:spacing w:after="0" w:line="259" w:lineRule="auto"/>
        <w:rPr>
          <w:sz w:val="20"/>
          <w:szCs w:val="20"/>
          <w:color w:val="auto"/>
        </w:rPr>
      </w:pPr>
      <w:r>
        <w:rPr>
          <w:rFonts w:ascii="Arial" w:cs="Arial" w:eastAsia="Arial" w:hAnsi="Arial"/>
          <w:sz w:val="16"/>
          <w:szCs w:val="16"/>
          <w:color w:val="auto"/>
        </w:rPr>
        <w:t>The rules of the NYSE require that a majority of our board of directors be independent within one year of our initial public offering. An “independent director” is defined generally as a person that, in the opinion of the company’s board of directors, has no material relationship with the listed company (either directly or as a partner, shareholder or officer of an organization that has a relationship with the company). We expect to have “independent directors” as defined in the NYSE rules and applicable SEC rules prior to completion of this offering. Our board has determined that each of Glenn R. August, William J. Bynum, Bonnie Jonas, Malcolm S. McDermid and Karen G. Mills is an independent director under applicable SEC and NYSE rules. Our independent directors will have regularly scheduled meetings at which only independent directors are present.</w:t>
      </w:r>
    </w:p>
    <w:p>
      <w:pPr>
        <w:spacing w:after="0" w:line="15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Executive Officer and Director Compensation</w:t>
      </w:r>
    </w:p>
    <w:p>
      <w:pPr>
        <w:spacing w:after="0" w:line="101" w:lineRule="exact"/>
        <w:rPr>
          <w:sz w:val="20"/>
          <w:szCs w:val="20"/>
          <w:color w:val="auto"/>
        </w:rPr>
      </w:pPr>
    </w:p>
    <w:p>
      <w:pPr>
        <w:ind w:left="1140" w:right="1599" w:firstLine="326"/>
        <w:spacing w:after="0" w:line="284" w:lineRule="auto"/>
        <w:rPr>
          <w:sz w:val="20"/>
          <w:szCs w:val="20"/>
          <w:color w:val="auto"/>
        </w:rPr>
      </w:pPr>
      <w:r>
        <w:rPr>
          <w:rFonts w:ascii="Arial" w:cs="Arial" w:eastAsia="Arial" w:hAnsi="Arial"/>
          <w:sz w:val="15"/>
          <w:szCs w:val="15"/>
          <w:color w:val="auto"/>
        </w:rPr>
        <w:t>None of our officers or directors have received any compensation for services rendered to us. Our sponsor, officers, directors and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officers, directors or our or any of their respective</w:t>
      </w:r>
    </w:p>
    <w:p>
      <w:pPr>
        <w:spacing w:after="0" w:line="215"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6" w:name="page117"/>
    <w:bookmarkEnd w:id="116"/>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579"/>
        <w:spacing w:after="0" w:line="265" w:lineRule="auto"/>
        <w:rPr>
          <w:sz w:val="20"/>
          <w:szCs w:val="20"/>
          <w:color w:val="auto"/>
        </w:rPr>
      </w:pPr>
      <w:r>
        <w:rPr>
          <w:rFonts w:ascii="Arial" w:cs="Arial" w:eastAsia="Arial" w:hAnsi="Arial"/>
          <w:sz w:val="16"/>
          <w:szCs w:val="16"/>
          <w:color w:val="auto"/>
        </w:rPr>
        <w:t>affiliates. 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w:t>
      </w:r>
    </w:p>
    <w:p>
      <w:pPr>
        <w:spacing w:after="0" w:line="68" w:lineRule="exact"/>
        <w:rPr>
          <w:sz w:val="20"/>
          <w:szCs w:val="20"/>
          <w:color w:val="auto"/>
        </w:rPr>
      </w:pPr>
    </w:p>
    <w:p>
      <w:pPr>
        <w:ind w:left="1140" w:right="1559" w:firstLine="326"/>
        <w:spacing w:after="0" w:line="279" w:lineRule="auto"/>
        <w:rPr>
          <w:sz w:val="20"/>
          <w:szCs w:val="20"/>
          <w:color w:val="auto"/>
        </w:rPr>
      </w:pPr>
      <w:r>
        <w:rPr>
          <w:rFonts w:ascii="Arial" w:cs="Arial" w:eastAsia="Arial" w:hAnsi="Arial"/>
          <w:sz w:val="15"/>
          <w:szCs w:val="15"/>
          <w:color w:val="auto"/>
        </w:rPr>
        <w:t>After the completion of our initial business combination, directors or members of our management team who remain with us may be paid consulting, management or other compensation from the combined company. All compensation will be fully disclosed to stockholders, to the extent then known, in the tender offer materials or proxy solicitation materials furnished to our stockholders in connection with a proposed business combination. It is unlikely the amount of such compensation will be known at the time, because the directors of the post-combination business will be responsible for determining executive officer and director compensation. Any compensation to be paid to our officers after the completion of our initial business combination will be determined by a compensation committee constituted solely by independent directors.</w:t>
      </w:r>
    </w:p>
    <w:p>
      <w:pPr>
        <w:spacing w:after="0" w:line="59" w:lineRule="exact"/>
        <w:rPr>
          <w:sz w:val="20"/>
          <w:szCs w:val="20"/>
          <w:color w:val="auto"/>
        </w:rPr>
      </w:pPr>
    </w:p>
    <w:p>
      <w:pPr>
        <w:ind w:left="1140" w:right="1599" w:firstLine="326"/>
        <w:spacing w:after="0" w:line="261" w:lineRule="auto"/>
        <w:rPr>
          <w:sz w:val="20"/>
          <w:szCs w:val="20"/>
          <w:color w:val="auto"/>
        </w:rPr>
      </w:pPr>
      <w:r>
        <w:rPr>
          <w:rFonts w:ascii="Arial" w:cs="Arial" w:eastAsia="Arial" w:hAnsi="Arial"/>
          <w:sz w:val="16"/>
          <w:szCs w:val="16"/>
          <w:color w:val="auto"/>
        </w:rPr>
        <w:t>We are not party to any agreements with our executive officers and directors that provide for benefits upon termination of employment. The existence or terms of any such employment or consulting arrangements may influence our management’s motivation in identifying or selecting a target business, and we do not believe that the ability of our management to remain with us after the consummation of our initial business combination should be a determining factor in our decision to proceed with any potential business combination.</w:t>
      </w:r>
    </w:p>
    <w:p>
      <w:pPr>
        <w:spacing w:after="0" w:line="153"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Committees of the Board of Directors</w:t>
      </w:r>
    </w:p>
    <w:p>
      <w:pPr>
        <w:spacing w:after="0" w:line="101" w:lineRule="exact"/>
        <w:rPr>
          <w:sz w:val="20"/>
          <w:szCs w:val="20"/>
          <w:color w:val="auto"/>
        </w:rPr>
      </w:pPr>
    </w:p>
    <w:p>
      <w:pPr>
        <w:ind w:left="1140" w:right="1599" w:firstLine="326"/>
        <w:spacing w:after="0" w:line="258" w:lineRule="auto"/>
        <w:rPr>
          <w:sz w:val="20"/>
          <w:szCs w:val="20"/>
          <w:color w:val="auto"/>
        </w:rPr>
      </w:pPr>
      <w:r>
        <w:rPr>
          <w:rFonts w:ascii="Arial" w:cs="Arial" w:eastAsia="Arial" w:hAnsi="Arial"/>
          <w:sz w:val="16"/>
          <w:szCs w:val="16"/>
          <w:color w:val="auto"/>
        </w:rPr>
        <w:t>Upon the effective date of the registration statement of which this prospectus forms a part, our board of directors will have three standing committees: an audit committee, a compensation committee and a nominating and corporate governance committee. Both our audit committee and our compensation committee will be composed solely of independent directors. Subject to phase-in rules, the rules of NYSE and Rule 10A-3 of the Exchange Act require that the audit committee of a listed company be comprised solely of independent directors, and the rules of NYSE require that the compensation committee and the nominating and corporate governance committee of a listed company be comprised solely of independent directors. Each committee will operate under a charter that will be approved by our board and will have the composition and responsibilities described below. The charter of each committee will be available on our website following the closing of this offering.</w:t>
      </w:r>
    </w:p>
    <w:p>
      <w:pPr>
        <w:spacing w:after="0" w:line="163"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Audit Committee</w:t>
      </w:r>
    </w:p>
    <w:p>
      <w:pPr>
        <w:spacing w:after="0" w:line="97" w:lineRule="exact"/>
        <w:rPr>
          <w:sz w:val="20"/>
          <w:szCs w:val="20"/>
          <w:color w:val="auto"/>
        </w:rPr>
      </w:pPr>
    </w:p>
    <w:p>
      <w:pPr>
        <w:ind w:left="1140" w:right="1639" w:firstLine="326"/>
        <w:spacing w:after="0" w:line="296" w:lineRule="auto"/>
        <w:rPr>
          <w:sz w:val="20"/>
          <w:szCs w:val="20"/>
          <w:color w:val="auto"/>
        </w:rPr>
      </w:pPr>
      <w:r>
        <w:rPr>
          <w:rFonts w:ascii="Arial" w:cs="Arial" w:eastAsia="Arial" w:hAnsi="Arial"/>
          <w:sz w:val="15"/>
          <w:szCs w:val="15"/>
          <w:color w:val="auto"/>
        </w:rPr>
        <w:t>Upon the effectiveness of the registration statement of which this prospectus forms a part, we will establish an audit committee of the board of directors. The members of our audit committee will initially be Glenn R. August and Karen G. Mills and Karen G. Mills will serve as chairman of the audit committee.</w:t>
      </w:r>
    </w:p>
    <w:p>
      <w:pPr>
        <w:spacing w:after="0" w:line="47" w:lineRule="exact"/>
        <w:rPr>
          <w:sz w:val="20"/>
          <w:szCs w:val="20"/>
          <w:color w:val="auto"/>
        </w:rPr>
      </w:pPr>
    </w:p>
    <w:p>
      <w:pPr>
        <w:ind w:left="1140" w:right="1799" w:firstLine="326"/>
        <w:spacing w:after="0" w:line="270" w:lineRule="auto"/>
        <w:rPr>
          <w:sz w:val="20"/>
          <w:szCs w:val="20"/>
          <w:color w:val="auto"/>
        </w:rPr>
      </w:pPr>
      <w:r>
        <w:rPr>
          <w:rFonts w:ascii="Arial" w:cs="Arial" w:eastAsia="Arial" w:hAnsi="Arial"/>
          <w:sz w:val="16"/>
          <w:szCs w:val="16"/>
          <w:color w:val="auto"/>
        </w:rPr>
        <w:t>Each member of the audit committee is financially literate and our board of directors has determined that qualifies as an “audit committee financial expert” as defined in applicable SEC rules and has accounting or related financial management expertise.</w:t>
      </w:r>
    </w:p>
    <w:p>
      <w:pPr>
        <w:spacing w:after="0" w:line="64" w:lineRule="exact"/>
        <w:rPr>
          <w:sz w:val="20"/>
          <w:szCs w:val="20"/>
          <w:color w:val="auto"/>
        </w:rPr>
      </w:pPr>
    </w:p>
    <w:p>
      <w:pPr>
        <w:ind w:left="1140" w:right="1719" w:firstLine="326"/>
        <w:spacing w:after="0" w:line="285" w:lineRule="auto"/>
        <w:rPr>
          <w:sz w:val="20"/>
          <w:szCs w:val="20"/>
          <w:color w:val="auto"/>
        </w:rPr>
      </w:pPr>
      <w:r>
        <w:rPr>
          <w:rFonts w:ascii="Arial" w:cs="Arial" w:eastAsia="Arial" w:hAnsi="Arial"/>
          <w:sz w:val="16"/>
          <w:szCs w:val="16"/>
          <w:color w:val="auto"/>
        </w:rPr>
        <w:t>We will adopt an audit committee charter, which will detail the purpose and principal functions of the audit committee, including:</w:t>
      </w:r>
    </w:p>
    <w:p>
      <w:pPr>
        <w:spacing w:after="0" w:line="126" w:lineRule="exact"/>
        <w:rPr>
          <w:sz w:val="20"/>
          <w:szCs w:val="20"/>
          <w:color w:val="auto"/>
        </w:rPr>
      </w:pPr>
    </w:p>
    <w:p>
      <w:pPr>
        <w:ind w:left="1800" w:right="1679" w:hanging="335"/>
        <w:spacing w:after="0" w:line="296" w:lineRule="auto"/>
        <w:tabs>
          <w:tab w:leader="none" w:pos="18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assisting board oversight of (1) the integrity of our financial statements, (2) our compliance with legal and regulatory requirements, (3) our independent auditor’s qualifications and independence, and (4) the performance of our internal audit function and independent auditors;</w:t>
      </w:r>
    </w:p>
    <w:p>
      <w:pPr>
        <w:spacing w:after="0" w:line="107" w:lineRule="exact"/>
        <w:rPr>
          <w:rFonts w:ascii="Arial" w:cs="Arial" w:eastAsia="Arial" w:hAnsi="Arial"/>
          <w:sz w:val="15"/>
          <w:szCs w:val="15"/>
          <w:color w:val="auto"/>
        </w:rPr>
      </w:pPr>
    </w:p>
    <w:p>
      <w:pPr>
        <w:ind w:left="1800" w:right="1679" w:hanging="335"/>
        <w:spacing w:after="0" w:line="320" w:lineRule="auto"/>
        <w:tabs>
          <w:tab w:leader="none" w:pos="18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appointment, compensation, retention, replacement, and oversight of the work of the independent auditors and any other independent registered public accounting firm engaged by us;</w:t>
      </w:r>
    </w:p>
    <w:p>
      <w:pPr>
        <w:spacing w:after="0" w:line="90" w:lineRule="exact"/>
        <w:rPr>
          <w:rFonts w:ascii="Arial" w:cs="Arial" w:eastAsia="Arial" w:hAnsi="Arial"/>
          <w:sz w:val="15"/>
          <w:szCs w:val="15"/>
          <w:color w:val="auto"/>
        </w:rPr>
      </w:pPr>
    </w:p>
    <w:p>
      <w:pPr>
        <w:ind w:left="1800" w:right="1679" w:hanging="335"/>
        <w:spacing w:after="0" w:line="270" w:lineRule="auto"/>
        <w:tabs>
          <w:tab w:leader="none" w:pos="18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pre-approving all audit and non-audit services to be provided by the independent auditors or any other registered public accounting firm engaged by us, and establishing pre-approval policies and procedures;</w:t>
      </w:r>
    </w:p>
    <w:p>
      <w:pPr>
        <w:spacing w:after="0" w:line="223"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224790</wp:posOffset>
            </wp:positionV>
            <wp:extent cx="6166485"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7" w:name="page118"/>
    <w:bookmarkEnd w:id="117"/>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800" w:right="1659" w:hanging="335"/>
        <w:spacing w:after="0" w:line="285" w:lineRule="auto"/>
        <w:tabs>
          <w:tab w:leader="none" w:pos="18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reviewing and discussing with the independent auditors all relationships the auditors have with us in order to evaluate their continued independence;</w:t>
      </w:r>
    </w:p>
    <w:p>
      <w:pPr>
        <w:spacing w:after="0" w:line="88" w:lineRule="exact"/>
        <w:rPr>
          <w:rFonts w:ascii="Arial" w:cs="Arial" w:eastAsia="Arial" w:hAnsi="Arial"/>
          <w:sz w:val="16"/>
          <w:szCs w:val="16"/>
          <w:color w:val="auto"/>
        </w:rPr>
      </w:pPr>
    </w:p>
    <w:p>
      <w:pPr>
        <w:ind w:left="1800" w:hanging="335"/>
        <w:spacing w:after="0"/>
        <w:tabs>
          <w:tab w:leader="none" w:pos="18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setting clear hiring policies for employees or former employees of the independent auditors;</w:t>
      </w:r>
    </w:p>
    <w:p>
      <w:pPr>
        <w:spacing w:after="0" w:line="134" w:lineRule="exact"/>
        <w:rPr>
          <w:rFonts w:ascii="Arial" w:cs="Arial" w:eastAsia="Arial" w:hAnsi="Arial"/>
          <w:sz w:val="16"/>
          <w:szCs w:val="16"/>
          <w:color w:val="auto"/>
        </w:rPr>
      </w:pPr>
    </w:p>
    <w:p>
      <w:pPr>
        <w:ind w:left="1800" w:hanging="335"/>
        <w:spacing w:after="0"/>
        <w:tabs>
          <w:tab w:leader="none" w:pos="18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setting clear policies for audit partner rotation in compliance with applicable laws and regulations;</w:t>
      </w:r>
    </w:p>
    <w:p>
      <w:pPr>
        <w:spacing w:after="0" w:line="145" w:lineRule="exact"/>
        <w:rPr>
          <w:rFonts w:ascii="Arial" w:cs="Arial" w:eastAsia="Arial" w:hAnsi="Arial"/>
          <w:sz w:val="15"/>
          <w:szCs w:val="15"/>
          <w:color w:val="auto"/>
        </w:rPr>
      </w:pPr>
    </w:p>
    <w:p>
      <w:pPr>
        <w:ind w:left="1800" w:hanging="335"/>
        <w:spacing w:after="0"/>
        <w:tabs>
          <w:tab w:leader="none" w:pos="18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obtaining and reviewing a report, at least annually, from the independent auditors describing</w:t>
      </w:r>
    </w:p>
    <w:p>
      <w:pPr>
        <w:spacing w:after="0" w:line="23" w:lineRule="exact"/>
        <w:rPr>
          <w:rFonts w:ascii="Arial" w:cs="Arial" w:eastAsia="Arial" w:hAnsi="Arial"/>
          <w:sz w:val="16"/>
          <w:szCs w:val="16"/>
          <w:color w:val="auto"/>
        </w:rPr>
      </w:pPr>
    </w:p>
    <w:p>
      <w:pPr>
        <w:ind w:left="1800" w:right="1619"/>
        <w:spacing w:after="0" w:line="255" w:lineRule="auto"/>
        <w:rPr>
          <w:rFonts w:ascii="Arial" w:cs="Arial" w:eastAsia="Arial" w:hAnsi="Arial"/>
          <w:sz w:val="16"/>
          <w:szCs w:val="16"/>
          <w:color w:val="auto"/>
        </w:rPr>
      </w:pPr>
      <w:r>
        <w:rPr>
          <w:rFonts w:ascii="Arial" w:cs="Arial" w:eastAsia="Arial" w:hAnsi="Arial"/>
          <w:sz w:val="16"/>
          <w:szCs w:val="16"/>
          <w:color w:val="auto"/>
        </w:rPr>
        <w:t>(1) the independent auditor’s internal quality-control procedures and (2) any material issues raised by the most recent internal quality-control review, or peer review, of the audit firm, or by any inquiry or investigation by governmental or professional authorities, within the preceding</w:t>
      </w:r>
    </w:p>
    <w:p>
      <w:pPr>
        <w:ind w:left="1800" w:right="1599"/>
        <w:spacing w:after="0" w:line="270" w:lineRule="auto"/>
        <w:rPr>
          <w:rFonts w:ascii="Arial" w:cs="Arial" w:eastAsia="Arial" w:hAnsi="Arial"/>
          <w:sz w:val="16"/>
          <w:szCs w:val="16"/>
          <w:color w:val="auto"/>
        </w:rPr>
      </w:pPr>
      <w:r>
        <w:rPr>
          <w:rFonts w:ascii="Arial" w:cs="Arial" w:eastAsia="Arial" w:hAnsi="Arial"/>
          <w:sz w:val="16"/>
          <w:szCs w:val="16"/>
          <w:color w:val="auto"/>
        </w:rPr>
        <w:t>five years respecting one or more independent audits carried out by the firm and any steps taken to deal with such issues;</w:t>
      </w:r>
    </w:p>
    <w:p>
      <w:pPr>
        <w:spacing w:after="0" w:line="100" w:lineRule="exact"/>
        <w:rPr>
          <w:rFonts w:ascii="Arial" w:cs="Arial" w:eastAsia="Arial" w:hAnsi="Arial"/>
          <w:sz w:val="16"/>
          <w:szCs w:val="16"/>
          <w:color w:val="auto"/>
        </w:rPr>
      </w:pPr>
    </w:p>
    <w:p>
      <w:pPr>
        <w:ind w:left="1800" w:right="1699" w:hanging="335"/>
        <w:spacing w:after="0" w:line="265" w:lineRule="auto"/>
        <w:tabs>
          <w:tab w:leader="none" w:pos="18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meeting to review and discuss our annual audited financial statements and quarterly financial statements with management and the independent auditor, including reviewing our specific disclosures under “Management’s Discussion and Analysis of Financial Condition and Results of Operations”;</w:t>
      </w:r>
    </w:p>
    <w:p>
      <w:pPr>
        <w:spacing w:after="0" w:line="92" w:lineRule="exact"/>
        <w:rPr>
          <w:rFonts w:ascii="Arial" w:cs="Arial" w:eastAsia="Arial" w:hAnsi="Arial"/>
          <w:sz w:val="16"/>
          <w:szCs w:val="16"/>
          <w:color w:val="auto"/>
        </w:rPr>
      </w:pPr>
    </w:p>
    <w:p>
      <w:pPr>
        <w:ind w:left="1800" w:hanging="335"/>
        <w:spacing w:after="0"/>
        <w:tabs>
          <w:tab w:leader="none" w:pos="18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reviewing and approving any related party transaction required to be disclosed pursuant to</w:t>
      </w:r>
    </w:p>
    <w:p>
      <w:pPr>
        <w:spacing w:after="0" w:line="23" w:lineRule="exact"/>
        <w:rPr>
          <w:rFonts w:ascii="Arial" w:cs="Arial" w:eastAsia="Arial" w:hAnsi="Arial"/>
          <w:sz w:val="16"/>
          <w:szCs w:val="16"/>
          <w:color w:val="auto"/>
        </w:rPr>
      </w:pPr>
    </w:p>
    <w:p>
      <w:pPr>
        <w:ind w:left="1800"/>
        <w:spacing w:after="0"/>
        <w:rPr>
          <w:rFonts w:ascii="Arial" w:cs="Arial" w:eastAsia="Arial" w:hAnsi="Arial"/>
          <w:sz w:val="16"/>
          <w:szCs w:val="16"/>
          <w:color w:val="auto"/>
        </w:rPr>
      </w:pPr>
      <w:r>
        <w:rPr>
          <w:rFonts w:ascii="Arial" w:cs="Arial" w:eastAsia="Arial" w:hAnsi="Arial"/>
          <w:sz w:val="15"/>
          <w:szCs w:val="15"/>
          <w:color w:val="auto"/>
        </w:rPr>
        <w:t>Item 404 of Regulation S-K promulgated by the SEC prior to us entering into such transaction; and</w:t>
      </w:r>
    </w:p>
    <w:p>
      <w:pPr>
        <w:spacing w:after="0" w:line="146" w:lineRule="exact"/>
        <w:rPr>
          <w:rFonts w:ascii="Arial" w:cs="Arial" w:eastAsia="Arial" w:hAnsi="Arial"/>
          <w:sz w:val="16"/>
          <w:szCs w:val="16"/>
          <w:color w:val="auto"/>
        </w:rPr>
      </w:pPr>
    </w:p>
    <w:p>
      <w:pPr>
        <w:ind w:left="1800" w:right="1639" w:hanging="335"/>
        <w:spacing w:after="0" w:line="261" w:lineRule="auto"/>
        <w:tabs>
          <w:tab w:leader="none" w:pos="18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reviewing with management, the independent auditors,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57"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97" w:lineRule="exact"/>
        <w:rPr>
          <w:sz w:val="20"/>
          <w:szCs w:val="20"/>
          <w:color w:val="auto"/>
        </w:rPr>
      </w:pPr>
    </w:p>
    <w:p>
      <w:pPr>
        <w:ind w:left="1140" w:right="1619" w:firstLine="326"/>
        <w:spacing w:after="0" w:line="265" w:lineRule="auto"/>
        <w:rPr>
          <w:sz w:val="20"/>
          <w:szCs w:val="20"/>
          <w:color w:val="auto"/>
        </w:rPr>
      </w:pPr>
      <w:r>
        <w:rPr>
          <w:rFonts w:ascii="Arial" w:cs="Arial" w:eastAsia="Arial" w:hAnsi="Arial"/>
          <w:sz w:val="16"/>
          <w:szCs w:val="16"/>
          <w:color w:val="auto"/>
        </w:rPr>
        <w:t>Upon the effectiveness of the registration statement of which this prospectus forms a part, we will establish a compensation committee of the board of directors. The members of our compensation committee will be Glenn R. August, Malcolm S McDermid and Karen G. Mills and Karen G. Mills will serve as chairman of the compensation committee.</w:t>
      </w:r>
    </w:p>
    <w:p>
      <w:pPr>
        <w:spacing w:after="0" w:line="68" w:lineRule="exact"/>
        <w:rPr>
          <w:sz w:val="20"/>
          <w:szCs w:val="20"/>
          <w:color w:val="auto"/>
        </w:rPr>
      </w:pPr>
    </w:p>
    <w:p>
      <w:pPr>
        <w:ind w:left="1140" w:right="1819" w:firstLine="326"/>
        <w:spacing w:after="0" w:line="285" w:lineRule="auto"/>
        <w:rPr>
          <w:sz w:val="20"/>
          <w:szCs w:val="20"/>
          <w:color w:val="auto"/>
        </w:rPr>
      </w:pPr>
      <w:r>
        <w:rPr>
          <w:rFonts w:ascii="Arial" w:cs="Arial" w:eastAsia="Arial" w:hAnsi="Arial"/>
          <w:sz w:val="16"/>
          <w:szCs w:val="16"/>
          <w:color w:val="auto"/>
        </w:rPr>
        <w:t>We will adopt a compensation committee charter, which will detail the purpose and responsibility of the compensation committee, including:</w:t>
      </w:r>
    </w:p>
    <w:p>
      <w:pPr>
        <w:spacing w:after="0" w:line="77" w:lineRule="exact"/>
        <w:rPr>
          <w:sz w:val="20"/>
          <w:szCs w:val="20"/>
          <w:color w:val="auto"/>
        </w:rPr>
      </w:pPr>
    </w:p>
    <w:p>
      <w:pPr>
        <w:ind w:left="1800" w:right="1639" w:hanging="335"/>
        <w:spacing w:after="0" w:line="265" w:lineRule="auto"/>
        <w:tabs>
          <w:tab w:leader="none" w:pos="18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92" w:lineRule="exact"/>
        <w:rPr>
          <w:rFonts w:ascii="Arial" w:cs="Arial" w:eastAsia="Arial" w:hAnsi="Arial"/>
          <w:sz w:val="16"/>
          <w:szCs w:val="16"/>
          <w:color w:val="auto"/>
        </w:rPr>
      </w:pPr>
    </w:p>
    <w:p>
      <w:pPr>
        <w:ind w:left="1800" w:right="1599" w:hanging="335"/>
        <w:spacing w:after="0" w:line="296" w:lineRule="auto"/>
        <w:tabs>
          <w:tab w:leader="none" w:pos="18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reviewing and making recommendations to our board of directors with respect to (or approving, if such authority is so delegated by our board of directors) the compensation, and any incentive-compensation and equity-based plans that are subject to board approval of all of our other officers;</w:t>
      </w:r>
    </w:p>
    <w:p>
      <w:pPr>
        <w:spacing w:after="0" w:line="83" w:lineRule="exact"/>
        <w:rPr>
          <w:rFonts w:ascii="Arial" w:cs="Arial" w:eastAsia="Arial" w:hAnsi="Arial"/>
          <w:sz w:val="15"/>
          <w:szCs w:val="15"/>
          <w:color w:val="auto"/>
        </w:rPr>
      </w:pPr>
    </w:p>
    <w:p>
      <w:pPr>
        <w:ind w:left="1800" w:hanging="335"/>
        <w:spacing w:after="0"/>
        <w:tabs>
          <w:tab w:leader="none" w:pos="18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reviewing our executive compensation policies and plans;</w:t>
      </w:r>
    </w:p>
    <w:p>
      <w:pPr>
        <w:spacing w:after="0" w:line="134" w:lineRule="exact"/>
        <w:rPr>
          <w:rFonts w:ascii="Arial" w:cs="Arial" w:eastAsia="Arial" w:hAnsi="Arial"/>
          <w:sz w:val="16"/>
          <w:szCs w:val="16"/>
          <w:color w:val="auto"/>
        </w:rPr>
      </w:pPr>
    </w:p>
    <w:p>
      <w:pPr>
        <w:ind w:left="1800" w:hanging="335"/>
        <w:spacing w:after="0"/>
        <w:tabs>
          <w:tab w:leader="none" w:pos="18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implementing and administering our incentive compensation equity-based remuneration plans;</w:t>
      </w:r>
    </w:p>
    <w:p>
      <w:pPr>
        <w:spacing w:after="0" w:line="146" w:lineRule="exact"/>
        <w:rPr>
          <w:rFonts w:ascii="Arial" w:cs="Arial" w:eastAsia="Arial" w:hAnsi="Arial"/>
          <w:sz w:val="16"/>
          <w:szCs w:val="16"/>
          <w:color w:val="auto"/>
        </w:rPr>
      </w:pPr>
    </w:p>
    <w:p>
      <w:pPr>
        <w:ind w:left="1800" w:right="2159" w:hanging="335"/>
        <w:spacing w:after="0" w:line="285" w:lineRule="auto"/>
        <w:tabs>
          <w:tab w:leader="none" w:pos="18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assisting management in complying with our proxy statement and annual report disclosure requirements;</w:t>
      </w:r>
    </w:p>
    <w:p>
      <w:pPr>
        <w:spacing w:after="0" w:line="76" w:lineRule="exact"/>
        <w:rPr>
          <w:rFonts w:ascii="Arial" w:cs="Arial" w:eastAsia="Arial" w:hAnsi="Arial"/>
          <w:sz w:val="16"/>
          <w:szCs w:val="16"/>
          <w:color w:val="auto"/>
        </w:rPr>
      </w:pPr>
    </w:p>
    <w:p>
      <w:pPr>
        <w:ind w:left="1800" w:right="2059" w:hanging="335"/>
        <w:spacing w:after="0" w:line="285" w:lineRule="auto"/>
        <w:tabs>
          <w:tab w:leader="none" w:pos="18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approving all special perquisites, special cash payments and other special compensation and benefit arrangements for our officers and employees;</w:t>
      </w:r>
    </w:p>
    <w:p>
      <w:pPr>
        <w:spacing w:after="0" w:line="88" w:lineRule="exact"/>
        <w:rPr>
          <w:rFonts w:ascii="Arial" w:cs="Arial" w:eastAsia="Arial" w:hAnsi="Arial"/>
          <w:sz w:val="16"/>
          <w:szCs w:val="16"/>
          <w:color w:val="auto"/>
        </w:rPr>
      </w:pPr>
    </w:p>
    <w:p>
      <w:pPr>
        <w:ind w:left="1800" w:hanging="335"/>
        <w:spacing w:after="0"/>
        <w:tabs>
          <w:tab w:leader="none" w:pos="18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producing a report on executive compensation to be included in our annual proxy statement; and</w:t>
      </w:r>
    </w:p>
    <w:p>
      <w:pPr>
        <w:spacing w:after="0" w:line="268"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8" w:name="page119"/>
    <w:bookmarkEnd w:id="118"/>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800" w:right="2239" w:hanging="335"/>
        <w:spacing w:after="0" w:line="285" w:lineRule="auto"/>
        <w:tabs>
          <w:tab w:leader="none" w:pos="18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reviewing, evaluating and recommending changes, if appropriate, to the remuneration for directors.</w:t>
      </w:r>
    </w:p>
    <w:p>
      <w:pPr>
        <w:spacing w:after="0" w:line="52" w:lineRule="exact"/>
        <w:rPr>
          <w:sz w:val="20"/>
          <w:szCs w:val="20"/>
          <w:color w:val="auto"/>
        </w:rPr>
      </w:pPr>
    </w:p>
    <w:p>
      <w:pPr>
        <w:jc w:val="both"/>
        <w:ind w:left="1140" w:right="1939" w:firstLine="326"/>
        <w:spacing w:after="0" w:line="296" w:lineRule="auto"/>
        <w:rPr>
          <w:sz w:val="20"/>
          <w:szCs w:val="20"/>
          <w:color w:val="auto"/>
        </w:rPr>
      </w:pPr>
      <w:r>
        <w:rPr>
          <w:rFonts w:ascii="Arial" w:cs="Arial" w:eastAsia="Arial" w:hAnsi="Arial"/>
          <w:sz w:val="15"/>
          <w:szCs w:val="15"/>
          <w:color w:val="auto"/>
        </w:rPr>
        <w:t>The charter will also provide that the compensation committee may, in its sole discretion, retain or obtain the advice of a compensation consultant, independent legal counsel or other adviser and will be directly responsible for the appointment, compensation and oversight of the work of any such adviser.</w:t>
      </w:r>
    </w:p>
    <w:p>
      <w:pPr>
        <w:spacing w:after="0" w:line="47" w:lineRule="exact"/>
        <w:rPr>
          <w:sz w:val="20"/>
          <w:szCs w:val="20"/>
          <w:color w:val="auto"/>
        </w:rPr>
      </w:pPr>
    </w:p>
    <w:p>
      <w:pPr>
        <w:ind w:left="1140" w:right="1699" w:firstLine="326"/>
        <w:spacing w:after="0" w:line="270" w:lineRule="auto"/>
        <w:rPr>
          <w:sz w:val="20"/>
          <w:szCs w:val="20"/>
          <w:color w:val="auto"/>
        </w:rPr>
      </w:pPr>
      <w:r>
        <w:rPr>
          <w:rFonts w:ascii="Arial" w:cs="Arial" w:eastAsia="Arial" w:hAnsi="Arial"/>
          <w:sz w:val="16"/>
          <w:szCs w:val="16"/>
          <w:color w:val="auto"/>
        </w:rPr>
        <w:t>However, before engaging or receiving advice from a compensation consultant, external legal counsel or any other adviser, the compensation committee will consider the independence of each such adviser, including the factors required by the NYSE and the SEC.</w:t>
      </w:r>
    </w:p>
    <w:p>
      <w:pPr>
        <w:spacing w:after="0" w:line="150"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Nominating and Corporate Governance Committee</w:t>
      </w:r>
    </w:p>
    <w:p>
      <w:pPr>
        <w:spacing w:after="0" w:line="97" w:lineRule="exact"/>
        <w:rPr>
          <w:sz w:val="20"/>
          <w:szCs w:val="20"/>
          <w:color w:val="auto"/>
        </w:rPr>
      </w:pPr>
    </w:p>
    <w:p>
      <w:pPr>
        <w:ind w:left="1140" w:right="1679" w:firstLine="326"/>
        <w:spacing w:after="0" w:line="265" w:lineRule="auto"/>
        <w:rPr>
          <w:sz w:val="20"/>
          <w:szCs w:val="20"/>
          <w:color w:val="auto"/>
        </w:rPr>
      </w:pPr>
      <w:r>
        <w:rPr>
          <w:rFonts w:ascii="Arial" w:cs="Arial" w:eastAsia="Arial" w:hAnsi="Arial"/>
          <w:sz w:val="16"/>
          <w:szCs w:val="16"/>
          <w:color w:val="auto"/>
        </w:rPr>
        <w:t>Upon the effectiveness of the registration statement of which this prospectus forms a part, we will establish a nominating and corporate governance committee of the board of directors. The members of our nominating and corporate governance will be Glenn R. August, Malcolm S. McDermid and Karen G. Mills and Karen G. Mills will serve as chair of the nominating and corporate governance committee.</w:t>
      </w:r>
    </w:p>
    <w:p>
      <w:pPr>
        <w:spacing w:after="0" w:line="68" w:lineRule="exact"/>
        <w:rPr>
          <w:sz w:val="20"/>
          <w:szCs w:val="20"/>
          <w:color w:val="auto"/>
        </w:rPr>
      </w:pPr>
    </w:p>
    <w:p>
      <w:pPr>
        <w:ind w:left="1140" w:right="1639" w:firstLine="326"/>
        <w:spacing w:after="0" w:line="285" w:lineRule="auto"/>
        <w:rPr>
          <w:sz w:val="20"/>
          <w:szCs w:val="20"/>
          <w:color w:val="auto"/>
        </w:rPr>
      </w:pPr>
      <w:r>
        <w:rPr>
          <w:rFonts w:ascii="Arial" w:cs="Arial" w:eastAsia="Arial" w:hAnsi="Arial"/>
          <w:sz w:val="16"/>
          <w:szCs w:val="16"/>
          <w:color w:val="auto"/>
        </w:rPr>
        <w:t>We will adopt a nominating and corporate governance committee charter, which will detail the purpose and responsibilities of the nominating and corporate governance committee, including:</w:t>
      </w:r>
    </w:p>
    <w:p>
      <w:pPr>
        <w:spacing w:after="0" w:line="64" w:lineRule="exact"/>
        <w:rPr>
          <w:sz w:val="20"/>
          <w:szCs w:val="20"/>
          <w:color w:val="auto"/>
        </w:rPr>
      </w:pPr>
    </w:p>
    <w:p>
      <w:pPr>
        <w:ind w:left="1800" w:right="1739" w:hanging="335"/>
        <w:spacing w:after="0" w:line="265" w:lineRule="auto"/>
        <w:tabs>
          <w:tab w:leader="none" w:pos="18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identifying, screening and reviewing individuals qualified to serve as directors, consistent with criteria approved by the board, and recommending to the board of directors candidates for nomination for election at the annual meeting of stockholders or to fill vacancies on the board of directors;</w:t>
      </w:r>
    </w:p>
    <w:p>
      <w:pPr>
        <w:spacing w:after="0" w:line="68" w:lineRule="exact"/>
        <w:rPr>
          <w:rFonts w:ascii="Arial" w:cs="Arial" w:eastAsia="Arial" w:hAnsi="Arial"/>
          <w:sz w:val="16"/>
          <w:szCs w:val="16"/>
          <w:color w:val="auto"/>
        </w:rPr>
      </w:pPr>
    </w:p>
    <w:p>
      <w:pPr>
        <w:ind w:left="1800" w:right="1919" w:hanging="335"/>
        <w:spacing w:after="0" w:line="285" w:lineRule="auto"/>
        <w:tabs>
          <w:tab w:leader="none" w:pos="18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developing and recommending to the board of directors and overseeing implementation of our corporate governance guidelines;</w:t>
      </w:r>
    </w:p>
    <w:p>
      <w:pPr>
        <w:spacing w:after="0" w:line="64" w:lineRule="exact"/>
        <w:rPr>
          <w:rFonts w:ascii="Arial" w:cs="Arial" w:eastAsia="Arial" w:hAnsi="Arial"/>
          <w:sz w:val="16"/>
          <w:szCs w:val="16"/>
          <w:color w:val="auto"/>
        </w:rPr>
      </w:pPr>
    </w:p>
    <w:p>
      <w:pPr>
        <w:ind w:left="1800" w:right="1779" w:hanging="335"/>
        <w:spacing w:after="0" w:line="285" w:lineRule="auto"/>
        <w:tabs>
          <w:tab w:leader="none" w:pos="18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coordinating and overseeing the annual self-evaluation of the board of directors, its committees, individual directors and management in the governance of the company; and</w:t>
      </w:r>
    </w:p>
    <w:p>
      <w:pPr>
        <w:spacing w:after="0" w:line="64" w:lineRule="exact"/>
        <w:rPr>
          <w:rFonts w:ascii="Arial" w:cs="Arial" w:eastAsia="Arial" w:hAnsi="Arial"/>
          <w:sz w:val="16"/>
          <w:szCs w:val="16"/>
          <w:color w:val="auto"/>
        </w:rPr>
      </w:pPr>
    </w:p>
    <w:p>
      <w:pPr>
        <w:ind w:left="1800" w:right="1739" w:hanging="335"/>
        <w:spacing w:after="0" w:line="285" w:lineRule="auto"/>
        <w:tabs>
          <w:tab w:leader="none" w:pos="18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reviewing on a regular basis our overall corporate governance and recommending improvements as and when necessary.</w:t>
      </w:r>
    </w:p>
    <w:p>
      <w:pPr>
        <w:spacing w:after="0" w:line="52" w:lineRule="exact"/>
        <w:rPr>
          <w:sz w:val="20"/>
          <w:szCs w:val="20"/>
          <w:color w:val="auto"/>
        </w:rPr>
      </w:pPr>
    </w:p>
    <w:p>
      <w:pPr>
        <w:ind w:left="1140" w:right="1679" w:firstLine="326"/>
        <w:spacing w:after="0" w:line="296" w:lineRule="auto"/>
        <w:rPr>
          <w:sz w:val="20"/>
          <w:szCs w:val="20"/>
          <w:color w:val="auto"/>
        </w:rPr>
      </w:pPr>
      <w:r>
        <w:rPr>
          <w:rFonts w:ascii="Arial" w:cs="Arial" w:eastAsia="Arial" w:hAnsi="Arial"/>
          <w:sz w:val="15"/>
          <w:szCs w:val="15"/>
          <w:color w:val="auto"/>
        </w:rPr>
        <w:t>The charter will also provide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47" w:lineRule="exact"/>
        <w:rPr>
          <w:sz w:val="20"/>
          <w:szCs w:val="20"/>
          <w:color w:val="auto"/>
        </w:rPr>
      </w:pPr>
    </w:p>
    <w:p>
      <w:pPr>
        <w:ind w:left="1140" w:right="1599" w:firstLine="326"/>
        <w:spacing w:after="0" w:line="281" w:lineRule="auto"/>
        <w:rPr>
          <w:sz w:val="20"/>
          <w:szCs w:val="20"/>
          <w:color w:val="auto"/>
        </w:rPr>
      </w:pPr>
      <w:r>
        <w:rPr>
          <w:rFonts w:ascii="Arial" w:cs="Arial" w:eastAsia="Arial" w:hAnsi="Arial"/>
          <w:sz w:val="15"/>
          <w:szCs w:val="15"/>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 Prior to our initial business combination, holders of our public shares will not have the right to recommend director candidates for nomination to our board of directors.</w:t>
      </w:r>
    </w:p>
    <w:p>
      <w:pPr>
        <w:spacing w:after="0" w:line="142"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101" w:lineRule="exact"/>
        <w:rPr>
          <w:sz w:val="20"/>
          <w:szCs w:val="20"/>
          <w:color w:val="auto"/>
        </w:rPr>
      </w:pPr>
    </w:p>
    <w:p>
      <w:pPr>
        <w:ind w:left="1140" w:right="1699" w:firstLine="326"/>
        <w:spacing w:after="0" w:line="270" w:lineRule="auto"/>
        <w:rPr>
          <w:sz w:val="20"/>
          <w:szCs w:val="20"/>
          <w:color w:val="auto"/>
        </w:rPr>
      </w:pPr>
      <w:r>
        <w:rPr>
          <w:rFonts w:ascii="Arial" w:cs="Arial" w:eastAsia="Arial" w:hAnsi="Arial"/>
          <w:sz w:val="16"/>
          <w:szCs w:val="16"/>
          <w:color w:val="auto"/>
        </w:rPr>
        <w:t>None of our officers currently serves, and in the past year has not served, as a member of the board of directors or compensation committee of any entity that has one or more officers serving on our board of directors.</w:t>
      </w:r>
    </w:p>
    <w:p>
      <w:pPr>
        <w:spacing w:after="0" w:line="14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Code of Ethics</w:t>
      </w:r>
    </w:p>
    <w:p>
      <w:pPr>
        <w:spacing w:after="0" w:line="101" w:lineRule="exact"/>
        <w:rPr>
          <w:sz w:val="20"/>
          <w:szCs w:val="20"/>
          <w:color w:val="auto"/>
        </w:rPr>
      </w:pPr>
    </w:p>
    <w:p>
      <w:pPr>
        <w:ind w:left="1140" w:right="1739" w:firstLine="326"/>
        <w:spacing w:after="0" w:line="270" w:lineRule="auto"/>
        <w:rPr>
          <w:sz w:val="20"/>
          <w:szCs w:val="20"/>
          <w:color w:val="auto"/>
        </w:rPr>
      </w:pPr>
      <w:r>
        <w:rPr>
          <w:rFonts w:ascii="Arial" w:cs="Arial" w:eastAsia="Arial" w:hAnsi="Arial"/>
          <w:sz w:val="16"/>
          <w:szCs w:val="16"/>
          <w:color w:val="auto"/>
        </w:rPr>
        <w:t>Prior to the effectiveness of the registration statement of which this prospectus is a part, we will have adopted a Code of Ethics applicable to our directors, officers and employees. We will file a copy of our form of Code of Ethics and our audit committee charter as exhibits to the registration statement.</w:t>
      </w:r>
    </w:p>
    <w:p>
      <w:pPr>
        <w:spacing w:after="0" w:line="64" w:lineRule="exact"/>
        <w:rPr>
          <w:sz w:val="20"/>
          <w:szCs w:val="20"/>
          <w:color w:val="auto"/>
        </w:rPr>
      </w:pPr>
    </w:p>
    <w:p>
      <w:pPr>
        <w:ind w:left="1140" w:right="1719" w:firstLine="326"/>
        <w:spacing w:after="0" w:line="265" w:lineRule="auto"/>
        <w:rPr>
          <w:sz w:val="20"/>
          <w:szCs w:val="20"/>
          <w:color w:val="auto"/>
        </w:rPr>
      </w:pPr>
      <w:r>
        <w:rPr>
          <w:rFonts w:ascii="Arial" w:cs="Arial" w:eastAsia="Arial" w:hAnsi="Arial"/>
          <w:sz w:val="16"/>
          <w:szCs w:val="16"/>
          <w:color w:val="auto"/>
        </w:rPr>
        <w:t>You will be able to review these documents by accessing our public filings at the SEC’s website at www.sec.gov. In addition, a copy of the Code of Ethics will be provided without charge upon request from us. We intend to disclose any amendments to or waivers of certain provisions of our Code of Ethics in a Current Report on Form 8-K. Please see “Where You Can Find Additional Information.”</w:t>
      </w:r>
    </w:p>
    <w:p>
      <w:pPr>
        <w:spacing w:after="0" w:line="215"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9" w:name="page120"/>
    <w:bookmarkEnd w:id="119"/>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Conflicts of Interest</w:t>
      </w:r>
    </w:p>
    <w:p>
      <w:pPr>
        <w:spacing w:after="0" w:line="101" w:lineRule="exact"/>
        <w:rPr>
          <w:sz w:val="20"/>
          <w:szCs w:val="20"/>
          <w:color w:val="auto"/>
        </w:rPr>
      </w:pPr>
    </w:p>
    <w:p>
      <w:pPr>
        <w:ind w:left="1140" w:right="1579" w:firstLine="326"/>
        <w:spacing w:after="0" w:line="277" w:lineRule="auto"/>
        <w:rPr>
          <w:sz w:val="20"/>
          <w:szCs w:val="20"/>
          <w:color w:val="auto"/>
        </w:rPr>
      </w:pPr>
      <w:r>
        <w:rPr>
          <w:rFonts w:ascii="Arial" w:cs="Arial" w:eastAsia="Arial" w:hAnsi="Arial"/>
          <w:sz w:val="15"/>
          <w:szCs w:val="15"/>
          <w:color w:val="auto"/>
        </w:rPr>
        <w:t>Our management team is responsible for the management of our affairs. As described above and below,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(including as described in “Proposed Business — Sourcing of Potential Business Combination Targets”). These conflicts may not be resolved in our favor and a potential target business may be presented to another entity prior to its presentation to us.</w:t>
      </w:r>
    </w:p>
    <w:p>
      <w:pPr>
        <w:spacing w:after="0" w:line="61" w:lineRule="exact"/>
        <w:rPr>
          <w:sz w:val="20"/>
          <w:szCs w:val="20"/>
          <w:color w:val="auto"/>
        </w:rPr>
      </w:pPr>
    </w:p>
    <w:p>
      <w:pPr>
        <w:ind w:left="1140" w:right="1639" w:firstLine="326"/>
        <w:spacing w:after="0" w:line="265" w:lineRule="auto"/>
        <w:rPr>
          <w:sz w:val="20"/>
          <w:szCs w:val="20"/>
          <w:color w:val="auto"/>
        </w:rPr>
      </w:pPr>
      <w:r>
        <w:rPr>
          <w:rFonts w:ascii="Arial" w:cs="Arial" w:eastAsia="Arial" w:hAnsi="Arial"/>
          <w:sz w:val="16"/>
          <w:szCs w:val="16"/>
          <w:color w:val="auto"/>
        </w:rPr>
        <w:t>Our Strategic and Operating Partners and their personnel, if any, may have a duty to offer acquisition opportunities to clients or other parties. Such persons will have no duty to offer acquisition opportunities to the Company unless presented to them solely in their capacity as a director of the Company and after they have satisfied any contractual and fiduciary obligations to other parties.</w:t>
      </w:r>
    </w:p>
    <w:p>
      <w:pPr>
        <w:spacing w:after="0" w:line="68" w:lineRule="exact"/>
        <w:rPr>
          <w:sz w:val="20"/>
          <w:szCs w:val="20"/>
          <w:color w:val="auto"/>
        </w:rPr>
      </w:pPr>
    </w:p>
    <w:p>
      <w:pPr>
        <w:ind w:left="1140" w:right="1619" w:firstLine="326"/>
        <w:spacing w:after="0" w:line="262" w:lineRule="auto"/>
        <w:rPr>
          <w:sz w:val="20"/>
          <w:szCs w:val="20"/>
          <w:color w:val="auto"/>
        </w:rPr>
      </w:pPr>
      <w:r>
        <w:rPr>
          <w:rFonts w:ascii="Arial" w:cs="Arial" w:eastAsia="Arial" w:hAnsi="Arial"/>
          <w:sz w:val="16"/>
          <w:szCs w:val="16"/>
          <w:color w:val="auto"/>
        </w:rPr>
        <w:t>As a result, such persons may compete with us for acquisition opportunities in the same industries and sectors as we may target for our initial business combination. Consequently, we may be precluded from procuring such opportunities. In addition, investment ideas may be suitable both for us and for a Strategic Partner or Operating Partner or any of its clients, and will be directed initially to such persons rather than to us.</w:t>
      </w:r>
    </w:p>
    <w:p>
      <w:pPr>
        <w:spacing w:after="0" w:line="72" w:lineRule="exact"/>
        <w:rPr>
          <w:sz w:val="20"/>
          <w:szCs w:val="20"/>
          <w:color w:val="auto"/>
        </w:rPr>
      </w:pPr>
    </w:p>
    <w:p>
      <w:pPr>
        <w:ind w:left="1140" w:right="1659" w:firstLine="326"/>
        <w:spacing w:after="0" w:line="275" w:lineRule="auto"/>
        <w:rPr>
          <w:sz w:val="20"/>
          <w:szCs w:val="20"/>
          <w:color w:val="auto"/>
        </w:rPr>
      </w:pPr>
      <w:r>
        <w:rPr>
          <w:rFonts w:ascii="Arial" w:cs="Arial" w:eastAsia="Arial" w:hAnsi="Arial"/>
          <w:sz w:val="15"/>
          <w:szCs w:val="15"/>
          <w:color w:val="auto"/>
        </w:rPr>
        <w:t>In addition, any of our Strategic and Operating Partners or their personnel may sponsor or form other blank check companies similar to ours during the period in which we are seeking an initial business combination. In particular, the Operating Partners, as well as M. Klein and Company, Mr. Klein and our board of directors, are actively engaged in Churchill Capital Corp II and Churchill Capital Corp III, special purpose acquisition corporations that completed their initial public offerings in July 2019 and</w:t>
      </w:r>
    </w:p>
    <w:p>
      <w:pPr>
        <w:spacing w:after="0" w:line="2" w:lineRule="exact"/>
        <w:rPr>
          <w:sz w:val="20"/>
          <w:szCs w:val="20"/>
          <w:color w:val="auto"/>
        </w:rPr>
      </w:pPr>
    </w:p>
    <w:p>
      <w:pPr>
        <w:ind w:left="1140" w:right="1699"/>
        <w:spacing w:after="0" w:line="259" w:lineRule="auto"/>
        <w:rPr>
          <w:sz w:val="20"/>
          <w:szCs w:val="20"/>
          <w:color w:val="auto"/>
        </w:rPr>
      </w:pPr>
      <w:r>
        <w:rPr>
          <w:rFonts w:ascii="Arial" w:cs="Arial" w:eastAsia="Arial" w:hAnsi="Arial"/>
          <w:sz w:val="16"/>
          <w:szCs w:val="16"/>
          <w:color w:val="auto"/>
        </w:rPr>
        <w:t>February 2020, respectively. Churchill Capital Corp II and Churchill Capital Corp III, like us, may pursue initial business combination targets in any businesses or industries and have until July 1, 2021 and February 19, 2022, respectively, to do so (absent an extension in accordance with their charters). Any such companies, including Churchill Capital Corp II and Churchill Capital Corp III, may present additional conflicts of interest in pursuing an acquisition target.</w:t>
      </w:r>
    </w:p>
    <w:p>
      <w:pPr>
        <w:spacing w:after="0" w:line="72" w:lineRule="exact"/>
        <w:rPr>
          <w:sz w:val="20"/>
          <w:szCs w:val="20"/>
          <w:color w:val="auto"/>
        </w:rPr>
      </w:pPr>
    </w:p>
    <w:p>
      <w:pPr>
        <w:ind w:left="1140" w:right="1599" w:firstLine="326"/>
        <w:spacing w:after="0" w:line="259" w:lineRule="auto"/>
        <w:rPr>
          <w:sz w:val="20"/>
          <w:szCs w:val="20"/>
          <w:color w:val="auto"/>
        </w:rPr>
      </w:pPr>
      <w:r>
        <w:rPr>
          <w:rFonts w:ascii="Arial" w:cs="Arial" w:eastAsia="Arial" w:hAnsi="Arial"/>
          <w:sz w:val="16"/>
          <w:szCs w:val="16"/>
          <w:color w:val="auto"/>
        </w:rPr>
        <w:t>We do not believe, however, that the fiduciary, contractual or other obligations or duties of our officers or directors, M. Klein and Company, or policies applicable to M. Klein and Company, will materially affect our ability to complete our initial business combination.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75" w:lineRule="exact"/>
        <w:rPr>
          <w:sz w:val="20"/>
          <w:szCs w:val="20"/>
          <w:color w:val="auto"/>
        </w:rPr>
      </w:pPr>
    </w:p>
    <w:p>
      <w:pPr>
        <w:ind w:left="1140" w:right="1599" w:firstLine="326"/>
        <w:spacing w:after="0" w:line="258" w:lineRule="auto"/>
        <w:rPr>
          <w:sz w:val="20"/>
          <w:szCs w:val="20"/>
          <w:color w:val="auto"/>
        </w:rPr>
      </w:pPr>
      <w:r>
        <w:rPr>
          <w:rFonts w:ascii="Arial" w:cs="Arial" w:eastAsia="Arial" w:hAnsi="Arial"/>
          <w:sz w:val="16"/>
          <w:szCs w:val="16"/>
          <w:color w:val="auto"/>
        </w:rPr>
        <w:t>Our sponsor, officers and directors may participate in the formation of, or become an officer or director of, any other blank check company prior to completion of our initial business combination. In particular, M. Klein and Company, Mr. Klein and the Operating Partners, as well as our board of directors, have formed and are actively engaged in Churchill Capital Corp II and Churchill Capital Corp III, special purpose acquisition corporations that completed their initial public offerings in July 2019 and February 2020, respectively. Churchill Capital Corp II and Churchill Capital Corp III, like us, may pursue initial business combination targets in any businesses or industries and have until July 1, 2021 and February 19, 2022, respectively, to do so (absent an extension in accordance with their charters). Any such companies, including Churchill Capital Corp II and Churchill Capital Corp III, may present additional conflicts of interest in pursuing an acquisition target.</w:t>
      </w:r>
    </w:p>
    <w:p>
      <w:pPr>
        <w:spacing w:after="0" w:line="77"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Potential investors should also be aware of the following other potential conflicts of interest:</w:t>
      </w:r>
    </w:p>
    <w:p>
      <w:pPr>
        <w:spacing w:after="0" w:line="269"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0" w:name="page121"/>
    <w:bookmarkEnd w:id="120"/>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800" w:right="1839" w:hanging="335"/>
        <w:spacing w:after="0" w:line="270" w:lineRule="auto"/>
        <w:tabs>
          <w:tab w:leader="none" w:pos="18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None of our officers or directors is required to commit his or her full time to our affairs and, accordingly, may have conflicts of interest in allocating his or her time among various business activities.</w:t>
      </w:r>
    </w:p>
    <w:p>
      <w:pPr>
        <w:spacing w:after="0" w:line="63" w:lineRule="exact"/>
        <w:rPr>
          <w:rFonts w:ascii="Arial" w:cs="Arial" w:eastAsia="Arial" w:hAnsi="Arial"/>
          <w:sz w:val="16"/>
          <w:szCs w:val="16"/>
          <w:color w:val="auto"/>
        </w:rPr>
      </w:pPr>
    </w:p>
    <w:p>
      <w:pPr>
        <w:ind w:left="1800" w:right="1639" w:hanging="335"/>
        <w:spacing w:after="0" w:line="261" w:lineRule="auto"/>
        <w:tabs>
          <w:tab w:leader="none" w:pos="18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the course of their other business activities, our officers and directors may become aware of investment and business opportunities which may be appropriate for presentation to us as well as the other entities with which they are affiliated. Our management may have conflicts of interest in determining to which entity a particular business opportunity should be presented. Please see “— Directors, Director Nominees and Executive Officers” for a description of our management’s other affiliations,</w:t>
      </w:r>
    </w:p>
    <w:p>
      <w:pPr>
        <w:spacing w:after="0" w:line="71" w:lineRule="exact"/>
        <w:rPr>
          <w:rFonts w:ascii="Arial" w:cs="Arial" w:eastAsia="Arial" w:hAnsi="Arial"/>
          <w:sz w:val="16"/>
          <w:szCs w:val="16"/>
          <w:color w:val="auto"/>
        </w:rPr>
      </w:pPr>
    </w:p>
    <w:p>
      <w:pPr>
        <w:ind w:left="1800" w:right="1579" w:hanging="335"/>
        <w:spacing w:after="0" w:line="256" w:lineRule="auto"/>
        <w:tabs>
          <w:tab w:leader="none" w:pos="18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sponsor, officers and directors have agreed to waive their redemption rights with respect to any founder shares and any public shares held by them in connection with the consummation of our initial business combination. Additionally, our initial stockholders, officers and directors have agreed to waive their rights to liquidating distributions from the trust account with respect to any founder shares held by them if we fail to consummate our initial business combination within the completion window. However, if our initial stockholders or any of our officers, directors or affiliates acquire public shares in or after this offering, they will be entitled to liquidating distributions from the trust account with respect to such public shares if we fail to consummate our initial business combination within the completion window. If we do not complete our initial business combination within such applicable time period, the proceeds of the sale of the private placement warrants held in the trust account will be used to fund the redemption of our public shares, and the private placement warrants will expire worthless. With certain limited exceptions, the founder shares will not be transferable, assignable or salable by our initial stockholders until the earlier of: (1) one year after the completion of our initial business combination; and (2) the date on which we consummate a liquidation, merger, stock exchange, reorganization or other similar transaction after our initial business combination that results in all of our public stockholders having the right to exchange their shares of common stock for cash, securities or other property. Notwithstanding the foregoing, if the closing price of our Class A common stock equals or exceeds $12.00 per share (as adjusted for stock splits, stock dividends, reorganizations, recapitalizations and the like) for any 20 trading days within any 30-trading day period commencing at least 150 days after our initial business combination, the founder shares will be released from the lock-up. With certain limited exceptions, the private placement warrants and the shares of common stock underlying such warrants, will not be transferable, assignable or salable by our sponsor until 30 days after the completion of our initial business combination. Since our sponsor, officers and directors may directly or indirectly own common stock and warrants following this offering, our officers and directors may have a conflict of interest in determining whether a particular target business is an appropriate business with which to effectuate our initial business combination.</w:t>
      </w:r>
    </w:p>
    <w:p>
      <w:pPr>
        <w:spacing w:after="0" w:line="69" w:lineRule="exact"/>
        <w:rPr>
          <w:rFonts w:ascii="Arial" w:cs="Arial" w:eastAsia="Arial" w:hAnsi="Arial"/>
          <w:sz w:val="16"/>
          <w:szCs w:val="16"/>
          <w:color w:val="auto"/>
        </w:rPr>
      </w:pPr>
    </w:p>
    <w:p>
      <w:pPr>
        <w:ind w:left="1800" w:right="1719" w:hanging="335"/>
        <w:spacing w:after="0" w:line="262" w:lineRule="auto"/>
        <w:tabs>
          <w:tab w:leader="none" w:pos="18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to proceed with a particular business combination.</w:t>
      </w:r>
    </w:p>
    <w:p>
      <w:pPr>
        <w:spacing w:after="0" w:line="72" w:lineRule="exact"/>
        <w:rPr>
          <w:rFonts w:ascii="Arial" w:cs="Arial" w:eastAsia="Arial" w:hAnsi="Arial"/>
          <w:sz w:val="16"/>
          <w:szCs w:val="16"/>
          <w:color w:val="auto"/>
        </w:rPr>
      </w:pPr>
    </w:p>
    <w:p>
      <w:pPr>
        <w:ind w:left="1800" w:right="1719" w:hanging="335"/>
        <w:spacing w:after="0" w:line="296" w:lineRule="auto"/>
        <w:tabs>
          <w:tab w:leader="none" w:pos="18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Our key personnel may have a conflict of interest with respect to evaluating a particular business combination if the retention or resignation of any such key personnel was included by a target business as a condition to any agreement with respect to our initial business combination.</w:t>
      </w:r>
    </w:p>
    <w:p>
      <w:pPr>
        <w:spacing w:after="0" w:line="46" w:lineRule="exact"/>
        <w:rPr>
          <w:rFonts w:ascii="Arial" w:cs="Arial" w:eastAsia="Arial" w:hAnsi="Arial"/>
          <w:sz w:val="15"/>
          <w:szCs w:val="15"/>
          <w:color w:val="auto"/>
        </w:rPr>
      </w:pPr>
    </w:p>
    <w:p>
      <w:pPr>
        <w:ind w:left="1800" w:right="1579" w:hanging="335"/>
        <w:spacing w:after="0" w:line="259" w:lineRule="auto"/>
        <w:tabs>
          <w:tab w:leader="none" w:pos="18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 See “Risk Factors — We may engage M. Klein and Company, or another affiliate of our sponsor, as our lead financial advisor on our business combinations and other transactions. Any fee in connection with such engagement may be conditioned upon the completion of such transactions. This financial interest in the completion of such transactions may influence the advice such affiliate provides.”</w:t>
      </w:r>
    </w:p>
    <w:p>
      <w:pPr>
        <w:spacing w:after="0" w:line="222"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1" w:name="page122"/>
    <w:bookmarkEnd w:id="121"/>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The conflicts described above may not be resolved in our favor.</w:t>
      </w:r>
    </w:p>
    <w:p>
      <w:pPr>
        <w:spacing w:after="0" w:line="110" w:lineRule="exact"/>
        <w:rPr>
          <w:sz w:val="20"/>
          <w:szCs w:val="20"/>
          <w:color w:val="auto"/>
        </w:rPr>
      </w:pPr>
    </w:p>
    <w:p>
      <w:pPr>
        <w:ind w:left="1140" w:right="1659" w:firstLine="326"/>
        <w:spacing w:after="0" w:line="269" w:lineRule="auto"/>
        <w:rPr>
          <w:sz w:val="20"/>
          <w:szCs w:val="20"/>
          <w:color w:val="auto"/>
        </w:rPr>
      </w:pPr>
      <w:r>
        <w:rPr>
          <w:rFonts w:ascii="Arial" w:cs="Arial" w:eastAsia="Arial" w:hAnsi="Arial"/>
          <w:sz w:val="16"/>
          <w:szCs w:val="16"/>
          <w:color w:val="auto"/>
        </w:rPr>
        <w:t>In general, officers and directors of a corporation incorporated under the laws of the State of Delaware are required to present business opportunities to a corporation if:</w:t>
      </w:r>
    </w:p>
    <w:p>
      <w:pPr>
        <w:spacing w:after="0" w:line="126" w:lineRule="exact"/>
        <w:rPr>
          <w:sz w:val="20"/>
          <w:szCs w:val="20"/>
          <w:color w:val="auto"/>
        </w:rPr>
      </w:pPr>
    </w:p>
    <w:p>
      <w:pPr>
        <w:ind w:left="1800" w:hanging="335"/>
        <w:spacing w:after="0"/>
        <w:tabs>
          <w:tab w:leader="none" w:pos="18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corporation could financially undertake the opportunity;</w:t>
      </w:r>
    </w:p>
    <w:p>
      <w:pPr>
        <w:spacing w:after="0" w:line="170" w:lineRule="exact"/>
        <w:rPr>
          <w:rFonts w:ascii="Arial" w:cs="Arial" w:eastAsia="Arial" w:hAnsi="Arial"/>
          <w:sz w:val="16"/>
          <w:szCs w:val="16"/>
          <w:color w:val="auto"/>
        </w:rPr>
      </w:pPr>
    </w:p>
    <w:p>
      <w:pPr>
        <w:ind w:left="1800" w:hanging="335"/>
        <w:spacing w:after="0"/>
        <w:tabs>
          <w:tab w:leader="none" w:pos="18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opportunity is within the corporation’s line of business; and</w:t>
      </w:r>
    </w:p>
    <w:p>
      <w:pPr>
        <w:spacing w:after="0" w:line="170" w:lineRule="exact"/>
        <w:rPr>
          <w:rFonts w:ascii="Arial" w:cs="Arial" w:eastAsia="Arial" w:hAnsi="Arial"/>
          <w:sz w:val="16"/>
          <w:szCs w:val="16"/>
          <w:color w:val="auto"/>
        </w:rPr>
      </w:pPr>
    </w:p>
    <w:p>
      <w:pPr>
        <w:ind w:left="1800" w:right="1639" w:hanging="335"/>
        <w:spacing w:after="0" w:line="285" w:lineRule="auto"/>
        <w:tabs>
          <w:tab w:leader="none" w:pos="18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it would not be fair to the corporation and its stockholders for the opportunity not to be brought to the attention of the corporation.</w:t>
      </w:r>
    </w:p>
    <w:p>
      <w:pPr>
        <w:spacing w:after="0" w:line="52" w:lineRule="exact"/>
        <w:rPr>
          <w:sz w:val="20"/>
          <w:szCs w:val="20"/>
          <w:color w:val="auto"/>
        </w:rPr>
      </w:pPr>
    </w:p>
    <w:p>
      <w:pPr>
        <w:ind w:left="1140" w:right="1699" w:firstLine="326"/>
        <w:spacing w:after="0" w:line="259" w:lineRule="auto"/>
        <w:rPr>
          <w:sz w:val="20"/>
          <w:szCs w:val="20"/>
          <w:color w:val="auto"/>
        </w:rPr>
      </w:pPr>
      <w:r>
        <w:rPr>
          <w:rFonts w:ascii="Arial" w:cs="Arial" w:eastAsia="Arial" w:hAnsi="Arial"/>
          <w:sz w:val="16"/>
          <w:szCs w:val="16"/>
          <w:color w:val="auto"/>
        </w:rPr>
        <w:t>Accordingly, as a result of multiple business affiliations, our officers and directors have similar legal obligations and duties relating to presenting business opportunities meeting the above-listed criteria to multiple entities. Furthermore, our amended and restated certificate of incorporation will provide that the doctrine of corporate opportunity will not apply with respect to any of our officers or directors in circumstances where the application of the doctrine would conflict with any fiduciary duties or contractual obligations they may have, and there will not be any expectancy that any of our directors or officers will offer any such corporate opportunity of which he or she may become aware to us. Below is a table summarizing the entities to which our officers, directors and director nominees currently have fiduciary duties or contractual obligations that may present a conflict of interest:</w:t>
      </w:r>
    </w:p>
    <w:p>
      <w:pPr>
        <w:spacing w:after="0" w:line="89"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1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 of Individual</w:t>
            </w:r>
          </w:p>
        </w:tc>
        <w:tc>
          <w:tcPr>
            <w:tcW w:w="20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Entity Name</w:t>
            </w:r>
          </w:p>
        </w:tc>
        <w:tc>
          <w:tcPr>
            <w:tcW w:w="20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Entity’s Business</w:t>
            </w:r>
          </w:p>
        </w:tc>
        <w:tc>
          <w:tcPr>
            <w:tcW w:w="200" w:type="dxa"/>
            <w:vAlign w:val="bottom"/>
          </w:tcPr>
          <w:p>
            <w:pPr>
              <w:spacing w:after="0"/>
              <w:rPr>
                <w:sz w:val="15"/>
                <w:szCs w:val="15"/>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Affiliation</w:t>
            </w:r>
          </w:p>
        </w:tc>
      </w:tr>
      <w:tr>
        <w:trPr>
          <w:trHeight w:val="229"/>
        </w:trPr>
        <w:tc>
          <w:tcPr>
            <w:tcW w:w="1560" w:type="dxa"/>
            <w:vAlign w:val="bottom"/>
            <w:gridSpan w:val="2"/>
          </w:tcPr>
          <w:p>
            <w:pPr>
              <w:spacing w:after="0"/>
              <w:rPr>
                <w:sz w:val="20"/>
                <w:szCs w:val="20"/>
                <w:color w:val="auto"/>
              </w:rPr>
            </w:pPr>
            <w:r>
              <w:rPr>
                <w:rFonts w:ascii="Arial" w:cs="Arial" w:eastAsia="Arial" w:hAnsi="Arial"/>
                <w:sz w:val="16"/>
                <w:szCs w:val="16"/>
                <w:color w:val="auto"/>
              </w:rPr>
              <w:t>Michael Klein</w:t>
            </w:r>
          </w:p>
        </w:tc>
        <w:tc>
          <w:tcPr>
            <w:tcW w:w="2160" w:type="dxa"/>
            <w:vAlign w:val="bottom"/>
            <w:gridSpan w:val="2"/>
          </w:tcPr>
          <w:p>
            <w:pPr>
              <w:jc w:val="center"/>
              <w:ind w:right="200"/>
              <w:spacing w:after="0"/>
              <w:rPr>
                <w:sz w:val="20"/>
                <w:szCs w:val="20"/>
                <w:color w:val="auto"/>
              </w:rPr>
            </w:pPr>
            <w:r>
              <w:rPr>
                <w:rFonts w:ascii="Arial" w:cs="Arial" w:eastAsia="Arial" w:hAnsi="Arial"/>
                <w:sz w:val="16"/>
                <w:szCs w:val="16"/>
                <w:color w:val="auto"/>
                <w:w w:val="98"/>
              </w:rPr>
              <w:t>M. Klein and Company</w:t>
            </w: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color w:val="auto"/>
                <w:w w:val="96"/>
              </w:rPr>
              <w:t>Strategic advice</w:t>
            </w:r>
          </w:p>
        </w:tc>
        <w:tc>
          <w:tcPr>
            <w:tcW w:w="2260" w:type="dxa"/>
            <w:vAlign w:val="bottom"/>
          </w:tcPr>
          <w:p>
            <w:pPr>
              <w:jc w:val="center"/>
              <w:spacing w:after="0"/>
              <w:rPr>
                <w:sz w:val="20"/>
                <w:szCs w:val="20"/>
                <w:color w:val="auto"/>
              </w:rPr>
            </w:pPr>
            <w:r>
              <w:rPr>
                <w:rFonts w:ascii="Arial" w:cs="Arial" w:eastAsia="Arial" w:hAnsi="Arial"/>
                <w:sz w:val="16"/>
                <w:szCs w:val="16"/>
                <w:color w:val="auto"/>
                <w:w w:val="95"/>
              </w:rPr>
              <w:t>Founder and Managing Partner</w:t>
            </w:r>
          </w:p>
        </w:tc>
      </w:tr>
      <w:tr>
        <w:trPr>
          <w:trHeight w:val="220"/>
        </w:trPr>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gridSpan w:val="2"/>
          </w:tcPr>
          <w:p>
            <w:pPr>
              <w:jc w:val="center"/>
              <w:ind w:right="200"/>
              <w:spacing w:after="0"/>
              <w:rPr>
                <w:sz w:val="20"/>
                <w:szCs w:val="20"/>
                <w:color w:val="auto"/>
              </w:rPr>
            </w:pPr>
            <w:r>
              <w:rPr>
                <w:rFonts w:ascii="Arial" w:cs="Arial" w:eastAsia="Arial" w:hAnsi="Arial"/>
                <w:sz w:val="16"/>
                <w:szCs w:val="16"/>
                <w:color w:val="auto"/>
                <w:w w:val="97"/>
              </w:rPr>
              <w:t>Credit Suisse Group AG</w:t>
            </w: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Financial services</w:t>
            </w:r>
          </w:p>
        </w:tc>
        <w:tc>
          <w:tcPr>
            <w:tcW w:w="2260" w:type="dxa"/>
            <w:vAlign w:val="bottom"/>
          </w:tcPr>
          <w:p>
            <w:pPr>
              <w:jc w:val="center"/>
              <w:spacing w:after="0"/>
              <w:rPr>
                <w:sz w:val="20"/>
                <w:szCs w:val="20"/>
                <w:color w:val="auto"/>
              </w:rPr>
            </w:pPr>
            <w:r>
              <w:rPr>
                <w:rFonts w:ascii="Arial" w:cs="Arial" w:eastAsia="Arial" w:hAnsi="Arial"/>
                <w:sz w:val="16"/>
                <w:szCs w:val="16"/>
                <w:color w:val="auto"/>
              </w:rPr>
              <w:t>Director</w:t>
            </w:r>
          </w:p>
        </w:tc>
      </w:tr>
      <w:tr>
        <w:trPr>
          <w:trHeight w:val="196"/>
        </w:trPr>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2"/>
          </w:tcPr>
          <w:p>
            <w:pPr>
              <w:jc w:val="center"/>
              <w:ind w:right="200"/>
              <w:spacing w:after="0"/>
              <w:rPr>
                <w:sz w:val="20"/>
                <w:szCs w:val="20"/>
                <w:color w:val="auto"/>
              </w:rPr>
            </w:pPr>
            <w:r>
              <w:rPr>
                <w:rFonts w:ascii="Arial" w:cs="Arial" w:eastAsia="Arial" w:hAnsi="Arial"/>
                <w:sz w:val="16"/>
                <w:szCs w:val="16"/>
                <w:color w:val="auto"/>
                <w:w w:val="97"/>
              </w:rPr>
              <w:t>Credit Suisse AG</w:t>
            </w: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Financial services</w:t>
            </w:r>
          </w:p>
        </w:tc>
        <w:tc>
          <w:tcPr>
            <w:tcW w:w="2260" w:type="dxa"/>
            <w:vAlign w:val="bottom"/>
          </w:tcPr>
          <w:p>
            <w:pPr>
              <w:jc w:val="center"/>
              <w:spacing w:after="0"/>
              <w:rPr>
                <w:sz w:val="20"/>
                <w:szCs w:val="20"/>
                <w:color w:val="auto"/>
              </w:rPr>
            </w:pPr>
            <w:r>
              <w:rPr>
                <w:rFonts w:ascii="Arial" w:cs="Arial" w:eastAsia="Arial" w:hAnsi="Arial"/>
                <w:sz w:val="16"/>
                <w:szCs w:val="16"/>
                <w:color w:val="auto"/>
              </w:rPr>
              <w:t>Director</w:t>
            </w:r>
          </w:p>
        </w:tc>
      </w:tr>
      <w:tr>
        <w:trPr>
          <w:trHeight w:val="196"/>
        </w:trPr>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2"/>
          </w:tcPr>
          <w:p>
            <w:pPr>
              <w:jc w:val="center"/>
              <w:ind w:right="200"/>
              <w:spacing w:after="0"/>
              <w:rPr>
                <w:sz w:val="20"/>
                <w:szCs w:val="20"/>
                <w:color w:val="auto"/>
              </w:rPr>
            </w:pPr>
            <w:r>
              <w:rPr>
                <w:rFonts w:ascii="Arial" w:cs="Arial" w:eastAsia="Arial" w:hAnsi="Arial"/>
                <w:sz w:val="16"/>
                <w:szCs w:val="16"/>
                <w:color w:val="auto"/>
              </w:rPr>
              <w:t>Clarivate Analytics</w:t>
            </w: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color w:val="auto"/>
              </w:rPr>
              <w:t>Information</w:t>
            </w:r>
          </w:p>
        </w:tc>
        <w:tc>
          <w:tcPr>
            <w:tcW w:w="2260" w:type="dxa"/>
            <w:vAlign w:val="bottom"/>
          </w:tcPr>
          <w:p>
            <w:pPr>
              <w:jc w:val="center"/>
              <w:spacing w:after="0"/>
              <w:rPr>
                <w:sz w:val="20"/>
                <w:szCs w:val="20"/>
                <w:color w:val="auto"/>
              </w:rPr>
            </w:pPr>
            <w:r>
              <w:rPr>
                <w:rFonts w:ascii="Arial" w:cs="Arial" w:eastAsia="Arial" w:hAnsi="Arial"/>
                <w:sz w:val="16"/>
                <w:szCs w:val="16"/>
                <w:color w:val="auto"/>
              </w:rPr>
              <w:t>Director</w:t>
            </w:r>
          </w:p>
        </w:tc>
      </w:tr>
      <w:tr>
        <w:trPr>
          <w:trHeight w:val="196"/>
        </w:trPr>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services &amp;</w:t>
            </w:r>
          </w:p>
        </w:tc>
        <w:tc>
          <w:tcPr>
            <w:tcW w:w="2260" w:type="dxa"/>
            <w:vAlign w:val="bottom"/>
          </w:tcPr>
          <w:p>
            <w:pPr>
              <w:spacing w:after="0"/>
              <w:rPr>
                <w:sz w:val="17"/>
                <w:szCs w:val="17"/>
                <w:color w:val="auto"/>
              </w:rPr>
            </w:pPr>
          </w:p>
        </w:tc>
      </w:tr>
      <w:tr>
        <w:trPr>
          <w:trHeight w:val="207"/>
        </w:trPr>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color w:val="auto"/>
                <w:w w:val="99"/>
              </w:rPr>
              <w:t>analytics</w:t>
            </w:r>
          </w:p>
        </w:tc>
        <w:tc>
          <w:tcPr>
            <w:tcW w:w="2260" w:type="dxa"/>
            <w:vAlign w:val="bottom"/>
          </w:tcPr>
          <w:p>
            <w:pPr>
              <w:spacing w:after="0"/>
              <w:rPr>
                <w:sz w:val="18"/>
                <w:szCs w:val="18"/>
                <w:color w:val="auto"/>
              </w:rPr>
            </w:pPr>
          </w:p>
        </w:tc>
      </w:tr>
      <w:tr>
        <w:trPr>
          <w:trHeight w:val="196"/>
        </w:trPr>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2"/>
          </w:tcPr>
          <w:p>
            <w:pPr>
              <w:jc w:val="center"/>
              <w:ind w:right="200"/>
              <w:spacing w:after="0"/>
              <w:rPr>
                <w:sz w:val="20"/>
                <w:szCs w:val="20"/>
                <w:color w:val="auto"/>
              </w:rPr>
            </w:pPr>
            <w:r>
              <w:rPr>
                <w:rFonts w:ascii="Arial" w:cs="Arial" w:eastAsia="Arial" w:hAnsi="Arial"/>
                <w:sz w:val="16"/>
                <w:szCs w:val="16"/>
                <w:color w:val="auto"/>
              </w:rPr>
              <w:t>Churchill Capital Corp II</w:t>
            </w:r>
          </w:p>
        </w:tc>
        <w:tc>
          <w:tcPr>
            <w:tcW w:w="146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Blank check</w:t>
            </w:r>
          </w:p>
        </w:tc>
        <w:tc>
          <w:tcPr>
            <w:tcW w:w="2260" w:type="dxa"/>
            <w:vAlign w:val="bottom"/>
          </w:tcPr>
          <w:p>
            <w:pPr>
              <w:jc w:val="center"/>
              <w:spacing w:after="0"/>
              <w:rPr>
                <w:sz w:val="20"/>
                <w:szCs w:val="20"/>
                <w:color w:val="auto"/>
              </w:rPr>
            </w:pPr>
            <w:r>
              <w:rPr>
                <w:rFonts w:ascii="Arial" w:cs="Arial" w:eastAsia="Arial" w:hAnsi="Arial"/>
                <w:sz w:val="16"/>
                <w:szCs w:val="16"/>
                <w:color w:val="auto"/>
              </w:rPr>
              <w:t>Chief Executive Officer and</w:t>
            </w:r>
          </w:p>
        </w:tc>
      </w:tr>
      <w:tr>
        <w:trPr>
          <w:trHeight w:val="196"/>
        </w:trPr>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company</w:t>
            </w:r>
          </w:p>
        </w:tc>
        <w:tc>
          <w:tcPr>
            <w:tcW w:w="2260" w:type="dxa"/>
            <w:vAlign w:val="bottom"/>
          </w:tcPr>
          <w:p>
            <w:pPr>
              <w:jc w:val="center"/>
              <w:spacing w:after="0"/>
              <w:rPr>
                <w:sz w:val="20"/>
                <w:szCs w:val="20"/>
                <w:color w:val="auto"/>
              </w:rPr>
            </w:pPr>
            <w:r>
              <w:rPr>
                <w:rFonts w:ascii="Arial" w:cs="Arial" w:eastAsia="Arial" w:hAnsi="Arial"/>
                <w:sz w:val="16"/>
                <w:szCs w:val="16"/>
                <w:color w:val="auto"/>
                <w:w w:val="97"/>
              </w:rPr>
              <w:t>Chairman of the Board of</w:t>
            </w:r>
          </w:p>
        </w:tc>
      </w:tr>
      <w:tr>
        <w:trPr>
          <w:trHeight w:val="207"/>
        </w:trPr>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6"/>
                <w:szCs w:val="16"/>
                <w:color w:val="auto"/>
                <w:w w:val="96"/>
              </w:rPr>
              <w:t>Directors</w:t>
            </w:r>
          </w:p>
        </w:tc>
      </w:tr>
      <w:tr>
        <w:trPr>
          <w:trHeight w:val="196"/>
        </w:trPr>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2"/>
          </w:tcPr>
          <w:p>
            <w:pPr>
              <w:jc w:val="center"/>
              <w:ind w:right="180"/>
              <w:spacing w:after="0"/>
              <w:rPr>
                <w:sz w:val="20"/>
                <w:szCs w:val="20"/>
                <w:color w:val="auto"/>
              </w:rPr>
            </w:pPr>
            <w:r>
              <w:rPr>
                <w:rFonts w:ascii="Arial" w:cs="Arial" w:eastAsia="Arial" w:hAnsi="Arial"/>
                <w:sz w:val="16"/>
                <w:szCs w:val="16"/>
                <w:color w:val="auto"/>
              </w:rPr>
              <w:t>Churchill Capital Corp III</w:t>
            </w:r>
          </w:p>
        </w:tc>
        <w:tc>
          <w:tcPr>
            <w:tcW w:w="146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Blank check</w:t>
            </w:r>
          </w:p>
        </w:tc>
        <w:tc>
          <w:tcPr>
            <w:tcW w:w="2260" w:type="dxa"/>
            <w:vAlign w:val="bottom"/>
          </w:tcPr>
          <w:p>
            <w:pPr>
              <w:jc w:val="center"/>
              <w:spacing w:after="0"/>
              <w:rPr>
                <w:sz w:val="20"/>
                <w:szCs w:val="20"/>
                <w:color w:val="auto"/>
              </w:rPr>
            </w:pPr>
            <w:r>
              <w:rPr>
                <w:rFonts w:ascii="Arial" w:cs="Arial" w:eastAsia="Arial" w:hAnsi="Arial"/>
                <w:sz w:val="16"/>
                <w:szCs w:val="16"/>
                <w:color w:val="auto"/>
                <w:w w:val="99"/>
              </w:rPr>
              <w:t>Chief Executive Officer,</w:t>
            </w:r>
          </w:p>
        </w:tc>
      </w:tr>
      <w:tr>
        <w:trPr>
          <w:trHeight w:val="196"/>
        </w:trPr>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company</w:t>
            </w:r>
          </w:p>
        </w:tc>
        <w:tc>
          <w:tcPr>
            <w:tcW w:w="2260" w:type="dxa"/>
            <w:vAlign w:val="bottom"/>
          </w:tcPr>
          <w:p>
            <w:pPr>
              <w:jc w:val="center"/>
              <w:spacing w:after="0"/>
              <w:rPr>
                <w:sz w:val="20"/>
                <w:szCs w:val="20"/>
                <w:color w:val="auto"/>
              </w:rPr>
            </w:pPr>
            <w:r>
              <w:rPr>
                <w:rFonts w:ascii="Arial" w:cs="Arial" w:eastAsia="Arial" w:hAnsi="Arial"/>
                <w:sz w:val="16"/>
                <w:szCs w:val="16"/>
                <w:color w:val="auto"/>
                <w:w w:val="95"/>
              </w:rPr>
              <w:t>President and Chairman of</w:t>
            </w:r>
          </w:p>
        </w:tc>
      </w:tr>
      <w:tr>
        <w:trPr>
          <w:trHeight w:val="207"/>
        </w:trPr>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6"/>
                <w:szCs w:val="16"/>
                <w:color w:val="auto"/>
                <w:w w:val="98"/>
              </w:rPr>
              <w:t>the Board of Directors</w:t>
            </w:r>
          </w:p>
        </w:tc>
      </w:tr>
      <w:tr>
        <w:trPr>
          <w:trHeight w:val="232"/>
        </w:trPr>
        <w:tc>
          <w:tcPr>
            <w:tcW w:w="1560" w:type="dxa"/>
            <w:vAlign w:val="bottom"/>
            <w:gridSpan w:val="2"/>
          </w:tcPr>
          <w:p>
            <w:pPr>
              <w:spacing w:after="0"/>
              <w:rPr>
                <w:sz w:val="20"/>
                <w:szCs w:val="20"/>
                <w:color w:val="auto"/>
              </w:rPr>
            </w:pPr>
            <w:r>
              <w:rPr>
                <w:rFonts w:ascii="Arial" w:cs="Arial" w:eastAsia="Arial" w:hAnsi="Arial"/>
                <w:sz w:val="16"/>
                <w:szCs w:val="16"/>
                <w:color w:val="auto"/>
              </w:rPr>
              <w:t>Jay Taragin</w:t>
            </w:r>
          </w:p>
        </w:tc>
        <w:tc>
          <w:tcPr>
            <w:tcW w:w="2160" w:type="dxa"/>
            <w:vAlign w:val="bottom"/>
            <w:gridSpan w:val="2"/>
          </w:tcPr>
          <w:p>
            <w:pPr>
              <w:jc w:val="center"/>
              <w:ind w:right="200"/>
              <w:spacing w:after="0"/>
              <w:rPr>
                <w:sz w:val="20"/>
                <w:szCs w:val="20"/>
                <w:color w:val="auto"/>
              </w:rPr>
            </w:pPr>
            <w:r>
              <w:rPr>
                <w:rFonts w:ascii="Arial" w:cs="Arial" w:eastAsia="Arial" w:hAnsi="Arial"/>
                <w:sz w:val="16"/>
                <w:szCs w:val="16"/>
                <w:color w:val="auto"/>
                <w:w w:val="98"/>
              </w:rPr>
              <w:t>M. Klein and Company</w:t>
            </w: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color w:val="auto"/>
                <w:w w:val="96"/>
              </w:rPr>
              <w:t>Strategic advice</w:t>
            </w:r>
          </w:p>
        </w:tc>
        <w:tc>
          <w:tcPr>
            <w:tcW w:w="2260" w:type="dxa"/>
            <w:vAlign w:val="bottom"/>
          </w:tcPr>
          <w:p>
            <w:pPr>
              <w:jc w:val="center"/>
              <w:spacing w:after="0"/>
              <w:rPr>
                <w:sz w:val="20"/>
                <w:szCs w:val="20"/>
                <w:color w:val="auto"/>
              </w:rPr>
            </w:pPr>
            <w:r>
              <w:rPr>
                <w:rFonts w:ascii="Arial" w:cs="Arial" w:eastAsia="Arial" w:hAnsi="Arial"/>
                <w:sz w:val="16"/>
                <w:szCs w:val="16"/>
                <w:color w:val="auto"/>
              </w:rPr>
              <w:t>Chief Financial Officer</w:t>
            </w:r>
          </w:p>
        </w:tc>
      </w:tr>
      <w:tr>
        <w:trPr>
          <w:trHeight w:val="196"/>
        </w:trPr>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2"/>
          </w:tcPr>
          <w:p>
            <w:pPr>
              <w:jc w:val="center"/>
              <w:ind w:right="180"/>
              <w:spacing w:after="0"/>
              <w:rPr>
                <w:sz w:val="20"/>
                <w:szCs w:val="20"/>
                <w:color w:val="auto"/>
              </w:rPr>
            </w:pPr>
            <w:r>
              <w:rPr>
                <w:rFonts w:ascii="Arial" w:cs="Arial" w:eastAsia="Arial" w:hAnsi="Arial"/>
                <w:sz w:val="16"/>
                <w:szCs w:val="16"/>
                <w:color w:val="auto"/>
              </w:rPr>
              <w:t>Churchill Capital Corp III</w:t>
            </w:r>
          </w:p>
        </w:tc>
        <w:tc>
          <w:tcPr>
            <w:tcW w:w="146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Blank check</w:t>
            </w:r>
          </w:p>
        </w:tc>
        <w:tc>
          <w:tcPr>
            <w:tcW w:w="2260" w:type="dxa"/>
            <w:vAlign w:val="bottom"/>
          </w:tcPr>
          <w:p>
            <w:pPr>
              <w:jc w:val="center"/>
              <w:spacing w:after="0"/>
              <w:rPr>
                <w:sz w:val="20"/>
                <w:szCs w:val="20"/>
                <w:color w:val="auto"/>
              </w:rPr>
            </w:pPr>
            <w:r>
              <w:rPr>
                <w:rFonts w:ascii="Arial" w:cs="Arial" w:eastAsia="Arial" w:hAnsi="Arial"/>
                <w:sz w:val="16"/>
                <w:szCs w:val="16"/>
                <w:color w:val="auto"/>
              </w:rPr>
              <w:t>Chief Financial Officer</w:t>
            </w:r>
          </w:p>
        </w:tc>
      </w:tr>
      <w:tr>
        <w:trPr>
          <w:trHeight w:val="207"/>
        </w:trPr>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company</w:t>
            </w:r>
          </w:p>
        </w:tc>
        <w:tc>
          <w:tcPr>
            <w:tcW w:w="2260" w:type="dxa"/>
            <w:vAlign w:val="bottom"/>
          </w:tcPr>
          <w:p>
            <w:pPr>
              <w:spacing w:after="0"/>
              <w:rPr>
                <w:sz w:val="18"/>
                <w:szCs w:val="18"/>
                <w:color w:val="auto"/>
              </w:rPr>
            </w:pPr>
          </w:p>
        </w:tc>
      </w:tr>
      <w:tr>
        <w:trPr>
          <w:trHeight w:val="196"/>
        </w:trPr>
        <w:tc>
          <w:tcPr>
            <w:tcW w:w="1560" w:type="dxa"/>
            <w:vAlign w:val="bottom"/>
            <w:gridSpan w:val="2"/>
          </w:tcPr>
          <w:p>
            <w:pPr>
              <w:spacing w:after="0"/>
              <w:rPr>
                <w:sz w:val="20"/>
                <w:szCs w:val="20"/>
                <w:color w:val="auto"/>
              </w:rPr>
            </w:pPr>
            <w:r>
              <w:rPr>
                <w:rFonts w:ascii="Arial" w:cs="Arial" w:eastAsia="Arial" w:hAnsi="Arial"/>
                <w:sz w:val="16"/>
                <w:szCs w:val="16"/>
                <w:color w:val="auto"/>
              </w:rPr>
              <w:t>Glenn R. August</w:t>
            </w:r>
          </w:p>
        </w:tc>
        <w:tc>
          <w:tcPr>
            <w:tcW w:w="2160" w:type="dxa"/>
            <w:vAlign w:val="bottom"/>
            <w:gridSpan w:val="2"/>
          </w:tcPr>
          <w:p>
            <w:pPr>
              <w:jc w:val="center"/>
              <w:ind w:right="200"/>
              <w:spacing w:after="0"/>
              <w:rPr>
                <w:sz w:val="20"/>
                <w:szCs w:val="20"/>
                <w:color w:val="auto"/>
              </w:rPr>
            </w:pPr>
            <w:r>
              <w:rPr>
                <w:rFonts w:ascii="Arial" w:cs="Arial" w:eastAsia="Arial" w:hAnsi="Arial"/>
                <w:sz w:val="16"/>
                <w:szCs w:val="16"/>
                <w:color w:val="auto"/>
              </w:rPr>
              <w:t>Oak Hill Advisors</w:t>
            </w: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color w:val="auto"/>
                <w:w w:val="94"/>
              </w:rPr>
              <w:t>Investment</w:t>
            </w:r>
          </w:p>
        </w:tc>
        <w:tc>
          <w:tcPr>
            <w:tcW w:w="2260" w:type="dxa"/>
            <w:vAlign w:val="bottom"/>
          </w:tcPr>
          <w:p>
            <w:pPr>
              <w:jc w:val="center"/>
              <w:spacing w:after="0"/>
              <w:rPr>
                <w:sz w:val="20"/>
                <w:szCs w:val="20"/>
                <w:color w:val="auto"/>
              </w:rPr>
            </w:pPr>
            <w:r>
              <w:rPr>
                <w:rFonts w:ascii="Arial" w:cs="Arial" w:eastAsia="Arial" w:hAnsi="Arial"/>
                <w:sz w:val="16"/>
                <w:szCs w:val="16"/>
                <w:color w:val="auto"/>
                <w:w w:val="93"/>
              </w:rPr>
              <w:t>Founder, Senior Partner and</w:t>
            </w:r>
          </w:p>
        </w:tc>
      </w:tr>
      <w:tr>
        <w:trPr>
          <w:trHeight w:val="207"/>
        </w:trPr>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6"/>
                <w:szCs w:val="16"/>
                <w:color w:val="auto"/>
                <w:w w:val="99"/>
              </w:rPr>
              <w:t>Chief Executive Officer</w:t>
            </w:r>
          </w:p>
        </w:tc>
      </w:tr>
      <w:tr>
        <w:trPr>
          <w:trHeight w:val="196"/>
        </w:trPr>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2"/>
          </w:tcPr>
          <w:p>
            <w:pPr>
              <w:jc w:val="center"/>
              <w:ind w:right="200"/>
              <w:spacing w:after="0"/>
              <w:rPr>
                <w:sz w:val="20"/>
                <w:szCs w:val="20"/>
                <w:color w:val="auto"/>
              </w:rPr>
            </w:pPr>
            <w:r>
              <w:rPr>
                <w:rFonts w:ascii="Arial" w:cs="Arial" w:eastAsia="Arial" w:hAnsi="Arial"/>
                <w:sz w:val="16"/>
                <w:szCs w:val="16"/>
                <w:color w:val="auto"/>
              </w:rPr>
              <w:t>Churchill Capital Corp II</w:t>
            </w:r>
          </w:p>
        </w:tc>
        <w:tc>
          <w:tcPr>
            <w:tcW w:w="146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Blank check</w:t>
            </w:r>
          </w:p>
        </w:tc>
        <w:tc>
          <w:tcPr>
            <w:tcW w:w="2260" w:type="dxa"/>
            <w:vAlign w:val="bottom"/>
          </w:tcPr>
          <w:p>
            <w:pPr>
              <w:jc w:val="center"/>
              <w:spacing w:after="0"/>
              <w:rPr>
                <w:sz w:val="20"/>
                <w:szCs w:val="20"/>
                <w:color w:val="auto"/>
              </w:rPr>
            </w:pPr>
            <w:r>
              <w:rPr>
                <w:rFonts w:ascii="Arial" w:cs="Arial" w:eastAsia="Arial" w:hAnsi="Arial"/>
                <w:sz w:val="16"/>
                <w:szCs w:val="16"/>
                <w:color w:val="auto"/>
              </w:rPr>
              <w:t>Director</w:t>
            </w:r>
          </w:p>
        </w:tc>
      </w:tr>
      <w:tr>
        <w:trPr>
          <w:trHeight w:val="207"/>
        </w:trPr>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company</w:t>
            </w:r>
          </w:p>
        </w:tc>
        <w:tc>
          <w:tcPr>
            <w:tcW w:w="2260" w:type="dxa"/>
            <w:vAlign w:val="bottom"/>
          </w:tcPr>
          <w:p>
            <w:pPr>
              <w:spacing w:after="0"/>
              <w:rPr>
                <w:sz w:val="18"/>
                <w:szCs w:val="18"/>
                <w:color w:val="auto"/>
              </w:rPr>
            </w:pPr>
          </w:p>
        </w:tc>
      </w:tr>
      <w:tr>
        <w:trPr>
          <w:trHeight w:val="196"/>
        </w:trPr>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2"/>
          </w:tcPr>
          <w:p>
            <w:pPr>
              <w:jc w:val="center"/>
              <w:ind w:right="180"/>
              <w:spacing w:after="0"/>
              <w:rPr>
                <w:sz w:val="20"/>
                <w:szCs w:val="20"/>
                <w:color w:val="auto"/>
              </w:rPr>
            </w:pPr>
            <w:r>
              <w:rPr>
                <w:rFonts w:ascii="Arial" w:cs="Arial" w:eastAsia="Arial" w:hAnsi="Arial"/>
                <w:sz w:val="16"/>
                <w:szCs w:val="16"/>
                <w:color w:val="auto"/>
              </w:rPr>
              <w:t>Churchill Capital Corp III</w:t>
            </w:r>
          </w:p>
        </w:tc>
        <w:tc>
          <w:tcPr>
            <w:tcW w:w="146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Blank check</w:t>
            </w:r>
          </w:p>
        </w:tc>
        <w:tc>
          <w:tcPr>
            <w:tcW w:w="2260" w:type="dxa"/>
            <w:vAlign w:val="bottom"/>
          </w:tcPr>
          <w:p>
            <w:pPr>
              <w:jc w:val="center"/>
              <w:spacing w:after="0"/>
              <w:rPr>
                <w:sz w:val="20"/>
                <w:szCs w:val="20"/>
                <w:color w:val="auto"/>
              </w:rPr>
            </w:pPr>
            <w:r>
              <w:rPr>
                <w:rFonts w:ascii="Arial" w:cs="Arial" w:eastAsia="Arial" w:hAnsi="Arial"/>
                <w:sz w:val="16"/>
                <w:szCs w:val="16"/>
                <w:color w:val="auto"/>
              </w:rPr>
              <w:t>Director</w:t>
            </w:r>
          </w:p>
        </w:tc>
      </w:tr>
      <w:tr>
        <w:trPr>
          <w:trHeight w:val="207"/>
        </w:trPr>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company</w:t>
            </w:r>
          </w:p>
        </w:tc>
        <w:tc>
          <w:tcPr>
            <w:tcW w:w="2260" w:type="dxa"/>
            <w:vAlign w:val="bottom"/>
          </w:tcPr>
          <w:p>
            <w:pPr>
              <w:spacing w:after="0"/>
              <w:rPr>
                <w:sz w:val="18"/>
                <w:szCs w:val="18"/>
                <w:color w:val="auto"/>
              </w:rPr>
            </w:pPr>
          </w:p>
        </w:tc>
      </w:tr>
      <w:tr>
        <w:trPr>
          <w:trHeight w:val="196"/>
        </w:trPr>
        <w:tc>
          <w:tcPr>
            <w:tcW w:w="1560" w:type="dxa"/>
            <w:vAlign w:val="bottom"/>
            <w:gridSpan w:val="2"/>
          </w:tcPr>
          <w:p>
            <w:pPr>
              <w:spacing w:after="0"/>
              <w:rPr>
                <w:sz w:val="20"/>
                <w:szCs w:val="20"/>
                <w:color w:val="auto"/>
              </w:rPr>
            </w:pPr>
            <w:r>
              <w:rPr>
                <w:rFonts w:ascii="Arial" w:cs="Arial" w:eastAsia="Arial" w:hAnsi="Arial"/>
                <w:sz w:val="16"/>
                <w:szCs w:val="16"/>
                <w:color w:val="auto"/>
              </w:rPr>
              <w:t>William J. Bynum</w:t>
            </w:r>
          </w:p>
        </w:tc>
        <w:tc>
          <w:tcPr>
            <w:tcW w:w="2160" w:type="dxa"/>
            <w:vAlign w:val="bottom"/>
            <w:gridSpan w:val="2"/>
          </w:tcPr>
          <w:p>
            <w:pPr>
              <w:jc w:val="center"/>
              <w:ind w:right="200"/>
              <w:spacing w:after="0"/>
              <w:rPr>
                <w:sz w:val="20"/>
                <w:szCs w:val="20"/>
                <w:color w:val="auto"/>
              </w:rPr>
            </w:pPr>
            <w:r>
              <w:rPr>
                <w:rFonts w:ascii="Arial" w:cs="Arial" w:eastAsia="Arial" w:hAnsi="Arial"/>
                <w:sz w:val="16"/>
                <w:szCs w:val="16"/>
                <w:color w:val="auto"/>
                <w:w w:val="96"/>
              </w:rPr>
              <w:t>HOPE</w:t>
            </w: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Financial services</w:t>
            </w:r>
          </w:p>
        </w:tc>
        <w:tc>
          <w:tcPr>
            <w:tcW w:w="2260" w:type="dxa"/>
            <w:vAlign w:val="bottom"/>
          </w:tcPr>
          <w:p>
            <w:pPr>
              <w:jc w:val="center"/>
              <w:spacing w:after="0"/>
              <w:rPr>
                <w:sz w:val="20"/>
                <w:szCs w:val="20"/>
                <w:color w:val="auto"/>
              </w:rPr>
            </w:pPr>
            <w:r>
              <w:rPr>
                <w:rFonts w:ascii="Arial" w:cs="Arial" w:eastAsia="Arial" w:hAnsi="Arial"/>
                <w:sz w:val="16"/>
                <w:szCs w:val="16"/>
                <w:color w:val="auto"/>
                <w:w w:val="99"/>
              </w:rPr>
              <w:t>Chief Executive Officer</w:t>
            </w:r>
          </w:p>
        </w:tc>
      </w:tr>
      <w:tr>
        <w:trPr>
          <w:trHeight w:val="196"/>
        </w:trPr>
        <w:tc>
          <w:tcPr>
            <w:tcW w:w="1560" w:type="dxa"/>
            <w:vAlign w:val="bottom"/>
            <w:gridSpan w:val="2"/>
          </w:tcPr>
          <w:p>
            <w:pPr>
              <w:spacing w:after="0"/>
              <w:rPr>
                <w:sz w:val="20"/>
                <w:szCs w:val="20"/>
                <w:color w:val="auto"/>
              </w:rPr>
            </w:pPr>
            <w:r>
              <w:rPr>
                <w:rFonts w:ascii="Arial" w:cs="Arial" w:eastAsia="Arial" w:hAnsi="Arial"/>
                <w:sz w:val="16"/>
                <w:szCs w:val="16"/>
                <w:color w:val="auto"/>
              </w:rPr>
              <w:t>Bonnie Jonas</w:t>
            </w:r>
          </w:p>
        </w:tc>
        <w:tc>
          <w:tcPr>
            <w:tcW w:w="2160" w:type="dxa"/>
            <w:vAlign w:val="bottom"/>
            <w:gridSpan w:val="2"/>
          </w:tcPr>
          <w:p>
            <w:pPr>
              <w:jc w:val="center"/>
              <w:ind w:right="200"/>
              <w:spacing w:after="0"/>
              <w:rPr>
                <w:sz w:val="20"/>
                <w:szCs w:val="20"/>
                <w:color w:val="auto"/>
              </w:rPr>
            </w:pPr>
            <w:r>
              <w:rPr>
                <w:rFonts w:ascii="Arial" w:cs="Arial" w:eastAsia="Arial" w:hAnsi="Arial"/>
                <w:sz w:val="16"/>
                <w:szCs w:val="16"/>
                <w:color w:val="auto"/>
                <w:w w:val="97"/>
              </w:rPr>
              <w:t>Pallas Global Group</w:t>
            </w: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color w:val="auto"/>
              </w:rPr>
              <w:t>Monitoring and</w:t>
            </w:r>
          </w:p>
        </w:tc>
        <w:tc>
          <w:tcPr>
            <w:tcW w:w="2260" w:type="dxa"/>
            <w:vAlign w:val="bottom"/>
          </w:tcPr>
          <w:p>
            <w:pPr>
              <w:jc w:val="center"/>
              <w:spacing w:after="0"/>
              <w:rPr>
                <w:sz w:val="20"/>
                <w:szCs w:val="20"/>
                <w:color w:val="auto"/>
              </w:rPr>
            </w:pPr>
            <w:r>
              <w:rPr>
                <w:rFonts w:ascii="Arial" w:cs="Arial" w:eastAsia="Arial" w:hAnsi="Arial"/>
                <w:sz w:val="16"/>
                <w:szCs w:val="16"/>
                <w:color w:val="auto"/>
                <w:w w:val="96"/>
              </w:rPr>
              <w:t>Co-Founder</w:t>
            </w:r>
          </w:p>
        </w:tc>
      </w:tr>
      <w:tr>
        <w:trPr>
          <w:trHeight w:val="207"/>
        </w:trPr>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color w:val="auto"/>
                <w:w w:val="97"/>
              </w:rPr>
              <w:t>consulting</w:t>
            </w:r>
          </w:p>
        </w:tc>
        <w:tc>
          <w:tcPr>
            <w:tcW w:w="2260" w:type="dxa"/>
            <w:vAlign w:val="bottom"/>
          </w:tcPr>
          <w:p>
            <w:pPr>
              <w:spacing w:after="0"/>
              <w:rPr>
                <w:sz w:val="18"/>
                <w:szCs w:val="18"/>
                <w:color w:val="auto"/>
              </w:rPr>
            </w:pPr>
          </w:p>
        </w:tc>
      </w:tr>
      <w:tr>
        <w:trPr>
          <w:trHeight w:val="196"/>
        </w:trPr>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2"/>
          </w:tcPr>
          <w:p>
            <w:pPr>
              <w:jc w:val="center"/>
              <w:ind w:right="180"/>
              <w:spacing w:after="0"/>
              <w:rPr>
                <w:sz w:val="20"/>
                <w:szCs w:val="20"/>
                <w:color w:val="auto"/>
              </w:rPr>
            </w:pPr>
            <w:r>
              <w:rPr>
                <w:rFonts w:ascii="Arial" w:cs="Arial" w:eastAsia="Arial" w:hAnsi="Arial"/>
                <w:sz w:val="16"/>
                <w:szCs w:val="16"/>
                <w:color w:val="auto"/>
              </w:rPr>
              <w:t>Churchill Capital Corp III</w:t>
            </w:r>
          </w:p>
        </w:tc>
        <w:tc>
          <w:tcPr>
            <w:tcW w:w="146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Blank check</w:t>
            </w:r>
          </w:p>
        </w:tc>
        <w:tc>
          <w:tcPr>
            <w:tcW w:w="2260" w:type="dxa"/>
            <w:vAlign w:val="bottom"/>
          </w:tcPr>
          <w:p>
            <w:pPr>
              <w:jc w:val="center"/>
              <w:spacing w:after="0"/>
              <w:rPr>
                <w:sz w:val="20"/>
                <w:szCs w:val="20"/>
                <w:color w:val="auto"/>
              </w:rPr>
            </w:pPr>
            <w:r>
              <w:rPr>
                <w:rFonts w:ascii="Arial" w:cs="Arial" w:eastAsia="Arial" w:hAnsi="Arial"/>
                <w:sz w:val="16"/>
                <w:szCs w:val="16"/>
                <w:color w:val="auto"/>
              </w:rPr>
              <w:t>Director</w:t>
            </w:r>
          </w:p>
        </w:tc>
      </w:tr>
      <w:tr>
        <w:trPr>
          <w:trHeight w:val="207"/>
        </w:trPr>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company</w:t>
            </w:r>
          </w:p>
        </w:tc>
        <w:tc>
          <w:tcPr>
            <w:tcW w:w="22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56"/>
        </w:trPr>
        <w:tc>
          <w:tcPr>
            <w:tcW w:w="2700" w:type="dxa"/>
            <w:vAlign w:val="bottom"/>
            <w:gridSpan w:val="3"/>
          </w:tcPr>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tc>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tcPr>
          <w:p>
            <w:pPr>
              <w:spacing w:after="0"/>
              <w:rPr>
                <w:sz w:val="13"/>
                <w:szCs w:val="13"/>
                <w:color w:val="auto"/>
              </w:rPr>
            </w:pPr>
          </w:p>
        </w:tc>
      </w:tr>
      <w:tr>
        <w:trPr>
          <w:trHeight w:val="862"/>
        </w:trPr>
        <w:tc>
          <w:tcPr>
            <w:tcW w:w="114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Arial" w:cs="Arial" w:eastAsia="Arial" w:hAnsi="Arial"/>
                <w:sz w:val="13"/>
                <w:szCs w:val="13"/>
                <w:b w:val="1"/>
                <w:bCs w:val="1"/>
                <w:color w:val="auto"/>
              </w:rPr>
              <w:t>Name of Individual</w:t>
            </w:r>
          </w:p>
        </w:tc>
        <w:tc>
          <w:tcPr>
            <w:tcW w:w="21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Entity Name</w:t>
            </w:r>
          </w:p>
        </w:tc>
        <w:tc>
          <w:tcPr>
            <w:tcW w:w="14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Entity’s Business</w:t>
            </w:r>
          </w:p>
        </w:tc>
        <w:tc>
          <w:tcPr>
            <w:tcW w:w="2260" w:type="dxa"/>
            <w:vAlign w:val="bottom"/>
          </w:tcPr>
          <w:p>
            <w:pPr>
              <w:jc w:val="center"/>
              <w:spacing w:after="0"/>
              <w:rPr>
                <w:sz w:val="20"/>
                <w:szCs w:val="20"/>
                <w:color w:val="auto"/>
              </w:rPr>
            </w:pPr>
            <w:r>
              <w:rPr>
                <w:rFonts w:ascii="Arial" w:cs="Arial" w:eastAsia="Arial" w:hAnsi="Arial"/>
                <w:sz w:val="13"/>
                <w:szCs w:val="13"/>
                <w:b w:val="1"/>
                <w:bCs w:val="1"/>
                <w:color w:val="auto"/>
                <w:w w:val="90"/>
              </w:rPr>
              <w:t>Affiliation</w:t>
            </w:r>
          </w:p>
        </w:tc>
      </w:tr>
      <w:tr>
        <w:trPr>
          <w:trHeight w:val="193"/>
        </w:trPr>
        <w:tc>
          <w:tcPr>
            <w:tcW w:w="1140" w:type="dxa"/>
            <w:vAlign w:val="bottom"/>
          </w:tcPr>
          <w:p>
            <w:pPr>
              <w:spacing w:after="0"/>
              <w:rPr>
                <w:sz w:val="16"/>
                <w:szCs w:val="16"/>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Mark Klein</w:t>
            </w:r>
          </w:p>
        </w:tc>
        <w:tc>
          <w:tcPr>
            <w:tcW w:w="200" w:type="dxa"/>
            <w:vAlign w:val="bottom"/>
          </w:tcPr>
          <w:p>
            <w:pPr>
              <w:spacing w:after="0"/>
              <w:rPr>
                <w:sz w:val="16"/>
                <w:szCs w:val="16"/>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8"/>
              </w:rPr>
              <w:t>M. Klein and Company</w:t>
            </w:r>
          </w:p>
        </w:tc>
        <w:tc>
          <w:tcPr>
            <w:tcW w:w="200" w:type="dxa"/>
            <w:vAlign w:val="bottom"/>
          </w:tcPr>
          <w:p>
            <w:pPr>
              <w:spacing w:after="0"/>
              <w:rPr>
                <w:sz w:val="16"/>
                <w:szCs w:val="16"/>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Strategic advice</w:t>
            </w:r>
          </w:p>
        </w:tc>
        <w:tc>
          <w:tcPr>
            <w:tcW w:w="200" w:type="dxa"/>
            <w:vAlign w:val="bottom"/>
          </w:tcPr>
          <w:p>
            <w:pPr>
              <w:spacing w:after="0"/>
              <w:rPr>
                <w:sz w:val="16"/>
                <w:szCs w:val="16"/>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8"/>
              </w:rPr>
              <w:t>Managing Member and Majority</w:t>
            </w:r>
          </w:p>
        </w:tc>
      </w:tr>
      <w:tr>
        <w:trPr>
          <w:trHeight w:val="207"/>
        </w:trPr>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6"/>
                <w:szCs w:val="16"/>
                <w:color w:val="auto"/>
                <w:w w:val="95"/>
              </w:rPr>
              <w:t>Partner</w:t>
            </w:r>
          </w:p>
        </w:tc>
      </w:tr>
      <w:tr>
        <w:trPr>
          <w:trHeight w:val="196"/>
        </w:trPr>
        <w:tc>
          <w:tcPr>
            <w:tcW w:w="1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2"/>
          </w:tcPr>
          <w:p>
            <w:pPr>
              <w:jc w:val="center"/>
              <w:ind w:right="200"/>
              <w:spacing w:after="0"/>
              <w:rPr>
                <w:sz w:val="20"/>
                <w:szCs w:val="20"/>
                <w:color w:val="auto"/>
              </w:rPr>
            </w:pPr>
            <w:r>
              <w:rPr>
                <w:rFonts w:ascii="Arial" w:cs="Arial" w:eastAsia="Arial" w:hAnsi="Arial"/>
                <w:sz w:val="16"/>
                <w:szCs w:val="16"/>
                <w:color w:val="auto"/>
                <w:w w:val="98"/>
              </w:rPr>
              <w:t>Sutter Rock Capital</w:t>
            </w: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color w:val="auto"/>
                <w:w w:val="94"/>
              </w:rPr>
              <w:t>Investment</w:t>
            </w:r>
          </w:p>
        </w:tc>
        <w:tc>
          <w:tcPr>
            <w:tcW w:w="2260" w:type="dxa"/>
            <w:vAlign w:val="bottom"/>
          </w:tcPr>
          <w:p>
            <w:pPr>
              <w:jc w:val="center"/>
              <w:spacing w:after="0"/>
              <w:rPr>
                <w:sz w:val="20"/>
                <w:szCs w:val="20"/>
                <w:color w:val="auto"/>
              </w:rPr>
            </w:pPr>
            <w:r>
              <w:rPr>
                <w:rFonts w:ascii="Arial" w:cs="Arial" w:eastAsia="Arial" w:hAnsi="Arial"/>
                <w:sz w:val="16"/>
                <w:szCs w:val="16"/>
                <w:color w:val="auto"/>
              </w:rPr>
              <w:t>Chief Executive Officer and</w:t>
            </w:r>
          </w:p>
        </w:tc>
      </w:tr>
      <w:tr>
        <w:trPr>
          <w:trHeight w:val="207"/>
        </w:trPr>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6"/>
                <w:szCs w:val="16"/>
                <w:color w:val="auto"/>
              </w:rPr>
              <w:t>Director</w:t>
            </w:r>
          </w:p>
        </w:tc>
      </w:tr>
      <w:tr>
        <w:trPr>
          <w:trHeight w:val="196"/>
        </w:trPr>
        <w:tc>
          <w:tcPr>
            <w:tcW w:w="1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2"/>
          </w:tcPr>
          <w:p>
            <w:pPr>
              <w:jc w:val="center"/>
              <w:ind w:right="200"/>
              <w:spacing w:after="0"/>
              <w:rPr>
                <w:sz w:val="20"/>
                <w:szCs w:val="20"/>
                <w:color w:val="auto"/>
              </w:rPr>
            </w:pPr>
            <w:r>
              <w:rPr>
                <w:rFonts w:ascii="Arial" w:cs="Arial" w:eastAsia="Arial" w:hAnsi="Arial"/>
                <w:sz w:val="16"/>
                <w:szCs w:val="16"/>
                <w:color w:val="auto"/>
              </w:rPr>
              <w:t>Atlantic Alliance</w:t>
            </w:r>
          </w:p>
        </w:tc>
        <w:tc>
          <w:tcPr>
            <w:tcW w:w="146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Blank check</w:t>
            </w:r>
          </w:p>
        </w:tc>
        <w:tc>
          <w:tcPr>
            <w:tcW w:w="2260" w:type="dxa"/>
            <w:vAlign w:val="bottom"/>
          </w:tcPr>
          <w:p>
            <w:pPr>
              <w:jc w:val="center"/>
              <w:spacing w:after="0"/>
              <w:rPr>
                <w:sz w:val="20"/>
                <w:szCs w:val="20"/>
                <w:color w:val="auto"/>
              </w:rPr>
            </w:pPr>
            <w:r>
              <w:rPr>
                <w:rFonts w:ascii="Arial" w:cs="Arial" w:eastAsia="Arial" w:hAnsi="Arial"/>
                <w:sz w:val="16"/>
                <w:szCs w:val="16"/>
                <w:color w:val="auto"/>
              </w:rPr>
              <w:t>Director</w:t>
            </w:r>
          </w:p>
        </w:tc>
      </w:tr>
      <w:tr>
        <w:trPr>
          <w:trHeight w:val="207"/>
        </w:trPr>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Partnership Corp.</w:t>
            </w: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company</w:t>
            </w:r>
          </w:p>
        </w:tc>
        <w:tc>
          <w:tcPr>
            <w:tcW w:w="2260" w:type="dxa"/>
            <w:vAlign w:val="bottom"/>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2"/>
          </w:tcPr>
          <w:p>
            <w:pPr>
              <w:jc w:val="center"/>
              <w:ind w:right="200"/>
              <w:spacing w:after="0"/>
              <w:rPr>
                <w:sz w:val="20"/>
                <w:szCs w:val="20"/>
                <w:color w:val="auto"/>
              </w:rPr>
            </w:pPr>
            <w:r>
              <w:rPr>
                <w:rFonts w:ascii="Arial" w:cs="Arial" w:eastAsia="Arial" w:hAnsi="Arial"/>
                <w:sz w:val="16"/>
                <w:szCs w:val="16"/>
                <w:color w:val="auto"/>
              </w:rPr>
              <w:t>Churchill Capital Corp II</w:t>
            </w:r>
          </w:p>
        </w:tc>
        <w:tc>
          <w:tcPr>
            <w:tcW w:w="146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Blank check</w:t>
            </w:r>
          </w:p>
        </w:tc>
        <w:tc>
          <w:tcPr>
            <w:tcW w:w="2260" w:type="dxa"/>
            <w:vAlign w:val="bottom"/>
          </w:tcPr>
          <w:p>
            <w:pPr>
              <w:jc w:val="center"/>
              <w:spacing w:after="0"/>
              <w:rPr>
                <w:sz w:val="20"/>
                <w:szCs w:val="20"/>
                <w:color w:val="auto"/>
              </w:rPr>
            </w:pPr>
            <w:r>
              <w:rPr>
                <w:rFonts w:ascii="Arial" w:cs="Arial" w:eastAsia="Arial" w:hAnsi="Arial"/>
                <w:sz w:val="16"/>
                <w:szCs w:val="16"/>
                <w:color w:val="auto"/>
              </w:rPr>
              <w:t>Director</w:t>
            </w:r>
          </w:p>
        </w:tc>
      </w:tr>
      <w:tr>
        <w:trPr>
          <w:trHeight w:val="207"/>
        </w:trPr>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company</w:t>
            </w:r>
          </w:p>
        </w:tc>
        <w:tc>
          <w:tcPr>
            <w:tcW w:w="2260" w:type="dxa"/>
            <w:vAlign w:val="bottom"/>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2"/>
          </w:tcPr>
          <w:p>
            <w:pPr>
              <w:jc w:val="center"/>
              <w:ind w:right="180"/>
              <w:spacing w:after="0"/>
              <w:rPr>
                <w:sz w:val="20"/>
                <w:szCs w:val="20"/>
                <w:color w:val="auto"/>
              </w:rPr>
            </w:pPr>
            <w:r>
              <w:rPr>
                <w:rFonts w:ascii="Arial" w:cs="Arial" w:eastAsia="Arial" w:hAnsi="Arial"/>
                <w:sz w:val="16"/>
                <w:szCs w:val="16"/>
                <w:color w:val="auto"/>
              </w:rPr>
              <w:t>Churchill Capital Corp III</w:t>
            </w:r>
          </w:p>
        </w:tc>
        <w:tc>
          <w:tcPr>
            <w:tcW w:w="146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Blank check</w:t>
            </w:r>
          </w:p>
        </w:tc>
        <w:tc>
          <w:tcPr>
            <w:tcW w:w="2260" w:type="dxa"/>
            <w:vAlign w:val="bottom"/>
          </w:tcPr>
          <w:p>
            <w:pPr>
              <w:jc w:val="center"/>
              <w:spacing w:after="0"/>
              <w:rPr>
                <w:sz w:val="20"/>
                <w:szCs w:val="20"/>
                <w:color w:val="auto"/>
              </w:rPr>
            </w:pPr>
            <w:r>
              <w:rPr>
                <w:rFonts w:ascii="Arial" w:cs="Arial" w:eastAsia="Arial" w:hAnsi="Arial"/>
                <w:sz w:val="16"/>
                <w:szCs w:val="16"/>
                <w:color w:val="auto"/>
              </w:rPr>
              <w:t>Director</w:t>
            </w:r>
          </w:p>
        </w:tc>
      </w:tr>
      <w:tr>
        <w:trPr>
          <w:trHeight w:val="207"/>
        </w:trPr>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company</w:t>
            </w:r>
          </w:p>
        </w:tc>
        <w:tc>
          <w:tcPr>
            <w:tcW w:w="2260" w:type="dxa"/>
            <w:vAlign w:val="bottom"/>
          </w:tcPr>
          <w:p>
            <w:pPr>
              <w:spacing w:after="0"/>
              <w:rPr>
                <w:sz w:val="18"/>
                <w:szCs w:val="18"/>
                <w:color w:val="auto"/>
              </w:rPr>
            </w:pPr>
          </w:p>
        </w:tc>
      </w:tr>
      <w:tr>
        <w:trPr>
          <w:trHeight w:val="221"/>
        </w:trPr>
        <w:tc>
          <w:tcPr>
            <w:tcW w:w="1140" w:type="dxa"/>
            <w:vAlign w:val="bottom"/>
          </w:tcPr>
          <w:p>
            <w:pPr>
              <w:spacing w:after="0"/>
              <w:rPr>
                <w:sz w:val="19"/>
                <w:szCs w:val="19"/>
                <w:color w:val="auto"/>
              </w:rPr>
            </w:pPr>
          </w:p>
        </w:tc>
        <w:tc>
          <w:tcPr>
            <w:tcW w:w="1560" w:type="dxa"/>
            <w:vAlign w:val="bottom"/>
            <w:gridSpan w:val="2"/>
          </w:tcPr>
          <w:p>
            <w:pPr>
              <w:spacing w:after="0"/>
              <w:rPr>
                <w:sz w:val="20"/>
                <w:szCs w:val="20"/>
                <w:color w:val="auto"/>
              </w:rPr>
            </w:pPr>
            <w:r>
              <w:rPr>
                <w:rFonts w:ascii="Arial" w:cs="Arial" w:eastAsia="Arial" w:hAnsi="Arial"/>
                <w:sz w:val="16"/>
                <w:szCs w:val="16"/>
                <w:color w:val="auto"/>
              </w:rPr>
              <w:t>Malcolm S.</w:t>
            </w:r>
          </w:p>
        </w:tc>
        <w:tc>
          <w:tcPr>
            <w:tcW w:w="2160" w:type="dxa"/>
            <w:vAlign w:val="bottom"/>
            <w:gridSpan w:val="2"/>
          </w:tcPr>
          <w:p>
            <w:pPr>
              <w:jc w:val="center"/>
              <w:ind w:right="200"/>
              <w:spacing w:after="0"/>
              <w:rPr>
                <w:sz w:val="20"/>
                <w:szCs w:val="20"/>
                <w:color w:val="auto"/>
              </w:rPr>
            </w:pPr>
            <w:r>
              <w:rPr>
                <w:rFonts w:ascii="Arial" w:cs="Arial" w:eastAsia="Arial" w:hAnsi="Arial"/>
                <w:sz w:val="16"/>
                <w:szCs w:val="16"/>
                <w:color w:val="auto"/>
                <w:w w:val="98"/>
              </w:rPr>
              <w:t>Emerson Collective</w:t>
            </w: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color w:val="auto"/>
                <w:w w:val="94"/>
              </w:rPr>
              <w:t>Investment</w:t>
            </w:r>
          </w:p>
        </w:tc>
        <w:tc>
          <w:tcPr>
            <w:tcW w:w="2260" w:type="dxa"/>
            <w:vAlign w:val="bottom"/>
          </w:tcPr>
          <w:p>
            <w:pPr>
              <w:jc w:val="center"/>
              <w:spacing w:after="0"/>
              <w:rPr>
                <w:sz w:val="20"/>
                <w:szCs w:val="20"/>
                <w:color w:val="auto"/>
              </w:rPr>
            </w:pPr>
            <w:r>
              <w:rPr>
                <w:rFonts w:ascii="Arial" w:cs="Arial" w:eastAsia="Arial" w:hAnsi="Arial"/>
                <w:sz w:val="16"/>
                <w:szCs w:val="16"/>
                <w:color w:val="auto"/>
                <w:w w:val="99"/>
              </w:rPr>
              <w:t>Managing Director</w:t>
            </w:r>
          </w:p>
        </w:tc>
      </w:tr>
      <w:tr>
        <w:trPr>
          <w:trHeight w:val="208"/>
        </w:trPr>
        <w:tc>
          <w:tcPr>
            <w:tcW w:w="1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6"/>
                <w:szCs w:val="16"/>
                <w:color w:val="auto"/>
              </w:rPr>
              <w:t>McDermid</w:t>
            </w:r>
          </w:p>
        </w:tc>
        <w:tc>
          <w:tcPr>
            <w:tcW w:w="2160" w:type="dxa"/>
            <w:vAlign w:val="bottom"/>
            <w:gridSpan w:val="2"/>
          </w:tcPr>
          <w:p>
            <w:pPr>
              <w:jc w:val="center"/>
              <w:ind w:right="200"/>
              <w:spacing w:after="0"/>
              <w:rPr>
                <w:sz w:val="20"/>
                <w:szCs w:val="20"/>
                <w:color w:val="auto"/>
              </w:rPr>
            </w:pPr>
            <w:r>
              <w:rPr>
                <w:rFonts w:ascii="Arial" w:cs="Arial" w:eastAsia="Arial" w:hAnsi="Arial"/>
                <w:sz w:val="16"/>
                <w:szCs w:val="16"/>
                <w:color w:val="auto"/>
              </w:rPr>
              <w:t>Churchill Capital Corp II</w:t>
            </w:r>
          </w:p>
        </w:tc>
        <w:tc>
          <w:tcPr>
            <w:tcW w:w="146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Blank check</w:t>
            </w:r>
          </w:p>
        </w:tc>
        <w:tc>
          <w:tcPr>
            <w:tcW w:w="2260" w:type="dxa"/>
            <w:vAlign w:val="bottom"/>
          </w:tcPr>
          <w:p>
            <w:pPr>
              <w:jc w:val="center"/>
              <w:spacing w:after="0"/>
              <w:rPr>
                <w:sz w:val="20"/>
                <w:szCs w:val="20"/>
                <w:color w:val="auto"/>
              </w:rPr>
            </w:pPr>
            <w:r>
              <w:rPr>
                <w:rFonts w:ascii="Arial" w:cs="Arial" w:eastAsia="Arial" w:hAnsi="Arial"/>
                <w:sz w:val="16"/>
                <w:szCs w:val="16"/>
                <w:color w:val="auto"/>
              </w:rPr>
              <w:t>Director</w:t>
            </w:r>
          </w:p>
        </w:tc>
      </w:tr>
      <w:tr>
        <w:trPr>
          <w:trHeight w:val="207"/>
        </w:trPr>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company</w:t>
            </w:r>
          </w:p>
        </w:tc>
        <w:tc>
          <w:tcPr>
            <w:tcW w:w="2260" w:type="dxa"/>
            <w:vAlign w:val="bottom"/>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2"/>
          </w:tcPr>
          <w:p>
            <w:pPr>
              <w:jc w:val="center"/>
              <w:ind w:right="180"/>
              <w:spacing w:after="0"/>
              <w:rPr>
                <w:sz w:val="20"/>
                <w:szCs w:val="20"/>
                <w:color w:val="auto"/>
              </w:rPr>
            </w:pPr>
            <w:r>
              <w:rPr>
                <w:rFonts w:ascii="Arial" w:cs="Arial" w:eastAsia="Arial" w:hAnsi="Arial"/>
                <w:sz w:val="16"/>
                <w:szCs w:val="16"/>
                <w:color w:val="auto"/>
              </w:rPr>
              <w:t>Churchill Capital Corp III</w:t>
            </w:r>
          </w:p>
        </w:tc>
        <w:tc>
          <w:tcPr>
            <w:tcW w:w="146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Blank check</w:t>
            </w:r>
          </w:p>
        </w:tc>
        <w:tc>
          <w:tcPr>
            <w:tcW w:w="2260" w:type="dxa"/>
            <w:vAlign w:val="bottom"/>
          </w:tcPr>
          <w:p>
            <w:pPr>
              <w:jc w:val="center"/>
              <w:spacing w:after="0"/>
              <w:rPr>
                <w:sz w:val="20"/>
                <w:szCs w:val="20"/>
                <w:color w:val="auto"/>
              </w:rPr>
            </w:pPr>
            <w:r>
              <w:rPr>
                <w:rFonts w:ascii="Arial" w:cs="Arial" w:eastAsia="Arial" w:hAnsi="Arial"/>
                <w:sz w:val="16"/>
                <w:szCs w:val="16"/>
                <w:color w:val="auto"/>
              </w:rPr>
              <w:t>Director</w:t>
            </w:r>
          </w:p>
        </w:tc>
      </w:tr>
      <w:tr>
        <w:trPr>
          <w:trHeight w:val="207"/>
        </w:trPr>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company</w:t>
            </w:r>
          </w:p>
        </w:tc>
        <w:tc>
          <w:tcPr>
            <w:tcW w:w="2260" w:type="dxa"/>
            <w:vAlign w:val="bottom"/>
          </w:tcPr>
          <w:p>
            <w:pPr>
              <w:spacing w:after="0"/>
              <w:rPr>
                <w:sz w:val="18"/>
                <w:szCs w:val="18"/>
                <w:color w:val="auto"/>
              </w:rPr>
            </w:pPr>
          </w:p>
        </w:tc>
      </w:tr>
      <w:tr>
        <w:trPr>
          <w:trHeight w:val="232"/>
        </w:trPr>
        <w:tc>
          <w:tcPr>
            <w:tcW w:w="1140" w:type="dxa"/>
            <w:vAlign w:val="bottom"/>
          </w:tcPr>
          <w:p>
            <w:pPr>
              <w:spacing w:after="0"/>
              <w:rPr>
                <w:sz w:val="20"/>
                <w:szCs w:val="20"/>
                <w:color w:val="auto"/>
              </w:rPr>
            </w:pPr>
          </w:p>
        </w:tc>
        <w:tc>
          <w:tcPr>
            <w:tcW w:w="1560" w:type="dxa"/>
            <w:vAlign w:val="bottom"/>
            <w:gridSpan w:val="2"/>
          </w:tcPr>
          <w:p>
            <w:pPr>
              <w:spacing w:after="0"/>
              <w:rPr>
                <w:sz w:val="20"/>
                <w:szCs w:val="20"/>
                <w:color w:val="auto"/>
              </w:rPr>
            </w:pPr>
            <w:r>
              <w:rPr>
                <w:rFonts w:ascii="Arial" w:cs="Arial" w:eastAsia="Arial" w:hAnsi="Arial"/>
                <w:sz w:val="16"/>
                <w:szCs w:val="16"/>
                <w:color w:val="auto"/>
              </w:rPr>
              <w:t>Karen G. Mills</w:t>
            </w:r>
          </w:p>
        </w:tc>
        <w:tc>
          <w:tcPr>
            <w:tcW w:w="2160" w:type="dxa"/>
            <w:vAlign w:val="bottom"/>
            <w:gridSpan w:val="2"/>
          </w:tcPr>
          <w:p>
            <w:pPr>
              <w:jc w:val="center"/>
              <w:ind w:right="200"/>
              <w:spacing w:after="0"/>
              <w:rPr>
                <w:sz w:val="20"/>
                <w:szCs w:val="20"/>
                <w:color w:val="auto"/>
              </w:rPr>
            </w:pPr>
            <w:r>
              <w:rPr>
                <w:rFonts w:ascii="Arial" w:cs="Arial" w:eastAsia="Arial" w:hAnsi="Arial"/>
                <w:sz w:val="16"/>
                <w:szCs w:val="16"/>
                <w:color w:val="auto"/>
              </w:rPr>
              <w:t>MMP Group</w:t>
            </w: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color w:val="auto"/>
                <w:w w:val="96"/>
              </w:rPr>
              <w:t>Private equity</w:t>
            </w:r>
          </w:p>
        </w:tc>
        <w:tc>
          <w:tcPr>
            <w:tcW w:w="2260" w:type="dxa"/>
            <w:vAlign w:val="bottom"/>
          </w:tcPr>
          <w:p>
            <w:pPr>
              <w:jc w:val="center"/>
              <w:spacing w:after="0"/>
              <w:rPr>
                <w:sz w:val="20"/>
                <w:szCs w:val="20"/>
                <w:color w:val="auto"/>
              </w:rPr>
            </w:pPr>
            <w:r>
              <w:rPr>
                <w:rFonts w:ascii="Arial" w:cs="Arial" w:eastAsia="Arial" w:hAnsi="Arial"/>
                <w:sz w:val="16"/>
                <w:szCs w:val="16"/>
                <w:color w:val="auto"/>
                <w:w w:val="91"/>
              </w:rPr>
              <w:t>President</w:t>
            </w:r>
          </w:p>
        </w:tc>
      </w:tr>
      <w:tr>
        <w:trPr>
          <w:trHeight w:val="196"/>
        </w:trPr>
        <w:tc>
          <w:tcPr>
            <w:tcW w:w="1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2"/>
          </w:tcPr>
          <w:p>
            <w:pPr>
              <w:jc w:val="center"/>
              <w:ind w:right="200"/>
              <w:spacing w:after="0"/>
              <w:rPr>
                <w:sz w:val="20"/>
                <w:szCs w:val="20"/>
                <w:color w:val="auto"/>
              </w:rPr>
            </w:pPr>
            <w:r>
              <w:rPr>
                <w:rFonts w:ascii="Arial" w:cs="Arial" w:eastAsia="Arial" w:hAnsi="Arial"/>
                <w:sz w:val="16"/>
                <w:szCs w:val="16"/>
                <w:color w:val="auto"/>
              </w:rPr>
              <w:t>Envoy Global</w:t>
            </w: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color w:val="auto"/>
              </w:rPr>
              <w:t>Immigration</w:t>
            </w:r>
          </w:p>
        </w:tc>
        <w:tc>
          <w:tcPr>
            <w:tcW w:w="2260" w:type="dxa"/>
            <w:vAlign w:val="bottom"/>
          </w:tcPr>
          <w:p>
            <w:pPr>
              <w:jc w:val="center"/>
              <w:spacing w:after="0"/>
              <w:rPr>
                <w:sz w:val="20"/>
                <w:szCs w:val="20"/>
                <w:color w:val="auto"/>
              </w:rPr>
            </w:pPr>
            <w:r>
              <w:rPr>
                <w:rFonts w:ascii="Arial" w:cs="Arial" w:eastAsia="Arial" w:hAnsi="Arial"/>
                <w:sz w:val="16"/>
                <w:szCs w:val="16"/>
                <w:color w:val="auto"/>
              </w:rPr>
              <w:t>Director</w:t>
            </w:r>
          </w:p>
        </w:tc>
      </w:tr>
      <w:tr>
        <w:trPr>
          <w:trHeight w:val="207"/>
        </w:trPr>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services</w:t>
            </w:r>
          </w:p>
        </w:tc>
        <w:tc>
          <w:tcPr>
            <w:tcW w:w="2260" w:type="dxa"/>
            <w:vAlign w:val="bottom"/>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2"/>
          </w:tcPr>
          <w:p>
            <w:pPr>
              <w:jc w:val="center"/>
              <w:ind w:right="200"/>
              <w:spacing w:after="0"/>
              <w:rPr>
                <w:sz w:val="20"/>
                <w:szCs w:val="20"/>
                <w:color w:val="auto"/>
              </w:rPr>
            </w:pPr>
            <w:r>
              <w:rPr>
                <w:rFonts w:ascii="Arial" w:cs="Arial" w:eastAsia="Arial" w:hAnsi="Arial"/>
                <w:sz w:val="16"/>
                <w:szCs w:val="16"/>
                <w:color w:val="auto"/>
              </w:rPr>
              <w:t>Clarivate Analytics</w:t>
            </w: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color w:val="auto"/>
              </w:rPr>
              <w:t>Information</w:t>
            </w:r>
          </w:p>
        </w:tc>
        <w:tc>
          <w:tcPr>
            <w:tcW w:w="2260" w:type="dxa"/>
            <w:vAlign w:val="bottom"/>
          </w:tcPr>
          <w:p>
            <w:pPr>
              <w:jc w:val="center"/>
              <w:spacing w:after="0"/>
              <w:rPr>
                <w:sz w:val="20"/>
                <w:szCs w:val="20"/>
                <w:color w:val="auto"/>
              </w:rPr>
            </w:pPr>
            <w:r>
              <w:rPr>
                <w:rFonts w:ascii="Arial" w:cs="Arial" w:eastAsia="Arial" w:hAnsi="Arial"/>
                <w:sz w:val="16"/>
                <w:szCs w:val="16"/>
                <w:color w:val="auto"/>
              </w:rPr>
              <w:t>Director</w:t>
            </w:r>
          </w:p>
        </w:tc>
      </w:tr>
      <w:tr>
        <w:trPr>
          <w:trHeight w:val="196"/>
        </w:trPr>
        <w:tc>
          <w:tcPr>
            <w:tcW w:w="1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services &amp;</w:t>
            </w:r>
          </w:p>
        </w:tc>
        <w:tc>
          <w:tcPr>
            <w:tcW w:w="2260" w:type="dxa"/>
            <w:vAlign w:val="bottom"/>
          </w:tcPr>
          <w:p>
            <w:pPr>
              <w:spacing w:after="0"/>
              <w:rPr>
                <w:sz w:val="17"/>
                <w:szCs w:val="17"/>
                <w:color w:val="auto"/>
              </w:rPr>
            </w:pPr>
          </w:p>
        </w:tc>
      </w:tr>
      <w:tr>
        <w:trPr>
          <w:trHeight w:val="207"/>
        </w:trPr>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color w:val="auto"/>
                <w:w w:val="99"/>
              </w:rPr>
              <w:t>analytics</w:t>
            </w:r>
          </w:p>
        </w:tc>
        <w:tc>
          <w:tcPr>
            <w:tcW w:w="2260" w:type="dxa"/>
            <w:vAlign w:val="bottom"/>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2"/>
          </w:tcPr>
          <w:p>
            <w:pPr>
              <w:jc w:val="center"/>
              <w:ind w:right="200"/>
              <w:spacing w:after="0"/>
              <w:rPr>
                <w:sz w:val="20"/>
                <w:szCs w:val="20"/>
                <w:color w:val="auto"/>
              </w:rPr>
            </w:pPr>
            <w:r>
              <w:rPr>
                <w:rFonts w:ascii="Arial" w:cs="Arial" w:eastAsia="Arial" w:hAnsi="Arial"/>
                <w:sz w:val="16"/>
                <w:szCs w:val="16"/>
                <w:color w:val="auto"/>
              </w:rPr>
              <w:t>Churchill Capital Corp II</w:t>
            </w:r>
          </w:p>
        </w:tc>
        <w:tc>
          <w:tcPr>
            <w:tcW w:w="146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Blank check</w:t>
            </w:r>
          </w:p>
        </w:tc>
        <w:tc>
          <w:tcPr>
            <w:tcW w:w="2260" w:type="dxa"/>
            <w:vAlign w:val="bottom"/>
          </w:tcPr>
          <w:p>
            <w:pPr>
              <w:jc w:val="center"/>
              <w:spacing w:after="0"/>
              <w:rPr>
                <w:sz w:val="20"/>
                <w:szCs w:val="20"/>
                <w:color w:val="auto"/>
              </w:rPr>
            </w:pPr>
            <w:r>
              <w:rPr>
                <w:rFonts w:ascii="Arial" w:cs="Arial" w:eastAsia="Arial" w:hAnsi="Arial"/>
                <w:sz w:val="16"/>
                <w:szCs w:val="16"/>
                <w:color w:val="auto"/>
              </w:rPr>
              <w:t>Director</w:t>
            </w:r>
          </w:p>
        </w:tc>
      </w:tr>
      <w:tr>
        <w:trPr>
          <w:trHeight w:val="207"/>
        </w:trPr>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company</w:t>
            </w:r>
          </w:p>
        </w:tc>
        <w:tc>
          <w:tcPr>
            <w:tcW w:w="2260" w:type="dxa"/>
            <w:vAlign w:val="bottom"/>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2"/>
          </w:tcPr>
          <w:p>
            <w:pPr>
              <w:jc w:val="center"/>
              <w:ind w:right="180"/>
              <w:spacing w:after="0"/>
              <w:rPr>
                <w:sz w:val="20"/>
                <w:szCs w:val="20"/>
                <w:color w:val="auto"/>
              </w:rPr>
            </w:pPr>
            <w:r>
              <w:rPr>
                <w:rFonts w:ascii="Arial" w:cs="Arial" w:eastAsia="Arial" w:hAnsi="Arial"/>
                <w:sz w:val="16"/>
                <w:szCs w:val="16"/>
                <w:color w:val="auto"/>
              </w:rPr>
              <w:t>Churchill Capital Corp III</w:t>
            </w:r>
          </w:p>
        </w:tc>
        <w:tc>
          <w:tcPr>
            <w:tcW w:w="146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Blank check</w:t>
            </w:r>
          </w:p>
        </w:tc>
        <w:tc>
          <w:tcPr>
            <w:tcW w:w="2260" w:type="dxa"/>
            <w:vAlign w:val="bottom"/>
          </w:tcPr>
          <w:p>
            <w:pPr>
              <w:jc w:val="center"/>
              <w:spacing w:after="0"/>
              <w:rPr>
                <w:sz w:val="20"/>
                <w:szCs w:val="20"/>
                <w:color w:val="auto"/>
              </w:rPr>
            </w:pPr>
            <w:r>
              <w:rPr>
                <w:rFonts w:ascii="Arial" w:cs="Arial" w:eastAsia="Arial" w:hAnsi="Arial"/>
                <w:sz w:val="16"/>
                <w:szCs w:val="16"/>
                <w:color w:val="auto"/>
              </w:rPr>
              <w:t>Director</w:t>
            </w:r>
          </w:p>
        </w:tc>
      </w:tr>
      <w:tr>
        <w:trPr>
          <w:trHeight w:val="207"/>
        </w:trPr>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company</w:t>
            </w:r>
          </w:p>
        </w:tc>
        <w:tc>
          <w:tcPr>
            <w:tcW w:w="2260" w:type="dxa"/>
            <w:vAlign w:val="bottom"/>
          </w:tcPr>
          <w:p>
            <w:pPr>
              <w:spacing w:after="0"/>
              <w:rPr>
                <w:sz w:val="18"/>
                <w:szCs w:val="18"/>
                <w:color w:val="auto"/>
              </w:rPr>
            </w:pPr>
          </w:p>
        </w:tc>
      </w:tr>
    </w:tbl>
    <w:p>
      <w:pPr>
        <w:spacing w:after="0" w:line="355" w:lineRule="exact"/>
        <w:rPr>
          <w:sz w:val="20"/>
          <w:szCs w:val="20"/>
          <w:color w:val="auto"/>
        </w:rPr>
      </w:pPr>
    </w:p>
    <w:p>
      <w:pPr>
        <w:ind w:left="1140" w:right="1579" w:firstLine="326"/>
        <w:spacing w:after="0" w:line="260" w:lineRule="auto"/>
        <w:rPr>
          <w:sz w:val="20"/>
          <w:szCs w:val="20"/>
          <w:color w:val="auto"/>
        </w:rPr>
      </w:pPr>
      <w:r>
        <w:rPr>
          <w:rFonts w:ascii="Arial" w:cs="Arial" w:eastAsia="Arial" w:hAnsi="Arial"/>
          <w:sz w:val="16"/>
          <w:szCs w:val="16"/>
          <w:color w:val="auto"/>
        </w:rPr>
        <w:t>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(including as described in “Proposed Business — Sourcing of Potential Business Combination Targets”). These conflicts may not be resolved in our favor and a potential target business may be presented to another entity prior to its presentation to us.</w:t>
      </w:r>
    </w:p>
    <w:p>
      <w:pPr>
        <w:spacing w:after="0" w:line="72" w:lineRule="exact"/>
        <w:rPr>
          <w:sz w:val="20"/>
          <w:szCs w:val="20"/>
          <w:color w:val="auto"/>
        </w:rPr>
      </w:pPr>
    </w:p>
    <w:p>
      <w:pPr>
        <w:ind w:left="1140" w:right="1599" w:firstLine="326"/>
        <w:spacing w:after="0" w:line="259" w:lineRule="auto"/>
        <w:rPr>
          <w:sz w:val="20"/>
          <w:szCs w:val="20"/>
          <w:color w:val="auto"/>
        </w:rPr>
      </w:pPr>
      <w:r>
        <w:rPr>
          <w:rFonts w:ascii="Arial" w:cs="Arial" w:eastAsia="Arial" w:hAnsi="Arial"/>
          <w:sz w:val="16"/>
          <w:szCs w:val="16"/>
          <w:color w:val="auto"/>
        </w:rPr>
        <w:t>We do not believe, however, that the fiduciary, contractual or other obligations or duties of our officers or directors, M. Klein and Company, or policies applicable to M. Klein and Company, will materially affect our ability to complete our initial business combination.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75" w:lineRule="exact"/>
        <w:rPr>
          <w:sz w:val="20"/>
          <w:szCs w:val="20"/>
          <w:color w:val="auto"/>
        </w:rPr>
      </w:pPr>
    </w:p>
    <w:p>
      <w:pPr>
        <w:ind w:left="1140" w:right="1619" w:firstLine="326"/>
        <w:spacing w:after="0" w:line="259" w:lineRule="auto"/>
        <w:rPr>
          <w:sz w:val="20"/>
          <w:szCs w:val="20"/>
          <w:color w:val="auto"/>
        </w:rPr>
      </w:pPr>
      <w:r>
        <w:rPr>
          <w:rFonts w:ascii="Arial" w:cs="Arial" w:eastAsia="Arial" w:hAnsi="Arial"/>
          <w:sz w:val="16"/>
          <w:szCs w:val="16"/>
          <w:color w:val="auto"/>
        </w:rPr>
        <w:t>We are not prohibited from pursuing an initial business combination with a company that is affiliated with M. Klein and Company, one of our Strategic and Operating Partners, our sponsor, officers or directors. In the event we seek to complete our initial business combination with a business that is affiliated with M. Klein and Company, one of our Strategic and Operating Partners, our sponsor, officers or directors, we, or a committee of independent and disinterested directors, will obtain an opinion from an independent investment banking firm that is a member of FINRA or from an independent accounting firm, that such initial business combination is fair to our company from a financial point of view. We are not required to obtain such an opinion in any other context.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3" w:name="page124"/>
    <w:bookmarkEnd w:id="123"/>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719" w:firstLine="326"/>
        <w:spacing w:after="0" w:line="262" w:lineRule="auto"/>
        <w:rPr>
          <w:sz w:val="20"/>
          <w:szCs w:val="20"/>
          <w:color w:val="auto"/>
        </w:rPr>
      </w:pPr>
      <w:r>
        <w:rPr>
          <w:rFonts w:ascii="Arial" w:cs="Arial" w:eastAsia="Arial" w:hAnsi="Arial"/>
          <w:sz w:val="16"/>
          <w:szCs w:val="16"/>
          <w:color w:val="auto"/>
        </w:rPr>
        <w:t>In addition, our sponsor or any of its affiliates, or any of their respective clients, may make additional investments in the company in connection with the initial business combination, although our sponsor and its affiliates have no obligation or current intention to do so. If our sponsor or any of its affiliates elects to make additional investments, such proposed investments could influence our sponsor’s motivation to complete an initial business combination.</w:t>
      </w:r>
    </w:p>
    <w:p>
      <w:pPr>
        <w:spacing w:after="0" w:line="72" w:lineRule="exact"/>
        <w:rPr>
          <w:sz w:val="20"/>
          <w:szCs w:val="20"/>
          <w:color w:val="auto"/>
        </w:rPr>
      </w:pPr>
    </w:p>
    <w:p>
      <w:pPr>
        <w:ind w:left="1140" w:right="1579" w:firstLine="326"/>
        <w:spacing w:after="0" w:line="262" w:lineRule="auto"/>
        <w:rPr>
          <w:sz w:val="20"/>
          <w:szCs w:val="20"/>
          <w:color w:val="auto"/>
        </w:rPr>
      </w:pPr>
      <w:r>
        <w:rPr>
          <w:rFonts w:ascii="Arial" w:cs="Arial" w:eastAsia="Arial" w:hAnsi="Arial"/>
          <w:sz w:val="16"/>
          <w:szCs w:val="16"/>
          <w:color w:val="auto"/>
        </w:rPr>
        <w:t>In the event that we submit our initial business combination to our public stockholders for a vote, our initial stockholders, officers and directors have agreed to vote any founder shares and any public shares held by them in favor of our initial business combination, and our officers and directors have also agreed to vote public shares purchased by them (if any) during or after this offering in favor of our initial business combination.</w:t>
      </w:r>
    </w:p>
    <w:p>
      <w:pPr>
        <w:spacing w:after="0" w:line="15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Limitation on Liability and Indemnification of Officers and Directors</w:t>
      </w:r>
    </w:p>
    <w:p>
      <w:pPr>
        <w:spacing w:after="0" w:line="101" w:lineRule="exact"/>
        <w:rPr>
          <w:sz w:val="20"/>
          <w:szCs w:val="20"/>
          <w:color w:val="auto"/>
        </w:rPr>
      </w:pPr>
    </w:p>
    <w:p>
      <w:pPr>
        <w:ind w:left="1140" w:right="1699" w:firstLine="326"/>
        <w:spacing w:after="0" w:line="261" w:lineRule="auto"/>
        <w:rPr>
          <w:sz w:val="20"/>
          <w:szCs w:val="20"/>
          <w:color w:val="auto"/>
        </w:rPr>
      </w:pPr>
      <w:r>
        <w:rPr>
          <w:rFonts w:ascii="Arial" w:cs="Arial" w:eastAsia="Arial" w:hAnsi="Arial"/>
          <w:sz w:val="16"/>
          <w:szCs w:val="16"/>
          <w:color w:val="auto"/>
        </w:rPr>
        <w:t>Our amended and restated certificate of incorporation will provide that our officers and directors will be indemnified by us to the fullest extent authorized by Delaware law, as it now exists or may in the future be amended. In addition, our amended and restated certificate of incorporation will provide that our directors will not be personally liable for monetary damages to us or stockholders for breaches of their fiduciary duty as directors, except to the extent such exemption from liability or limitation thereof is not permitted by the DGCL.</w:t>
      </w:r>
    </w:p>
    <w:p>
      <w:pPr>
        <w:spacing w:after="0" w:line="71" w:lineRule="exact"/>
        <w:rPr>
          <w:sz w:val="20"/>
          <w:szCs w:val="20"/>
          <w:color w:val="auto"/>
        </w:rPr>
      </w:pPr>
    </w:p>
    <w:p>
      <w:pPr>
        <w:ind w:left="1140" w:right="1579" w:firstLine="326"/>
        <w:spacing w:after="0" w:line="260" w:lineRule="auto"/>
        <w:rPr>
          <w:sz w:val="20"/>
          <w:szCs w:val="20"/>
          <w:color w:val="auto"/>
        </w:rPr>
      </w:pPr>
      <w:r>
        <w:rPr>
          <w:rFonts w:ascii="Arial" w:cs="Arial" w:eastAsia="Arial" w:hAnsi="Arial"/>
          <w:sz w:val="16"/>
          <w:szCs w:val="16"/>
          <w:color w:val="auto"/>
        </w:rPr>
        <w:t>We will enter into agreements with our officers and directors to provide contractual indemnification in addition to the indemnification provided for in our amended and restated certificate of incorporation. Our bylaws also permit us to maintain insurance on behalf of any officer, director or employee for any liability arising out of his or her actions, regardless of whether Delaware law would permit such indemnification. We will obtain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72" w:lineRule="exact"/>
        <w:rPr>
          <w:sz w:val="20"/>
          <w:szCs w:val="20"/>
          <w:color w:val="auto"/>
        </w:rPr>
      </w:pPr>
    </w:p>
    <w:p>
      <w:pPr>
        <w:ind w:left="1140" w:right="1559" w:firstLine="326"/>
        <w:spacing w:after="0" w:line="261" w:lineRule="auto"/>
        <w:rPr>
          <w:sz w:val="20"/>
          <w:szCs w:val="20"/>
          <w:color w:val="auto"/>
        </w:rPr>
      </w:pPr>
      <w:r>
        <w:rPr>
          <w:rFonts w:ascii="Arial" w:cs="Arial" w:eastAsia="Arial" w:hAnsi="Arial"/>
          <w:sz w:val="16"/>
          <w:szCs w:val="16"/>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71" w:lineRule="exact"/>
        <w:rPr>
          <w:sz w:val="20"/>
          <w:szCs w:val="20"/>
          <w:color w:val="auto"/>
        </w:rPr>
      </w:pPr>
    </w:p>
    <w:p>
      <w:pPr>
        <w:ind w:left="1140" w:right="1759" w:firstLine="326"/>
        <w:spacing w:after="0" w:line="285" w:lineRule="auto"/>
        <w:rPr>
          <w:sz w:val="20"/>
          <w:szCs w:val="20"/>
          <w:color w:val="auto"/>
        </w:rPr>
      </w:pPr>
      <w:r>
        <w:rPr>
          <w:rFonts w:ascii="Arial" w:cs="Arial" w:eastAsia="Arial" w:hAnsi="Arial"/>
          <w:sz w:val="16"/>
          <w:szCs w:val="16"/>
          <w:color w:val="auto"/>
        </w:rPr>
        <w:t>We believe that these provisions, the insurance and the indemnity agreements are necessary to attract and retain talented and experienced officers and directors.</w:t>
      </w:r>
    </w:p>
    <w:p>
      <w:pPr>
        <w:spacing w:after="0" w:line="52" w:lineRule="exact"/>
        <w:rPr>
          <w:sz w:val="20"/>
          <w:szCs w:val="20"/>
          <w:color w:val="auto"/>
        </w:rPr>
      </w:pPr>
    </w:p>
    <w:p>
      <w:pPr>
        <w:ind w:left="1140" w:right="1739" w:firstLine="326"/>
        <w:spacing w:after="0" w:line="288" w:lineRule="auto"/>
        <w:rPr>
          <w:sz w:val="20"/>
          <w:szCs w:val="20"/>
          <w:color w:val="auto"/>
        </w:rPr>
      </w:pPr>
      <w:r>
        <w:rPr>
          <w:rFonts w:ascii="Arial" w:cs="Arial" w:eastAsia="Arial" w:hAnsi="Arial"/>
          <w:sz w:val="15"/>
          <w:szCs w:val="15"/>
          <w:color w:val="auto"/>
        </w:rPr>
        <w:t>In connection with this registration statement, we have undertaken that 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4" w:name="page125"/>
    <w:bookmarkEnd w:id="124"/>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PRINCIPAL STOCKHOLDERS</w:t>
      </w:r>
    </w:p>
    <w:p>
      <w:pPr>
        <w:spacing w:after="0" w:line="101" w:lineRule="exact"/>
        <w:rPr>
          <w:sz w:val="20"/>
          <w:szCs w:val="20"/>
          <w:color w:val="auto"/>
        </w:rPr>
      </w:pPr>
    </w:p>
    <w:p>
      <w:pPr>
        <w:jc w:val="both"/>
        <w:ind w:left="1140" w:right="1699" w:firstLine="326"/>
        <w:spacing w:after="0" w:line="270" w:lineRule="auto"/>
        <w:rPr>
          <w:sz w:val="20"/>
          <w:szCs w:val="20"/>
          <w:color w:val="auto"/>
        </w:rPr>
      </w:pPr>
      <w:r>
        <w:rPr>
          <w:rFonts w:ascii="Arial" w:cs="Arial" w:eastAsia="Arial" w:hAnsi="Arial"/>
          <w:sz w:val="16"/>
          <w:szCs w:val="16"/>
          <w:color w:val="auto"/>
        </w:rPr>
        <w:t>The following table sets forth information regarding the beneficial ownership of our common stock as of the date of this prospectus, and as adjusted to reflect the sale of our common stock included in the units offered by this prospectus, and assuming no purchase of units in this offering, by:</w:t>
      </w:r>
    </w:p>
    <w:p>
      <w:pPr>
        <w:spacing w:after="0" w:line="76" w:lineRule="exact"/>
        <w:rPr>
          <w:sz w:val="20"/>
          <w:szCs w:val="20"/>
          <w:color w:val="auto"/>
        </w:rPr>
      </w:pPr>
    </w:p>
    <w:p>
      <w:pPr>
        <w:ind w:left="1800" w:right="1659" w:hanging="335"/>
        <w:spacing w:after="0" w:line="285" w:lineRule="auto"/>
        <w:tabs>
          <w:tab w:leader="none" w:pos="18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each person known by us to be the beneficial owner of more than 5% of our outstanding shares of common stock;</w:t>
      </w:r>
    </w:p>
    <w:p>
      <w:pPr>
        <w:spacing w:after="0" w:line="64" w:lineRule="exact"/>
        <w:rPr>
          <w:rFonts w:ascii="Arial" w:cs="Arial" w:eastAsia="Arial" w:hAnsi="Arial"/>
          <w:sz w:val="16"/>
          <w:szCs w:val="16"/>
          <w:color w:val="auto"/>
        </w:rPr>
      </w:pPr>
    </w:p>
    <w:p>
      <w:pPr>
        <w:ind w:left="1800" w:hanging="335"/>
        <w:spacing w:after="0"/>
        <w:tabs>
          <w:tab w:leader="none" w:pos="18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each of our executive officers, directors and director nominees; and</w:t>
      </w:r>
    </w:p>
    <w:p>
      <w:pPr>
        <w:spacing w:after="0" w:line="121" w:lineRule="exact"/>
        <w:rPr>
          <w:rFonts w:ascii="Arial" w:cs="Arial" w:eastAsia="Arial" w:hAnsi="Arial"/>
          <w:sz w:val="16"/>
          <w:szCs w:val="16"/>
          <w:color w:val="auto"/>
        </w:rPr>
      </w:pPr>
    </w:p>
    <w:p>
      <w:pPr>
        <w:ind w:left="1800" w:hanging="335"/>
        <w:spacing w:after="0"/>
        <w:tabs>
          <w:tab w:leader="none" w:pos="18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all our executive officers, directors and director nominees as a group.</w:t>
      </w:r>
    </w:p>
    <w:p>
      <w:pPr>
        <w:spacing w:after="0" w:line="110" w:lineRule="exact"/>
        <w:rPr>
          <w:sz w:val="20"/>
          <w:szCs w:val="20"/>
          <w:color w:val="auto"/>
        </w:rPr>
      </w:pPr>
    </w:p>
    <w:p>
      <w:pPr>
        <w:ind w:left="1140" w:right="1639" w:firstLine="326"/>
        <w:spacing w:after="0" w:line="265" w:lineRule="auto"/>
        <w:rPr>
          <w:sz w:val="20"/>
          <w:szCs w:val="20"/>
          <w:color w:val="auto"/>
        </w:rPr>
      </w:pPr>
      <w:r>
        <w:rPr>
          <w:rFonts w:ascii="Arial" w:cs="Arial" w:eastAsia="Arial" w:hAnsi="Arial"/>
          <w:sz w:val="16"/>
          <w:szCs w:val="16"/>
          <w:color w:val="auto"/>
        </w:rPr>
        <w:t>Unless otherwise indicated, we believe that all persons named in the table have sole voting and investment power with respect to all shares of common stock beneficially owned by them. The following table does not reflect record or beneficial ownership of the private placement warrants as these warrants are not exercisable within 60 days of the date of this prospectus.</w:t>
      </w:r>
    </w:p>
    <w:p>
      <w:pPr>
        <w:spacing w:after="0" w:line="68" w:lineRule="exact"/>
        <w:rPr>
          <w:sz w:val="20"/>
          <w:szCs w:val="20"/>
          <w:color w:val="auto"/>
        </w:rPr>
      </w:pPr>
    </w:p>
    <w:p>
      <w:pPr>
        <w:jc w:val="both"/>
        <w:ind w:left="1140" w:right="1779" w:firstLine="326"/>
        <w:spacing w:after="0" w:line="296" w:lineRule="auto"/>
        <w:rPr>
          <w:sz w:val="20"/>
          <w:szCs w:val="20"/>
          <w:color w:val="auto"/>
        </w:rPr>
      </w:pPr>
      <w:r>
        <w:rPr>
          <w:rFonts w:ascii="Arial" w:cs="Arial" w:eastAsia="Arial" w:hAnsi="Arial"/>
          <w:sz w:val="15"/>
          <w:szCs w:val="15"/>
          <w:color w:val="auto"/>
        </w:rPr>
        <w:t>The post-offering ownership percentage column below assumes that the underwriters do not exercise their option to purchase additional units, that our sponsor forfeits 5,625,000 founder shares and that there are 187,500,000 shares of our common stock issued and outstanding after this offering.</w:t>
      </w:r>
    </w:p>
    <w:p>
      <w:pPr>
        <w:spacing w:after="0" w:line="73"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Approximate</w:t>
            </w:r>
          </w:p>
        </w:tc>
        <w:tc>
          <w:tcPr>
            <w:tcW w:w="0" w:type="dxa"/>
            <w:vAlign w:val="bottom"/>
          </w:tcPr>
          <w:p>
            <w:pPr>
              <w:spacing w:after="0"/>
              <w:rPr>
                <w:sz w:val="1"/>
                <w:szCs w:val="1"/>
                <w:color w:val="auto"/>
              </w:rPr>
            </w:pPr>
          </w:p>
        </w:tc>
      </w:tr>
      <w:tr>
        <w:trPr>
          <w:trHeight w:val="147"/>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spacing w:after="0" w:line="147" w:lineRule="exact"/>
              <w:rPr>
                <w:sz w:val="20"/>
                <w:szCs w:val="20"/>
                <w:color w:val="auto"/>
              </w:rPr>
            </w:pPr>
            <w:r>
              <w:rPr>
                <w:rFonts w:ascii="Arial" w:cs="Arial" w:eastAsia="Arial" w:hAnsi="Arial"/>
                <w:sz w:val="13"/>
                <w:szCs w:val="13"/>
                <w:b w:val="1"/>
                <w:bCs w:val="1"/>
                <w:color w:val="auto"/>
                <w:w w:val="83"/>
              </w:rPr>
              <w:t>Percentage of</w:t>
            </w:r>
          </w:p>
        </w:tc>
        <w:tc>
          <w:tcPr>
            <w:tcW w:w="0" w:type="dxa"/>
            <w:vAlign w:val="bottom"/>
          </w:tcPr>
          <w:p>
            <w:pPr>
              <w:spacing w:after="0"/>
              <w:rPr>
                <w:sz w:val="1"/>
                <w:szCs w:val="1"/>
                <w:color w:val="auto"/>
              </w:rPr>
            </w:pPr>
          </w:p>
        </w:tc>
      </w:tr>
      <w:tr>
        <w:trPr>
          <w:trHeight w:val="147"/>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spacing w:after="0" w:line="147" w:lineRule="exact"/>
              <w:rPr>
                <w:sz w:val="20"/>
                <w:szCs w:val="20"/>
                <w:color w:val="auto"/>
              </w:rPr>
            </w:pPr>
            <w:r>
              <w:rPr>
                <w:rFonts w:ascii="Arial" w:cs="Arial" w:eastAsia="Arial" w:hAnsi="Arial"/>
                <w:sz w:val="13"/>
                <w:szCs w:val="13"/>
                <w:b w:val="1"/>
                <w:bCs w:val="1"/>
                <w:color w:val="auto"/>
                <w:w w:val="88"/>
              </w:rPr>
              <w:t>Outstanding</w:t>
            </w:r>
          </w:p>
        </w:tc>
        <w:tc>
          <w:tcPr>
            <w:tcW w:w="0" w:type="dxa"/>
            <w:vAlign w:val="bottom"/>
          </w:tcPr>
          <w:p>
            <w:pPr>
              <w:spacing w:after="0"/>
              <w:rPr>
                <w:sz w:val="1"/>
                <w:szCs w:val="1"/>
                <w:color w:val="auto"/>
              </w:rPr>
            </w:pPr>
          </w:p>
        </w:tc>
      </w:tr>
      <w:tr>
        <w:trPr>
          <w:trHeight w:val="168"/>
        </w:trPr>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5"/>
              </w:rPr>
              <w:t>Common Stock</w:t>
            </w: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4620" w:type="dxa"/>
            <w:vAlign w:val="bottom"/>
            <w:vMerge w:val="restart"/>
          </w:tcPr>
          <w:p>
            <w:pPr>
              <w:spacing w:after="0"/>
              <w:rPr>
                <w:sz w:val="20"/>
                <w:szCs w:val="20"/>
                <w:color w:val="auto"/>
              </w:rPr>
            </w:pPr>
            <w:r>
              <w:rPr>
                <w:rFonts w:ascii="Arial" w:cs="Arial" w:eastAsia="Arial" w:hAnsi="Arial"/>
                <w:sz w:val="13"/>
                <w:szCs w:val="13"/>
                <w:b w:val="1"/>
                <w:bCs w:val="1"/>
                <w:color w:val="auto"/>
              </w:rPr>
              <w:t>Name and Address of Beneficial Owner</w:t>
            </w:r>
            <w:r>
              <w:rPr>
                <w:rFonts w:ascii="Arial" w:cs="Arial" w:eastAsia="Arial" w:hAnsi="Arial"/>
                <w:sz w:val="19"/>
                <w:szCs w:val="19"/>
                <w:b w:val="1"/>
                <w:bCs w:val="1"/>
                <w:color w:val="auto"/>
                <w:vertAlign w:val="superscript"/>
              </w:rPr>
              <w:t>(1)</w:t>
            </w:r>
          </w:p>
        </w:tc>
        <w:tc>
          <w:tcPr>
            <w:tcW w:w="200" w:type="dxa"/>
            <w:vAlign w:val="bottom"/>
            <w:vMerge w:val="restart"/>
          </w:tcPr>
          <w:p>
            <w:pPr>
              <w:spacing w:after="0"/>
              <w:rPr>
                <w:sz w:val="13"/>
                <w:szCs w:val="13"/>
                <w:color w:val="auto"/>
              </w:rPr>
            </w:pPr>
          </w:p>
        </w:tc>
        <w:tc>
          <w:tcPr>
            <w:tcW w:w="1360" w:type="dxa"/>
            <w:vAlign w:val="bottom"/>
            <w:gridSpan w:val="2"/>
          </w:tcPr>
          <w:p>
            <w:pPr>
              <w:ind w:left="80"/>
              <w:spacing w:after="0"/>
              <w:rPr>
                <w:sz w:val="20"/>
                <w:szCs w:val="20"/>
                <w:color w:val="auto"/>
              </w:rPr>
            </w:pPr>
            <w:r>
              <w:rPr>
                <w:rFonts w:ascii="Arial" w:cs="Arial" w:eastAsia="Arial" w:hAnsi="Arial"/>
                <w:sz w:val="13"/>
                <w:szCs w:val="13"/>
                <w:b w:val="1"/>
                <w:bCs w:val="1"/>
                <w:color w:val="auto"/>
              </w:rPr>
              <w:t>Number of Shares</w:t>
            </w:r>
          </w:p>
        </w:tc>
        <w:tc>
          <w:tcPr>
            <w:tcW w:w="6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2"/>
              </w:rPr>
              <w:t>Before</w:t>
            </w:r>
          </w:p>
        </w:tc>
        <w:tc>
          <w:tcPr>
            <w:tcW w:w="600" w:type="dxa"/>
            <w:vAlign w:val="bottom"/>
          </w:tcPr>
          <w:p>
            <w:pPr>
              <w:jc w:val="right"/>
              <w:ind w:right="81"/>
              <w:spacing w:after="0"/>
              <w:rPr>
                <w:sz w:val="20"/>
                <w:szCs w:val="20"/>
                <w:color w:val="auto"/>
              </w:rPr>
            </w:pPr>
            <w:r>
              <w:rPr>
                <w:rFonts w:ascii="Arial" w:cs="Arial" w:eastAsia="Arial" w:hAnsi="Arial"/>
                <w:sz w:val="13"/>
                <w:szCs w:val="13"/>
                <w:b w:val="1"/>
                <w:bCs w:val="1"/>
                <w:color w:val="auto"/>
              </w:rPr>
              <w:t>After</w:t>
            </w:r>
          </w:p>
        </w:tc>
        <w:tc>
          <w:tcPr>
            <w:tcW w:w="0" w:type="dxa"/>
            <w:vAlign w:val="bottom"/>
          </w:tcPr>
          <w:p>
            <w:pPr>
              <w:spacing w:after="0"/>
              <w:rPr>
                <w:sz w:val="1"/>
                <w:szCs w:val="1"/>
                <w:color w:val="auto"/>
              </w:rPr>
            </w:pPr>
          </w:p>
        </w:tc>
      </w:tr>
      <w:tr>
        <w:trPr>
          <w:trHeight w:val="208"/>
        </w:trPr>
        <w:tc>
          <w:tcPr>
            <w:tcW w:w="46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160" w:type="dxa"/>
            <w:vAlign w:val="bottom"/>
          </w:tcPr>
          <w:p>
            <w:pPr>
              <w:jc w:val="right"/>
              <w:spacing w:after="0" w:line="208" w:lineRule="exact"/>
              <w:rPr>
                <w:sz w:val="20"/>
                <w:szCs w:val="20"/>
                <w:color w:val="auto"/>
              </w:rPr>
            </w:pPr>
            <w:r>
              <w:rPr>
                <w:rFonts w:ascii="Arial" w:cs="Arial" w:eastAsia="Arial" w:hAnsi="Arial"/>
                <w:sz w:val="13"/>
                <w:szCs w:val="13"/>
                <w:b w:val="1"/>
                <w:bCs w:val="1"/>
                <w:color w:val="auto"/>
                <w:w w:val="84"/>
              </w:rPr>
              <w:t>Beneficially Owned</w:t>
            </w:r>
            <w:r>
              <w:rPr>
                <w:rFonts w:ascii="Arial" w:cs="Arial" w:eastAsia="Arial" w:hAnsi="Arial"/>
                <w:sz w:val="19"/>
                <w:szCs w:val="19"/>
                <w:b w:val="1"/>
                <w:bCs w:val="1"/>
                <w:color w:val="auto"/>
                <w:w w:val="84"/>
                <w:vertAlign w:val="superscript"/>
              </w:rPr>
              <w:t>(2)</w:t>
            </w:r>
          </w:p>
        </w:tc>
        <w:tc>
          <w:tcPr>
            <w:tcW w:w="2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0"/>
              </w:rPr>
              <w:t>Offering</w:t>
            </w:r>
          </w:p>
        </w:tc>
        <w:tc>
          <w:tcPr>
            <w:tcW w:w="600" w:type="dxa"/>
            <w:vAlign w:val="bottom"/>
          </w:tcPr>
          <w:p>
            <w:pPr>
              <w:jc w:val="right"/>
              <w:spacing w:after="0" w:line="208" w:lineRule="exact"/>
              <w:rPr>
                <w:sz w:val="20"/>
                <w:szCs w:val="20"/>
                <w:color w:val="auto"/>
              </w:rPr>
            </w:pPr>
            <w:r>
              <w:rPr>
                <w:rFonts w:ascii="Arial" w:cs="Arial" w:eastAsia="Arial" w:hAnsi="Arial"/>
                <w:sz w:val="13"/>
                <w:szCs w:val="13"/>
                <w:b w:val="1"/>
                <w:bCs w:val="1"/>
                <w:color w:val="auto"/>
                <w:w w:val="84"/>
              </w:rPr>
              <w:t>Offering</w:t>
            </w:r>
            <w:r>
              <w:rPr>
                <w:rFonts w:ascii="Arial" w:cs="Arial" w:eastAsia="Arial" w:hAnsi="Arial"/>
                <w:sz w:val="19"/>
                <w:szCs w:val="19"/>
                <w:b w:val="1"/>
                <w:bCs w:val="1"/>
                <w:color w:val="auto"/>
                <w:w w:val="84"/>
                <w:vertAlign w:val="superscript"/>
              </w:rPr>
              <w:t>(2)</w:t>
            </w:r>
          </w:p>
        </w:tc>
        <w:tc>
          <w:tcPr>
            <w:tcW w:w="0" w:type="dxa"/>
            <w:vAlign w:val="bottom"/>
          </w:tcPr>
          <w:p>
            <w:pPr>
              <w:spacing w:after="0"/>
              <w:rPr>
                <w:sz w:val="1"/>
                <w:szCs w:val="1"/>
                <w:color w:val="auto"/>
              </w:rPr>
            </w:pPr>
          </w:p>
        </w:tc>
      </w:tr>
      <w:tr>
        <w:trPr>
          <w:trHeight w:val="20"/>
        </w:trPr>
        <w:tc>
          <w:tcPr>
            <w:tcW w:w="46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shd w:val="clear" w:color="auto" w:fill="CCEEFF"/>
          </w:tcPr>
          <w:p>
            <w:pPr>
              <w:spacing w:after="0" w:line="236" w:lineRule="exact"/>
              <w:rPr>
                <w:sz w:val="20"/>
                <w:szCs w:val="20"/>
                <w:color w:val="auto"/>
              </w:rPr>
            </w:pPr>
            <w:r>
              <w:rPr>
                <w:rFonts w:ascii="Arial" w:cs="Arial" w:eastAsia="Arial" w:hAnsi="Arial"/>
                <w:sz w:val="16"/>
                <w:szCs w:val="16"/>
                <w:color w:val="auto"/>
              </w:rPr>
              <w:t>Churchill Sponsor IV LLC</w:t>
            </w:r>
            <w:r>
              <w:rPr>
                <w:rFonts w:ascii="Arial" w:cs="Arial" w:eastAsia="Arial" w:hAnsi="Arial"/>
                <w:sz w:val="24"/>
                <w:szCs w:val="24"/>
                <w:color w:val="auto"/>
                <w:vertAlign w:val="superscript"/>
              </w:rPr>
              <w:t>(3)</w:t>
            </w:r>
          </w:p>
        </w:tc>
        <w:tc>
          <w:tcPr>
            <w:tcW w:w="200" w:type="dxa"/>
            <w:vAlign w:val="bottom"/>
            <w:vMerge w:val="continue"/>
            <w:shd w:val="clear" w:color="auto" w:fill="CCEEFF"/>
          </w:tcPr>
          <w:p>
            <w:pPr>
              <w:spacing w:after="0"/>
              <w:rPr>
                <w:sz w:val="20"/>
                <w:szCs w:val="20"/>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43,125,000</w:t>
            </w: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9"/>
              </w:rPr>
              <w:t>100.0%</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45"/>
        </w:trPr>
        <w:tc>
          <w:tcPr>
            <w:tcW w:w="4820" w:type="dxa"/>
            <w:vAlign w:val="bottom"/>
            <w:gridSpan w:val="2"/>
          </w:tcPr>
          <w:p>
            <w:pPr>
              <w:spacing w:after="0" w:line="244" w:lineRule="exact"/>
              <w:rPr>
                <w:sz w:val="20"/>
                <w:szCs w:val="20"/>
                <w:color w:val="auto"/>
              </w:rPr>
            </w:pPr>
            <w:r>
              <w:rPr>
                <w:rFonts w:ascii="Arial" w:cs="Arial" w:eastAsia="Arial" w:hAnsi="Arial"/>
                <w:sz w:val="16"/>
                <w:szCs w:val="16"/>
                <w:color w:val="auto"/>
              </w:rPr>
              <w:t>Michael Klein</w:t>
            </w:r>
            <w:r>
              <w:rPr>
                <w:rFonts w:ascii="Arial" w:cs="Arial" w:eastAsia="Arial" w:hAnsi="Arial"/>
                <w:sz w:val="24"/>
                <w:szCs w:val="24"/>
                <w:color w:val="auto"/>
                <w:vertAlign w:val="superscript"/>
              </w:rPr>
              <w:t>(3)</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43,125,000</w:t>
            </w:r>
          </w:p>
        </w:tc>
        <w:tc>
          <w:tcPr>
            <w:tcW w:w="2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w w:val="99"/>
              </w:rPr>
              <w:t>100.0%</w:t>
            </w:r>
          </w:p>
        </w:tc>
        <w:tc>
          <w:tcPr>
            <w:tcW w:w="600" w:type="dxa"/>
            <w:vAlign w:val="bottom"/>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32"/>
        </w:trPr>
        <w:tc>
          <w:tcPr>
            <w:tcW w:w="4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Jay Taragin</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4820" w:type="dxa"/>
            <w:vAlign w:val="bottom"/>
            <w:gridSpan w:val="2"/>
          </w:tcPr>
          <w:p>
            <w:pPr>
              <w:spacing w:after="0"/>
              <w:rPr>
                <w:sz w:val="20"/>
                <w:szCs w:val="20"/>
                <w:color w:val="auto"/>
              </w:rPr>
            </w:pPr>
            <w:r>
              <w:rPr>
                <w:rFonts w:ascii="Arial" w:cs="Arial" w:eastAsia="Arial" w:hAnsi="Arial"/>
                <w:sz w:val="16"/>
                <w:szCs w:val="16"/>
                <w:color w:val="auto"/>
              </w:rPr>
              <w:t>Glenn R. August</w:t>
            </w:r>
          </w:p>
        </w:tc>
        <w:tc>
          <w:tcPr>
            <w:tcW w:w="13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William J. Bynum</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4820" w:type="dxa"/>
            <w:vAlign w:val="bottom"/>
            <w:gridSpan w:val="2"/>
          </w:tcPr>
          <w:p>
            <w:pPr>
              <w:spacing w:after="0"/>
              <w:rPr>
                <w:sz w:val="20"/>
                <w:szCs w:val="20"/>
                <w:color w:val="auto"/>
              </w:rPr>
            </w:pPr>
            <w:r>
              <w:rPr>
                <w:rFonts w:ascii="Arial" w:cs="Arial" w:eastAsia="Arial" w:hAnsi="Arial"/>
                <w:sz w:val="16"/>
                <w:szCs w:val="16"/>
                <w:color w:val="auto"/>
              </w:rPr>
              <w:t>Bonnie Jonas</w:t>
            </w:r>
          </w:p>
        </w:tc>
        <w:tc>
          <w:tcPr>
            <w:tcW w:w="13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Mark Klein</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4820" w:type="dxa"/>
            <w:vAlign w:val="bottom"/>
            <w:gridSpan w:val="2"/>
          </w:tcPr>
          <w:p>
            <w:pPr>
              <w:spacing w:after="0"/>
              <w:rPr>
                <w:sz w:val="20"/>
                <w:szCs w:val="20"/>
                <w:color w:val="auto"/>
              </w:rPr>
            </w:pPr>
            <w:r>
              <w:rPr>
                <w:rFonts w:ascii="Arial" w:cs="Arial" w:eastAsia="Arial" w:hAnsi="Arial"/>
                <w:sz w:val="16"/>
                <w:szCs w:val="16"/>
                <w:color w:val="auto"/>
              </w:rPr>
              <w:t>Malcolm S. McDermid</w:t>
            </w:r>
          </w:p>
        </w:tc>
        <w:tc>
          <w:tcPr>
            <w:tcW w:w="13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5"/>
        </w:trPr>
        <w:tc>
          <w:tcPr>
            <w:tcW w:w="4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Karen G. Mills</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4820" w:type="dxa"/>
            <w:vAlign w:val="bottom"/>
            <w:gridSpan w:val="2"/>
          </w:tcPr>
          <w:p>
            <w:pPr>
              <w:spacing w:after="0"/>
              <w:rPr>
                <w:sz w:val="20"/>
                <w:szCs w:val="20"/>
                <w:color w:val="auto"/>
              </w:rPr>
            </w:pPr>
            <w:r>
              <w:rPr>
                <w:rFonts w:ascii="Arial" w:cs="Arial" w:eastAsia="Arial" w:hAnsi="Arial"/>
                <w:sz w:val="16"/>
                <w:szCs w:val="16"/>
                <w:color w:val="auto"/>
              </w:rPr>
              <w:t>All directors and executive officers as a group (8 individuals)</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43,125,000</w:t>
            </w:r>
          </w:p>
        </w:tc>
        <w:tc>
          <w:tcPr>
            <w:tcW w:w="2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w w:val="99"/>
              </w:rPr>
              <w:t>100.0%</w:t>
            </w:r>
          </w:p>
        </w:tc>
        <w:tc>
          <w:tcPr>
            <w:tcW w:w="600" w:type="dxa"/>
            <w:vAlign w:val="bottom"/>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4946015</wp:posOffset>
            </wp:positionH>
            <wp:positionV relativeFrom="paragraph">
              <wp:posOffset>-1520825</wp:posOffset>
            </wp:positionV>
            <wp:extent cx="12446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4460" cy="7620"/>
                    </a:xfrm>
                    <a:prstGeom prst="rect">
                      <a:avLst/>
                    </a:prstGeom>
                    <a:noFill/>
                  </pic:spPr>
                </pic:pic>
              </a:graphicData>
            </a:graphic>
          </wp:anchor>
        </w:drawing>
        <w:drawing>
          <wp:anchor simplePos="0" relativeHeight="251657728" behindDoc="1" locked="0" layoutInCell="0" allowOverlap="1">
            <wp:simplePos x="0" y="0"/>
            <wp:positionH relativeFrom="column">
              <wp:posOffset>4526280</wp:posOffset>
            </wp:positionH>
            <wp:positionV relativeFrom="paragraph">
              <wp:posOffset>-1520825</wp:posOffset>
            </wp:positionV>
            <wp:extent cx="12446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4460" cy="762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-1520825</wp:posOffset>
            </wp:positionV>
            <wp:extent cx="12446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4460" cy="762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132715</wp:posOffset>
            </wp:positionV>
            <wp:extent cx="1118235"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18235" cy="7620"/>
                    </a:xfrm>
                    <a:prstGeom prst="rect">
                      <a:avLst/>
                    </a:prstGeom>
                    <a:noFill/>
                  </pic:spPr>
                </pic:pic>
              </a:graphicData>
            </a:graphic>
          </wp:anchor>
        </w:drawing>
      </w:r>
    </w:p>
    <w:p>
      <w:pPr>
        <w:spacing w:after="0" w:line="335" w:lineRule="exact"/>
        <w:rPr>
          <w:sz w:val="20"/>
          <w:szCs w:val="20"/>
          <w:color w:val="auto"/>
        </w:rPr>
      </w:pPr>
    </w:p>
    <w:p>
      <w:pPr>
        <w:ind w:left="1460" w:right="2239" w:hanging="321"/>
        <w:spacing w:after="0" w:line="289" w:lineRule="auto"/>
        <w:tabs>
          <w:tab w:leader="none" w:pos="14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Unless otherwise noted, the business address of each of the following entities or individuals is c/o Churchill Capital Corp IV, 640 Fifth Avenue, 12</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Floor, New York, NY 10019.</w:t>
      </w:r>
    </w:p>
    <w:p>
      <w:pPr>
        <w:spacing w:after="0" w:line="1" w:lineRule="exact"/>
        <w:rPr>
          <w:rFonts w:ascii="Arial" w:cs="Arial" w:eastAsia="Arial" w:hAnsi="Arial"/>
          <w:sz w:val="15"/>
          <w:szCs w:val="15"/>
          <w:color w:val="auto"/>
        </w:rPr>
      </w:pPr>
    </w:p>
    <w:p>
      <w:pPr>
        <w:ind w:left="1460" w:right="1599" w:hanging="321"/>
        <w:spacing w:after="0" w:line="265" w:lineRule="auto"/>
        <w:tabs>
          <w:tab w:leader="none" w:pos="1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Interests shown consist solely of shares of Class B common stock which are referred to herein as founder shares. Such shares will automatically convert into shares of Class A common stock at the time of our initial business combination on a one-for-one basis, subject to adjustment, as described in the section entitled “Description of Securities.”</w:t>
      </w:r>
    </w:p>
    <w:p>
      <w:pPr>
        <w:spacing w:after="0" w:line="80" w:lineRule="exact"/>
        <w:rPr>
          <w:rFonts w:ascii="Arial" w:cs="Arial" w:eastAsia="Arial" w:hAnsi="Arial"/>
          <w:sz w:val="16"/>
          <w:szCs w:val="16"/>
          <w:color w:val="auto"/>
        </w:rPr>
      </w:pPr>
    </w:p>
    <w:p>
      <w:pPr>
        <w:jc w:val="both"/>
        <w:ind w:left="1460" w:right="1739" w:hanging="321"/>
        <w:spacing w:after="0" w:line="270" w:lineRule="auto"/>
        <w:tabs>
          <w:tab w:leader="none" w:pos="1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Michael Klein is the sole stockholder of M. Klein Associates, Inc., which is the managing member of Churchill Sponsor IV LLC. The shares beneficially owned by Churchill Sponsor IV LLC may also be deemed to be beneficially owned by Mr. Klein.</w:t>
      </w:r>
    </w:p>
    <w:p>
      <w:pPr>
        <w:spacing w:after="0" w:line="64" w:lineRule="exact"/>
        <w:rPr>
          <w:sz w:val="20"/>
          <w:szCs w:val="20"/>
          <w:color w:val="auto"/>
        </w:rPr>
      </w:pPr>
    </w:p>
    <w:p>
      <w:pPr>
        <w:ind w:left="1140" w:right="1719" w:firstLine="326"/>
        <w:spacing w:after="0" w:line="260" w:lineRule="auto"/>
        <w:rPr>
          <w:sz w:val="20"/>
          <w:szCs w:val="20"/>
          <w:color w:val="auto"/>
        </w:rPr>
      </w:pPr>
      <w:r>
        <w:rPr>
          <w:rFonts w:ascii="Arial" w:cs="Arial" w:eastAsia="Arial" w:hAnsi="Arial"/>
          <w:sz w:val="16"/>
          <w:szCs w:val="16"/>
          <w:color w:val="auto"/>
        </w:rPr>
        <w:t>Upon the completion of this offering, our initial stockholders will beneficially own 20.0% of the then issued and outstanding shares of our common stock. Our initial stockholders will have the right to elect all of our directors prior to the consummation of our initial business combination as a result of holding all of the founder shares. In addition, because of this ownership block, our initial stockholders may be able to effectively influence the outcome of all matters requiring approval by our stockholders, including amendments to our amended and restated certificate of incorporation and approval of significant corporate transactions.</w:t>
      </w:r>
    </w:p>
    <w:p>
      <w:pPr>
        <w:spacing w:after="0" w:line="231"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5" w:name="page126"/>
    <w:bookmarkEnd w:id="125"/>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559" w:firstLine="326"/>
        <w:spacing w:after="0" w:line="257" w:lineRule="auto"/>
        <w:rPr>
          <w:sz w:val="20"/>
          <w:szCs w:val="20"/>
          <w:color w:val="auto"/>
        </w:rPr>
      </w:pPr>
      <w:r>
        <w:rPr>
          <w:rFonts w:ascii="Arial" w:cs="Arial" w:eastAsia="Arial" w:hAnsi="Arial"/>
          <w:sz w:val="16"/>
          <w:szCs w:val="16"/>
          <w:color w:val="auto"/>
        </w:rPr>
        <w:t>Our sponsor has subscribed to purchase an aggregate of 31,350,000 (or 35,850,000 if the underwriters’ option to purchase additional units is exercised in full) private placement warrants at a price of $1.00 per warrant ($31,350,000 in the aggregate or $35,850,000 in the aggregate if the underwriters’ option to purchase additional units is exercised in full) in the Private Placement. Each private placement warrant entitles the holder thereof to purchase one share of our Class A common stock at $11.50 per share, subject to adjustment as provided herein. Proceeds from the private placement warrants will be added to the proceeds from this offering to be held in the trust account. If we do not complete our initial business combination within the completion window, the proceeds of the sale of the private placement warrants held in the trust account will be used to fund the redemption of our public shares, and the private placement warrants will expire worthless. The private placement warrants are subject to the transfer restrictions described below. The private placement warrants will not be redeemable by us so long as they are held by our sponsor or its permitted transferees. If the private placement warrants are held by holders other than our sponsor or its permitted transferees, the private placement warrants will be redeemable by us and exercisable by the holders on the same basis as the warrants included in the units being sold in this offering. Otherwise, the private placement warrants have terms and provisions that are identical to those of the warrants being sold as part of the units in this offering.</w:t>
      </w:r>
    </w:p>
    <w:p>
      <w:pPr>
        <w:spacing w:after="0" w:line="77" w:lineRule="exact"/>
        <w:rPr>
          <w:sz w:val="20"/>
          <w:szCs w:val="20"/>
          <w:color w:val="auto"/>
        </w:rPr>
      </w:pPr>
    </w:p>
    <w:p>
      <w:pPr>
        <w:jc w:val="both"/>
        <w:ind w:left="1140" w:right="1679" w:firstLine="326"/>
        <w:spacing w:after="0" w:line="270" w:lineRule="auto"/>
        <w:rPr>
          <w:sz w:val="20"/>
          <w:szCs w:val="20"/>
          <w:color w:val="auto"/>
        </w:rPr>
      </w:pPr>
      <w:r>
        <w:rPr>
          <w:rFonts w:ascii="Arial" w:cs="Arial" w:eastAsia="Arial" w:hAnsi="Arial"/>
          <w:sz w:val="16"/>
          <w:szCs w:val="16"/>
          <w:color w:val="auto"/>
        </w:rPr>
        <w:t>Our sponsor is deemed to be our “promoter” as such term is defined under the federal securities laws. Please see “Certain Relationships and Related Party Transactions” for additional information regarding our relationships with our promoters.</w:t>
      </w:r>
    </w:p>
    <w:p>
      <w:pPr>
        <w:spacing w:after="0" w:line="14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Transfers of Founder Shares and Private Placement Warrants</w:t>
      </w:r>
    </w:p>
    <w:p>
      <w:pPr>
        <w:spacing w:after="0" w:line="101" w:lineRule="exact"/>
        <w:rPr>
          <w:sz w:val="20"/>
          <w:szCs w:val="20"/>
          <w:color w:val="auto"/>
        </w:rPr>
      </w:pPr>
    </w:p>
    <w:p>
      <w:pPr>
        <w:ind w:left="1140" w:right="1579" w:firstLine="326"/>
        <w:spacing w:after="0" w:line="276" w:lineRule="auto"/>
        <w:rPr>
          <w:sz w:val="20"/>
          <w:szCs w:val="20"/>
          <w:color w:val="auto"/>
        </w:rPr>
      </w:pPr>
      <w:r>
        <w:rPr>
          <w:rFonts w:ascii="Arial" w:cs="Arial" w:eastAsia="Arial" w:hAnsi="Arial"/>
          <w:sz w:val="15"/>
          <w:szCs w:val="15"/>
          <w:color w:val="auto"/>
        </w:rPr>
        <w:t>The founder shares, private placement warrants and any shares of Class A common stock issued upon conversion or exercise thereof are each subject to transfer restrictions pursuant to lock-up provisions in the letter agreement with us to be entered into by our initial stockholders. Those lock-up provisions provide that such securities are not transferable or salable (1) in the case of the founder shares, until the earlier of</w:t>
      </w:r>
    </w:p>
    <w:p>
      <w:pPr>
        <w:spacing w:after="0" w:line="1" w:lineRule="exact"/>
        <w:rPr>
          <w:sz w:val="20"/>
          <w:szCs w:val="20"/>
          <w:color w:val="auto"/>
        </w:rPr>
      </w:pPr>
    </w:p>
    <w:p>
      <w:pPr>
        <w:ind w:left="1140" w:right="1579" w:hanging="1"/>
        <w:spacing w:after="0" w:line="272" w:lineRule="auto"/>
        <w:tabs>
          <w:tab w:leader="none" w:pos="14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one year after the completion of our initial business combination and (B) subsequent to our initial business combination, (x) if the closing price of the Class A common stock equals or exceeds $12.00 per share (as adjusted for stock splits, stock dividends,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stock exchange, reorganization or other similar transaction that results in all of our public stockholders having the right to exchange their shares of Class A common stock for cash, securities or other property, and (2) in the case of the private placement warrants and the respective Class A common stock underlying such warrants, until 30 days after the completion of our initial business combination, except in each case (a) to our officers or directors, any affiliates or family members of any of our officers or directors, any members of our sponsor, or any affiliates of our sponsor, (b) in the case of an individual, by gift to a member of the individual’s immediate family or to a trust, the beneficiary of which is a member of the individual’s immediate family or an affiliate of such person, or to a charitable organization;</w:t>
      </w:r>
    </w:p>
    <w:p>
      <w:pPr>
        <w:spacing w:after="0" w:line="2"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6"/>
          <w:szCs w:val="16"/>
          <w:color w:val="auto"/>
        </w:rPr>
        <w:t>(c) in the case of an individual, by virtue of laws of descent and distribution upon death of the individual;</w:t>
      </w:r>
    </w:p>
    <w:p>
      <w:pPr>
        <w:spacing w:after="0" w:line="11" w:lineRule="exact"/>
        <w:rPr>
          <w:rFonts w:ascii="Arial" w:cs="Arial" w:eastAsia="Arial" w:hAnsi="Arial"/>
          <w:sz w:val="15"/>
          <w:szCs w:val="15"/>
          <w:color w:val="auto"/>
        </w:rPr>
      </w:pPr>
    </w:p>
    <w:p>
      <w:pPr>
        <w:ind w:left="1140" w:right="1599"/>
        <w:spacing w:after="0" w:line="272" w:lineRule="auto"/>
        <w:rPr>
          <w:rFonts w:ascii="Arial" w:cs="Arial" w:eastAsia="Arial" w:hAnsi="Arial"/>
          <w:sz w:val="15"/>
          <w:szCs w:val="15"/>
          <w:color w:val="auto"/>
        </w:rPr>
      </w:pPr>
      <w:r>
        <w:rPr>
          <w:rFonts w:ascii="Arial" w:cs="Arial" w:eastAsia="Arial" w:hAnsi="Arial"/>
          <w:sz w:val="15"/>
          <w:szCs w:val="15"/>
          <w:color w:val="auto"/>
        </w:rPr>
        <w:t>(d) in the case of an individual, pursuant to a qualified domestic relations order; (e) transfers by private sales or transfers made in connection with consummation of a business combination at prices no greater than the price at which the securities were originally purchased; (f) in the event of our liquidation prior to our completion of our initial business combination; (g) by virtue of the laws of Delaware or our sponsor’s limited liability company agreement, as amended, upon dissolution of our sponsor; or (h) in the event of our completion of a liquidation, merger, stock exchange, reorganization or other similar transaction which results in all of our public stockholders having the right to exchange their shares of Class A common stock for cash, securities or other property subsequent to our completion of our initial business combination; or</w:t>
      </w:r>
    </w:p>
    <w:p>
      <w:pPr>
        <w:spacing w:after="0" w:line="1" w:lineRule="exact"/>
        <w:rPr>
          <w:rFonts w:ascii="Arial" w:cs="Arial" w:eastAsia="Arial" w:hAnsi="Arial"/>
          <w:sz w:val="15"/>
          <w:szCs w:val="15"/>
          <w:color w:val="auto"/>
        </w:rPr>
      </w:pPr>
    </w:p>
    <w:p>
      <w:pPr>
        <w:ind w:left="1140" w:right="1799"/>
        <w:spacing w:after="0" w:line="272" w:lineRule="auto"/>
        <w:rPr>
          <w:rFonts w:ascii="Arial" w:cs="Arial" w:eastAsia="Arial" w:hAnsi="Arial"/>
          <w:sz w:val="15"/>
          <w:szCs w:val="15"/>
          <w:color w:val="auto"/>
        </w:rPr>
      </w:pPr>
      <w:r>
        <w:rPr>
          <w:rFonts w:ascii="Arial" w:cs="Arial" w:eastAsia="Arial" w:hAnsi="Arial"/>
          <w:sz w:val="15"/>
          <w:szCs w:val="15"/>
          <w:color w:val="auto"/>
        </w:rPr>
        <w:t>(i) to a nominee or custodian of a person or entity to whom a disposition or transfer would be permissible under clauses (a) through (h) above, provided, however, that in the case of clauses (a) through (e) and</w:t>
      </w:r>
    </w:p>
    <w:p>
      <w:pPr>
        <w:ind w:left="1140" w:right="1839"/>
        <w:spacing w:after="0" w:line="270" w:lineRule="auto"/>
        <w:rPr>
          <w:rFonts w:ascii="Arial" w:cs="Arial" w:eastAsia="Arial" w:hAnsi="Arial"/>
          <w:sz w:val="15"/>
          <w:szCs w:val="15"/>
          <w:color w:val="auto"/>
        </w:rPr>
      </w:pPr>
      <w:r>
        <w:rPr>
          <w:rFonts w:ascii="Arial" w:cs="Arial" w:eastAsia="Arial" w:hAnsi="Arial"/>
          <w:sz w:val="16"/>
          <w:szCs w:val="16"/>
          <w:color w:val="auto"/>
        </w:rPr>
        <w:t>(i) these permitted transferees must enter into a written agreement agreeing to be bound by these transfer restrictions and the other restrictions contained in the letter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6" w:name="page127"/>
    <w:bookmarkEnd w:id="126"/>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Registration Rights</w:t>
      </w:r>
    </w:p>
    <w:p>
      <w:pPr>
        <w:spacing w:after="0" w:line="101" w:lineRule="exact"/>
        <w:rPr>
          <w:sz w:val="20"/>
          <w:szCs w:val="20"/>
          <w:color w:val="auto"/>
        </w:rPr>
      </w:pPr>
    </w:p>
    <w:p>
      <w:pPr>
        <w:ind w:left="1140" w:right="1779" w:firstLine="326"/>
        <w:spacing w:after="0" w:line="258" w:lineRule="auto"/>
        <w:rPr>
          <w:sz w:val="20"/>
          <w:szCs w:val="20"/>
          <w:color w:val="auto"/>
        </w:rPr>
      </w:pPr>
      <w:r>
        <w:rPr>
          <w:rFonts w:ascii="Arial" w:cs="Arial" w:eastAsia="Arial" w:hAnsi="Arial"/>
          <w:sz w:val="16"/>
          <w:szCs w:val="16"/>
          <w:color w:val="auto"/>
        </w:rPr>
        <w:t>The holders of the founder shares, private placement warrants and warrants that may be issued upon conversion of working capital loans (and any shares of common stock issuable upon the exercise of the private placement warrants or warrants issued upon conversion of the working capital loans and upon conversion of the founder shares) will be entitled to registration rights pursuant to a registration rights agreement to be signed prior to or on the effective date of this offering requiring us to register such securities for resale (in the case of the founder shares, only after conversion to shares of Class A common stock). The holders of these securities will be entitled to make up to three demands, excluding short form registration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We will bear the expenses incurred in connection with the filing of any such registration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7" w:name="page128"/>
    <w:bookmarkEnd w:id="127"/>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320"/>
        <w:spacing w:after="0"/>
        <w:rPr>
          <w:sz w:val="20"/>
          <w:szCs w:val="20"/>
          <w:color w:val="auto"/>
        </w:rPr>
      </w:pPr>
      <w:r>
        <w:rPr>
          <w:rFonts w:ascii="Arial" w:cs="Arial" w:eastAsia="Arial" w:hAnsi="Arial"/>
          <w:sz w:val="16"/>
          <w:szCs w:val="16"/>
          <w:b w:val="1"/>
          <w:bCs w:val="1"/>
          <w:color w:val="auto"/>
        </w:rPr>
        <w:t>CERTAIN RELATIONSHIPS AND RELATED PARTY TRANSACTIONS</w:t>
      </w:r>
    </w:p>
    <w:p>
      <w:pPr>
        <w:spacing w:after="0" w:line="101" w:lineRule="exact"/>
        <w:rPr>
          <w:sz w:val="20"/>
          <w:szCs w:val="20"/>
          <w:color w:val="auto"/>
        </w:rPr>
      </w:pPr>
    </w:p>
    <w:p>
      <w:pPr>
        <w:ind w:left="1140" w:right="1639" w:firstLine="326"/>
        <w:spacing w:after="0" w:line="276" w:lineRule="auto"/>
        <w:rPr>
          <w:sz w:val="20"/>
          <w:szCs w:val="20"/>
          <w:color w:val="auto"/>
        </w:rPr>
      </w:pPr>
      <w:r>
        <w:rPr>
          <w:rFonts w:ascii="Arial" w:cs="Arial" w:eastAsia="Arial" w:hAnsi="Arial"/>
          <w:sz w:val="15"/>
          <w:szCs w:val="15"/>
          <w:color w:val="auto"/>
        </w:rPr>
        <w:t>In May 2020, our sponsor purchased an aggregate of 21,562,500 founder shares for an aggregate purchase price of $25,000, or approximately $0.001 per share. On July 14, 2020, we effected a stock dividend of one-third of a share of Class B common stock for each outstanding share of Class B common stock, resulting in our initial stockholders holding an aggregate of 28,750,000 founder shares. On July 27, 2020, we effected a stock dividend of 0.50 of a share of Class B common stock for each outstanding share of Class B common stock, resulting in our initial stockholders holding an aggregate of 43,125,000 founder shares. The number of founder shares issued was determined based on the expectation that the founder shares would represent 20% of the outstanding shares of common stock upon completion of this offering. If we increase or decrease the size of this offering, we will effect a stock dividend or share contribution back to capital or other appropriate mechanism, as applicable, with respect to our Class B common stock immediately prior to the consummation of this offering in such amount as to maintain the ownership of founder shares by our initial stockholders prior to this offering at 20% of our issued and outstanding shares of our common stock upon the consummation of this offering.</w:t>
      </w:r>
    </w:p>
    <w:p>
      <w:pPr>
        <w:spacing w:after="0" w:line="63" w:lineRule="exact"/>
        <w:rPr>
          <w:sz w:val="20"/>
          <w:szCs w:val="20"/>
          <w:color w:val="auto"/>
        </w:rPr>
      </w:pPr>
    </w:p>
    <w:p>
      <w:pPr>
        <w:ind w:left="1140" w:right="1639" w:firstLine="326"/>
        <w:spacing w:after="0" w:line="259" w:lineRule="auto"/>
        <w:rPr>
          <w:sz w:val="20"/>
          <w:szCs w:val="20"/>
          <w:color w:val="auto"/>
        </w:rPr>
      </w:pPr>
      <w:r>
        <w:rPr>
          <w:rFonts w:ascii="Arial" w:cs="Arial" w:eastAsia="Arial" w:hAnsi="Arial"/>
          <w:sz w:val="16"/>
          <w:szCs w:val="16"/>
          <w:color w:val="auto"/>
        </w:rPr>
        <w:t>Our sponsor has subscribed to purchase an aggregate of 31,350,000 (or 35,850,000 if the underwriters’ option to purchase additional units is exercised in full) private placement warrants for a purchase price of $1.00 per warrant in the Private Placement. As such, our sponsor’s interest in this transaction is valued at between $31,350,000 and $35,850,000, depending on the number of private placement warrants purchased. Each private placement warrant entitles the holder thereof to purchase one share of Class A common stock at a price of $11.50 per share, subject to adjustment as provided herein. The private placement warrants (including the Class A common stock issuable upon exercise of the private placement warrants) may not, subject to certain limited exceptions, be transferred, assigned or sold by our sponsor until 30 days after the completion of our initial business combination.</w:t>
      </w:r>
    </w:p>
    <w:p>
      <w:pPr>
        <w:spacing w:after="0" w:line="72" w:lineRule="exact"/>
        <w:rPr>
          <w:sz w:val="20"/>
          <w:szCs w:val="20"/>
          <w:color w:val="auto"/>
        </w:rPr>
      </w:pPr>
    </w:p>
    <w:p>
      <w:pPr>
        <w:ind w:left="1140" w:right="1739" w:firstLine="326"/>
        <w:spacing w:after="0" w:line="259" w:lineRule="auto"/>
        <w:rPr>
          <w:sz w:val="20"/>
          <w:szCs w:val="20"/>
          <w:color w:val="auto"/>
        </w:rPr>
      </w:pPr>
      <w:r>
        <w:rPr>
          <w:rFonts w:ascii="Arial" w:cs="Arial" w:eastAsia="Arial" w:hAnsi="Arial"/>
          <w:sz w:val="16"/>
          <w:szCs w:val="16"/>
          <w:color w:val="auto"/>
        </w:rPr>
        <w:t>As described in “Proposed Business — Sourcing of Potential Business Combination Targets” and “Management — Conflicts of Interest,”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Our officers and directors currently have other relevant fiduciary, contractual or other obligations or duties that may take priority over their duties to us.</w:t>
      </w:r>
    </w:p>
    <w:p>
      <w:pPr>
        <w:spacing w:after="0" w:line="75" w:lineRule="exact"/>
        <w:rPr>
          <w:sz w:val="20"/>
          <w:szCs w:val="20"/>
          <w:color w:val="auto"/>
        </w:rPr>
      </w:pPr>
    </w:p>
    <w:p>
      <w:pPr>
        <w:ind w:left="1140" w:right="1639" w:firstLine="326"/>
        <w:spacing w:after="0" w:line="260" w:lineRule="auto"/>
        <w:rPr>
          <w:sz w:val="20"/>
          <w:szCs w:val="20"/>
          <w:color w:val="auto"/>
        </w:rPr>
      </w:pPr>
      <w:r>
        <w:rPr>
          <w:rFonts w:ascii="Arial" w:cs="Arial" w:eastAsia="Arial" w:hAnsi="Arial"/>
          <w:sz w:val="16"/>
          <w:szCs w:val="16"/>
          <w:color w:val="auto"/>
        </w:rPr>
        <w:t>We will enter into an Administrative Services Agreement pursuant to which we will also pay an affiliate of our sponsor a total of $50,000 per month for office space, administrative and support services. Upon completion of our initial business combination or our liquidation, we will cease paying these monthly fees. Accordingly, in the event the consummation of our initial business combination takes the maximum 27 months, an affiliate of our sponsor will be paid a total of $1,350,000 ($50,000 per month) for office space, administrative and support services and will be entitled to be reimbursed for any out-of-pocket expenses.</w:t>
      </w:r>
    </w:p>
    <w:p>
      <w:pPr>
        <w:spacing w:after="0" w:line="72" w:lineRule="exact"/>
        <w:rPr>
          <w:sz w:val="20"/>
          <w:szCs w:val="20"/>
          <w:color w:val="auto"/>
        </w:rPr>
      </w:pPr>
    </w:p>
    <w:p>
      <w:pPr>
        <w:ind w:left="1140" w:right="1579" w:firstLine="326"/>
        <w:spacing w:after="0" w:line="265" w:lineRule="auto"/>
        <w:rPr>
          <w:sz w:val="20"/>
          <w:szCs w:val="20"/>
          <w:color w:val="auto"/>
        </w:rPr>
      </w:pPr>
      <w:r>
        <w:rPr>
          <w:rFonts w:ascii="Arial" w:cs="Arial" w:eastAsia="Arial" w:hAnsi="Arial"/>
          <w:sz w:val="16"/>
          <w:szCs w:val="16"/>
          <w:color w:val="auto"/>
        </w:rPr>
        <w:t>We may engage M. Klein and Company, or another affiliate of our sponsor, as our lead financial advisor in connection with our initial business combination and may pay such affiliate a customary financial advisory fee in an amount that constitutes a market standard financial advisory fee for comparable transactions.</w:t>
      </w:r>
    </w:p>
    <w:p>
      <w:pPr>
        <w:spacing w:after="0" w:line="68" w:lineRule="exact"/>
        <w:rPr>
          <w:sz w:val="20"/>
          <w:szCs w:val="20"/>
          <w:color w:val="auto"/>
        </w:rPr>
      </w:pPr>
    </w:p>
    <w:p>
      <w:pPr>
        <w:ind w:left="1140" w:right="1639" w:firstLine="326"/>
        <w:spacing w:after="0" w:line="260" w:lineRule="auto"/>
        <w:rPr>
          <w:sz w:val="20"/>
          <w:szCs w:val="20"/>
          <w:color w:val="auto"/>
        </w:rPr>
      </w:pPr>
      <w:r>
        <w:rPr>
          <w:rFonts w:ascii="Arial" w:cs="Arial" w:eastAsia="Arial" w:hAnsi="Arial"/>
          <w:sz w:val="16"/>
          <w:szCs w:val="16"/>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officers, directors or our or any of their respective affiliates and will determine which expenses and the amount of expenses that will be reimbursed. There is no cap or ceiling on the reimbursement of out-of-pocket expenses incurred by such persons in connection with activities on our behalf.</w:t>
      </w:r>
    </w:p>
    <w:p>
      <w:pPr>
        <w:spacing w:after="0" w:line="72" w:lineRule="exact"/>
        <w:rPr>
          <w:sz w:val="20"/>
          <w:szCs w:val="20"/>
          <w:color w:val="auto"/>
        </w:rPr>
      </w:pPr>
    </w:p>
    <w:p>
      <w:pPr>
        <w:ind w:left="1140" w:right="1639" w:firstLine="326"/>
        <w:spacing w:after="0" w:line="296" w:lineRule="auto"/>
        <w:rPr>
          <w:sz w:val="20"/>
          <w:szCs w:val="20"/>
          <w:color w:val="auto"/>
        </w:rPr>
      </w:pPr>
      <w:r>
        <w:rPr>
          <w:rFonts w:ascii="Arial" w:cs="Arial" w:eastAsia="Arial" w:hAnsi="Arial"/>
          <w:sz w:val="15"/>
          <w:szCs w:val="15"/>
          <w:color w:val="auto"/>
        </w:rPr>
        <w:t>Our sponsor has agreed to loan us up to $600,000 under an unsecured promissory note to be used for a portion of the expenses of this offering. As of July 27, 2020, there was $550,000 outstanding under such promissory note. These loans are non-interest bearing, unsecured and are due at the earlier of December 31,</w:t>
      </w:r>
    </w:p>
    <w:p>
      <w:pPr>
        <w:spacing w:after="0" w:line="206"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8" w:name="page129"/>
    <w:bookmarkEnd w:id="128"/>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659"/>
        <w:spacing w:after="0" w:line="265" w:lineRule="auto"/>
        <w:rPr>
          <w:sz w:val="20"/>
          <w:szCs w:val="20"/>
          <w:color w:val="auto"/>
        </w:rPr>
      </w:pPr>
      <w:r>
        <w:rPr>
          <w:rFonts w:ascii="Arial" w:cs="Arial" w:eastAsia="Arial" w:hAnsi="Arial"/>
          <w:sz w:val="16"/>
          <w:szCs w:val="16"/>
          <w:color w:val="auto"/>
        </w:rPr>
        <w:t>2021 and the closing of this offering. These loans will be repaid upon completion of this offering out of the $1,350,000 of offering proceeds that has been allocated for the payment of offering expenses (other than underwriting commissions) not held in the trust account. The value of our sponsor’s interest in this loan transaction corresponds to the principal amount outstanding under any such loan.</w:t>
      </w:r>
    </w:p>
    <w:p>
      <w:pPr>
        <w:spacing w:after="0" w:line="68" w:lineRule="exact"/>
        <w:rPr>
          <w:sz w:val="20"/>
          <w:szCs w:val="20"/>
          <w:color w:val="auto"/>
        </w:rPr>
      </w:pPr>
    </w:p>
    <w:p>
      <w:pPr>
        <w:ind w:left="1140" w:right="1619" w:firstLine="326"/>
        <w:spacing w:after="0" w:line="276" w:lineRule="auto"/>
        <w:rPr>
          <w:sz w:val="20"/>
          <w:szCs w:val="20"/>
          <w:color w:val="auto"/>
        </w:rPr>
      </w:pPr>
      <w:r>
        <w:rPr>
          <w:rFonts w:ascii="Arial" w:cs="Arial" w:eastAsia="Arial" w:hAnsi="Arial"/>
          <w:sz w:val="15"/>
          <w:szCs w:val="15"/>
          <w:color w:val="auto"/>
        </w:rPr>
        <w:t>In addition, in order to finance transaction costs in connection with an intended initial business combination, our sponsor, an affiliate of our sponsor or our officers and directors may, but none of them is obligated to, loan us funds as may be required. If we complete our initial business combination, we would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 issued to our sponsor. The terms of such loans by our sponsor, an affiliate of our sponsor or our officers and directors, if any, have not been determined and no written agreements exist with respect to such loans. We do not expect to seek loans from parties other than our sponsor, an affiliate of our sponsor or our officers and directors, if any, as we do not believe third parties will be willing to loan such funds and provide a waiver against any and all rights to seek access to funds in our trust account.</w:t>
      </w:r>
    </w:p>
    <w:p>
      <w:pPr>
        <w:spacing w:after="0" w:line="63" w:lineRule="exact"/>
        <w:rPr>
          <w:sz w:val="20"/>
          <w:szCs w:val="20"/>
          <w:color w:val="auto"/>
        </w:rPr>
      </w:pPr>
    </w:p>
    <w:p>
      <w:pPr>
        <w:ind w:left="1140" w:right="1679" w:firstLine="326"/>
        <w:spacing w:after="0" w:line="280" w:lineRule="auto"/>
        <w:rPr>
          <w:sz w:val="20"/>
          <w:szCs w:val="20"/>
          <w:color w:val="auto"/>
        </w:rPr>
      </w:pPr>
      <w:r>
        <w:rPr>
          <w:rFonts w:ascii="Arial" w:cs="Arial" w:eastAsia="Arial" w:hAnsi="Arial"/>
          <w:sz w:val="15"/>
          <w:szCs w:val="15"/>
          <w:color w:val="auto"/>
        </w:rPr>
        <w:t>After our initial business combination, members of our management team who remain with us, if any, may be paid consulting, management or other fees from the combined company with any and all amounts being fully disclosed to our stockholders, to the extent then known, in the tender offer or proxy solicitation materials, as applicable, furnished to our stockholders. It is unlikely the amount of such compensation will be known at the time of distribution of such tender offer materials or at the time of a stockholder meeting held to consider our initial business combination, as applicable, as it will be up to the directors of the post-combination business to determine executive officer and director compensation.</w:t>
      </w:r>
    </w:p>
    <w:p>
      <w:pPr>
        <w:spacing w:after="0" w:line="59" w:lineRule="exact"/>
        <w:rPr>
          <w:sz w:val="20"/>
          <w:szCs w:val="20"/>
          <w:color w:val="auto"/>
        </w:rPr>
      </w:pPr>
    </w:p>
    <w:p>
      <w:pPr>
        <w:jc w:val="both"/>
        <w:ind w:left="1140" w:right="2179" w:firstLine="326"/>
        <w:spacing w:after="0" w:line="270" w:lineRule="auto"/>
        <w:rPr>
          <w:sz w:val="20"/>
          <w:szCs w:val="20"/>
          <w:color w:val="auto"/>
        </w:rPr>
      </w:pPr>
      <w:r>
        <w:rPr>
          <w:rFonts w:ascii="Arial" w:cs="Arial" w:eastAsia="Arial" w:hAnsi="Arial"/>
          <w:sz w:val="16"/>
          <w:szCs w:val="16"/>
          <w:color w:val="auto"/>
        </w:rPr>
        <w:t>We have entered into a registration rights agreement with respect to the founder shares, private placement warrants and warrants issued upon conversion of working capital loans (if any), which is described under the heading “Principal Stockholders — Registration Rights.”</w:t>
      </w:r>
    </w:p>
    <w:p>
      <w:pPr>
        <w:spacing w:after="0" w:line="14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Related Party Policy</w:t>
      </w:r>
    </w:p>
    <w:p>
      <w:pPr>
        <w:spacing w:after="0" w:line="101" w:lineRule="exact"/>
        <w:rPr>
          <w:sz w:val="20"/>
          <w:szCs w:val="20"/>
          <w:color w:val="auto"/>
        </w:rPr>
      </w:pPr>
    </w:p>
    <w:p>
      <w:pPr>
        <w:ind w:left="1140" w:right="2019" w:firstLine="326"/>
        <w:spacing w:after="0" w:line="270" w:lineRule="auto"/>
        <w:rPr>
          <w:sz w:val="20"/>
          <w:szCs w:val="20"/>
          <w:color w:val="auto"/>
        </w:rPr>
      </w:pPr>
      <w:r>
        <w:rPr>
          <w:rFonts w:ascii="Arial" w:cs="Arial" w:eastAsia="Arial" w:hAnsi="Arial"/>
          <w:sz w:val="16"/>
          <w:szCs w:val="16"/>
          <w:color w:val="auto"/>
        </w:rPr>
        <w:t>We have not yet adopted a formal policy for the review, approval or ratification of related party transactions. Accordingly, the transactions discussed above were not reviewed, approved or ratified in accordance with any such policy.</w:t>
      </w:r>
    </w:p>
    <w:p>
      <w:pPr>
        <w:spacing w:after="0" w:line="64" w:lineRule="exact"/>
        <w:rPr>
          <w:sz w:val="20"/>
          <w:szCs w:val="20"/>
          <w:color w:val="auto"/>
        </w:rPr>
      </w:pPr>
    </w:p>
    <w:p>
      <w:pPr>
        <w:ind w:left="1140" w:right="1599" w:firstLine="326"/>
        <w:spacing w:after="0" w:line="284" w:lineRule="auto"/>
        <w:rPr>
          <w:sz w:val="20"/>
          <w:szCs w:val="20"/>
          <w:color w:val="auto"/>
        </w:rPr>
      </w:pPr>
      <w:r>
        <w:rPr>
          <w:rFonts w:ascii="Arial" w:cs="Arial" w:eastAsia="Arial" w:hAnsi="Arial"/>
          <w:sz w:val="15"/>
          <w:szCs w:val="15"/>
          <w:color w:val="auto"/>
        </w:rPr>
        <w:t>Prior to the consummation of this offering, we will adopt a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will include any financial transaction, arrangement or relationship (including any indebtedness or guarantee of indebtedness) involving the company.</w:t>
      </w:r>
    </w:p>
    <w:p>
      <w:pPr>
        <w:spacing w:after="0" w:line="56" w:lineRule="exact"/>
        <w:rPr>
          <w:sz w:val="20"/>
          <w:szCs w:val="20"/>
          <w:color w:val="auto"/>
        </w:rPr>
      </w:pPr>
    </w:p>
    <w:p>
      <w:pPr>
        <w:ind w:left="1140" w:right="1579" w:firstLine="326"/>
        <w:spacing w:after="0" w:line="279" w:lineRule="auto"/>
        <w:rPr>
          <w:sz w:val="20"/>
          <w:szCs w:val="20"/>
          <w:color w:val="auto"/>
        </w:rPr>
      </w:pPr>
      <w:r>
        <w:rPr>
          <w:rFonts w:ascii="Arial" w:cs="Arial" w:eastAsia="Arial" w:hAnsi="Arial"/>
          <w:sz w:val="15"/>
          <w:szCs w:val="15"/>
          <w:color w:val="auto"/>
        </w:rPr>
        <w:t>In addition, our audit committee, pursuant to a written charter that we will adopt prior to the consummation of this offering, will be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will be required to approve a related party transaction. Our audit committee will review on a quarterly basis all payments that were made by us to our sponsor, officers or directors, or our or any of their affiliates.</w:t>
      </w:r>
    </w:p>
    <w:p>
      <w:pPr>
        <w:spacing w:after="0" w:line="59" w:lineRule="exact"/>
        <w:rPr>
          <w:sz w:val="20"/>
          <w:szCs w:val="20"/>
          <w:color w:val="auto"/>
        </w:rPr>
      </w:pPr>
    </w:p>
    <w:p>
      <w:pPr>
        <w:ind w:left="1140" w:right="1859" w:firstLine="326"/>
        <w:spacing w:after="0" w:line="320" w:lineRule="auto"/>
        <w:rPr>
          <w:sz w:val="20"/>
          <w:szCs w:val="20"/>
          <w:color w:val="auto"/>
        </w:rPr>
      </w:pPr>
      <w:r>
        <w:rPr>
          <w:rFonts w:ascii="Arial" w:cs="Arial" w:eastAsia="Arial" w:hAnsi="Arial"/>
          <w:sz w:val="15"/>
          <w:szCs w:val="15"/>
          <w:color w:val="auto"/>
        </w:rPr>
        <w:t>These procedures are intended to determine whether any such related party transaction impairs the independence of a director or presents a conflict of interest on the part of a director, employee or officer.</w:t>
      </w:r>
    </w:p>
    <w:p>
      <w:pPr>
        <w:spacing w:after="0" w:line="29" w:lineRule="exact"/>
        <w:rPr>
          <w:sz w:val="20"/>
          <w:szCs w:val="20"/>
          <w:color w:val="auto"/>
        </w:rPr>
      </w:pPr>
    </w:p>
    <w:p>
      <w:pPr>
        <w:ind w:left="1140" w:right="1839" w:firstLine="326"/>
        <w:spacing w:after="0" w:line="288" w:lineRule="auto"/>
        <w:rPr>
          <w:sz w:val="20"/>
          <w:szCs w:val="20"/>
          <w:color w:val="auto"/>
        </w:rPr>
      </w:pPr>
      <w:r>
        <w:rPr>
          <w:rFonts w:ascii="Arial" w:cs="Arial" w:eastAsia="Arial" w:hAnsi="Arial"/>
          <w:sz w:val="15"/>
          <w:szCs w:val="15"/>
          <w:color w:val="auto"/>
        </w:rPr>
        <w:t>To further minimize conflicts of interest, we have agreed not to consummate an initial business combination with an entity that is affiliated with any of our sponsor, officers or directors unless we, or a committee of independent and disinterested directors, have obtained an opinion from an independent investment banking firm which is a member of FINRA or an independent accounting firm that our initial</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9" w:name="page130"/>
    <w:bookmarkEnd w:id="129"/>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579"/>
        <w:spacing w:after="0" w:line="260" w:lineRule="auto"/>
        <w:rPr>
          <w:sz w:val="20"/>
          <w:szCs w:val="20"/>
          <w:color w:val="auto"/>
        </w:rPr>
      </w:pPr>
      <w:r>
        <w:rPr>
          <w:rFonts w:ascii="Arial" w:cs="Arial" w:eastAsia="Arial" w:hAnsi="Arial"/>
          <w:sz w:val="16"/>
          <w:szCs w:val="16"/>
          <w:color w:val="auto"/>
        </w:rPr>
        <w:t>business combination is fair to our company from a financial point of view. There will be no finder’s fees, reimbursement, consulting fee, monies in respect of any payment of a loan or other compensation paid by us to our sponsor, officers or directors or our or any of their respective affiliates, for services rendered to us prior to or in connection with the completion of our initial business combination (regardless of the type of transaction that it is). However, the following payments may be made to our sponsor, officers or directors, or our or their affiliates, and, if made prior to our initial business combination will be made from (i) funds held outside the trust account or (ii) permitted withdrawals:</w:t>
      </w:r>
    </w:p>
    <w:p>
      <w:pPr>
        <w:spacing w:after="0" w:line="146" w:lineRule="exact"/>
        <w:rPr>
          <w:sz w:val="20"/>
          <w:szCs w:val="20"/>
          <w:color w:val="auto"/>
        </w:rPr>
      </w:pPr>
    </w:p>
    <w:p>
      <w:pPr>
        <w:ind w:left="1800" w:right="1599" w:hanging="335"/>
        <w:spacing w:after="0" w:line="285" w:lineRule="auto"/>
        <w:tabs>
          <w:tab w:leader="none" w:pos="18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repayment of an aggregate of up to $600,000 in loans made to us by our sponsor to cover offering-related and organizational expenses;</w:t>
      </w:r>
    </w:p>
    <w:p>
      <w:pPr>
        <w:spacing w:after="0" w:line="113" w:lineRule="exact"/>
        <w:rPr>
          <w:rFonts w:ascii="Arial" w:cs="Arial" w:eastAsia="Arial" w:hAnsi="Arial"/>
          <w:sz w:val="16"/>
          <w:szCs w:val="16"/>
          <w:color w:val="auto"/>
        </w:rPr>
      </w:pPr>
    </w:p>
    <w:p>
      <w:pPr>
        <w:jc w:val="both"/>
        <w:ind w:left="1800" w:right="1719" w:hanging="335"/>
        <w:spacing w:after="0" w:line="270" w:lineRule="auto"/>
        <w:tabs>
          <w:tab w:leader="none" w:pos="18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at the closing of our initial business combination, a customary financial advisory fee to M. Klein and Company, or another affiliate of our sponsor, in an amount that constitutes a market standard financial advisory fee for comparable transactions;</w:t>
      </w:r>
    </w:p>
    <w:p>
      <w:pPr>
        <w:spacing w:after="0" w:line="125" w:lineRule="exact"/>
        <w:rPr>
          <w:rFonts w:ascii="Arial" w:cs="Arial" w:eastAsia="Arial" w:hAnsi="Arial"/>
          <w:sz w:val="16"/>
          <w:szCs w:val="16"/>
          <w:color w:val="auto"/>
        </w:rPr>
      </w:pPr>
    </w:p>
    <w:p>
      <w:pPr>
        <w:ind w:left="1800" w:right="1879" w:hanging="335"/>
        <w:spacing w:after="0" w:line="285" w:lineRule="auto"/>
        <w:tabs>
          <w:tab w:leader="none" w:pos="18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payment to an affiliate of our sponsor of a total of $50,000 per month, for up to 27 months, for office space, administrative and support services;</w:t>
      </w:r>
    </w:p>
    <w:p>
      <w:pPr>
        <w:spacing w:after="0" w:line="125" w:lineRule="exact"/>
        <w:rPr>
          <w:rFonts w:ascii="Arial" w:cs="Arial" w:eastAsia="Arial" w:hAnsi="Arial"/>
          <w:sz w:val="16"/>
          <w:szCs w:val="16"/>
          <w:color w:val="auto"/>
        </w:rPr>
      </w:pPr>
    </w:p>
    <w:p>
      <w:pPr>
        <w:ind w:left="1800" w:right="1619" w:hanging="335"/>
        <w:spacing w:after="0" w:line="285" w:lineRule="auto"/>
        <w:tabs>
          <w:tab w:leader="none" w:pos="18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reimbursement for any out-of-pocket expenses related to identifying, investigating and completing an initial business combination; and</w:t>
      </w:r>
    </w:p>
    <w:p>
      <w:pPr>
        <w:spacing w:after="0" w:line="113" w:lineRule="exact"/>
        <w:rPr>
          <w:rFonts w:ascii="Arial" w:cs="Arial" w:eastAsia="Arial" w:hAnsi="Arial"/>
          <w:sz w:val="16"/>
          <w:szCs w:val="16"/>
          <w:color w:val="auto"/>
        </w:rPr>
      </w:pPr>
    </w:p>
    <w:p>
      <w:pPr>
        <w:ind w:left="1800" w:right="1639" w:hanging="335"/>
        <w:spacing w:after="0" w:line="284" w:lineRule="auto"/>
        <w:tabs>
          <w:tab w:leader="none" w:pos="18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repayment of loans which may be made by our sponsor, an affiliate of our sponsor or our officers and directors to finance transaction costs in connection with an intended initial business combination, the terms of which have not been determined nor have any written agreements been executed with respect thereto. Up to $1,500,000 of such loans may be convertible into warrants of the post-business combination entity at a price of $1.00 per warrant at the option of the lender.</w:t>
      </w:r>
    </w:p>
    <w:p>
      <w:pPr>
        <w:spacing w:after="0" w:line="56" w:lineRule="exact"/>
        <w:rPr>
          <w:sz w:val="20"/>
          <w:szCs w:val="20"/>
          <w:color w:val="auto"/>
        </w:rPr>
      </w:pPr>
    </w:p>
    <w:p>
      <w:pPr>
        <w:ind w:left="1140" w:right="1679" w:firstLine="326"/>
        <w:spacing w:after="0" w:line="270" w:lineRule="auto"/>
        <w:rPr>
          <w:sz w:val="20"/>
          <w:szCs w:val="20"/>
          <w:color w:val="auto"/>
        </w:rPr>
      </w:pPr>
      <w:r>
        <w:rPr>
          <w:rFonts w:ascii="Arial" w:cs="Arial" w:eastAsia="Arial" w:hAnsi="Arial"/>
          <w:sz w:val="16"/>
          <w:szCs w:val="16"/>
          <w:color w:val="auto"/>
        </w:rPr>
        <w:t>These payments may be made using funds that are not held in the trust account or, upon completion of the initial business combination, from any amounts remaining from the proceeds of the trust account released to us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0" w:name="page131"/>
    <w:bookmarkEnd w:id="130"/>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DESCRIPTION OF SECURITIES</w:t>
      </w:r>
    </w:p>
    <w:p>
      <w:pPr>
        <w:spacing w:after="0" w:line="101" w:lineRule="exact"/>
        <w:rPr>
          <w:sz w:val="20"/>
          <w:szCs w:val="20"/>
          <w:color w:val="auto"/>
        </w:rPr>
      </w:pPr>
    </w:p>
    <w:p>
      <w:pPr>
        <w:ind w:left="1140" w:right="1599" w:firstLine="326"/>
        <w:spacing w:after="0" w:line="262" w:lineRule="auto"/>
        <w:rPr>
          <w:sz w:val="20"/>
          <w:szCs w:val="20"/>
          <w:color w:val="auto"/>
        </w:rPr>
      </w:pPr>
      <w:r>
        <w:rPr>
          <w:rFonts w:ascii="Arial" w:cs="Arial" w:eastAsia="Arial" w:hAnsi="Arial"/>
          <w:sz w:val="16"/>
          <w:szCs w:val="16"/>
          <w:color w:val="auto"/>
        </w:rPr>
        <w:t>Pursuant to our amended and restated certificate of incorporation, our authorized capital stock will consist of 240,000,000 shares of Class A common stock, $0.0001 par value, 60,000,000 shares of Class B common stock, $0.0001 par value, and 1,000,000 shares of undesignated preferred stock, $0.0001 par value. The following description summarizes the material terms of our capital stock. Because it is only a summary, it may not contain all the information that is important to you.</w:t>
      </w:r>
    </w:p>
    <w:p>
      <w:pPr>
        <w:spacing w:after="0" w:line="15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Units</w:t>
      </w:r>
    </w:p>
    <w:p>
      <w:pPr>
        <w:spacing w:after="0" w:line="101" w:lineRule="exact"/>
        <w:rPr>
          <w:sz w:val="20"/>
          <w:szCs w:val="20"/>
          <w:color w:val="auto"/>
        </w:rPr>
      </w:pPr>
    </w:p>
    <w:p>
      <w:pPr>
        <w:jc w:val="both"/>
        <w:ind w:left="1140" w:right="1599" w:firstLine="326"/>
        <w:spacing w:after="0" w:line="277" w:lineRule="auto"/>
        <w:rPr>
          <w:sz w:val="20"/>
          <w:szCs w:val="20"/>
          <w:color w:val="auto"/>
        </w:rPr>
      </w:pPr>
      <w:r>
        <w:rPr>
          <w:rFonts w:ascii="Arial" w:cs="Arial" w:eastAsia="Arial" w:hAnsi="Arial"/>
          <w:sz w:val="15"/>
          <w:szCs w:val="15"/>
          <w:color w:val="auto"/>
        </w:rPr>
        <w:t>Each unit has an offering price of $10.00 and consists of one share of Class A common stock and one-fifth of one redeemable warrant. Each whole warrant entitles the holder thereof to purchase one share of our Class A common stock at a price of $11.50 per share, subject to adjustment as described in this prospectus.</w:t>
      </w:r>
    </w:p>
    <w:p>
      <w:pPr>
        <w:spacing w:after="0" w:line="1" w:lineRule="exact"/>
        <w:rPr>
          <w:sz w:val="20"/>
          <w:szCs w:val="20"/>
          <w:color w:val="auto"/>
        </w:rPr>
      </w:pPr>
    </w:p>
    <w:p>
      <w:pPr>
        <w:jc w:val="both"/>
        <w:ind w:left="1140" w:right="1699"/>
        <w:spacing w:after="0" w:line="260" w:lineRule="auto"/>
        <w:rPr>
          <w:sz w:val="20"/>
          <w:szCs w:val="20"/>
          <w:color w:val="auto"/>
        </w:rPr>
      </w:pPr>
      <w:r>
        <w:rPr>
          <w:rFonts w:ascii="Arial" w:cs="Arial" w:eastAsia="Arial" w:hAnsi="Arial"/>
          <w:sz w:val="16"/>
          <w:szCs w:val="16"/>
          <w:color w:val="auto"/>
        </w:rPr>
        <w:t>Pursuant to the warrant agreement, a warrant holder may exercise its warrants only for a whole number of shares of the company’s Class A common stock. This means only a whole warrant may be exercised at any given time by a warrant holder. No fractional warrants will be issued upon separation of the units and only whole warrants will trade.</w:t>
      </w:r>
    </w:p>
    <w:p>
      <w:pPr>
        <w:spacing w:after="0" w:line="51" w:lineRule="exact"/>
        <w:rPr>
          <w:sz w:val="20"/>
          <w:szCs w:val="20"/>
          <w:color w:val="auto"/>
        </w:rPr>
      </w:pPr>
    </w:p>
    <w:p>
      <w:pPr>
        <w:ind w:left="1140" w:right="1619" w:firstLine="326"/>
        <w:spacing w:after="0" w:line="249" w:lineRule="auto"/>
        <w:rPr>
          <w:sz w:val="20"/>
          <w:szCs w:val="20"/>
          <w:color w:val="auto"/>
        </w:rPr>
      </w:pPr>
      <w:r>
        <w:rPr>
          <w:rFonts w:ascii="Arial" w:cs="Arial" w:eastAsia="Arial" w:hAnsi="Arial"/>
          <w:sz w:val="16"/>
          <w:szCs w:val="16"/>
          <w:color w:val="auto"/>
        </w:rPr>
        <w:t>The common stock and warrants constituting the units will begin separate trading on the 52</w:t>
      </w:r>
      <w:r>
        <w:rPr>
          <w:rFonts w:ascii="Arial" w:cs="Arial" w:eastAsia="Arial" w:hAnsi="Arial"/>
          <w:sz w:val="24"/>
          <w:szCs w:val="24"/>
          <w:color w:val="auto"/>
          <w:vertAlign w:val="superscript"/>
        </w:rPr>
        <w:t>nd</w:t>
      </w:r>
      <w:r>
        <w:rPr>
          <w:rFonts w:ascii="Arial" w:cs="Arial" w:eastAsia="Arial" w:hAnsi="Arial"/>
          <w:sz w:val="16"/>
          <w:szCs w:val="16"/>
          <w:color w:val="auto"/>
        </w:rPr>
        <w:t xml:space="preserve"> day following the closing of this offering unless Citigroup Global Markets Inc. informs us of its decision to allow earlier separate trading, subject to our having filed the Current Report on Form 8-K described below and having issued a press release announcing when such separate trading will begin. Once the shares of Class A common stock and warrants commence separate trading, holders will have the option to continue to hold units or separate their units into the component securities. Holders will need to have their brokers contact our transfer agent in order to separate the units into shares of Class A common stock and warrants. No fractional warrants will be issued upon separation of the units and only whole warrants will trade. Accordingly, unless you purchase at least five units, you will not be able to receive or trade a whole warrant.</w:t>
      </w:r>
    </w:p>
    <w:p>
      <w:pPr>
        <w:spacing w:after="0" w:line="84" w:lineRule="exact"/>
        <w:rPr>
          <w:sz w:val="20"/>
          <w:szCs w:val="20"/>
          <w:color w:val="auto"/>
        </w:rPr>
      </w:pPr>
    </w:p>
    <w:p>
      <w:pPr>
        <w:ind w:left="1140" w:right="1579" w:firstLine="326"/>
        <w:spacing w:after="0" w:line="260" w:lineRule="auto"/>
        <w:rPr>
          <w:sz w:val="20"/>
          <w:szCs w:val="20"/>
          <w:color w:val="auto"/>
        </w:rPr>
      </w:pPr>
      <w:r>
        <w:rPr>
          <w:rFonts w:ascii="Arial" w:cs="Arial" w:eastAsia="Arial" w:hAnsi="Arial"/>
          <w:sz w:val="16"/>
          <w:szCs w:val="16"/>
          <w:color w:val="auto"/>
        </w:rPr>
        <w:t>In no event will the Class A common stock and warrants be traded separately until we have filed with the SEC a Current Report on Form 8-K which includes an audited balance sheet of our company reflecting our receipt of the gross proceeds at the closing of this offering. We will file the Current Report on Form 8-K which will include this audited balance sheet, promptly after the closing of this offering. If the underwriters’ option to purchase additional units is exercised following the initial filing of such Current Report on Form 8-K, a second or amended Current Report on Form 8-K will be filed to provide updated financial information to reflect the exercise of the underwriters’ option to purchase additional units.</w:t>
      </w:r>
    </w:p>
    <w:p>
      <w:pPr>
        <w:spacing w:after="0" w:line="15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Common Stock</w:t>
      </w:r>
    </w:p>
    <w:p>
      <w:pPr>
        <w:spacing w:after="0" w:line="101" w:lineRule="exact"/>
        <w:rPr>
          <w:sz w:val="20"/>
          <w:szCs w:val="20"/>
          <w:color w:val="auto"/>
        </w:rPr>
      </w:pPr>
    </w:p>
    <w:p>
      <w:pPr>
        <w:jc w:val="both"/>
        <w:ind w:left="1140" w:right="2099" w:firstLine="326"/>
        <w:spacing w:after="0" w:line="270" w:lineRule="auto"/>
        <w:rPr>
          <w:sz w:val="20"/>
          <w:szCs w:val="20"/>
          <w:color w:val="auto"/>
        </w:rPr>
      </w:pPr>
      <w:r>
        <w:rPr>
          <w:rFonts w:ascii="Arial" w:cs="Arial" w:eastAsia="Arial" w:hAnsi="Arial"/>
          <w:sz w:val="16"/>
          <w:szCs w:val="16"/>
          <w:color w:val="auto"/>
        </w:rPr>
        <w:t>Upon the closing of this offering, 187,500,000 shares of our common stock will be outstanding (assuming no exercise of the underwriters’ option to purchase additional units and the corresponding forfeiture of 5,625,000 founder shares by our sponsor), including:</w:t>
      </w:r>
    </w:p>
    <w:p>
      <w:pPr>
        <w:spacing w:after="0" w:line="88" w:lineRule="exact"/>
        <w:rPr>
          <w:sz w:val="20"/>
          <w:szCs w:val="20"/>
          <w:color w:val="auto"/>
        </w:rPr>
      </w:pPr>
    </w:p>
    <w:p>
      <w:pPr>
        <w:ind w:left="1800" w:right="2119" w:hanging="335"/>
        <w:spacing w:after="0" w:line="285" w:lineRule="auto"/>
        <w:tabs>
          <w:tab w:leader="none" w:pos="18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150,000,000 shares of our Class A common stock underlying the units being offered in this offering; and</w:t>
      </w:r>
    </w:p>
    <w:p>
      <w:pPr>
        <w:spacing w:after="0" w:line="64" w:lineRule="exact"/>
        <w:rPr>
          <w:rFonts w:ascii="Arial" w:cs="Arial" w:eastAsia="Arial" w:hAnsi="Arial"/>
          <w:sz w:val="16"/>
          <w:szCs w:val="16"/>
          <w:color w:val="auto"/>
        </w:rPr>
      </w:pPr>
    </w:p>
    <w:p>
      <w:pPr>
        <w:ind w:left="1800" w:hanging="335"/>
        <w:spacing w:after="0"/>
        <w:tabs>
          <w:tab w:leader="none" w:pos="18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37,500,000 shares of Class B common stock held by our initial stockholders.</w:t>
      </w:r>
    </w:p>
    <w:p>
      <w:pPr>
        <w:spacing w:after="0" w:line="110" w:lineRule="exact"/>
        <w:rPr>
          <w:sz w:val="20"/>
          <w:szCs w:val="20"/>
          <w:color w:val="auto"/>
        </w:rPr>
      </w:pPr>
    </w:p>
    <w:p>
      <w:pPr>
        <w:ind w:left="1140" w:right="1599" w:firstLine="326"/>
        <w:spacing w:after="0" w:line="262" w:lineRule="auto"/>
        <w:rPr>
          <w:sz w:val="20"/>
          <w:szCs w:val="20"/>
          <w:color w:val="auto"/>
        </w:rPr>
      </w:pPr>
      <w:r>
        <w:rPr>
          <w:rFonts w:ascii="Arial" w:cs="Arial" w:eastAsia="Arial" w:hAnsi="Arial"/>
          <w:sz w:val="16"/>
          <w:szCs w:val="16"/>
          <w:color w:val="auto"/>
        </w:rPr>
        <w:t>If we increase or decrease the size of this offering, we will effect a stock dividend or share contribution back to capital or other appropriate mechanism, as applicable, with respect to our Class B common stock immediately prior to the consummation of this offering in such amount as to maintain the ownership of founder shares by our initial stockholders prior to this offering at 20% of our issued and outstanding shares of our common stock upon the consummation of this offering.</w:t>
      </w:r>
    </w:p>
    <w:p>
      <w:pPr>
        <w:spacing w:after="0" w:line="72" w:lineRule="exact"/>
        <w:rPr>
          <w:sz w:val="20"/>
          <w:szCs w:val="20"/>
          <w:color w:val="auto"/>
        </w:rPr>
      </w:pPr>
    </w:p>
    <w:p>
      <w:pPr>
        <w:ind w:left="1140" w:right="1659" w:firstLine="326"/>
        <w:spacing w:after="0" w:line="280" w:lineRule="auto"/>
        <w:rPr>
          <w:sz w:val="20"/>
          <w:szCs w:val="20"/>
          <w:color w:val="auto"/>
        </w:rPr>
      </w:pPr>
      <w:r>
        <w:rPr>
          <w:rFonts w:ascii="Arial" w:cs="Arial" w:eastAsia="Arial" w:hAnsi="Arial"/>
          <w:sz w:val="15"/>
          <w:szCs w:val="15"/>
          <w:color w:val="auto"/>
        </w:rPr>
        <w:t>Common stockholders of record are entitled to one vote for each share held on all matters to be voted on by stockholders. Holders of our Class B common stock will have the right to elect all of our directors prior to the consummation of our initial business combination. On any other matter submitted to a vote of our stockholders, holders of our Class B common stock and holders of our Class A common stock will vote together as a single class, except as required by applicable law or stock exchange rule. These provisions of our amended and restated certificate of incorporation may only be amended if approved by a majority of at least 90% of our common stock voting at a stockholder meeting. Unless specified in our amended and</w:t>
      </w:r>
    </w:p>
    <w:p>
      <w:pPr>
        <w:spacing w:after="0" w:line="206"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1" w:name="page132"/>
    <w:bookmarkEnd w:id="131"/>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579"/>
        <w:spacing w:after="0" w:line="260" w:lineRule="auto"/>
        <w:rPr>
          <w:sz w:val="20"/>
          <w:szCs w:val="20"/>
          <w:color w:val="auto"/>
        </w:rPr>
      </w:pPr>
      <w:r>
        <w:rPr>
          <w:rFonts w:ascii="Arial" w:cs="Arial" w:eastAsia="Arial" w:hAnsi="Arial"/>
          <w:sz w:val="16"/>
          <w:szCs w:val="16"/>
          <w:color w:val="auto"/>
        </w:rPr>
        <w:t>restated certificate of incorporation or bylaws, or as required by applicable law or stock exchange rules, the affirmative vote of a majority of our shares of common stock that are voted is required to approve any such matter voted on by our stockholders (other than the election of directors). Directors will be divided into three classes, each of which will generally serve for a term of three years with only one class elected in each year. There is no cumulative voting with respect to the election of directors. Our stockholders are entitled to receive ratable dividends when, as and if declared by the board of directors out of funds legally available therefor.</w:t>
      </w:r>
    </w:p>
    <w:p>
      <w:pPr>
        <w:spacing w:after="0" w:line="72" w:lineRule="exact"/>
        <w:rPr>
          <w:sz w:val="20"/>
          <w:szCs w:val="20"/>
          <w:color w:val="auto"/>
        </w:rPr>
      </w:pPr>
    </w:p>
    <w:p>
      <w:pPr>
        <w:ind w:left="1140" w:right="1599" w:firstLine="326"/>
        <w:spacing w:after="0" w:line="284" w:lineRule="auto"/>
        <w:rPr>
          <w:sz w:val="20"/>
          <w:szCs w:val="20"/>
          <w:color w:val="auto"/>
        </w:rPr>
      </w:pPr>
      <w:r>
        <w:rPr>
          <w:rFonts w:ascii="Arial" w:cs="Arial" w:eastAsia="Arial" w:hAnsi="Arial"/>
          <w:sz w:val="15"/>
          <w:szCs w:val="15"/>
          <w:color w:val="auto"/>
        </w:rPr>
        <w:t>Because our amended and restated certificate of incorporation will authorize the issuance of up to 240,000,000 shares of Class A common stock, if we were to enter into a business combination, we may (depending on the terms of such a business combination) be required to increase the number of shares of common stock which we are authorized to issue at the same time as our stockholders vote on the business combination to the extent we seek stockholder approval in connection with our initial business combination.</w:t>
      </w:r>
    </w:p>
    <w:p>
      <w:pPr>
        <w:spacing w:after="0" w:line="56" w:lineRule="exact"/>
        <w:rPr>
          <w:sz w:val="20"/>
          <w:szCs w:val="20"/>
          <w:color w:val="auto"/>
        </w:rPr>
      </w:pPr>
    </w:p>
    <w:p>
      <w:pPr>
        <w:ind w:left="1140" w:right="1579" w:firstLine="326"/>
        <w:spacing w:after="0" w:line="258" w:lineRule="auto"/>
        <w:rPr>
          <w:sz w:val="20"/>
          <w:szCs w:val="20"/>
          <w:color w:val="auto"/>
        </w:rPr>
      </w:pPr>
      <w:r>
        <w:rPr>
          <w:rFonts w:ascii="Arial" w:cs="Arial" w:eastAsia="Arial" w:hAnsi="Arial"/>
          <w:sz w:val="16"/>
          <w:szCs w:val="16"/>
          <w:color w:val="auto"/>
        </w:rPr>
        <w:t>In accordance with the NYSE corporate governance requirements, we are not required to hold an annual meeting until not later than one year after our first fiscal year end following our listing on the NYSE.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77" w:lineRule="exact"/>
        <w:rPr>
          <w:sz w:val="20"/>
          <w:szCs w:val="20"/>
          <w:color w:val="auto"/>
        </w:rPr>
      </w:pPr>
    </w:p>
    <w:p>
      <w:pPr>
        <w:ind w:left="1140" w:right="1579" w:firstLine="326"/>
        <w:spacing w:after="0" w:line="273" w:lineRule="auto"/>
        <w:rPr>
          <w:sz w:val="20"/>
          <w:szCs w:val="20"/>
          <w:color w:val="auto"/>
        </w:rPr>
      </w:pPr>
      <w:r>
        <w:rPr>
          <w:rFonts w:ascii="Arial" w:cs="Arial" w:eastAsia="Arial" w:hAnsi="Arial"/>
          <w:sz w:val="15"/>
          <w:szCs w:val="15"/>
          <w:color w:val="auto"/>
        </w:rPr>
        <w:t>We will provide our public stockholders with the opportunity to redeem all or a portion of their shares upon the completion of our initial business combination at a per share price, payable in cash, equal to the aggregate amount then on deposit in the trust account as of two business days prior to the consummation of our initial business combination, including interest (net of permitted withdrawals), divided by the number of then 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 redemption right will include the requirement that any beneficial owner on whose behalf a redemption right is being exercised must identify itself in order to validly redeem its shares. Each public stockholder may elect to redeem its public shares without voting, and if they do vote, irrespective of whether they vote for or against the proposed transaction. Our sponsor, officers and directors have entered into a letter agreement with us, pursuant to which they have agreed to waive their redemption rights with respect to any founder shares and any public shares held by them in connection with the completion of our initial business combination. Permitted transferees of our sponsor, officers or directors will be subject to the same obligations. Unlike many blank check companies that hold stockholder votes and conduct proxy solicitations in conjunction with their initial business combinations and provide for related redemptions of public shares for cash upon completion of such initial business combinations even when a vote is not required by applicable law or stock exchange listing requirements, if a stockholder vote is not required by applicable law or stock exchange listing requirements and we do not decide to hold a stockholder vote for business or other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will require these tender offer documents to contain substantially the same financial and other information about the initial business combination and the redemption rights as is required under the SEC’s proxy rules. If, however, a stockholder approval of the transaction is required by applicable law or stock exchange rules, or we decide to obtain stockholder approval for business or other reasons, we will, like many blank check companies, offer to redeem shares in conjunction with a proxy solicitation pursuant to the proxy rules and not pursuant to the tender offer rules. If we seek stockholder approval, unless a different vote is required by applicable law or stock exchange rules, we will complete our initial business combination only if a majority of the outstanding shares of common stock voted are voted in favor of the business combination. Unless otherwise required by applicable law or stock exchange rules, a</w:t>
      </w:r>
    </w:p>
    <w:p>
      <w:pPr>
        <w:spacing w:after="0" w:line="241"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2" w:name="page133"/>
    <w:bookmarkEnd w:id="132"/>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619"/>
        <w:spacing w:after="0" w:line="258" w:lineRule="auto"/>
        <w:rPr>
          <w:sz w:val="20"/>
          <w:szCs w:val="20"/>
          <w:color w:val="auto"/>
        </w:rPr>
      </w:pPr>
      <w:r>
        <w:rPr>
          <w:rFonts w:ascii="Arial" w:cs="Arial" w:eastAsia="Arial" w:hAnsi="Arial"/>
          <w:sz w:val="16"/>
          <w:szCs w:val="16"/>
          <w:color w:val="auto"/>
        </w:rPr>
        <w:t>quorum for such meeting will consist of the holders present in person or by proxy of shares of outstanding capital stock of the company representing a majority of the voting power of all outstanding shares of capital stock of the company entitled to vote at such meeting. However, the participation of our sponsor, officers, directors, advisors or any of their respective affiliates in privately-negotiated transactions (as described in this prospectus), if any, could result in the approval of our initial business combination even if a majority of our public stockholders vote, or indicate their intention to vote, against such business combination. For purposes of seeking approval of the majority of our outstanding shares of common stock, non-votes will have no effect on the approval of our initial business combination once a quorum is obtained. We intend to give approximately 30 days (but not less than 10 days nor more than 60 days) prior written notice of any such meeting, if required, at which a vote shall be taken to approve our initial business combination. These quorum and voting thresholds and agreements may make it more likely that we will consummate our initial business combination.</w:t>
      </w:r>
    </w:p>
    <w:p>
      <w:pPr>
        <w:spacing w:after="0" w:line="73" w:lineRule="exact"/>
        <w:rPr>
          <w:sz w:val="20"/>
          <w:szCs w:val="20"/>
          <w:color w:val="auto"/>
        </w:rPr>
      </w:pPr>
    </w:p>
    <w:p>
      <w:pPr>
        <w:ind w:left="1140" w:right="1579" w:firstLine="326"/>
        <w:spacing w:after="0" w:line="276" w:lineRule="auto"/>
        <w:rPr>
          <w:sz w:val="20"/>
          <w:szCs w:val="20"/>
          <w:color w:val="auto"/>
        </w:rPr>
      </w:pPr>
      <w:r>
        <w:rPr>
          <w:rFonts w:ascii="Arial" w:cs="Arial" w:eastAsia="Arial" w:hAnsi="Arial"/>
          <w:sz w:val="15"/>
          <w:szCs w:val="15"/>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redeeming more than an aggregate of 15% of the shares sold in this offering, without our prior consent, which we refer to as the “Excess Shares.”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the business combination. And, as a result, such stockholders will continue to hold that number of shares exceeding 15% and, in order to dispose such shares would be required to sell their stock in open market transactions, potentially at a loss.</w:t>
      </w:r>
    </w:p>
    <w:p>
      <w:pPr>
        <w:spacing w:after="0" w:line="259" w:lineRule="exact"/>
        <w:rPr>
          <w:sz w:val="20"/>
          <w:szCs w:val="20"/>
          <w:color w:val="auto"/>
        </w:rPr>
      </w:pPr>
    </w:p>
    <w:p>
      <w:pPr>
        <w:ind w:left="1140" w:right="1679" w:firstLine="326"/>
        <w:spacing w:after="0" w:line="259" w:lineRule="auto"/>
        <w:rPr>
          <w:sz w:val="20"/>
          <w:szCs w:val="20"/>
          <w:color w:val="auto"/>
        </w:rPr>
      </w:pPr>
      <w:r>
        <w:rPr>
          <w:rFonts w:ascii="Arial" w:cs="Arial" w:eastAsia="Arial" w:hAnsi="Arial"/>
          <w:sz w:val="16"/>
          <w:szCs w:val="16"/>
          <w:color w:val="auto"/>
        </w:rPr>
        <w:t>If we seek stockholder approval in connection with our initial business combination, our initial stockholders, officers and directors have (and their permitted transferees, as applicable, will agree) agreed to vote any founder shares and any public shares held by them in favor of our initial business combination. As a result, in addition to our initial stockholders’ founder shares, we would need 56,250,001, or 37.5%, of the 150,000,000 public shares sold in this offering to be voted in favor of our initial business combination (assuming all issued and outstanding shares are voted and the option to purchase additional units is not exercised) in order to have such initial business combination approved. Additionally, each public stockholder may elect to redeem its public shares without voting, and if they do vote, irrespective of whether they vote for or against the proposed transaction.</w:t>
      </w:r>
    </w:p>
    <w:p>
      <w:pPr>
        <w:spacing w:after="0" w:line="72" w:lineRule="exact"/>
        <w:rPr>
          <w:sz w:val="20"/>
          <w:szCs w:val="20"/>
          <w:color w:val="auto"/>
        </w:rPr>
      </w:pPr>
    </w:p>
    <w:p>
      <w:pPr>
        <w:ind w:left="1140" w:right="1559" w:firstLine="326"/>
        <w:spacing w:after="0" w:line="275" w:lineRule="auto"/>
        <w:rPr>
          <w:sz w:val="20"/>
          <w:szCs w:val="20"/>
          <w:color w:val="auto"/>
        </w:rPr>
      </w:pPr>
      <w:r>
        <w:rPr>
          <w:rFonts w:ascii="Arial" w:cs="Arial" w:eastAsia="Arial" w:hAnsi="Arial"/>
          <w:sz w:val="15"/>
          <w:szCs w:val="15"/>
          <w:color w:val="auto"/>
        </w:rPr>
        <w:t>Pursuant to our amended and restated certificate of incorporation, if we are unable to complete our initial business combination within the completion window, we will: (1) cease all operations except for the purpose of winding up; (2) as promptly as reasonably possible but no more than ten business days thereafter, subject to lawfully available funds therefor, redeem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Our initial stockholders, officers and directors have entered into a letter agreement with us, pursuant to which they have agreed to waive their rights to liquidating distributions from the trust account with respect to any founder shares held by them if we fail to complete our initial business combination within the completion window. However, if our sponsor or any of our officers or directors acquires public shares after this offering, they will be entitled to liquidating distributions from the trust account with respect to such public shares if we fail to complete our initial business combination within the completion window.</w:t>
      </w:r>
    </w:p>
    <w:p>
      <w:pPr>
        <w:spacing w:after="0" w:line="224"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3" w:name="page134"/>
    <w:bookmarkEnd w:id="133"/>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619" w:firstLine="326"/>
        <w:spacing w:after="0" w:line="259" w:lineRule="auto"/>
        <w:rPr>
          <w:sz w:val="20"/>
          <w:szCs w:val="20"/>
          <w:color w:val="auto"/>
        </w:rPr>
      </w:pPr>
      <w:r>
        <w:rPr>
          <w:rFonts w:ascii="Arial" w:cs="Arial" w:eastAsia="Arial" w:hAnsi="Arial"/>
          <w:sz w:val="16"/>
          <w:szCs w:val="16"/>
          <w:color w:val="auto"/>
        </w:rPr>
        <w:t>In the event of a liquidation, dissolution or winding up of the company after a business combination, our stockholders are entitled to share ratably in all assets remaining available for distribution to them after payment of liabilities and after provision is made for each class of stock, if any, having preference over the common stock. Our stockholders have no preemptive or other subscription rights. There are no sinking fund provisions applicable to the common stock, except that we will provide our stockholders with the opportunity to redeem their public shares for cash equal to their pro rata share of the aggregate amount on deposit in the trust account as of two business days prior to the consummation of our initial business combination, including interest (net of permitted withdrawals), upon the completion of our initial business combination, subject to the limitations described herein.</w:t>
      </w:r>
    </w:p>
    <w:p>
      <w:pPr>
        <w:spacing w:after="0" w:line="15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Founder Shares</w:t>
      </w:r>
    </w:p>
    <w:p>
      <w:pPr>
        <w:spacing w:after="0" w:line="101" w:lineRule="exact"/>
        <w:rPr>
          <w:sz w:val="20"/>
          <w:szCs w:val="20"/>
          <w:color w:val="auto"/>
        </w:rPr>
      </w:pPr>
    </w:p>
    <w:p>
      <w:pPr>
        <w:ind w:left="1140" w:right="1599" w:firstLine="326"/>
        <w:spacing w:after="0" w:line="274" w:lineRule="auto"/>
        <w:rPr>
          <w:sz w:val="20"/>
          <w:szCs w:val="20"/>
          <w:color w:val="auto"/>
        </w:rPr>
      </w:pPr>
      <w:r>
        <w:rPr>
          <w:rFonts w:ascii="Arial" w:cs="Arial" w:eastAsia="Arial" w:hAnsi="Arial"/>
          <w:sz w:val="15"/>
          <w:szCs w:val="15"/>
          <w:color w:val="auto"/>
        </w:rPr>
        <w:t>The founder shares are identical to the shares of Class A common stock included in the units being sold in this offering, except that: (1) only holders of the founder shares have the right to vote on the election and removal of directors prior to our initial business combination; (2) the founder shares are subject to certain transfer restrictions, as described in more detail below; (3) our sponsor, officers and directors have entered into a letter agreement with us, pursuant to which they have agreed to: (a) waive their redemption rights with respect to any founder shares and any public shares held by them in connection with the completion of our initial business combination, (b) waive their redemption rights with respect to any founder shares and public shares held by them in connection with a stockholder vote to approve an amendment to our amended and restated certificate of incorporation to modify the substance or timing of our obligation to provide for the redemption of our public shares in connection with an initial business combination or to redeem 100% of our public shares if we have not consummated our initial business combination within the completion window; and (c) waive their rights to liquidating distributions from the trust account with respect to any founder shares held by them if we fail to complete our initial business combination within the completion window (although they will be entitled to liquidating distributions from the trust account with respect to any public shares they hold if we fail to complete our initial business combination within the completion window); (4) the founder shares are automatically convertible into shares of our Class A common stock at the time of our initial business combination on a one-for-one basis, subject to adjustment pursuant to certain anti-dilution rights, as described herein; and (5) the holders of founder shares are entitled to registration rights. If we submit our initial business combination to our public stockholders for a vote, our initial stockholders, officers and directors have agreed (and their permitted transferees, as applicable, will agree) to vote any founder shares and any public shares held by them in favor of our initial business combination.</w:t>
      </w:r>
    </w:p>
    <w:p>
      <w:pPr>
        <w:spacing w:after="0" w:line="72" w:lineRule="exact"/>
        <w:rPr>
          <w:sz w:val="20"/>
          <w:szCs w:val="20"/>
          <w:color w:val="auto"/>
        </w:rPr>
      </w:pPr>
    </w:p>
    <w:p>
      <w:pPr>
        <w:ind w:left="1140" w:right="1599" w:firstLine="326"/>
        <w:spacing w:after="0" w:line="275" w:lineRule="auto"/>
        <w:rPr>
          <w:sz w:val="20"/>
          <w:szCs w:val="20"/>
          <w:color w:val="auto"/>
        </w:rPr>
      </w:pPr>
      <w:r>
        <w:rPr>
          <w:rFonts w:ascii="Arial" w:cs="Arial" w:eastAsia="Arial" w:hAnsi="Arial"/>
          <w:sz w:val="15"/>
          <w:szCs w:val="15"/>
          <w:color w:val="auto"/>
        </w:rPr>
        <w:t>The shares of Class B common stock will automatically convert into shares of Class A common stock at the time of our initial business combination on a one-for-one basis, subject to adjustment as provided herein. In the case that additional shares of Class A common stock, or equity-linked securities, are issued or deemed issued in excess of the amounts sold in this offering and related to the closing of our initial business combination, the ratio at which shares of Class B common stock shall convert into shares of Class A common stock will be adjusted (unless the holders of a majority of the outstanding shares of Class B common stock agree to waive such anti-dilution adjustment with respect to any such issuance or deemed issuance) so that the number of shares of Class A common stock issuable upon conversion of all shares of Class B common stock will equal, in the aggregate, on an as-converted basis, 20% of the total number of all shares of common stock outstanding upon completion of this offering plus all shares of Class A common stock and equity-linked securities issued or deemed issued in connection with our initial business combination (net of the number of shares of Class A common stock redeemed in connection with our initial business combination), excluding any shares or equity-linked securities issued, or to be issued, to any seller in our initial business combination in consideration for such seller’s interest in the business combination target and any private placement warrants issued upon the conversion of working capital loans made to us.</w:t>
      </w:r>
    </w:p>
    <w:p>
      <w:pPr>
        <w:spacing w:after="0" w:line="69" w:lineRule="exact"/>
        <w:rPr>
          <w:sz w:val="20"/>
          <w:szCs w:val="20"/>
          <w:color w:val="auto"/>
        </w:rPr>
      </w:pPr>
    </w:p>
    <w:p>
      <w:pPr>
        <w:ind w:left="1140" w:right="1599" w:firstLine="326"/>
        <w:spacing w:after="0" w:line="284" w:lineRule="auto"/>
        <w:rPr>
          <w:sz w:val="20"/>
          <w:szCs w:val="20"/>
          <w:color w:val="auto"/>
        </w:rPr>
      </w:pPr>
      <w:r>
        <w:rPr>
          <w:rFonts w:ascii="Arial" w:cs="Arial" w:eastAsia="Arial" w:hAnsi="Arial"/>
          <w:sz w:val="15"/>
          <w:szCs w:val="15"/>
          <w:color w:val="auto"/>
        </w:rPr>
        <w:t>With certain limited exceptions, the founder shares are not transferable, assignable or salable (except to our officers and directors and other persons or entities affiliated with our sponsor and other permitted transferees, each of whom will be subject to the same transfer restrictions) until the earlier of (A) one year after the completion of our initial business combination, (B) subsequent to our initial business combination, if the closing price of our Class A common stock equals or exceeds $12.00 per share (as</w:t>
      </w:r>
    </w:p>
    <w:p>
      <w:pPr>
        <w:spacing w:after="0" w:line="215"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4" w:name="page135"/>
    <w:bookmarkEnd w:id="134"/>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619"/>
        <w:spacing w:after="0" w:line="261" w:lineRule="auto"/>
        <w:rPr>
          <w:sz w:val="20"/>
          <w:szCs w:val="20"/>
          <w:color w:val="auto"/>
        </w:rPr>
      </w:pPr>
      <w:r>
        <w:rPr>
          <w:rFonts w:ascii="Arial" w:cs="Arial" w:eastAsia="Arial" w:hAnsi="Arial"/>
          <w:sz w:val="16"/>
          <w:szCs w:val="16"/>
          <w:color w:val="auto"/>
        </w:rPr>
        <w:t>adjusted for stock splits, stock dividends, reorganizations, recapitalizations and the like) for any 20 trading days within any 30-trading day period commencing at least 150 days after our initial business combination, and (C) following the completion of our initial business combination, such future date on which we complete a liquidation, merger, stock exchange, reorganization or other similar transaction that results in all of our public stockholders having the right to exchange their shares of common stock for cash, securities or other property.</w:t>
      </w:r>
    </w:p>
    <w:p>
      <w:pPr>
        <w:spacing w:after="0" w:line="153"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Preferred Stock</w:t>
      </w:r>
    </w:p>
    <w:p>
      <w:pPr>
        <w:spacing w:after="0" w:line="101" w:lineRule="exact"/>
        <w:rPr>
          <w:sz w:val="20"/>
          <w:szCs w:val="20"/>
          <w:color w:val="auto"/>
        </w:rPr>
      </w:pPr>
    </w:p>
    <w:p>
      <w:pPr>
        <w:ind w:left="1140" w:right="1619" w:firstLine="326"/>
        <w:spacing w:after="0" w:line="258" w:lineRule="auto"/>
        <w:rPr>
          <w:sz w:val="20"/>
          <w:szCs w:val="20"/>
          <w:color w:val="auto"/>
        </w:rPr>
      </w:pPr>
      <w:r>
        <w:rPr>
          <w:rFonts w:ascii="Arial" w:cs="Arial" w:eastAsia="Arial" w:hAnsi="Arial"/>
          <w:sz w:val="16"/>
          <w:szCs w:val="16"/>
          <w:color w:val="auto"/>
        </w:rPr>
        <w:t>Our amended and restated certificate of incorporation will authorize 1,000,000 shares of preferred stock and will provide that shares of preferred stock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stockholder approval, issue preferred stock with voting and other rights that could adversely affect the voting power and other rights of the holders of the common stock and could have anti-takeover effects. The ability of our board of directors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 No shares of preferred stock are being issued or registered in this offering.</w:t>
      </w:r>
    </w:p>
    <w:p>
      <w:pPr>
        <w:spacing w:after="0" w:line="15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Warrants</w:t>
      </w:r>
    </w:p>
    <w:p>
      <w:pPr>
        <w:spacing w:after="0" w:line="187"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Public Stockholders’ Warrants</w:t>
      </w:r>
    </w:p>
    <w:p>
      <w:pPr>
        <w:spacing w:after="0" w:line="97" w:lineRule="exact"/>
        <w:rPr>
          <w:sz w:val="20"/>
          <w:szCs w:val="20"/>
          <w:color w:val="auto"/>
        </w:rPr>
      </w:pPr>
    </w:p>
    <w:p>
      <w:pPr>
        <w:ind w:left="1140" w:right="1559" w:firstLine="326"/>
        <w:spacing w:after="0" w:line="278" w:lineRule="auto"/>
        <w:rPr>
          <w:sz w:val="20"/>
          <w:szCs w:val="20"/>
          <w:color w:val="auto"/>
        </w:rPr>
      </w:pPr>
      <w:r>
        <w:rPr>
          <w:rFonts w:ascii="Arial" w:cs="Arial" w:eastAsia="Arial" w:hAnsi="Arial"/>
          <w:sz w:val="15"/>
          <w:szCs w:val="15"/>
          <w:color w:val="auto"/>
        </w:rPr>
        <w:t>Each whole warrant entitles the registered holder to purchase one share of our Class A common stock at a price of $11.50 per share, subject to adjustment as discussed below, at any time commencing on the later of 12 months from the closing of this offering and 30 days after the completion of our initial business combination. Pursuant to the warrant agreement, a warrant holder may exercise its warrants only for a whole number of shares of Class A common stock. This means only a whole warrant may be exercised at a given time by a warrant holder. No fractional warrants will be issued upon separation of the units and only whole warrants will trade. Accordingly, unless you purchase at least five units, you will not be able to receive or trade a whole warrant. The warrants will expire five years after the completion of our initial business combination, at 5:00 p.m., New York City time, or earlier upon redemption or liquidation.</w:t>
      </w:r>
    </w:p>
    <w:p>
      <w:pPr>
        <w:spacing w:after="0" w:line="61" w:lineRule="exact"/>
        <w:rPr>
          <w:sz w:val="20"/>
          <w:szCs w:val="20"/>
          <w:color w:val="auto"/>
        </w:rPr>
      </w:pPr>
    </w:p>
    <w:p>
      <w:pPr>
        <w:ind w:left="1140" w:right="1579" w:firstLine="326"/>
        <w:spacing w:after="0" w:line="276" w:lineRule="auto"/>
        <w:rPr>
          <w:sz w:val="20"/>
          <w:szCs w:val="20"/>
          <w:color w:val="auto"/>
        </w:rPr>
      </w:pPr>
      <w:r>
        <w:rPr>
          <w:rFonts w:ascii="Arial" w:cs="Arial" w:eastAsia="Arial" w:hAnsi="Arial"/>
          <w:sz w:val="15"/>
          <w:szCs w:val="15"/>
          <w:color w:val="auto"/>
        </w:rPr>
        <w:t>We will not be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our satisfying our obligations described below with respect to registration.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In the event that the conditions in the two immediately preceding sentences are not satisfied with respect to a warrant, the holder of such warrant will not be entitled to exercise such warrant and such warrant may have no value and expire worthless.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63" w:lineRule="exact"/>
        <w:rPr>
          <w:sz w:val="20"/>
          <w:szCs w:val="20"/>
          <w:color w:val="auto"/>
        </w:rPr>
      </w:pPr>
    </w:p>
    <w:p>
      <w:pPr>
        <w:ind w:left="1140" w:right="1619" w:firstLine="326"/>
        <w:spacing w:after="0" w:line="280" w:lineRule="auto"/>
        <w:rPr>
          <w:sz w:val="20"/>
          <w:szCs w:val="20"/>
          <w:color w:val="auto"/>
        </w:rPr>
      </w:pPr>
      <w:r>
        <w:rPr>
          <w:rFonts w:ascii="Arial" w:cs="Arial" w:eastAsia="Arial" w:hAnsi="Arial"/>
          <w:sz w:val="15"/>
          <w:szCs w:val="15"/>
          <w:color w:val="auto"/>
        </w:rPr>
        <w:t>We have agreed that as soon as practicable, but in no event later than 15 business days after the closing of our initial business combination, we will use our reasonable best efforts to file with the SEC, and within 60 business days following our initial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Notwithstanding the above, if our Class A common stock is at the time of any exercise of a warrant not listed on a national securities exchange such that it satisfies the definition of a</w:t>
      </w:r>
    </w:p>
    <w:p>
      <w:pPr>
        <w:spacing w:after="0" w:line="218"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5" w:name="page136"/>
    <w:bookmarkEnd w:id="135"/>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1140" w:right="1739"/>
        <w:spacing w:after="0" w:line="280" w:lineRule="auto"/>
        <w:rPr>
          <w:sz w:val="20"/>
          <w:szCs w:val="20"/>
          <w:color w:val="auto"/>
        </w:rPr>
      </w:pPr>
      <w:r>
        <w:rPr>
          <w:rFonts w:ascii="Arial" w:cs="Arial" w:eastAsia="Arial" w:hAnsi="Arial"/>
          <w:sz w:val="15"/>
          <w:szCs w:val="15"/>
          <w:color w:val="auto"/>
        </w:rPr>
        <w:t>“covered security” under Section 18(b)(1) of the Securities Act, we may, at our option, require holders of public warrants who exercise their warrants to do so on a “cashless basis” in accordance with Section 3(a)</w:t>
      </w:r>
    </w:p>
    <w:p>
      <w:pPr>
        <w:ind w:left="1140" w:right="1699" w:hanging="1"/>
        <w:spacing w:after="0" w:line="262" w:lineRule="auto"/>
        <w:tabs>
          <w:tab w:leader="none" w:pos="1384" w:val="left"/>
        </w:tabs>
        <w:numPr>
          <w:ilvl w:val="0"/>
          <w:numId w:val="63"/>
        </w:numPr>
        <w:rPr>
          <w:rFonts w:ascii="Arial" w:cs="Arial" w:eastAsia="Arial" w:hAnsi="Arial"/>
          <w:sz w:val="16"/>
          <w:szCs w:val="16"/>
          <w:color w:val="auto"/>
        </w:rPr>
      </w:pPr>
      <w:r>
        <w:rPr>
          <w:rFonts w:ascii="Arial" w:cs="Arial" w:eastAsia="Arial" w:hAnsi="Arial"/>
          <w:sz w:val="16"/>
          <w:szCs w:val="16"/>
          <w:color w:val="auto"/>
        </w:rPr>
        <w:t>of the Securities Act and, in the event we so elect, we will not be required to file or maintain in effect a registration statement, but will use our reasonable best efforts to qualify the shares under applicable blue sky laws to the extent an exemption is not available.</w:t>
      </w:r>
    </w:p>
    <w:p>
      <w:pPr>
        <w:spacing w:after="0" w:line="71" w:lineRule="exact"/>
        <w:rPr>
          <w:sz w:val="20"/>
          <w:szCs w:val="20"/>
          <w:color w:val="auto"/>
        </w:rPr>
      </w:pPr>
    </w:p>
    <w:p>
      <w:pPr>
        <w:ind w:left="1140" w:right="1679" w:firstLine="326"/>
        <w:spacing w:after="0" w:line="285" w:lineRule="auto"/>
        <w:rPr>
          <w:sz w:val="20"/>
          <w:szCs w:val="20"/>
          <w:color w:val="auto"/>
        </w:rPr>
      </w:pPr>
      <w:r>
        <w:rPr>
          <w:rFonts w:ascii="Arial" w:cs="Arial" w:eastAsia="Arial" w:hAnsi="Arial"/>
          <w:sz w:val="16"/>
          <w:szCs w:val="16"/>
          <w:b w:val="1"/>
          <w:bCs w:val="1"/>
          <w:i w:val="1"/>
          <w:iCs w:val="1"/>
          <w:color w:val="auto"/>
        </w:rPr>
        <w:t xml:space="preserve">Redemption of Warrants for Cash. </w:t>
      </w:r>
      <w:r>
        <w:rPr>
          <w:rFonts w:ascii="Arial" w:cs="Arial" w:eastAsia="Arial" w:hAnsi="Arial"/>
          <w:sz w:val="16"/>
          <w:szCs w:val="16"/>
          <w:color w:val="auto"/>
        </w:rPr>
        <w:t>Once the warrants become exercisable, we may call the warrants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redemption:</w:t>
      </w:r>
    </w:p>
    <w:p>
      <w:pPr>
        <w:spacing w:after="0" w:line="101" w:lineRule="exact"/>
        <w:rPr>
          <w:sz w:val="20"/>
          <w:szCs w:val="20"/>
          <w:color w:val="auto"/>
        </w:rPr>
      </w:pPr>
    </w:p>
    <w:p>
      <w:pPr>
        <w:ind w:left="1800" w:hanging="335"/>
        <w:spacing w:after="0"/>
        <w:tabs>
          <w:tab w:leader="none" w:pos="18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whole and not in part;</w:t>
      </w:r>
    </w:p>
    <w:p>
      <w:pPr>
        <w:spacing w:after="0" w:line="146" w:lineRule="exact"/>
        <w:rPr>
          <w:rFonts w:ascii="Arial" w:cs="Arial" w:eastAsia="Arial" w:hAnsi="Arial"/>
          <w:sz w:val="16"/>
          <w:szCs w:val="16"/>
          <w:color w:val="auto"/>
        </w:rPr>
      </w:pPr>
    </w:p>
    <w:p>
      <w:pPr>
        <w:ind w:left="1800" w:hanging="335"/>
        <w:spacing w:after="0"/>
        <w:tabs>
          <w:tab w:leader="none" w:pos="18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at a price of $0.01 per warrant;</w:t>
      </w:r>
    </w:p>
    <w:p>
      <w:pPr>
        <w:spacing w:after="0" w:line="158" w:lineRule="exact"/>
        <w:rPr>
          <w:rFonts w:ascii="Arial" w:cs="Arial" w:eastAsia="Arial" w:hAnsi="Arial"/>
          <w:sz w:val="16"/>
          <w:szCs w:val="16"/>
          <w:color w:val="auto"/>
        </w:rPr>
      </w:pPr>
    </w:p>
    <w:p>
      <w:pPr>
        <w:ind w:left="1800" w:right="1659" w:hanging="335"/>
        <w:spacing w:after="0" w:line="285" w:lineRule="auto"/>
        <w:tabs>
          <w:tab w:leader="none" w:pos="18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upon a minimum of 30 days’ prior written notice of redemption, or the 30-day redemption period, to each warrant holder; and</w:t>
      </w:r>
    </w:p>
    <w:p>
      <w:pPr>
        <w:spacing w:after="0" w:line="101" w:lineRule="exact"/>
        <w:rPr>
          <w:rFonts w:ascii="Arial" w:cs="Arial" w:eastAsia="Arial" w:hAnsi="Arial"/>
          <w:sz w:val="16"/>
          <w:szCs w:val="16"/>
          <w:color w:val="auto"/>
        </w:rPr>
      </w:pPr>
    </w:p>
    <w:p>
      <w:pPr>
        <w:ind w:left="1800" w:right="1579" w:hanging="335"/>
        <w:spacing w:after="0" w:line="265" w:lineRule="auto"/>
        <w:tabs>
          <w:tab w:leader="none" w:pos="18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and only if, the closing price of our Class A common stock equals or exceeds $18.00 per share (as adjusted for stock splits, stock dividends, reorganizations, recapitalizations and the like) for any 20 trading days within a 30-trading day period ending on the third trading day prior to the date on which we send the notice of redemption to the warrant holders.</w:t>
      </w:r>
    </w:p>
    <w:p>
      <w:pPr>
        <w:spacing w:after="0" w:line="68" w:lineRule="exact"/>
        <w:rPr>
          <w:sz w:val="20"/>
          <w:szCs w:val="20"/>
          <w:color w:val="auto"/>
        </w:rPr>
      </w:pPr>
    </w:p>
    <w:p>
      <w:pPr>
        <w:jc w:val="both"/>
        <w:ind w:left="1140" w:right="1719" w:firstLine="326"/>
        <w:spacing w:after="0" w:line="320" w:lineRule="auto"/>
        <w:rPr>
          <w:sz w:val="20"/>
          <w:szCs w:val="20"/>
          <w:color w:val="auto"/>
        </w:rPr>
      </w:pPr>
      <w:r>
        <w:rPr>
          <w:rFonts w:ascii="Arial" w:cs="Arial" w:eastAsia="Arial" w:hAnsi="Arial"/>
          <w:sz w:val="15"/>
          <w:szCs w:val="15"/>
          <w:color w:val="auto"/>
        </w:rPr>
        <w:t>If and when the warrants become redeemable by us, we may exercise our redemption right even if we are unable to register or qualify the underlying securities for sale under all applicable state securities laws.</w:t>
      </w:r>
    </w:p>
    <w:p>
      <w:pPr>
        <w:spacing w:after="0" w:line="29" w:lineRule="exact"/>
        <w:rPr>
          <w:sz w:val="20"/>
          <w:szCs w:val="20"/>
          <w:color w:val="auto"/>
        </w:rPr>
      </w:pPr>
    </w:p>
    <w:p>
      <w:pPr>
        <w:ind w:left="1140" w:right="1699" w:firstLine="326"/>
        <w:spacing w:after="0" w:line="261" w:lineRule="auto"/>
        <w:rPr>
          <w:sz w:val="20"/>
          <w:szCs w:val="20"/>
          <w:color w:val="auto"/>
        </w:rPr>
      </w:pPr>
      <w:r>
        <w:rPr>
          <w:rFonts w:ascii="Arial" w:cs="Arial" w:eastAsia="Arial" w:hAnsi="Arial"/>
          <w:sz w:val="16"/>
          <w:szCs w:val="16"/>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common stock may fall below the $18.00 redemption trigger price as well as the $11.50 warrant exercise price after the redemption notice is issued.</w:t>
      </w:r>
    </w:p>
    <w:p>
      <w:pPr>
        <w:spacing w:after="0" w:line="71" w:lineRule="exact"/>
        <w:rPr>
          <w:sz w:val="20"/>
          <w:szCs w:val="20"/>
          <w:color w:val="auto"/>
        </w:rPr>
      </w:pPr>
    </w:p>
    <w:p>
      <w:pPr>
        <w:ind w:left="1140" w:right="1619" w:firstLine="326"/>
        <w:spacing w:after="0" w:line="274" w:lineRule="auto"/>
        <w:rPr>
          <w:sz w:val="20"/>
          <w:szCs w:val="20"/>
          <w:color w:val="auto"/>
        </w:rPr>
      </w:pPr>
      <w:r>
        <w:rPr>
          <w:rFonts w:ascii="Arial" w:cs="Arial" w:eastAsia="Arial" w:hAnsi="Arial"/>
          <w:sz w:val="15"/>
          <w:szCs w:val="15"/>
          <w:b w:val="1"/>
          <w:bCs w:val="1"/>
          <w:i w:val="1"/>
          <w:iCs w:val="1"/>
          <w:color w:val="auto"/>
        </w:rPr>
        <w:t xml:space="preserve">Redemption Procedures and Cashless Exercise. </w:t>
      </w:r>
      <w:r>
        <w:rPr>
          <w:rFonts w:ascii="Arial" w:cs="Arial" w:eastAsia="Arial" w:hAnsi="Arial"/>
          <w:sz w:val="15"/>
          <w:szCs w:val="15"/>
          <w:color w:val="auto"/>
        </w:rPr>
        <w:t>If we call the warrants for redemption as described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above, our management will have the option to require all holders that wish to exercise warrants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closing price of the Class A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our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268" w:lineRule="exact"/>
        <w:rPr>
          <w:sz w:val="20"/>
          <w:szCs w:val="20"/>
          <w:color w:val="auto"/>
        </w:rPr>
      </w:pPr>
    </w:p>
    <w:p>
      <w:pPr>
        <w:ind w:left="1140" w:right="1719" w:firstLine="326"/>
        <w:spacing w:after="0" w:line="262" w:lineRule="auto"/>
        <w:rPr>
          <w:sz w:val="20"/>
          <w:szCs w:val="20"/>
          <w:color w:val="auto"/>
        </w:rPr>
      </w:pPr>
      <w:r>
        <w:rPr>
          <w:rFonts w:ascii="Arial" w:cs="Arial" w:eastAsia="Arial" w:hAnsi="Arial"/>
          <w:sz w:val="16"/>
          <w:szCs w:val="16"/>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shares of Class A common stock outstanding immediately after giving effect to such exercise.</w:t>
      </w:r>
    </w:p>
    <w:p>
      <w:pPr>
        <w:spacing w:after="0" w:line="219"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6" w:name="page137"/>
    <w:bookmarkEnd w:id="136"/>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579" w:firstLine="326"/>
        <w:spacing w:after="0" w:line="273" w:lineRule="auto"/>
        <w:rPr>
          <w:sz w:val="20"/>
          <w:szCs w:val="20"/>
          <w:color w:val="auto"/>
        </w:rPr>
      </w:pPr>
      <w:r>
        <w:rPr>
          <w:rFonts w:ascii="Arial" w:cs="Arial" w:eastAsia="Arial" w:hAnsi="Arial"/>
          <w:sz w:val="15"/>
          <w:szCs w:val="15"/>
          <w:b w:val="1"/>
          <w:bCs w:val="1"/>
          <w:i w:val="1"/>
          <w:iCs w:val="1"/>
          <w:color w:val="auto"/>
        </w:rPr>
        <w:t xml:space="preserve">Anti-Dilution Adjustments. </w:t>
      </w:r>
      <w:r>
        <w:rPr>
          <w:rFonts w:ascii="Arial" w:cs="Arial" w:eastAsia="Arial" w:hAnsi="Arial"/>
          <w:sz w:val="15"/>
          <w:szCs w:val="15"/>
          <w:color w:val="auto"/>
        </w:rPr>
        <w:t>If the number of outstanding shares of Class A common stock is increased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Class A common stock) multiplied by (2) one minus the quotient of (x) the price per share of Class A common stock paid in such rights offering divided by (y) the fair market value. For these purposes</w:t>
      </w:r>
    </w:p>
    <w:p>
      <w:pPr>
        <w:spacing w:after="0" w:line="6" w:lineRule="exact"/>
        <w:rPr>
          <w:sz w:val="20"/>
          <w:szCs w:val="20"/>
          <w:color w:val="auto"/>
        </w:rPr>
      </w:pPr>
    </w:p>
    <w:p>
      <w:pPr>
        <w:ind w:left="1140" w:right="1619" w:hanging="1"/>
        <w:spacing w:after="0" w:line="257" w:lineRule="auto"/>
        <w:tabs>
          <w:tab w:leader="none" w:pos="1384"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(2) fair market value means the volume weighted average price of Class A common stock as reported during the ten trading day period ending on the trading day prior to the first date on which the shares of Class A common stock trade on the applicable exchange or in the applicable market, regular way, without the right to receive such rights.</w:t>
      </w:r>
    </w:p>
    <w:p>
      <w:pPr>
        <w:spacing w:after="0" w:line="77" w:lineRule="exact"/>
        <w:rPr>
          <w:sz w:val="20"/>
          <w:szCs w:val="20"/>
          <w:color w:val="auto"/>
        </w:rPr>
      </w:pPr>
    </w:p>
    <w:p>
      <w:pPr>
        <w:ind w:left="1140" w:right="1579" w:firstLine="326"/>
        <w:spacing w:after="0" w:line="257" w:lineRule="auto"/>
        <w:rPr>
          <w:sz w:val="20"/>
          <w:szCs w:val="20"/>
          <w:color w:val="auto"/>
        </w:rPr>
      </w:pPr>
      <w:r>
        <w:rPr>
          <w:rFonts w:ascii="Arial" w:cs="Arial" w:eastAsia="Arial" w:hAnsi="Arial"/>
          <w:sz w:val="16"/>
          <w:szCs w:val="16"/>
          <w:color w:val="auto"/>
        </w:rPr>
        <w:t>In addition, if we, at any time while the warrants are outstanding and unexpired, pay a dividend or make a distribution in cash, securities or other assets to the holders of Class A common stock on account of such shares of Class A common stock (or other shares of our capital stock into which the warrants are convertible), other than (a) as described above, (b) certain ordinary cash dividends, (c) to satisfy the redemption rights of the holders of Class A common stock in connection with a proposed initial business combination, (d) to satisfy the redemption rights of the holders of Class A common stock in connection with a stockholder vote to amend our amended and restated certificate of incorporation to modify the substance or timing of our obligation to provide for the redemption of our public shares in connection with an initial business combination or to redeem 100% of our Class A common stock if we do not complete our initial business combination within the completion window,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79" w:lineRule="exact"/>
        <w:rPr>
          <w:sz w:val="20"/>
          <w:szCs w:val="20"/>
          <w:color w:val="auto"/>
        </w:rPr>
      </w:pPr>
    </w:p>
    <w:p>
      <w:pPr>
        <w:ind w:left="1140" w:right="1679" w:firstLine="326"/>
        <w:spacing w:after="0" w:line="262" w:lineRule="auto"/>
        <w:rPr>
          <w:sz w:val="20"/>
          <w:szCs w:val="20"/>
          <w:color w:val="auto"/>
        </w:rPr>
      </w:pPr>
      <w:r>
        <w:rPr>
          <w:rFonts w:ascii="Arial" w:cs="Arial" w:eastAsia="Arial" w:hAnsi="Arial"/>
          <w:sz w:val="16"/>
          <w:szCs w:val="16"/>
          <w:color w:val="auto"/>
        </w:rPr>
        <w:t>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w:t>
      </w:r>
    </w:p>
    <w:p>
      <w:pPr>
        <w:spacing w:after="0" w:line="72" w:lineRule="exact"/>
        <w:rPr>
          <w:sz w:val="20"/>
          <w:szCs w:val="20"/>
          <w:color w:val="auto"/>
        </w:rPr>
      </w:pPr>
    </w:p>
    <w:p>
      <w:pPr>
        <w:ind w:left="1140" w:right="1579" w:firstLine="326"/>
        <w:spacing w:after="0" w:line="261" w:lineRule="auto"/>
        <w:rPr>
          <w:sz w:val="20"/>
          <w:szCs w:val="20"/>
          <w:color w:val="auto"/>
        </w:rPr>
      </w:pPr>
      <w:r>
        <w:rPr>
          <w:rFonts w:ascii="Arial" w:cs="Arial" w:eastAsia="Arial" w:hAnsi="Arial"/>
          <w:sz w:val="16"/>
          <w:szCs w:val="16"/>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pacing w:after="0" w:line="71" w:lineRule="exact"/>
        <w:rPr>
          <w:sz w:val="20"/>
          <w:szCs w:val="20"/>
          <w:color w:val="auto"/>
        </w:rPr>
      </w:pPr>
    </w:p>
    <w:p>
      <w:pPr>
        <w:ind w:left="1140" w:right="1579" w:firstLine="326"/>
        <w:spacing w:after="0" w:line="277" w:lineRule="auto"/>
        <w:rPr>
          <w:sz w:val="20"/>
          <w:szCs w:val="20"/>
          <w:color w:val="auto"/>
        </w:rPr>
      </w:pPr>
      <w:r>
        <w:rPr>
          <w:rFonts w:ascii="Arial" w:cs="Arial" w:eastAsia="Arial" w:hAnsi="Arial"/>
          <w:sz w:val="15"/>
          <w:szCs w:val="15"/>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Class A common stock immediately theretofore purchasable and receivable upon the exercise of the rights represented thereby, the kind and amount of</w:t>
      </w:r>
    </w:p>
    <w:p>
      <w:pPr>
        <w:spacing w:after="0" w:line="223"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7" w:name="page138"/>
    <w:bookmarkEnd w:id="137"/>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559"/>
        <w:spacing w:after="0" w:line="273" w:lineRule="auto"/>
        <w:rPr>
          <w:sz w:val="20"/>
          <w:szCs w:val="20"/>
          <w:color w:val="auto"/>
        </w:rPr>
      </w:pPr>
      <w:r>
        <w:rPr>
          <w:rFonts w:ascii="Arial" w:cs="Arial" w:eastAsia="Arial" w:hAnsi="Arial"/>
          <w:sz w:val="15"/>
          <w:szCs w:val="15"/>
          <w:color w:val="auto"/>
        </w:rPr>
        <w:t>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stockholders of the company as provided for in the company’s amended and restated certificate of incorporation or as a result of the redemption of shares of Class A common stock by the company if a proposed initial business combination is presented to the stockholders of the company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Class A common stock, the holder of a warrant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the Class A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per share consideration minus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in order to determine and realize the option value component of the warrant. This formula is to compensate the warrant holder for the loss of the option value portion of the warrant due to the requirement that the warrant holder exercise the warrant within 30 days of the event. The Black-Scholes model is an accepted pricing model for estimating fair market value where no quoted market price for an instrument is available.</w:t>
      </w:r>
    </w:p>
    <w:p>
      <w:pPr>
        <w:spacing w:after="0" w:line="200" w:lineRule="exact"/>
        <w:rPr>
          <w:sz w:val="20"/>
          <w:szCs w:val="20"/>
          <w:color w:val="auto"/>
        </w:rPr>
      </w:pPr>
    </w:p>
    <w:p>
      <w:pPr>
        <w:spacing w:after="0" w:line="271" w:lineRule="exact"/>
        <w:rPr>
          <w:sz w:val="20"/>
          <w:szCs w:val="20"/>
          <w:color w:val="auto"/>
        </w:rPr>
      </w:pPr>
    </w:p>
    <w:p>
      <w:pPr>
        <w:ind w:left="1140" w:right="1679" w:firstLine="326"/>
        <w:spacing w:after="0" w:line="259" w:lineRule="auto"/>
        <w:rPr>
          <w:sz w:val="20"/>
          <w:szCs w:val="20"/>
          <w:color w:val="auto"/>
        </w:rPr>
      </w:pPr>
      <w:r>
        <w:rPr>
          <w:rFonts w:ascii="Arial" w:cs="Arial" w:eastAsia="Arial" w:hAnsi="Arial"/>
          <w:sz w:val="16"/>
          <w:szCs w:val="16"/>
          <w:color w:val="auto"/>
        </w:rPr>
        <w:t>The warrants will be issued in registered form under a warrant agreement between Continental Stock Transfer &amp; Trust Company, as warrant agent, and us. You should review a copy of the warrant agreement, which will be filed as an exhibit to the registration statement of which this prospectus is a part, for a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75" w:lineRule="exact"/>
        <w:rPr>
          <w:sz w:val="20"/>
          <w:szCs w:val="20"/>
          <w:color w:val="auto"/>
        </w:rPr>
      </w:pPr>
    </w:p>
    <w:p>
      <w:pPr>
        <w:ind w:left="1140" w:right="1639" w:firstLine="326"/>
        <w:spacing w:after="0" w:line="279" w:lineRule="auto"/>
        <w:rPr>
          <w:sz w:val="20"/>
          <w:szCs w:val="20"/>
          <w:color w:val="auto"/>
        </w:rPr>
      </w:pPr>
      <w:r>
        <w:rPr>
          <w:rFonts w:ascii="Arial" w:cs="Arial" w:eastAsia="Arial" w:hAnsi="Arial"/>
          <w:sz w:val="15"/>
          <w:szCs w:val="15"/>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spacing w:after="0" w:line="218"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8" w:name="page139"/>
    <w:bookmarkEnd w:id="138"/>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Private Placement Warrants</w:t>
      </w:r>
    </w:p>
    <w:p>
      <w:pPr>
        <w:spacing w:after="0" w:line="101" w:lineRule="exact"/>
        <w:rPr>
          <w:sz w:val="20"/>
          <w:szCs w:val="20"/>
          <w:color w:val="auto"/>
        </w:rPr>
      </w:pPr>
    </w:p>
    <w:p>
      <w:pPr>
        <w:ind w:left="1140" w:right="1619" w:firstLine="326"/>
        <w:spacing w:after="0" w:line="258" w:lineRule="auto"/>
        <w:rPr>
          <w:sz w:val="20"/>
          <w:szCs w:val="20"/>
          <w:color w:val="auto"/>
        </w:rPr>
      </w:pPr>
      <w:r>
        <w:rPr>
          <w:rFonts w:ascii="Arial" w:cs="Arial" w:eastAsia="Arial" w:hAnsi="Arial"/>
          <w:sz w:val="16"/>
          <w:szCs w:val="16"/>
          <w:color w:val="auto"/>
        </w:rPr>
        <w:t>The private placement warrants (including the Class A common stock issuable upon exercise of the private placement warrants) will not be transferable, assignable or salable until 30 days after the completion of our initial business combination (except, among other limited exceptions as described under “Principal Stockholders — Transfers of Founder Shares and Private Placement Warrants,” to our officers and directors and other persons or entities affiliated with our sponsor) and they will not be redeemable by us so long as they are held by our sponsor or its permitted transferees. Our sponsor, or its permitted transferees, has the option to exercise the private placement warrants on a cashless basis and will be entitled to certain registration rights. Otherwise, the private placement warrants have terms and provisions that are identical to those of the warrants being sold as part of the units in this offering. If the private placement warrants are held by holders other than our sponsor or its permitted transferees, the private placement warrants will be redeemable by us and exercisable by the holders on the same basis as the warrants included in the units being sold in this offering.</w:t>
      </w:r>
    </w:p>
    <w:p>
      <w:pPr>
        <w:spacing w:after="0" w:line="73" w:lineRule="exact"/>
        <w:rPr>
          <w:sz w:val="20"/>
          <w:szCs w:val="20"/>
          <w:color w:val="auto"/>
        </w:rPr>
      </w:pPr>
    </w:p>
    <w:p>
      <w:pPr>
        <w:ind w:left="1140" w:right="1599" w:firstLine="326"/>
        <w:spacing w:after="0" w:line="257" w:lineRule="auto"/>
        <w:rPr>
          <w:sz w:val="20"/>
          <w:szCs w:val="20"/>
          <w:color w:val="auto"/>
        </w:rPr>
      </w:pPr>
      <w:r>
        <w:rPr>
          <w:rFonts w:ascii="Arial" w:cs="Arial" w:eastAsia="Arial" w:hAnsi="Arial"/>
          <w:sz w:val="16"/>
          <w:szCs w:val="16"/>
          <w:color w:val="auto"/>
        </w:rPr>
        <w:t>If holders of the private placement warrants elect to exercise them on a cashless basis, they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closing price of the Class A common stock for the 10 trading days ending on the third trading day prior to the date on which the notice of redemption is sent to the holders of warrants. The reason that we have agreed that these warrants will be exercisable on a cashless basis so long as they are held by our sponsor and its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exercise their warrants and sell the shares of Class A common stock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74" w:lineRule="exact"/>
        <w:rPr>
          <w:sz w:val="20"/>
          <w:szCs w:val="20"/>
          <w:color w:val="auto"/>
        </w:rPr>
      </w:pPr>
    </w:p>
    <w:p>
      <w:pPr>
        <w:ind w:left="1140" w:right="1619" w:firstLine="326"/>
        <w:spacing w:after="0" w:line="259" w:lineRule="auto"/>
        <w:rPr>
          <w:sz w:val="20"/>
          <w:szCs w:val="20"/>
          <w:color w:val="auto"/>
        </w:rPr>
      </w:pPr>
      <w:r>
        <w:rPr>
          <w:rFonts w:ascii="Arial" w:cs="Arial" w:eastAsia="Arial" w:hAnsi="Arial"/>
          <w:sz w:val="16"/>
          <w:szCs w:val="16"/>
          <w:color w:val="auto"/>
        </w:rPr>
        <w:t>In order to finance transaction costs in connection with an intended initial business combination, our sponsor, an affiliate of our sponsor or our officers and directors may, but none of them is obligated to, loan us funds as may be required. If we complete our initial business combination, we would repay such loaned amounts out of the proceeds of the trust account released to us.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warrants at a price of $1.00 per warrant at the option of the lender. The warrants would be identical to the private placement warrants issued to our sponsor.</w:t>
      </w:r>
    </w:p>
    <w:p>
      <w:pPr>
        <w:spacing w:after="0" w:line="15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Dividends</w:t>
      </w:r>
    </w:p>
    <w:p>
      <w:pPr>
        <w:spacing w:after="0" w:line="101" w:lineRule="exact"/>
        <w:rPr>
          <w:sz w:val="20"/>
          <w:szCs w:val="20"/>
          <w:color w:val="auto"/>
        </w:rPr>
      </w:pPr>
    </w:p>
    <w:p>
      <w:pPr>
        <w:ind w:left="1140" w:right="1579" w:firstLine="326"/>
        <w:spacing w:after="0" w:line="276" w:lineRule="auto"/>
        <w:rPr>
          <w:sz w:val="20"/>
          <w:szCs w:val="20"/>
          <w:color w:val="auto"/>
        </w:rPr>
      </w:pPr>
      <w:r>
        <w:rPr>
          <w:rFonts w:ascii="Arial" w:cs="Arial" w:eastAsia="Arial" w:hAnsi="Arial"/>
          <w:sz w:val="15"/>
          <w:szCs w:val="15"/>
          <w:color w:val="auto"/>
        </w:rPr>
        <w:t>We have not paid any cash dividends on our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a business combination will be within the discretion of our board of directors at such time. In addition, our board of directors is not currently contemplating and does not anticipate declaring any stock dividends in the foreseeable future, except if we increase the size of this offering, in which case we will effect a stock dividend with respect to our Class B common stock immediately prior to the consummation of this offering in such amount as to maintain the ownership of founder shares by our initial stockholders prior to this offering at 20% of our issued and outstanding shares of our common stock upon the consummation of this offering. Further, if we incur any indebtedness, our ability to declare dividends may be limited by restrictive covenants we may agree to in connection therewith.</w:t>
      </w:r>
    </w:p>
    <w:p>
      <w:pPr>
        <w:spacing w:after="0" w:line="213"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9" w:name="page140"/>
    <w:bookmarkEnd w:id="139"/>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Our Transfer Agent and Warrant Agent</w:t>
      </w:r>
    </w:p>
    <w:p>
      <w:pPr>
        <w:spacing w:after="0" w:line="101" w:lineRule="exact"/>
        <w:rPr>
          <w:sz w:val="20"/>
          <w:szCs w:val="20"/>
          <w:color w:val="auto"/>
        </w:rPr>
      </w:pPr>
    </w:p>
    <w:p>
      <w:pPr>
        <w:ind w:left="1140" w:right="1719" w:firstLine="326"/>
        <w:spacing w:after="0" w:line="281" w:lineRule="auto"/>
        <w:rPr>
          <w:sz w:val="20"/>
          <w:szCs w:val="20"/>
          <w:color w:val="auto"/>
        </w:rPr>
      </w:pPr>
      <w:r>
        <w:rPr>
          <w:rFonts w:ascii="Arial" w:cs="Arial" w:eastAsia="Arial" w:hAnsi="Arial"/>
          <w:sz w:val="15"/>
          <w:szCs w:val="15"/>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42"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Our Amended and Restated Certificate of Incorporation</w:t>
      </w:r>
    </w:p>
    <w:p>
      <w:pPr>
        <w:spacing w:after="0" w:line="101" w:lineRule="exact"/>
        <w:rPr>
          <w:sz w:val="20"/>
          <w:szCs w:val="20"/>
          <w:color w:val="auto"/>
        </w:rPr>
      </w:pPr>
    </w:p>
    <w:p>
      <w:pPr>
        <w:ind w:left="1140" w:right="1579" w:firstLine="326"/>
        <w:spacing w:after="0" w:line="277" w:lineRule="auto"/>
        <w:rPr>
          <w:sz w:val="20"/>
          <w:szCs w:val="20"/>
          <w:color w:val="auto"/>
        </w:rPr>
      </w:pPr>
      <w:r>
        <w:rPr>
          <w:rFonts w:ascii="Arial" w:cs="Arial" w:eastAsia="Arial" w:hAnsi="Arial"/>
          <w:sz w:val="15"/>
          <w:szCs w:val="15"/>
          <w:color w:val="auto"/>
        </w:rPr>
        <w:t>Our amended and restated certificate of incorporation will contain certain requirements and restrictions relating to this offering that will apply to us until the completion of our initial business combination. These provisions (other than amendments relating to the appointment of directors, which require the approval of a majority of at least 90% of our common stock voting in a stockholder meeting) cannot be amended without the approval of the holders of at least 65% of our common stock. Our initial stockholders, who collectively will beneficially own 20% of our common stock upon the closing of this offering, may participate in any vote to amend our amended and restated certificate of incorporation and will have the discretion to vote in any manner they choose. Prior to an initial business combination, we may not issue additional securities that can vote on amendments to our amended and restated certificate of incorporation. Specifically, our amended and restated certificate of incorporation will provide, among other things, that:</w:t>
      </w:r>
    </w:p>
    <w:p>
      <w:pPr>
        <w:spacing w:after="0" w:line="137" w:lineRule="exact"/>
        <w:rPr>
          <w:sz w:val="20"/>
          <w:szCs w:val="20"/>
          <w:color w:val="auto"/>
        </w:rPr>
      </w:pPr>
    </w:p>
    <w:p>
      <w:pPr>
        <w:ind w:left="1800" w:right="1619" w:hanging="335"/>
        <w:spacing w:after="0" w:line="258" w:lineRule="auto"/>
        <w:tabs>
          <w:tab w:leader="none" w:pos="18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we are unable to complete our initial business combination within the completion window, we will: (1) cease all operations except for the purpose of winding up; (2) as promptly as reasonably possible but not more than ten business days thereafter, subject to lawfully available funds therefor, redeem 100% of the public shares, at a per share price, payable in cash, equal to the aggregate amount then on deposit in the trust account, including interest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(3)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w:t>
      </w:r>
    </w:p>
    <w:p>
      <w:pPr>
        <w:spacing w:after="0" w:line="133" w:lineRule="exact"/>
        <w:rPr>
          <w:rFonts w:ascii="Arial" w:cs="Arial" w:eastAsia="Arial" w:hAnsi="Arial"/>
          <w:sz w:val="16"/>
          <w:szCs w:val="16"/>
          <w:color w:val="auto"/>
        </w:rPr>
      </w:pPr>
    </w:p>
    <w:p>
      <w:pPr>
        <w:ind w:left="1800" w:right="1739" w:hanging="335"/>
        <w:spacing w:after="0" w:line="270" w:lineRule="auto"/>
        <w:tabs>
          <w:tab w:leader="none" w:pos="18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prior to our initial business combination, we may not issue additional shares of capital stock that would entitle the holders thereof to: (1) receive funds from the trust account; or (2) vote on any initial business combination;</w:t>
      </w:r>
    </w:p>
    <w:p>
      <w:pPr>
        <w:spacing w:after="0" w:line="125" w:lineRule="exact"/>
        <w:rPr>
          <w:rFonts w:ascii="Arial" w:cs="Arial" w:eastAsia="Arial" w:hAnsi="Arial"/>
          <w:sz w:val="16"/>
          <w:szCs w:val="16"/>
          <w:color w:val="auto"/>
        </w:rPr>
      </w:pPr>
    </w:p>
    <w:p>
      <w:pPr>
        <w:ind w:left="1800" w:right="1579" w:hanging="335"/>
        <w:spacing w:after="0" w:line="279" w:lineRule="auto"/>
        <w:tabs>
          <w:tab w:leader="none" w:pos="18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although we do not intend to enter into a business combination with a target business that is affiliated with M. Klein and Company, one of our Strategic and Operating Partners, our sponsor, our directors or our officers, we are not prohibited from doing so. In the event we seek to complete our initial business combination with a company that is affiliated with M. Klein and Company, one of our Strategic and Operating Partners, our sponsor, officers or directors, we, or a committee of independent and disinterested directors, will obtain an opinion from an independent investment banking firm that is a member of FINRA or from an independent accounting firm that such a business combination is fair to our company from a financial point of view;</w:t>
      </w:r>
    </w:p>
    <w:p>
      <w:pPr>
        <w:spacing w:after="0" w:line="132" w:lineRule="exact"/>
        <w:rPr>
          <w:rFonts w:ascii="Arial" w:cs="Arial" w:eastAsia="Arial" w:hAnsi="Arial"/>
          <w:sz w:val="15"/>
          <w:szCs w:val="15"/>
          <w:color w:val="auto"/>
        </w:rPr>
      </w:pPr>
    </w:p>
    <w:p>
      <w:pPr>
        <w:ind w:left="1800" w:right="1619" w:hanging="335"/>
        <w:spacing w:after="0" w:line="260" w:lineRule="auto"/>
        <w:tabs>
          <w:tab w:leader="none" w:pos="18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a stockholder vote on our initial business combination is not required by applicable law or stock exchange rules and we do not decide to hold a stockholder vote for business or other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219"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0" w:name="page141"/>
    <w:bookmarkEnd w:id="140"/>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800" w:right="1699" w:hanging="335"/>
        <w:spacing w:after="0" w:line="296" w:lineRule="auto"/>
        <w:tabs>
          <w:tab w:leader="none" w:pos="18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if required by applicable stock-exchange rules, our initial business combination must be with one or more operating businesses or assets with a fair market value equal to at least 80% of the net assets held in the trust account (excluding the amount of any deferred underwriting discount).</w:t>
      </w:r>
    </w:p>
    <w:p>
      <w:pPr>
        <w:spacing w:after="0" w:line="34" w:lineRule="exact"/>
        <w:rPr>
          <w:rFonts w:ascii="Arial" w:cs="Arial" w:eastAsia="Arial" w:hAnsi="Arial"/>
          <w:sz w:val="15"/>
          <w:szCs w:val="15"/>
          <w:color w:val="auto"/>
        </w:rPr>
      </w:pPr>
    </w:p>
    <w:p>
      <w:pPr>
        <w:ind w:left="1800" w:right="1579" w:hanging="335"/>
        <w:spacing w:after="0" w:line="259" w:lineRule="auto"/>
        <w:tabs>
          <w:tab w:leader="none" w:pos="18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our stockholders approve an amendment to our amended and restated certificate of incorporation to modify the substance or timing of our obligation to provide for the redemption of our public shares in connection with an initial business combination or to redeem 100% of our public shares if we do not complete our initial business combination within the completion window, we will provide our public stockholders with the opportunity to redeem all or a portion of their shares of common stock upon such approval at a per share price, payable in cash, equal to the aggregate amount then on deposit in the trust account, including interest (net of permitted withdrawals), divided by the number of then outstanding public shares; and</w:t>
      </w:r>
    </w:p>
    <w:p>
      <w:pPr>
        <w:spacing w:after="0" w:line="62" w:lineRule="exact"/>
        <w:rPr>
          <w:rFonts w:ascii="Arial" w:cs="Arial" w:eastAsia="Arial" w:hAnsi="Arial"/>
          <w:sz w:val="16"/>
          <w:szCs w:val="16"/>
          <w:color w:val="auto"/>
        </w:rPr>
      </w:pPr>
    </w:p>
    <w:p>
      <w:pPr>
        <w:ind w:left="1800" w:right="1899" w:hanging="335"/>
        <w:spacing w:after="0" w:line="285" w:lineRule="auto"/>
        <w:tabs>
          <w:tab w:leader="none" w:pos="18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we will not effectuate our initial business combination with another blank check company or a similar company with nominal operations.</w:t>
      </w:r>
    </w:p>
    <w:p>
      <w:pPr>
        <w:spacing w:after="0" w:line="52" w:lineRule="exact"/>
        <w:rPr>
          <w:sz w:val="20"/>
          <w:szCs w:val="20"/>
          <w:color w:val="auto"/>
        </w:rPr>
      </w:pPr>
    </w:p>
    <w:p>
      <w:pPr>
        <w:ind w:left="1140" w:right="1659" w:firstLine="326"/>
        <w:spacing w:after="0" w:line="270" w:lineRule="auto"/>
        <w:rPr>
          <w:sz w:val="20"/>
          <w:szCs w:val="20"/>
          <w:color w:val="auto"/>
        </w:rPr>
      </w:pPr>
      <w:r>
        <w:rPr>
          <w:rFonts w:ascii="Arial" w:cs="Arial" w:eastAsia="Arial" w:hAnsi="Arial"/>
          <w:sz w:val="16"/>
          <w:szCs w:val="16"/>
          <w:color w:val="auto"/>
        </w:rPr>
        <w:t>In addition, our amended and restated certificate of incorporation will provide that under no circumstances will we redeem our public shares in an amount that would cause our net tangible assets to be less than $5,000,001.</w:t>
      </w:r>
    </w:p>
    <w:p>
      <w:pPr>
        <w:spacing w:after="0" w:line="146" w:lineRule="exact"/>
        <w:rPr>
          <w:sz w:val="20"/>
          <w:szCs w:val="20"/>
          <w:color w:val="auto"/>
        </w:rPr>
      </w:pPr>
    </w:p>
    <w:p>
      <w:pPr>
        <w:ind w:left="1140" w:right="2519"/>
        <w:spacing w:after="0" w:line="258" w:lineRule="auto"/>
        <w:rPr>
          <w:sz w:val="20"/>
          <w:szCs w:val="20"/>
          <w:color w:val="auto"/>
        </w:rPr>
      </w:pPr>
      <w:r>
        <w:rPr>
          <w:rFonts w:ascii="Arial" w:cs="Arial" w:eastAsia="Arial" w:hAnsi="Arial"/>
          <w:sz w:val="16"/>
          <w:szCs w:val="16"/>
          <w:b w:val="1"/>
          <w:bCs w:val="1"/>
          <w:color w:val="auto"/>
        </w:rPr>
        <w:t>Certain Anti-Takeover Provisions of Delaware Law and our Amended and Restated Certificate of Incorporation and Bylaws</w:t>
      </w:r>
    </w:p>
    <w:p>
      <w:pPr>
        <w:spacing w:after="0" w:line="61" w:lineRule="exact"/>
        <w:rPr>
          <w:sz w:val="20"/>
          <w:szCs w:val="20"/>
          <w:color w:val="auto"/>
        </w:rPr>
      </w:pPr>
    </w:p>
    <w:p>
      <w:pPr>
        <w:ind w:left="1140" w:right="1619" w:firstLine="326"/>
        <w:spacing w:after="0" w:line="265" w:lineRule="auto"/>
        <w:rPr>
          <w:sz w:val="20"/>
          <w:szCs w:val="20"/>
          <w:color w:val="auto"/>
        </w:rPr>
      </w:pPr>
      <w:r>
        <w:rPr>
          <w:rFonts w:ascii="Arial" w:cs="Arial" w:eastAsia="Arial" w:hAnsi="Arial"/>
          <w:sz w:val="16"/>
          <w:szCs w:val="16"/>
          <w:color w:val="auto"/>
        </w:rPr>
        <w:t>We have elected to be exempt from the restrictions imposed under Section 203 of the DGCL. However, our certificate of incorporation will contain similar provisions providing that we may not engage in certain “business combinations” with any “interested stockholder” for a three-year period following the time that such stockholder becomes an interested stockholder unless:</w:t>
      </w:r>
    </w:p>
    <w:p>
      <w:pPr>
        <w:spacing w:after="0" w:line="56" w:lineRule="exact"/>
        <w:rPr>
          <w:sz w:val="20"/>
          <w:szCs w:val="20"/>
          <w:color w:val="auto"/>
        </w:rPr>
      </w:pPr>
    </w:p>
    <w:p>
      <w:pPr>
        <w:ind w:left="1800" w:right="2239" w:hanging="335"/>
        <w:spacing w:after="0" w:line="285" w:lineRule="auto"/>
        <w:tabs>
          <w:tab w:leader="none" w:pos="18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prior to such time, our board of directors approved either the business combination or the transaction which resulted in the stockholder becoming an interested stockholder;</w:t>
      </w:r>
    </w:p>
    <w:p>
      <w:pPr>
        <w:spacing w:after="0" w:line="40" w:lineRule="exact"/>
        <w:rPr>
          <w:rFonts w:ascii="Arial" w:cs="Arial" w:eastAsia="Arial" w:hAnsi="Arial"/>
          <w:sz w:val="16"/>
          <w:szCs w:val="16"/>
          <w:color w:val="auto"/>
        </w:rPr>
      </w:pPr>
    </w:p>
    <w:p>
      <w:pPr>
        <w:ind w:left="1800" w:right="1659" w:hanging="335"/>
        <w:spacing w:after="0" w:line="270" w:lineRule="auto"/>
        <w:tabs>
          <w:tab w:leader="none" w:pos="18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our voting stock outstanding at the time the transaction commenced (excluding certain shares); or</w:t>
      </w:r>
    </w:p>
    <w:p>
      <w:pPr>
        <w:spacing w:after="0" w:line="51" w:lineRule="exact"/>
        <w:rPr>
          <w:rFonts w:ascii="Arial" w:cs="Arial" w:eastAsia="Arial" w:hAnsi="Arial"/>
          <w:sz w:val="16"/>
          <w:szCs w:val="16"/>
          <w:color w:val="auto"/>
        </w:rPr>
      </w:pPr>
    </w:p>
    <w:p>
      <w:pPr>
        <w:ind w:left="1800" w:right="1579" w:hanging="335"/>
        <w:spacing w:after="0" w:line="296" w:lineRule="auto"/>
        <w:tabs>
          <w:tab w:leader="none" w:pos="18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on or subsequent to such time, the business combination is approved by the Board and authorized at an annual or special meeting of stockholders, and not by written consent, by the affirmative vote of at least two-thirds of the outstanding voting stock not owned by the interested stockholder.</w:t>
      </w:r>
    </w:p>
    <w:p>
      <w:pPr>
        <w:spacing w:after="0" w:line="47" w:lineRule="exact"/>
        <w:rPr>
          <w:sz w:val="20"/>
          <w:szCs w:val="20"/>
          <w:color w:val="auto"/>
        </w:rPr>
      </w:pPr>
    </w:p>
    <w:p>
      <w:pPr>
        <w:ind w:left="1140" w:right="1599" w:firstLine="326"/>
        <w:spacing w:after="0" w:line="296" w:lineRule="auto"/>
        <w:rPr>
          <w:sz w:val="20"/>
          <w:szCs w:val="20"/>
          <w:color w:val="auto"/>
        </w:rPr>
      </w:pPr>
      <w:r>
        <w:rPr>
          <w:rFonts w:ascii="Arial" w:cs="Arial" w:eastAsia="Arial" w:hAnsi="Arial"/>
          <w:sz w:val="15"/>
          <w:szCs w:val="15"/>
          <w:color w:val="auto"/>
        </w:rPr>
        <w:t>Generally, a “business combination” includes a merger, asset or stock sale to the interested stockholder. Subject to certain exceptions, an “interested stockholder” is a person who, together with that person’s affiliates and associates, owns, or within the previous three years owned, 15% or more of our voting stock.</w:t>
      </w:r>
    </w:p>
    <w:p>
      <w:pPr>
        <w:spacing w:after="0" w:line="47" w:lineRule="exact"/>
        <w:rPr>
          <w:sz w:val="20"/>
          <w:szCs w:val="20"/>
          <w:color w:val="auto"/>
        </w:rPr>
      </w:pPr>
    </w:p>
    <w:p>
      <w:pPr>
        <w:ind w:left="1140" w:right="1699" w:firstLine="326"/>
        <w:spacing w:after="0" w:line="285" w:lineRule="auto"/>
        <w:rPr>
          <w:sz w:val="20"/>
          <w:szCs w:val="20"/>
          <w:color w:val="auto"/>
        </w:rPr>
      </w:pPr>
      <w:r>
        <w:rPr>
          <w:rFonts w:ascii="Arial" w:cs="Arial" w:eastAsia="Arial" w:hAnsi="Arial"/>
          <w:sz w:val="16"/>
          <w:szCs w:val="16"/>
          <w:color w:val="auto"/>
        </w:rPr>
        <w:t>Under some circumstances, this provision will make it more difficult for a person who is an interested stockholder to effect various business combinations with us for a three-year period.</w:t>
      </w:r>
    </w:p>
    <w:p>
      <w:pPr>
        <w:spacing w:after="0" w:line="52" w:lineRule="exact"/>
        <w:rPr>
          <w:sz w:val="20"/>
          <w:szCs w:val="20"/>
          <w:color w:val="auto"/>
        </w:rPr>
      </w:pPr>
    </w:p>
    <w:p>
      <w:pPr>
        <w:ind w:left="1140" w:right="1719" w:firstLine="326"/>
        <w:spacing w:after="0" w:line="270" w:lineRule="auto"/>
        <w:rPr>
          <w:sz w:val="20"/>
          <w:szCs w:val="20"/>
          <w:color w:val="auto"/>
        </w:rPr>
      </w:pPr>
      <w:r>
        <w:rPr>
          <w:rFonts w:ascii="Arial" w:cs="Arial" w:eastAsia="Arial" w:hAnsi="Arial"/>
          <w:sz w:val="16"/>
          <w:szCs w:val="16"/>
          <w:color w:val="auto"/>
        </w:rPr>
        <w:t>Our certificate of incorporation will provide that our sponsor and its various affiliates, successors and transferees will not be deemed to be “interested stockholders” regardless of the percentage of our voting stock owned by them, and accordingly will not be subject to this provision.</w:t>
      </w:r>
    </w:p>
    <w:p>
      <w:pPr>
        <w:spacing w:after="0" w:line="64" w:lineRule="exact"/>
        <w:rPr>
          <w:sz w:val="20"/>
          <w:szCs w:val="20"/>
          <w:color w:val="auto"/>
        </w:rPr>
      </w:pPr>
    </w:p>
    <w:p>
      <w:pPr>
        <w:ind w:left="1140" w:right="1599" w:firstLine="326"/>
        <w:spacing w:after="0" w:line="284" w:lineRule="auto"/>
        <w:rPr>
          <w:sz w:val="20"/>
          <w:szCs w:val="20"/>
          <w:color w:val="auto"/>
        </w:rPr>
      </w:pPr>
      <w:r>
        <w:rPr>
          <w:rFonts w:ascii="Arial" w:cs="Arial" w:eastAsia="Arial" w:hAnsi="Arial"/>
          <w:sz w:val="15"/>
          <w:szCs w:val="15"/>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37"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Exclusive Forum For Certain Lawsuits</w:t>
      </w:r>
    </w:p>
    <w:p>
      <w:pPr>
        <w:spacing w:after="0" w:line="101" w:lineRule="exact"/>
        <w:rPr>
          <w:sz w:val="20"/>
          <w:szCs w:val="20"/>
          <w:color w:val="auto"/>
        </w:rPr>
      </w:pPr>
    </w:p>
    <w:p>
      <w:pPr>
        <w:jc w:val="both"/>
        <w:ind w:left="1140" w:right="1779" w:firstLine="326"/>
        <w:spacing w:after="0" w:line="296" w:lineRule="auto"/>
        <w:rPr>
          <w:sz w:val="20"/>
          <w:szCs w:val="20"/>
          <w:color w:val="auto"/>
        </w:rPr>
      </w:pPr>
      <w:r>
        <w:rPr>
          <w:rFonts w:ascii="Arial" w:cs="Arial" w:eastAsia="Arial" w:hAnsi="Arial"/>
          <w:sz w:val="15"/>
          <w:szCs w:val="15"/>
          <w:color w:val="auto"/>
        </w:rPr>
        <w:t>Our amended and restated certificate of incorporation will require, to the fullest extent permitted by law, that (i) any derivative action or proceeding brought on our behalf, (ii) any action asserting a claim of breach of a fiduciary duty owed by any director, officer or other employee to us or our stockholders,</w:t>
      </w:r>
    </w:p>
    <w:p>
      <w:pPr>
        <w:spacing w:after="0" w:line="194"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1" w:name="page142"/>
    <w:bookmarkEnd w:id="141"/>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579" w:hanging="1"/>
        <w:spacing w:after="0" w:line="257" w:lineRule="auto"/>
        <w:tabs>
          <w:tab w:leader="none" w:pos="1445"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any action asserting a claim against us, our directors, officers or employees arising pursuant to any provision of the DGCL or our amended and restated certificate of incorporation or bylaws, or (iv) any action asserting a claim against us, our directors, officers or employees governed by the internal affairs doctrine may be brought only in the Court of Chancery in the State of Delaware, except any action (A) 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arising under the Securities Act,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75" w:lineRule="exact"/>
        <w:rPr>
          <w:sz w:val="20"/>
          <w:szCs w:val="20"/>
          <w:color w:val="auto"/>
        </w:rPr>
      </w:pPr>
    </w:p>
    <w:p>
      <w:pPr>
        <w:ind w:left="1140" w:right="1599" w:firstLine="326"/>
        <w:spacing w:after="0" w:line="257" w:lineRule="auto"/>
        <w:rPr>
          <w:sz w:val="20"/>
          <w:szCs w:val="20"/>
          <w:color w:val="auto"/>
        </w:rPr>
      </w:pPr>
      <w:r>
        <w:rPr>
          <w:rFonts w:ascii="Arial" w:cs="Arial" w:eastAsia="Arial" w:hAnsi="Arial"/>
          <w:sz w:val="16"/>
          <w:szCs w:val="16"/>
          <w:color w:val="auto"/>
        </w:rPr>
        <w:t>Our amended and restated certificate of incorporation will provide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Section 22 of the Securities Act creates concurrent jurisdiction for federal and state courts over all suits brought to enforce any duty or liability created by the Securities Act or the rules and regulations thereunder. As noted above, our amended and restated certificate of incorporation will provide that the Court of Chancery and the federal district court for the District of Delaware shall have concurrent jurisdiction over any action arising under the Securities Act. Accordingly, there is uncertainty as to whether a court would enforce such provision, and our stockholders will not be deemed to have waived our compliance with the federal securities laws and the rules and regulations thereunder.</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Special Meeting of Stockholders</w:t>
      </w:r>
    </w:p>
    <w:p>
      <w:pPr>
        <w:spacing w:after="0" w:line="101" w:lineRule="exact"/>
        <w:rPr>
          <w:sz w:val="20"/>
          <w:szCs w:val="20"/>
          <w:color w:val="auto"/>
        </w:rPr>
      </w:pPr>
    </w:p>
    <w:p>
      <w:pPr>
        <w:ind w:left="1140" w:right="1659" w:firstLine="326"/>
        <w:spacing w:after="0" w:line="285" w:lineRule="auto"/>
        <w:rPr>
          <w:sz w:val="20"/>
          <w:szCs w:val="20"/>
          <w:color w:val="auto"/>
        </w:rPr>
      </w:pPr>
      <w:r>
        <w:rPr>
          <w:rFonts w:ascii="Arial" w:cs="Arial" w:eastAsia="Arial" w:hAnsi="Arial"/>
          <w:sz w:val="16"/>
          <w:szCs w:val="16"/>
          <w:color w:val="auto"/>
        </w:rPr>
        <w:t>Our bylaws provide that special meetings of our stockholders may be called only by a majority vote of our board of directors, by our chief executive officer or by our chairman, if any.</w:t>
      </w:r>
    </w:p>
    <w:p>
      <w:pPr>
        <w:spacing w:after="0" w:line="13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Advance Notice Requirements for Stockholder Proposals and Director Nominations</w:t>
      </w:r>
    </w:p>
    <w:p>
      <w:pPr>
        <w:spacing w:after="0" w:line="101" w:lineRule="exact"/>
        <w:rPr>
          <w:sz w:val="20"/>
          <w:szCs w:val="20"/>
          <w:color w:val="auto"/>
        </w:rPr>
      </w:pPr>
    </w:p>
    <w:p>
      <w:pPr>
        <w:ind w:left="1140" w:right="1579" w:firstLine="326"/>
        <w:spacing w:after="0" w:line="257" w:lineRule="auto"/>
        <w:rPr>
          <w:sz w:val="20"/>
          <w:szCs w:val="20"/>
          <w:color w:val="auto"/>
        </w:rPr>
      </w:pPr>
      <w:r>
        <w:rPr>
          <w:rFonts w:ascii="Arial" w:cs="Arial" w:eastAsia="Arial" w:hAnsi="Arial"/>
          <w:sz w:val="16"/>
          <w:szCs w:val="16"/>
          <w:color w:val="auto"/>
        </w:rPr>
        <w:t>Our bylaws will provide for advance notice procedures with respect to stockholder proposals and the nomination of candidates for election as directors, other than nominations made by or at the direction of our board of directors or a committee of our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Pursuant to Rule 14a-8 of the Exchange Act, proposals seeking inclusion in our annual proxy statement must comply with the notice periods contained therein. Our bylaws will also specify requirements as to the form and content of a stockholder’s notice. Our bylaws will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us.</w:t>
      </w:r>
    </w:p>
    <w:p>
      <w:pPr>
        <w:spacing w:after="0" w:line="161"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Action by Written Consent</w:t>
      </w:r>
    </w:p>
    <w:p>
      <w:pPr>
        <w:spacing w:after="0" w:line="101" w:lineRule="exact"/>
        <w:rPr>
          <w:sz w:val="20"/>
          <w:szCs w:val="20"/>
          <w:color w:val="auto"/>
        </w:rPr>
      </w:pPr>
    </w:p>
    <w:p>
      <w:pPr>
        <w:jc w:val="both"/>
        <w:ind w:left="1140" w:right="1699" w:firstLine="326"/>
        <w:spacing w:after="0" w:line="296" w:lineRule="auto"/>
        <w:rPr>
          <w:sz w:val="20"/>
          <w:szCs w:val="20"/>
          <w:color w:val="auto"/>
        </w:rPr>
      </w:pPr>
      <w:r>
        <w:rPr>
          <w:rFonts w:ascii="Arial" w:cs="Arial" w:eastAsia="Arial" w:hAnsi="Arial"/>
          <w:sz w:val="15"/>
          <w:szCs w:val="15"/>
          <w:color w:val="auto"/>
        </w:rPr>
        <w:t>Subsequent to the consummation of this offering, any action required or permitted to be taken by our stockholders must be effected by a duly called annual or special meeting of such stockholders and may not be effected by written consent of the stockholders other than with respect to our Class B common stock.</w:t>
      </w:r>
    </w:p>
    <w:p>
      <w:pPr>
        <w:spacing w:after="0" w:line="206"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2" w:name="page143"/>
    <w:bookmarkEnd w:id="142"/>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Classified Board of Directors</w:t>
      </w:r>
    </w:p>
    <w:p>
      <w:pPr>
        <w:spacing w:after="0" w:line="101" w:lineRule="exact"/>
        <w:rPr>
          <w:sz w:val="20"/>
          <w:szCs w:val="20"/>
          <w:color w:val="auto"/>
        </w:rPr>
      </w:pPr>
    </w:p>
    <w:p>
      <w:pPr>
        <w:ind w:left="1140" w:right="1619" w:firstLine="326"/>
        <w:spacing w:after="0" w:line="259" w:lineRule="auto"/>
        <w:rPr>
          <w:sz w:val="20"/>
          <w:szCs w:val="20"/>
          <w:color w:val="auto"/>
        </w:rPr>
      </w:pPr>
      <w:r>
        <w:rPr>
          <w:rFonts w:ascii="Arial" w:cs="Arial" w:eastAsia="Arial" w:hAnsi="Arial"/>
          <w:sz w:val="16"/>
          <w:szCs w:val="16"/>
          <w:color w:val="auto"/>
        </w:rPr>
        <w:t>Our board of directors will initially be divided into three classes, Class I, Class II and Class III, with members of each class serving staggered three-year terms. Our amended and restated certificate of incorporation will provide that the authorized number of directors may be changed only by resolution of the board of directors. Subject to the terms of any preferred stock, any or all of the directors may be removed from office at any time, but only for cause and only by the affirmative vote of holders of a majority of the voting power of all then outstanding shares of our capital stock entitled to vote generally in the election of directors, voting together as a single class. Any vacancy on our board of directors, including a vacancy resulting from an enlargement of our board of directors, may be filled only by vote of a majority of our directors then in office.</w:t>
      </w:r>
    </w:p>
    <w:p>
      <w:pPr>
        <w:spacing w:after="0" w:line="15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Class B Common Stock Consent Right</w:t>
      </w:r>
    </w:p>
    <w:p>
      <w:pPr>
        <w:spacing w:after="0" w:line="101" w:lineRule="exact"/>
        <w:rPr>
          <w:sz w:val="20"/>
          <w:szCs w:val="20"/>
          <w:color w:val="auto"/>
        </w:rPr>
      </w:pPr>
    </w:p>
    <w:p>
      <w:pPr>
        <w:ind w:left="1140" w:right="1579" w:firstLine="326"/>
        <w:spacing w:after="0" w:line="258" w:lineRule="auto"/>
        <w:rPr>
          <w:sz w:val="20"/>
          <w:szCs w:val="20"/>
          <w:color w:val="auto"/>
        </w:rPr>
      </w:pPr>
      <w:r>
        <w:rPr>
          <w:rFonts w:ascii="Arial" w:cs="Arial" w:eastAsia="Arial" w:hAnsi="Arial"/>
          <w:sz w:val="16"/>
          <w:szCs w:val="16"/>
          <w:color w:val="auto"/>
        </w:rPr>
        <w:t>For so long as any shares of Class B common stock remain outstanding, we may not, without the prior vote or written consent of the holders of a majority of the shares of Class B common stock then outstanding, voting separately as a single class, amend, alter or repeal any provision of our certificate of incorporation,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w:t>
      </w:r>
    </w:p>
    <w:p>
      <w:pPr>
        <w:spacing w:after="0" w:line="15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Securities Eligible for Future Sale</w:t>
      </w:r>
    </w:p>
    <w:p>
      <w:pPr>
        <w:spacing w:after="0" w:line="101" w:lineRule="exact"/>
        <w:rPr>
          <w:sz w:val="20"/>
          <w:szCs w:val="20"/>
          <w:color w:val="auto"/>
        </w:rPr>
      </w:pPr>
    </w:p>
    <w:p>
      <w:pPr>
        <w:ind w:left="1140" w:right="1599" w:firstLine="326"/>
        <w:spacing w:after="0" w:line="259" w:lineRule="auto"/>
        <w:rPr>
          <w:sz w:val="20"/>
          <w:szCs w:val="20"/>
          <w:color w:val="auto"/>
        </w:rPr>
      </w:pPr>
      <w:r>
        <w:rPr>
          <w:rFonts w:ascii="Arial" w:cs="Arial" w:eastAsia="Arial" w:hAnsi="Arial"/>
          <w:sz w:val="16"/>
          <w:szCs w:val="16"/>
          <w:color w:val="auto"/>
        </w:rPr>
        <w:t>Immediately after this offering we will have 150,000,000 (or 172,500,000 if the underwriters’ option to purchase additional units is exercised in full) shares of Class A common stock outstanding. All of these shares will have been sold in this offering and will be freely tradable without restriction or further registration under the Securities Act, except for any shares purchased by one of our affiliates within the meaning of Rule 144 under the Securities Act. All of the 37,500,000 (or 43,125,000 if the underwriters’ over-allotment option is exercised in full) Class B founder shares and all 31,350,000 (or 35,850,000 if the underwriters’ option to purchase additional units is exercised in full) private placement warrants are restricted securities under Rule 144, in that they were issued in private transactions not involving a public offering, and are subject to transfer restrictions as set forth elsewhere in this prospectus.</w:t>
      </w:r>
    </w:p>
    <w:p>
      <w:pPr>
        <w:spacing w:after="0" w:line="15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Rule 144</w:t>
      </w:r>
    </w:p>
    <w:p>
      <w:pPr>
        <w:spacing w:after="0" w:line="101" w:lineRule="exact"/>
        <w:rPr>
          <w:sz w:val="20"/>
          <w:szCs w:val="20"/>
          <w:color w:val="auto"/>
        </w:rPr>
      </w:pPr>
    </w:p>
    <w:p>
      <w:pPr>
        <w:ind w:left="1140" w:right="1599" w:firstLine="326"/>
        <w:spacing w:after="0" w:line="281" w:lineRule="auto"/>
        <w:rPr>
          <w:sz w:val="20"/>
          <w:szCs w:val="20"/>
          <w:color w:val="auto"/>
        </w:rPr>
      </w:pPr>
      <w:r>
        <w:rPr>
          <w:rFonts w:ascii="Arial" w:cs="Arial" w:eastAsia="Arial" w:hAnsi="Arial"/>
          <w:sz w:val="15"/>
          <w:szCs w:val="15"/>
          <w:color w:val="auto"/>
        </w:rPr>
        <w:t>Pursuant to Rule 144, a person who has beneficially owned restricted shares of our common stock or warrants for at least six months would be entitled to sell their securities provided that: (1) such person is not deemed to have been one of our affiliates at the time of, or at any time during the three months preceding, a sale; and (2)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60" w:lineRule="exact"/>
        <w:rPr>
          <w:sz w:val="20"/>
          <w:szCs w:val="20"/>
          <w:color w:val="auto"/>
        </w:rPr>
      </w:pPr>
    </w:p>
    <w:p>
      <w:pPr>
        <w:ind w:left="1140" w:right="1599" w:firstLine="326"/>
        <w:spacing w:after="0" w:line="265" w:lineRule="auto"/>
        <w:rPr>
          <w:sz w:val="20"/>
          <w:szCs w:val="20"/>
          <w:color w:val="auto"/>
        </w:rPr>
      </w:pPr>
      <w:r>
        <w:rPr>
          <w:rFonts w:ascii="Arial" w:cs="Arial" w:eastAsia="Arial" w:hAnsi="Arial"/>
          <w:sz w:val="16"/>
          <w:szCs w:val="16"/>
          <w:color w:val="auto"/>
        </w:rPr>
        <w:t>Persons who have beneficially owned restricted shares of our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41" w:lineRule="exact"/>
        <w:rPr>
          <w:sz w:val="20"/>
          <w:szCs w:val="20"/>
          <w:color w:val="auto"/>
        </w:rPr>
      </w:pPr>
    </w:p>
    <w:p>
      <w:pPr>
        <w:ind w:left="1800" w:right="1819" w:hanging="335"/>
        <w:spacing w:after="0" w:line="270" w:lineRule="auto"/>
        <w:tabs>
          <w:tab w:leader="none" w:pos="18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1% of the total number of shares of Class A common stock then outstanding, which will equal 1,500,000 shares immediately after this offering (or 1,725,000 if the underwriters exercise their option to purchase additional units in full); or</w:t>
      </w:r>
    </w:p>
    <w:p>
      <w:pPr>
        <w:spacing w:after="0" w:line="125" w:lineRule="exact"/>
        <w:rPr>
          <w:rFonts w:ascii="Arial" w:cs="Arial" w:eastAsia="Arial" w:hAnsi="Arial"/>
          <w:sz w:val="16"/>
          <w:szCs w:val="16"/>
          <w:color w:val="auto"/>
        </w:rPr>
      </w:pPr>
    </w:p>
    <w:p>
      <w:pPr>
        <w:ind w:left="1800" w:right="1699" w:hanging="335"/>
        <w:spacing w:after="0" w:line="285" w:lineRule="auto"/>
        <w:tabs>
          <w:tab w:leader="none" w:pos="18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average weekly reported trading volume of the common stock during the four calendar weeks preceding the filing of a notice on Form 144 with respect to the sale.</w:t>
      </w:r>
    </w:p>
    <w:p>
      <w:pPr>
        <w:spacing w:after="0" w:line="199"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3" w:name="page144"/>
    <w:bookmarkEnd w:id="143"/>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2219" w:firstLine="326"/>
        <w:spacing w:after="0" w:line="285" w:lineRule="auto"/>
        <w:rPr>
          <w:sz w:val="20"/>
          <w:szCs w:val="20"/>
          <w:color w:val="auto"/>
        </w:rPr>
      </w:pPr>
      <w:r>
        <w:rPr>
          <w:rFonts w:ascii="Arial" w:cs="Arial" w:eastAsia="Arial" w:hAnsi="Arial"/>
          <w:sz w:val="16"/>
          <w:szCs w:val="16"/>
          <w:color w:val="auto"/>
        </w:rPr>
        <w:t>Sales by our affiliates under Rule 144 are also limited by manner of sale provisions and notice requirements and to the availability of current public information about us.</w:t>
      </w:r>
    </w:p>
    <w:p>
      <w:pPr>
        <w:spacing w:after="0" w:line="13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Restrictions on the Use of Rule 144 by Shell Companies or Former Shell Companies</w:t>
      </w:r>
    </w:p>
    <w:p>
      <w:pPr>
        <w:spacing w:after="0" w:line="101" w:lineRule="exact"/>
        <w:rPr>
          <w:sz w:val="20"/>
          <w:szCs w:val="20"/>
          <w:color w:val="auto"/>
        </w:rPr>
      </w:pPr>
    </w:p>
    <w:p>
      <w:pPr>
        <w:ind w:left="1140" w:right="1839" w:firstLine="326"/>
        <w:spacing w:after="0" w:line="265" w:lineRule="auto"/>
        <w:rPr>
          <w:sz w:val="20"/>
          <w:szCs w:val="20"/>
          <w:color w:val="auto"/>
        </w:rPr>
      </w:pPr>
      <w:r>
        <w:rPr>
          <w:rFonts w:ascii="Arial" w:cs="Arial" w:eastAsia="Arial" w:hAnsi="Arial"/>
          <w:sz w:val="16"/>
          <w:szCs w:val="16"/>
          <w:color w:val="auto"/>
        </w:rPr>
        <w:t>Rule 144 is not available for the resale of securities initially issued by shell companies (other than a business combination related shell companies) or issuers that have been at any time previously a shell company. However, Rule 144 also includes an important exception to this prohibition if the following conditions are met:</w:t>
      </w:r>
    </w:p>
    <w:p>
      <w:pPr>
        <w:spacing w:after="0" w:line="141" w:lineRule="exact"/>
        <w:rPr>
          <w:sz w:val="20"/>
          <w:szCs w:val="20"/>
          <w:color w:val="auto"/>
        </w:rPr>
      </w:pPr>
    </w:p>
    <w:p>
      <w:pPr>
        <w:ind w:left="1800" w:hanging="335"/>
        <w:spacing w:after="0"/>
        <w:tabs>
          <w:tab w:leader="none" w:pos="18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issuer of the securities that was formerly a shell company has ceased to be a shell company;</w:t>
      </w:r>
    </w:p>
    <w:p>
      <w:pPr>
        <w:spacing w:after="0" w:line="182" w:lineRule="exact"/>
        <w:rPr>
          <w:rFonts w:ascii="Arial" w:cs="Arial" w:eastAsia="Arial" w:hAnsi="Arial"/>
          <w:sz w:val="15"/>
          <w:szCs w:val="15"/>
          <w:color w:val="auto"/>
        </w:rPr>
      </w:pPr>
    </w:p>
    <w:p>
      <w:pPr>
        <w:ind w:left="1800" w:right="1839" w:hanging="335"/>
        <w:spacing w:after="0" w:line="285" w:lineRule="auto"/>
        <w:tabs>
          <w:tab w:leader="none" w:pos="18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issuer of the securities is subject to the reporting requirements of Section 13 or 15(d) of the Exchange Act;</w:t>
      </w:r>
    </w:p>
    <w:p>
      <w:pPr>
        <w:spacing w:after="0" w:line="113" w:lineRule="exact"/>
        <w:rPr>
          <w:rFonts w:ascii="Arial" w:cs="Arial" w:eastAsia="Arial" w:hAnsi="Arial"/>
          <w:sz w:val="16"/>
          <w:szCs w:val="16"/>
          <w:color w:val="auto"/>
        </w:rPr>
      </w:pPr>
    </w:p>
    <w:p>
      <w:pPr>
        <w:jc w:val="both"/>
        <w:ind w:left="1800" w:right="1699" w:hanging="335"/>
        <w:spacing w:after="0" w:line="270" w:lineRule="auto"/>
        <w:tabs>
          <w:tab w:leader="none" w:pos="18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 required to be filed, as applicable, during the preceding 12 months (or such shorter period that the issuer was required to file such reports and materials), other than Current Reports on Form 8-K; and</w:t>
      </w:r>
    </w:p>
    <w:p>
      <w:pPr>
        <w:spacing w:after="0" w:line="137" w:lineRule="exact"/>
        <w:rPr>
          <w:rFonts w:ascii="Arial" w:cs="Arial" w:eastAsia="Arial" w:hAnsi="Arial"/>
          <w:sz w:val="16"/>
          <w:szCs w:val="16"/>
          <w:color w:val="auto"/>
        </w:rPr>
      </w:pPr>
    </w:p>
    <w:p>
      <w:pPr>
        <w:ind w:left="1800" w:right="1739" w:hanging="335"/>
        <w:spacing w:after="0" w:line="285" w:lineRule="auto"/>
        <w:tabs>
          <w:tab w:leader="none" w:pos="18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at least one year has elapsed from the time that the issuer filed current Form 10 type information with the SEC reflecting its status as an entity that is not a shell company.</w:t>
      </w:r>
    </w:p>
    <w:p>
      <w:pPr>
        <w:spacing w:after="0" w:line="52" w:lineRule="exact"/>
        <w:rPr>
          <w:sz w:val="20"/>
          <w:szCs w:val="20"/>
          <w:color w:val="auto"/>
        </w:rPr>
      </w:pPr>
    </w:p>
    <w:p>
      <w:pPr>
        <w:jc w:val="both"/>
        <w:ind w:left="1140" w:right="1579" w:firstLine="326"/>
        <w:spacing w:after="0" w:line="270" w:lineRule="auto"/>
        <w:rPr>
          <w:sz w:val="20"/>
          <w:szCs w:val="20"/>
          <w:color w:val="auto"/>
        </w:rPr>
      </w:pPr>
      <w:r>
        <w:rPr>
          <w:rFonts w:ascii="Arial" w:cs="Arial" w:eastAsia="Arial" w:hAnsi="Arial"/>
          <w:sz w:val="16"/>
          <w:szCs w:val="16"/>
          <w:color w:val="auto"/>
        </w:rPr>
        <w:t>As a result, our initial stockholders will be able to sell their founder shares and our sponsor will be able to sell its private placement warrants, as applicable, pursuant to Rule 144 without registration one year after we have completed our initial business combination.</w:t>
      </w:r>
    </w:p>
    <w:p>
      <w:pPr>
        <w:spacing w:after="0" w:line="14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Registration Rights</w:t>
      </w:r>
    </w:p>
    <w:p>
      <w:pPr>
        <w:spacing w:after="0" w:line="101" w:lineRule="exact"/>
        <w:rPr>
          <w:sz w:val="20"/>
          <w:szCs w:val="20"/>
          <w:color w:val="auto"/>
        </w:rPr>
      </w:pPr>
    </w:p>
    <w:p>
      <w:pPr>
        <w:ind w:left="1140" w:right="1639" w:firstLine="326"/>
        <w:spacing w:after="0" w:line="258" w:lineRule="auto"/>
        <w:rPr>
          <w:sz w:val="20"/>
          <w:szCs w:val="20"/>
          <w:color w:val="auto"/>
        </w:rPr>
      </w:pPr>
      <w:r>
        <w:rPr>
          <w:rFonts w:ascii="Arial" w:cs="Arial" w:eastAsia="Arial" w:hAnsi="Arial"/>
          <w:sz w:val="16"/>
          <w:szCs w:val="16"/>
          <w:color w:val="auto"/>
        </w:rPr>
        <w:t>The holders of the founder shares, private placement warrants and warrants that may be issued upon conversion of working capital loans (and any shares of common stock issuable upon the exercise of the private placement warrants or warrants issued upon conversion of the working capital loans and upon conversion of the founder shares) will be entitled to registration rights pursuant to a registration rights agreement to be signed prior to or on the effective date of this offering requiring us to register such securities for resale (in the case of the founder shares, only after conversion into shares of Class A common stock). The holders of these securities will be entitled to make up to three demands, excluding short form registration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We will bear the expenses incurred in connection with the filing of any such registration statement.</w:t>
      </w:r>
    </w:p>
    <w:p>
      <w:pPr>
        <w:spacing w:after="0" w:line="15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Listing of Securities</w:t>
      </w:r>
    </w:p>
    <w:p>
      <w:pPr>
        <w:spacing w:after="0" w:line="101" w:lineRule="exact"/>
        <w:rPr>
          <w:sz w:val="20"/>
          <w:szCs w:val="20"/>
          <w:color w:val="auto"/>
        </w:rPr>
      </w:pPr>
    </w:p>
    <w:p>
      <w:pPr>
        <w:ind w:left="1140" w:right="1659" w:firstLine="326"/>
        <w:spacing w:after="0" w:line="261" w:lineRule="auto"/>
        <w:rPr>
          <w:sz w:val="20"/>
          <w:szCs w:val="20"/>
          <w:color w:val="auto"/>
        </w:rPr>
      </w:pPr>
      <w:r>
        <w:rPr>
          <w:rFonts w:ascii="Arial" w:cs="Arial" w:eastAsia="Arial" w:hAnsi="Arial"/>
          <w:sz w:val="16"/>
          <w:szCs w:val="16"/>
          <w:color w:val="auto"/>
        </w:rPr>
        <w:t>We intend to apply to list our units, Class A common stock and warrants on the NYSE under the symbols “CCIV.U,” “CCIV” and “CCIV WS,” respectively. We expect that our units will be listed on the NYSE on or promptly after the effective date of the registration statement. Following the date the shares of our Class A common stock and warrants are eligible to trade separately, we anticipate that the shares of our common stock and warrants will be listed separately and as a unit on the NYSE. We cannot guarantee that our securities will be approved for listing on the NYSE.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4" w:name="page145"/>
    <w:bookmarkEnd w:id="144"/>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UNITED STATES FEDERAL INCOME TAX CONSIDERATIONS</w:t>
      </w:r>
    </w:p>
    <w:p>
      <w:pPr>
        <w:spacing w:after="0" w:line="101" w:lineRule="exact"/>
        <w:rPr>
          <w:sz w:val="20"/>
          <w:szCs w:val="20"/>
          <w:color w:val="auto"/>
        </w:rPr>
      </w:pPr>
    </w:p>
    <w:p>
      <w:pPr>
        <w:ind w:left="1140" w:right="1599" w:firstLine="326"/>
        <w:spacing w:after="0" w:line="274" w:lineRule="auto"/>
        <w:rPr>
          <w:sz w:val="20"/>
          <w:szCs w:val="20"/>
          <w:color w:val="auto"/>
        </w:rPr>
      </w:pPr>
      <w:r>
        <w:rPr>
          <w:rFonts w:ascii="Arial" w:cs="Arial" w:eastAsia="Arial" w:hAnsi="Arial"/>
          <w:sz w:val="15"/>
          <w:szCs w:val="15"/>
          <w:color w:val="auto"/>
        </w:rPr>
        <w:t>The following discussion is a summary of the U.S. federal income tax considerations generally applicable to the ownership and disposition of our units, Class A common stock and warrants, which we refer to collectively as our securities. This summary is based upon U.S. federal income tax law as of the date of this prospectus, which is subject to change or differing interpretations, possibly with retroactive effect. This summary does not discuss all aspects of U.S. federal income taxation that may be important to particular investors in light of their individual circumstances, including investors subject to special tax rules (e.g., financial institutions, insurance companies, broker-dealers, tax-exempt organizations (including private foundations), taxpayers that have elected mark-to-market accounting, S corporations, regulated investment companies, real estate investment trusts, investors that will hold Class A common stock or warrants as part of a straddle, hedge, conversion, or other integrated transaction for U.S. federal income tax purposes, or investors that have a functional currency other than the U.S. dollar), all of whom may be subject to tax rules that differ materially from those summarized below. In addition, this summary does not discuss other U.S. federal tax consequences (e.g., estate or gift tax), any state, local, or non-U.S. tax considerations, or the additional tax on net investment income or alternative minimum tax. In addition, this summary is limited to investors that will hold our securities as “capital assets” (generally, property held for investment) under the Internal Revenue Code of 1986, as amended, (the “Code”), and that acquired the securities pursuant to this offering (or, in the case of Class A common stock, upon exercise of warrants so acquired). No ruling from the Internal Revenue Service, (the “IRS”) has been or will be sought regarding any matter discussed herein. No assurance can be given that the IRS would not assert, or that a court would not sustain a position contrary to any of the tax aspects set forth below.</w:t>
      </w:r>
    </w:p>
    <w:p>
      <w:pPr>
        <w:spacing w:after="0" w:line="73"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For purposes of this summary, a “U.S. Holder” is a beneficial holder of securities who or that is:</w:t>
      </w:r>
    </w:p>
    <w:p>
      <w:pPr>
        <w:spacing w:after="0" w:line="97" w:lineRule="exact"/>
        <w:rPr>
          <w:sz w:val="20"/>
          <w:szCs w:val="20"/>
          <w:color w:val="auto"/>
        </w:rPr>
      </w:pPr>
    </w:p>
    <w:p>
      <w:pPr>
        <w:ind w:left="1800" w:right="1719" w:hanging="335"/>
        <w:spacing w:after="0" w:line="285" w:lineRule="auto"/>
        <w:tabs>
          <w:tab w:leader="none" w:pos="18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 individual who is a U.S. citizen or resident of the United States as determined for U.S. federal income tax purposes;</w:t>
      </w:r>
    </w:p>
    <w:p>
      <w:pPr>
        <w:spacing w:after="0" w:line="27" w:lineRule="exact"/>
        <w:rPr>
          <w:rFonts w:ascii="Arial" w:cs="Arial" w:eastAsia="Arial" w:hAnsi="Arial"/>
          <w:sz w:val="16"/>
          <w:szCs w:val="16"/>
          <w:color w:val="auto"/>
        </w:rPr>
      </w:pPr>
    </w:p>
    <w:p>
      <w:pPr>
        <w:ind w:left="1800" w:right="1679" w:hanging="335"/>
        <w:spacing w:after="0" w:line="320" w:lineRule="auto"/>
        <w:tabs>
          <w:tab w:leader="none" w:pos="18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a corporation or other entity treated as a corporation for U.S. federal income tax purposes created in, or organized under the law of, the United States or any state or political subdivision thereof;</w:t>
      </w:r>
    </w:p>
    <w:p>
      <w:pPr>
        <w:spacing w:after="0" w:line="17" w:lineRule="exact"/>
        <w:rPr>
          <w:rFonts w:ascii="Arial" w:cs="Arial" w:eastAsia="Arial" w:hAnsi="Arial"/>
          <w:sz w:val="15"/>
          <w:szCs w:val="15"/>
          <w:color w:val="auto"/>
        </w:rPr>
      </w:pPr>
    </w:p>
    <w:p>
      <w:pPr>
        <w:ind w:left="1800" w:right="1739" w:hanging="335"/>
        <w:spacing w:after="0" w:line="285" w:lineRule="auto"/>
        <w:tabs>
          <w:tab w:leader="none" w:pos="18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 estate the income of which is includible in gross income for U.S. federal income tax purposes regardless of its source; or</w:t>
      </w:r>
    </w:p>
    <w:p>
      <w:pPr>
        <w:spacing w:after="0" w:line="27" w:lineRule="exact"/>
        <w:rPr>
          <w:rFonts w:ascii="Arial" w:cs="Arial" w:eastAsia="Arial" w:hAnsi="Arial"/>
          <w:sz w:val="16"/>
          <w:szCs w:val="16"/>
          <w:color w:val="auto"/>
        </w:rPr>
      </w:pPr>
    </w:p>
    <w:p>
      <w:pPr>
        <w:ind w:left="1800" w:right="1779" w:hanging="335"/>
        <w:spacing w:after="0" w:line="265" w:lineRule="auto"/>
        <w:tabs>
          <w:tab w:leader="none" w:pos="18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 trust (A) the administration of which is subject to the primary supervision of a U.S. court and which has one or more U.S. persons (within the meaning of the Code) who have the authority to control all substantial decisions of the trust or (B) that has in effect a valid election under applicable Treasury regulations to be treated as a U.S. person.</w:t>
      </w:r>
    </w:p>
    <w:p>
      <w:pPr>
        <w:spacing w:after="0" w:line="68" w:lineRule="exact"/>
        <w:rPr>
          <w:sz w:val="20"/>
          <w:szCs w:val="20"/>
          <w:color w:val="auto"/>
        </w:rPr>
      </w:pPr>
    </w:p>
    <w:p>
      <w:pPr>
        <w:ind w:left="1140" w:right="2219" w:firstLine="326"/>
        <w:spacing w:after="0" w:line="285" w:lineRule="auto"/>
        <w:rPr>
          <w:sz w:val="20"/>
          <w:szCs w:val="20"/>
          <w:color w:val="auto"/>
        </w:rPr>
      </w:pPr>
      <w:r>
        <w:rPr>
          <w:rFonts w:ascii="Arial" w:cs="Arial" w:eastAsia="Arial" w:hAnsi="Arial"/>
          <w:sz w:val="16"/>
          <w:szCs w:val="16"/>
          <w:color w:val="auto"/>
        </w:rPr>
        <w:t>A “non-U.S. Holder” is a beneficial holder of shares who or that is neither a U.S. Holder nor a partnership for U.S. federal income tax purposes.</w:t>
      </w:r>
    </w:p>
    <w:p>
      <w:pPr>
        <w:spacing w:after="0" w:line="52" w:lineRule="exact"/>
        <w:rPr>
          <w:sz w:val="20"/>
          <w:szCs w:val="20"/>
          <w:color w:val="auto"/>
        </w:rPr>
      </w:pPr>
    </w:p>
    <w:p>
      <w:pPr>
        <w:ind w:left="1140" w:right="1619" w:firstLine="326"/>
        <w:spacing w:after="0" w:line="260" w:lineRule="auto"/>
        <w:rPr>
          <w:sz w:val="20"/>
          <w:szCs w:val="20"/>
          <w:color w:val="auto"/>
        </w:rPr>
      </w:pPr>
      <w:r>
        <w:rPr>
          <w:rFonts w:ascii="Arial" w:cs="Arial" w:eastAsia="Arial" w:hAnsi="Arial"/>
          <w:sz w:val="16"/>
          <w:szCs w:val="16"/>
          <w:color w:val="auto"/>
        </w:rPr>
        <w:t>If a partnership (including an entity or arrangement treated as a partnership for U.S. federal income tax purposes) holds our securities,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securities, you are urged to consult your tax advisor regarding the tax consequences of the ownership and disposition of our securities.</w:t>
      </w:r>
    </w:p>
    <w:p>
      <w:pPr>
        <w:spacing w:after="0" w:line="68" w:lineRule="exact"/>
        <w:rPr>
          <w:sz w:val="20"/>
          <w:szCs w:val="20"/>
          <w:color w:val="auto"/>
        </w:rPr>
      </w:pPr>
    </w:p>
    <w:p>
      <w:pPr>
        <w:ind w:left="1140" w:right="1579" w:firstLine="326"/>
        <w:spacing w:after="0" w:line="262" w:lineRule="auto"/>
        <w:rPr>
          <w:sz w:val="20"/>
          <w:szCs w:val="20"/>
          <w:color w:val="auto"/>
        </w:rPr>
      </w:pPr>
      <w:r>
        <w:rPr>
          <w:rFonts w:ascii="Arial" w:cs="Arial" w:eastAsia="Arial" w:hAnsi="Arial"/>
          <w:sz w:val="16"/>
          <w:szCs w:val="16"/>
          <w:b w:val="1"/>
          <w:bCs w:val="1"/>
          <w:color w:val="auto"/>
        </w:rPr>
        <w:t>THIS DISCUSSION OF U.S. FEDERAL INCOME TAX CONSIDERATIONS IS FOR GENERAL INFORMATION PURPOSES ONLY AND IS NOT TAX ADVICE. WE URGE PROSPECTIVE HOLDERS TO CONSULT THEIR TAX ADVISORS CONCERNING THE U.S. FEDERAL INCOME TAX CONSEQUENCES TO THEM OF OWNING AND DISPOSING OF OUR SECURITIES, AS WELL AS THE APPLICATION OF ANY, STATE, LOCAL AND NON-U.S. INCOME, ESTATE AND OTHER TAX CONSIDERATIONS.</w:t>
      </w:r>
    </w:p>
    <w:p>
      <w:pPr>
        <w:spacing w:after="0" w:line="153"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Personal Holding Company Status</w:t>
      </w:r>
    </w:p>
    <w:p>
      <w:pPr>
        <w:spacing w:after="0" w:line="101" w:lineRule="exact"/>
        <w:rPr>
          <w:sz w:val="20"/>
          <w:szCs w:val="20"/>
          <w:color w:val="auto"/>
        </w:rPr>
      </w:pPr>
    </w:p>
    <w:p>
      <w:pPr>
        <w:ind w:left="1140" w:right="1699" w:firstLine="326"/>
        <w:spacing w:after="0" w:line="320" w:lineRule="auto"/>
        <w:rPr>
          <w:sz w:val="20"/>
          <w:szCs w:val="20"/>
          <w:color w:val="auto"/>
        </w:rPr>
      </w:pPr>
      <w:r>
        <w:rPr>
          <w:rFonts w:ascii="Arial" w:cs="Arial" w:eastAsia="Arial" w:hAnsi="Arial"/>
          <w:sz w:val="15"/>
          <w:szCs w:val="15"/>
          <w:color w:val="auto"/>
        </w:rPr>
        <w:t>We would be subject to a second level of U.S. federal income tax on a portion of our income if we are determined to be a personal holding company, or PHC, for U.S. federal income tax purposes. A U.S.</w:t>
      </w:r>
    </w:p>
    <w:p>
      <w:pPr>
        <w:spacing w:after="0" w:line="176"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5" w:name="page146"/>
    <w:bookmarkEnd w:id="145"/>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699"/>
        <w:spacing w:after="0" w:line="279" w:lineRule="auto"/>
        <w:rPr>
          <w:sz w:val="20"/>
          <w:szCs w:val="20"/>
          <w:color w:val="auto"/>
        </w:rPr>
      </w:pPr>
      <w:r>
        <w:rPr>
          <w:rFonts w:ascii="Arial" w:cs="Arial" w:eastAsia="Arial" w:hAnsi="Arial"/>
          <w:sz w:val="15"/>
          <w:szCs w:val="15"/>
          <w:color w:val="auto"/>
        </w:rPr>
        <w:t>corporation will generally be classified as a PHC for U.S. federal income tax purposes in a given taxable year if (1)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directly or indirectly, more than 50% of the stock of the corporation by value and (2) at least 60% of the corporation’s adjusted ordinary gross income, as determined for U.S. federal income tax purposes, for such taxable year consists of PHC income (which includes, among other things, dividends, interest, certain royalties, annuities and, under certain circumstances, rents).</w:t>
      </w:r>
    </w:p>
    <w:p>
      <w:pPr>
        <w:spacing w:after="0" w:line="59" w:lineRule="exact"/>
        <w:rPr>
          <w:sz w:val="20"/>
          <w:szCs w:val="20"/>
          <w:color w:val="auto"/>
        </w:rPr>
      </w:pPr>
    </w:p>
    <w:p>
      <w:pPr>
        <w:ind w:left="1140" w:right="1639" w:firstLine="326"/>
        <w:spacing w:after="0" w:line="259" w:lineRule="auto"/>
        <w:rPr>
          <w:sz w:val="20"/>
          <w:szCs w:val="20"/>
          <w:color w:val="auto"/>
        </w:rPr>
      </w:pPr>
      <w:r>
        <w:rPr>
          <w:rFonts w:ascii="Arial" w:cs="Arial" w:eastAsia="Arial" w:hAnsi="Arial"/>
          <w:sz w:val="16"/>
          <w:szCs w:val="16"/>
          <w:color w:val="auto"/>
        </w:rPr>
        <w:t>Depending on the date and size of our initial business combination, it is possible that at least 60% of our adjusted ordinary gross income may consist of PHC income as discussed above. In addition, depending on the concentration of our stock in the hands of individuals, including the members of our sponsor and certain tax-exempt organizations, pension funds, and charitable trusts, it is possible that more than 50% of our stock will be owned or deemed owned (pursuant to the constructive ownership rules) by five or fewer such persons during the last half of a taxable year. Thus, no assurance can be given that we will not become a PHC following this offering or in the future. If we are or were to become a PHC in a given taxable year, we would be subject to an additional PHC tax, currently 20%, on our undistributed PHC income, which generally includes our taxable income, subject to certain adjustments.</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General Treatment of Units</w:t>
      </w:r>
    </w:p>
    <w:p>
      <w:pPr>
        <w:spacing w:after="0" w:line="97" w:lineRule="exact"/>
        <w:rPr>
          <w:sz w:val="20"/>
          <w:szCs w:val="20"/>
          <w:color w:val="auto"/>
        </w:rPr>
      </w:pPr>
    </w:p>
    <w:p>
      <w:pPr>
        <w:ind w:left="1140" w:right="1579" w:firstLine="326"/>
        <w:spacing w:after="0" w:line="258" w:lineRule="auto"/>
        <w:rPr>
          <w:sz w:val="20"/>
          <w:szCs w:val="20"/>
          <w:color w:val="auto"/>
        </w:rPr>
      </w:pPr>
      <w:r>
        <w:rPr>
          <w:rFonts w:ascii="Arial" w:cs="Arial" w:eastAsia="Arial" w:hAnsi="Arial"/>
          <w:sz w:val="16"/>
          <w:szCs w:val="16"/>
          <w:color w:val="auto"/>
        </w:rPr>
        <w:t>There is no authority directly addressing the treatment, for U.S. federal income tax purposes, of instruments with terms substantially the same as the units and, therefore, their treatment is not entirely clear. The acquisition of a unit should be treated for U.S. federal income tax purposes as the acquisition of one share of our Class A common stock and one-fifth of one warrant to acquire one share of our Class A common stock. We intend to treat the acquisition of a unit in this manner and, by purchasing a unit, you agree to adopt such treatment for tax purposes. Each holder of a unit must allocate the purchase price paid by such holder for such unit between the share of Class A common stock and the one-fifth of one warrant based on their respective relative fair market values. A holder’s initial tax basis in the Class A common stock and the one-fifth of one warrant included in each unit should equal the portion of the purchase price of the unit allocated thereto. The separation of the Class A common stock and one-fifth of one warrant constituting a unit should not be a taxable event for U.S. federal income tax purposes.</w:t>
      </w:r>
    </w:p>
    <w:p>
      <w:pPr>
        <w:spacing w:after="0" w:line="75" w:lineRule="exact"/>
        <w:rPr>
          <w:sz w:val="20"/>
          <w:szCs w:val="20"/>
          <w:color w:val="auto"/>
        </w:rPr>
      </w:pPr>
    </w:p>
    <w:p>
      <w:pPr>
        <w:ind w:left="1140" w:right="1579" w:firstLine="326"/>
        <w:spacing w:after="0" w:line="259" w:lineRule="auto"/>
        <w:rPr>
          <w:sz w:val="20"/>
          <w:szCs w:val="20"/>
          <w:color w:val="auto"/>
        </w:rPr>
      </w:pPr>
      <w:r>
        <w:rPr>
          <w:rFonts w:ascii="Arial" w:cs="Arial" w:eastAsia="Arial" w:hAnsi="Arial"/>
          <w:sz w:val="16"/>
          <w:szCs w:val="16"/>
          <w:color w:val="auto"/>
        </w:rPr>
        <w:t>The foregoing treatment of the units and a holder’s purchase price allocation are not binding on the IRS or the courts. Because there is no authority that directly addresses instruments that are similar to the units, no assurance can be given that the IRS or the courts will agree with the characterization described above or the discussion below. Each prospective investor is urged to consult its tax advisors regarding the U.S. federal, state, local and any foreign tax consequences of an investment in a unit (including alternative characterizations of a unit and its components). The following discussion is based on the assumption that the characterization of the Class A common stock and warrants and the allocation methodology described above are respected for U.S. federal income tax purposes.</w:t>
      </w:r>
    </w:p>
    <w:p>
      <w:pPr>
        <w:spacing w:after="0" w:line="157"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U.S. Holders</w:t>
      </w:r>
    </w:p>
    <w:p>
      <w:pPr>
        <w:spacing w:after="0" w:line="187"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Taxation of Distributions</w:t>
      </w:r>
    </w:p>
    <w:p>
      <w:pPr>
        <w:spacing w:after="0" w:line="97" w:lineRule="exact"/>
        <w:rPr>
          <w:sz w:val="20"/>
          <w:szCs w:val="20"/>
          <w:color w:val="auto"/>
        </w:rPr>
      </w:pPr>
    </w:p>
    <w:p>
      <w:pPr>
        <w:ind w:left="1140" w:right="1599" w:firstLine="326"/>
        <w:spacing w:after="0" w:line="259" w:lineRule="auto"/>
        <w:rPr>
          <w:sz w:val="20"/>
          <w:szCs w:val="20"/>
          <w:color w:val="auto"/>
        </w:rPr>
      </w:pPr>
      <w:r>
        <w:rPr>
          <w:rFonts w:ascii="Arial" w:cs="Arial" w:eastAsia="Arial" w:hAnsi="Arial"/>
          <w:sz w:val="16"/>
          <w:szCs w:val="16"/>
          <w:color w:val="auto"/>
        </w:rPr>
        <w:t>If we pay cash distributions to U.S. Holders of shares of our Class A common stock, such distributions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“U.S. Holders — Gain or Loss on Sale, Taxable Exchange or Other Taxable Disposition of Class A Common Stock” below.</w:t>
      </w:r>
    </w:p>
    <w:p>
      <w:pPr>
        <w:spacing w:after="0" w:line="75" w:lineRule="exact"/>
        <w:rPr>
          <w:sz w:val="20"/>
          <w:szCs w:val="20"/>
          <w:color w:val="auto"/>
        </w:rPr>
      </w:pPr>
    </w:p>
    <w:p>
      <w:pPr>
        <w:jc w:val="both"/>
        <w:ind w:left="1140" w:right="1619" w:firstLine="326"/>
        <w:spacing w:after="0" w:line="296" w:lineRule="auto"/>
        <w:rPr>
          <w:sz w:val="20"/>
          <w:szCs w:val="20"/>
          <w:color w:val="auto"/>
        </w:rPr>
      </w:pPr>
      <w:r>
        <w:rPr>
          <w:rFonts w:ascii="Arial" w:cs="Arial" w:eastAsia="Arial" w:hAnsi="Arial"/>
          <w:sz w:val="15"/>
          <w:szCs w:val="15"/>
          <w:color w:val="auto"/>
        </w:rPr>
        <w:t>Dividends we pay to a U.S. Holder that is a taxable corporation generally will qualify for the dividends received deduction if the requisite holding period is satisfied. With certain exceptions (including dividends treated as investment income for purposes of investment interest deduction limitations), and provided</w:t>
      </w:r>
    </w:p>
    <w:p>
      <w:pPr>
        <w:spacing w:after="0" w:line="206"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6" w:name="page147"/>
    <w:bookmarkEnd w:id="146"/>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579"/>
        <w:spacing w:after="0" w:line="261" w:lineRule="auto"/>
        <w:rPr>
          <w:sz w:val="20"/>
          <w:szCs w:val="20"/>
          <w:color w:val="auto"/>
        </w:rPr>
      </w:pPr>
      <w:r>
        <w:rPr>
          <w:rFonts w:ascii="Arial" w:cs="Arial" w:eastAsia="Arial" w:hAnsi="Arial"/>
          <w:sz w:val="16"/>
          <w:szCs w:val="16"/>
          <w:color w:val="auto"/>
        </w:rPr>
        <w:t>certain holding period requirements are met, dividends we pay to a non-corporate U.S. Holder will generally constitute “qualified dividends” that will be subject to tax at the maximum tax rate accorded to long-term capital gains. It is unclear whether the redemption rights with respect to the Class A common stock described in this prospectus may prevent a U.S. Holder from satisfying the applicable holding period requirements with respect to the dividends received deduction or the preferential tax rate on qualified dividend income, as the case may be.</w:t>
      </w:r>
    </w:p>
    <w:p>
      <w:pPr>
        <w:spacing w:after="0" w:line="157"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Gain or Loss on Sale, Taxable Exchange or Other Taxable Disposition of Class A Common Stock</w:t>
      </w:r>
    </w:p>
    <w:p>
      <w:pPr>
        <w:spacing w:after="0" w:line="97" w:lineRule="exact"/>
        <w:rPr>
          <w:sz w:val="20"/>
          <w:szCs w:val="20"/>
          <w:color w:val="auto"/>
        </w:rPr>
      </w:pPr>
    </w:p>
    <w:p>
      <w:pPr>
        <w:ind w:left="1140" w:right="1659" w:firstLine="326"/>
        <w:spacing w:after="0" w:line="257" w:lineRule="auto"/>
        <w:rPr>
          <w:sz w:val="20"/>
          <w:szCs w:val="20"/>
          <w:color w:val="auto"/>
        </w:rPr>
      </w:pPr>
      <w:r>
        <w:rPr>
          <w:rFonts w:ascii="Arial" w:cs="Arial" w:eastAsia="Arial" w:hAnsi="Arial"/>
          <w:sz w:val="16"/>
          <w:szCs w:val="16"/>
          <w:color w:val="auto"/>
        </w:rPr>
        <w:t>A U.S. Holder will recognize gain or loss on the sale, taxable exchange or other taxable disposition (which would include a dissolution and liquidation in the event we do not complete an initial business combination within the completion window) of our Class A common stock. Any such gain or loss will be capital gain or loss, and will be long-term capital gain or loss if the U.S. Holder’s holding period for the Class A common stock so disposed of exceeds one year. It is unclear, however, whether the redemption rights with respect to the Class A common stock described in this prospectus may suspend the running of the applicable holding period for this purpose. The amount of gain or loss recognized will generally be equal to the difference between (1) the sum of the amount of cash and the fair market value of any property received in such disposition (or, if the Class A common stock is held as part of a unit at the time of the disposition, the portion of the amount realized on such disposition that is allocated to the Class A common stock based upon the then fair market values of the Class A common stock and the one-fifth of one warrant included in the unit) and (2) the U.S. Holder’s adjusted tax basis in its Class A common stock so disposed of. A U.S. Holder’s adjusted tax basis in its Class A common stock will generally equal the U.S. Holder’s acquisition cost (that is, as discussed above, the portion of the purchase price of a unit allocated to a share of Class A common stock or, as discussed below, the U.S. Holder’s initial basis for Class A common stock received upon exercise of a warrant) less any prior distributions treated as a return of capital. The deductibility of capital losses is subject to limitations.</w:t>
      </w:r>
    </w:p>
    <w:p>
      <w:pPr>
        <w:spacing w:after="0" w:line="161"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Redemption of Class A Common Stock</w:t>
      </w:r>
    </w:p>
    <w:p>
      <w:pPr>
        <w:spacing w:after="0" w:line="97" w:lineRule="exact"/>
        <w:rPr>
          <w:sz w:val="20"/>
          <w:szCs w:val="20"/>
          <w:color w:val="auto"/>
        </w:rPr>
      </w:pPr>
    </w:p>
    <w:p>
      <w:pPr>
        <w:ind w:left="1140" w:right="1579" w:firstLine="326"/>
        <w:spacing w:after="0" w:line="273" w:lineRule="auto"/>
        <w:rPr>
          <w:sz w:val="20"/>
          <w:szCs w:val="20"/>
          <w:color w:val="auto"/>
        </w:rPr>
      </w:pPr>
      <w:r>
        <w:rPr>
          <w:rFonts w:ascii="Arial" w:cs="Arial" w:eastAsia="Arial" w:hAnsi="Arial"/>
          <w:sz w:val="15"/>
          <w:szCs w:val="15"/>
          <w:color w:val="auto"/>
        </w:rPr>
        <w:t>In the event that a U.S. Holder’s Class A common stock is redeemed pursuant to the redemption provisions described in this prospectus under “Description of Securities — Common Stock”, the treatment of the transaction for U.S. federal income tax purposes will depend on whether the redemption qualifies as sale of the Class A common stock under Section 302 of the Code. If the redemption qualifies as a sale of Class A common stock under the tests described below, the tax consequences to the U.S. Holder will be the same as described under “U.S. Holders — Gain or Loss on Sale, Taxable Exchange or Other Taxable Disposition of Class A Common Stock” above. If the redemption does not qualify as a sale of Class A common stock, the U.S. Holder will be treated as receiving a corporate distribution, the tax consequences of which are described above under “U.S. Holders — Taxation of Distributions”. Whether the redemption qualifies for sale treatment will depend primarily on the total number of shares of our stock treated as held by the U.S. Holder (including any stock constructively owned by the U.S. Holder as a result of owning warrants) both before and after the redemption. For a given U.S. Holder, the redemption of Class A common stock will generally be treated as a sale of the Class A common stock (rather than as a corporate distribution) if the redemption (1) is “substantially disproportionate” with respect to the U.S. Holder,</w:t>
      </w:r>
    </w:p>
    <w:p>
      <w:pPr>
        <w:spacing w:after="0" w:line="4" w:lineRule="exact"/>
        <w:rPr>
          <w:sz w:val="20"/>
          <w:szCs w:val="20"/>
          <w:color w:val="auto"/>
        </w:rPr>
      </w:pPr>
    </w:p>
    <w:p>
      <w:pPr>
        <w:jc w:val="center"/>
        <w:ind w:left="1140" w:right="2059" w:hanging="1"/>
        <w:spacing w:after="0" w:line="304" w:lineRule="auto"/>
        <w:tabs>
          <w:tab w:leader="none" w:pos="1384" w:val="left"/>
        </w:tabs>
        <w:numPr>
          <w:ilvl w:val="0"/>
          <w:numId w:val="73"/>
        </w:numPr>
        <w:rPr>
          <w:rFonts w:ascii="Arial" w:cs="Arial" w:eastAsia="Arial" w:hAnsi="Arial"/>
          <w:sz w:val="15"/>
          <w:szCs w:val="15"/>
          <w:color w:val="auto"/>
        </w:rPr>
      </w:pPr>
      <w:r>
        <w:rPr>
          <w:rFonts w:ascii="Arial" w:cs="Arial" w:eastAsia="Arial" w:hAnsi="Arial"/>
          <w:sz w:val="15"/>
          <w:szCs w:val="15"/>
          <w:color w:val="auto"/>
        </w:rPr>
        <w:t>results in a “complete termination” of the U.S. Holder’s interest in us or (3) is “not essentially equivalent to a dividend” with respect to the U.S. Holder. These tests are explained more fully below.</w:t>
      </w:r>
    </w:p>
    <w:p>
      <w:pPr>
        <w:spacing w:after="0" w:line="41" w:lineRule="exact"/>
        <w:rPr>
          <w:sz w:val="20"/>
          <w:szCs w:val="20"/>
          <w:color w:val="auto"/>
        </w:rPr>
      </w:pPr>
    </w:p>
    <w:p>
      <w:pPr>
        <w:ind w:left="1140" w:right="1599" w:firstLine="326"/>
        <w:spacing w:after="0" w:line="277" w:lineRule="auto"/>
        <w:rPr>
          <w:sz w:val="20"/>
          <w:szCs w:val="20"/>
          <w:color w:val="auto"/>
        </w:rPr>
      </w:pPr>
      <w:r>
        <w:rPr>
          <w:rFonts w:ascii="Arial" w:cs="Arial" w:eastAsia="Arial" w:hAnsi="Arial"/>
          <w:sz w:val="15"/>
          <w:szCs w:val="15"/>
          <w:color w:val="auto"/>
        </w:rPr>
        <w:t>In determining whether any of the foregoing tests are satisfied, a U.S. Holder takes into account not only stock actually owned by the U.S. Holder, but also shares of our stock that are constructively owned by it. A U.S. Holder may constructively own stock owned by certain related individuals and entities in which the U.S. Holder has an interest or that have an interest in such U.S. Holder, as well as any stock the U.S. Holder has a right to acquire by exercise of an option, which would generally include common stock which could be acquired pursuant to the exercise of the warrants. A redemption of a U.S. Holder’s stock will be substantially disproportionate with respect to the U.S. Holder if the percentage of our outstanding voting stock actually and constructively owned by the U.S. Holder immediately following the redemption of common stock is, among other requirements, less than 80% of the percentage of our outstanding voting stock actually and constructively owned by the U.S. Holder immediately before the redemption. Prior to our initial business combination, the Class A common stock may not be treated as voting stock for this purpose</w:t>
      </w:r>
    </w:p>
    <w:p>
      <w:pPr>
        <w:spacing w:after="0" w:line="220"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7" w:name="page148"/>
    <w:bookmarkEnd w:id="147"/>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1140" w:right="1679"/>
        <w:spacing w:after="0" w:line="277" w:lineRule="auto"/>
        <w:rPr>
          <w:sz w:val="20"/>
          <w:szCs w:val="20"/>
          <w:color w:val="auto"/>
        </w:rPr>
      </w:pPr>
      <w:r>
        <w:rPr>
          <w:rFonts w:ascii="Arial" w:cs="Arial" w:eastAsia="Arial" w:hAnsi="Arial"/>
          <w:sz w:val="15"/>
          <w:szCs w:val="15"/>
          <w:color w:val="auto"/>
        </w:rPr>
        <w:t>and, consequently, this substantially disproportionate test may not be applicable. There will be a complete termination of a U.S. Holder’s interest if either (1) all of the shares of our stock actually and constructively owned by the U.S. Holder are redeemed or (2) all of the shares of our stock actually owned by the U.S.</w:t>
      </w:r>
    </w:p>
    <w:p>
      <w:pPr>
        <w:spacing w:after="0" w:line="1" w:lineRule="exact"/>
        <w:rPr>
          <w:sz w:val="20"/>
          <w:szCs w:val="20"/>
          <w:color w:val="auto"/>
        </w:rPr>
      </w:pPr>
    </w:p>
    <w:p>
      <w:pPr>
        <w:ind w:left="1140" w:right="1599"/>
        <w:spacing w:after="0" w:line="275" w:lineRule="auto"/>
        <w:rPr>
          <w:sz w:val="20"/>
          <w:szCs w:val="20"/>
          <w:color w:val="auto"/>
        </w:rPr>
      </w:pPr>
      <w:r>
        <w:rPr>
          <w:rFonts w:ascii="Arial" w:cs="Arial" w:eastAsia="Arial" w:hAnsi="Arial"/>
          <w:sz w:val="15"/>
          <w:szCs w:val="15"/>
          <w:color w:val="auto"/>
        </w:rPr>
        <w:t>Holder are redeemed and the U.S. Holder is eligible to waive, and effectively waives in accordance with specific rules, the attribution of stock owned by certain family members and the U.S. Holder does not constructively own any other stock (including any stock constructively owned by the U.S. Holder as a result of owning warrants). The redemption of the Class A common stock will not be essentially equivalent to a dividend if the redemption results in a “meaningful reduction” of the U.S. Holder’s proportionate interest in us. Whether the redemption will result in a meaningful reduction in a U.S. Holder’s proportionate interest in us will depend on the particular facts and circumstances. The IRS has indicated in a published ruling that even a small reduction in the proportionate interest of a small minority stockholder in a publicly held corporation who exercises no control over corporate affairs may constitute such a “meaningful reduction.” Each U.S. Holder is urged to consult its tax advisor as to the tax consequences of a redemption, including the application of the constructive ownership rules described above.</w:t>
      </w:r>
    </w:p>
    <w:p>
      <w:pPr>
        <w:spacing w:after="0" w:line="65" w:lineRule="exact"/>
        <w:rPr>
          <w:sz w:val="20"/>
          <w:szCs w:val="20"/>
          <w:color w:val="auto"/>
        </w:rPr>
      </w:pPr>
    </w:p>
    <w:p>
      <w:pPr>
        <w:ind w:left="1140" w:right="1619" w:firstLine="326"/>
        <w:spacing w:after="0" w:line="284" w:lineRule="auto"/>
        <w:rPr>
          <w:sz w:val="20"/>
          <w:szCs w:val="20"/>
          <w:color w:val="auto"/>
        </w:rPr>
      </w:pPr>
      <w:r>
        <w:rPr>
          <w:rFonts w:ascii="Arial" w:cs="Arial" w:eastAsia="Arial" w:hAnsi="Arial"/>
          <w:sz w:val="15"/>
          <w:szCs w:val="15"/>
          <w:color w:val="auto"/>
        </w:rPr>
        <w:t>If none of the foregoing tests is satisfied, the redemption will be treated as a corporate distribution, the tax consequences of which are described under “U.S. Holders — Taxation of Distributions,” above. After the application of those rules, any remaining tax basis of the U.S. Holder in the redeemed Class A common stock should be added to the U.S. Holder’s adjusted tax basis in its remaining stock, or, if it has none, to the U.S. Holder’s adjusted tax basis in its warrants or possibly in other stock constructively owned by it.</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Exercise of a Warrant</w:t>
      </w:r>
    </w:p>
    <w:p>
      <w:pPr>
        <w:spacing w:after="0" w:line="97" w:lineRule="exact"/>
        <w:rPr>
          <w:sz w:val="20"/>
          <w:szCs w:val="20"/>
          <w:color w:val="auto"/>
        </w:rPr>
      </w:pPr>
    </w:p>
    <w:p>
      <w:pPr>
        <w:ind w:left="1140" w:right="1699" w:firstLine="326"/>
        <w:spacing w:after="0" w:line="278" w:lineRule="auto"/>
        <w:rPr>
          <w:sz w:val="20"/>
          <w:szCs w:val="20"/>
          <w:color w:val="auto"/>
        </w:rPr>
      </w:pPr>
      <w:r>
        <w:rPr>
          <w:rFonts w:ascii="Arial" w:cs="Arial" w:eastAsia="Arial" w:hAnsi="Arial"/>
          <w:sz w:val="15"/>
          <w:szCs w:val="15"/>
          <w:color w:val="auto"/>
        </w:rPr>
        <w:t>Except as discussed below with respect to the cashless exercise of a warrant, a U.S. Holder will not recognize gain or loss upon the exercise of a warrant. The U.S. Holder’s tax basis in the share of our Class A common stock received upon exercise of the warrant will generally be an amount equal to the sum of the U.S. Holder’s initial investment in the warrant (i.e., the portion of the U.S. Holder’s purchase price for a unit that is allocated to the warrant, as described above under “— General Treatment of Units”) and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61" w:lineRule="exact"/>
        <w:rPr>
          <w:sz w:val="20"/>
          <w:szCs w:val="20"/>
          <w:color w:val="auto"/>
        </w:rPr>
      </w:pPr>
    </w:p>
    <w:p>
      <w:pPr>
        <w:ind w:left="1140" w:right="1599" w:firstLine="326"/>
        <w:spacing w:after="0" w:line="259" w:lineRule="auto"/>
        <w:rPr>
          <w:sz w:val="20"/>
          <w:szCs w:val="20"/>
          <w:color w:val="auto"/>
        </w:rPr>
      </w:pPr>
      <w:r>
        <w:rPr>
          <w:rFonts w:ascii="Arial" w:cs="Arial" w:eastAsia="Arial" w:hAnsi="Arial"/>
          <w:sz w:val="16"/>
          <w:szCs w:val="16"/>
          <w:color w:val="auto"/>
        </w:rPr>
        <w:t>The tax consequences of a cashless exercise of a warrant are not clear under current tax law. A cashless exercise may be nontaxable, either because the exercise is not a realization event or because the exercise is treated as a recapitalization for U.S. federal income tax purposes. In either situation, a U.S. Holder’s tax basis in the Class A common stock received would generally equal the holder’s tax basis in the warrant. If the cashless exercise were treated as not being a realization event, it is unclear whether a U.S. Holder’s holding period for the Class A common stock would commence on the date of exercise of the warrant or the day following the date of exercise of the warrant. If, however, the cashless exercise were treated as a recapitalization, the holding period of the Class A common stock would include the holding period of the warrant.</w:t>
      </w:r>
    </w:p>
    <w:p>
      <w:pPr>
        <w:spacing w:after="0" w:line="72" w:lineRule="exact"/>
        <w:rPr>
          <w:sz w:val="20"/>
          <w:szCs w:val="20"/>
          <w:color w:val="auto"/>
        </w:rPr>
      </w:pPr>
    </w:p>
    <w:p>
      <w:pPr>
        <w:ind w:left="1140" w:right="1559" w:firstLine="326"/>
        <w:spacing w:after="0" w:line="258" w:lineRule="auto"/>
        <w:rPr>
          <w:sz w:val="20"/>
          <w:szCs w:val="20"/>
          <w:color w:val="auto"/>
        </w:rPr>
      </w:pPr>
      <w:r>
        <w:rPr>
          <w:rFonts w:ascii="Arial" w:cs="Arial" w:eastAsia="Arial" w:hAnsi="Arial"/>
          <w:sz w:val="16"/>
          <w:szCs w:val="16"/>
          <w:color w:val="auto"/>
        </w:rPr>
        <w:t>It is also possible that a cashless exercise could be treated as a taxable exchange in which gain or loss is recognized. In such event, a U.S. Holder would be deemed to have surrendered a number of warrants having a value equal to the exercise price. The U.S. Holder would recognize capital gain or loss in an amount equal to the difference between the fair market value of the Class A common stock represented by the warrants deemed surrendered and the U.S. Holder’s tax basis in the warrants deemed surrendered. In this case, a U.S. Holder’s tax basis in the Class A common stock received would equal the sum of the U.S. Holder’s initial investment in the warrants exercised (i.e., the portion of the U.S. Holder’s purchase price for the units that is allocated to the warrant, as described above under “— General Treatment of Units”) and the exercise price of such warrants. It is unclear whether a U.S. Holder’s holding period for the Class A common stock would commence on the date of exercise of the warrant or the day following the date of exercise of the warrant.</w:t>
      </w:r>
    </w:p>
    <w:p>
      <w:pPr>
        <w:spacing w:after="0" w:line="75" w:lineRule="exact"/>
        <w:rPr>
          <w:sz w:val="20"/>
          <w:szCs w:val="20"/>
          <w:color w:val="auto"/>
        </w:rPr>
      </w:pPr>
    </w:p>
    <w:p>
      <w:pPr>
        <w:ind w:left="1140" w:right="1639" w:firstLine="326"/>
        <w:spacing w:after="0" w:line="296" w:lineRule="auto"/>
        <w:rPr>
          <w:sz w:val="20"/>
          <w:szCs w:val="20"/>
          <w:color w:val="auto"/>
        </w:rPr>
      </w:pPr>
      <w:r>
        <w:rPr>
          <w:rFonts w:ascii="Arial" w:cs="Arial" w:eastAsia="Arial" w:hAnsi="Arial"/>
          <w:sz w:val="15"/>
          <w:szCs w:val="15"/>
          <w:color w:val="auto"/>
        </w:rPr>
        <w:t>Due to the absence of authority on the U.S. federal income tax treatment of a cashless exercise, including when a U.S. Holder’s holding period would commence with respect to the Class A common stock received, there can be no assurance which, if any, of the alternative tax consequences and holding periods</w:t>
      </w:r>
    </w:p>
    <w:p>
      <w:pPr>
        <w:spacing w:after="0" w:line="206"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8" w:name="page149"/>
    <w:bookmarkEnd w:id="148"/>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739"/>
        <w:spacing w:after="0" w:line="285" w:lineRule="auto"/>
        <w:rPr>
          <w:sz w:val="20"/>
          <w:szCs w:val="20"/>
          <w:color w:val="auto"/>
        </w:rPr>
      </w:pPr>
      <w:r>
        <w:rPr>
          <w:rFonts w:ascii="Arial" w:cs="Arial" w:eastAsia="Arial" w:hAnsi="Arial"/>
          <w:sz w:val="16"/>
          <w:szCs w:val="16"/>
          <w:color w:val="auto"/>
        </w:rPr>
        <w:t>described above would be adopted by the IRS or a court of law. Accordingly, each U.S. Holder is urged to consult its tax advisor regarding the tax consequences of a cashless exercise.</w:t>
      </w:r>
    </w:p>
    <w:p>
      <w:pPr>
        <w:spacing w:after="0" w:line="138"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Sale, Exchange, Redemption or Expiration of a Warrant</w:t>
      </w:r>
    </w:p>
    <w:p>
      <w:pPr>
        <w:spacing w:after="0" w:line="97" w:lineRule="exact"/>
        <w:rPr>
          <w:sz w:val="20"/>
          <w:szCs w:val="20"/>
          <w:color w:val="auto"/>
        </w:rPr>
      </w:pPr>
    </w:p>
    <w:p>
      <w:pPr>
        <w:ind w:left="1140" w:right="1559" w:firstLine="326"/>
        <w:spacing w:after="0" w:line="258" w:lineRule="auto"/>
        <w:rPr>
          <w:sz w:val="20"/>
          <w:szCs w:val="20"/>
          <w:color w:val="auto"/>
        </w:rPr>
      </w:pPr>
      <w:r>
        <w:rPr>
          <w:rFonts w:ascii="Arial" w:cs="Arial" w:eastAsia="Arial" w:hAnsi="Arial"/>
          <w:sz w:val="16"/>
          <w:szCs w:val="16"/>
          <w:color w:val="auto"/>
        </w:rPr>
        <w:t>Upon a sale, exchange (other than by exercise), redemption (other than a redemption for Class A common stock), or expiration of a warrant, a U.S. Holder will recognize taxable gain or loss in an amount equal to the difference between (1) the amount realized upon such disposition or expiration (or, if the warrant is held as part of a unit at the time of the disposition of the unit, the portion of the amount realized on such disposition that is allocated to the warrant based on the then fair market values of the warrant and the Class A common stock constituting such unit) and (2) the U.S. Holder’s tax basis in the warrant (that is, the portion of the U.S. Holder’s purchase price for a unit that is allocated to the warrant, as described above under “— General Treatment of Units”). Such gain or loss will generally be treated as long-term capital gain or loss if the warrant is held by the U.S. Holder for more than one year at the time of such disposition or expiration. If a warrant is allowed to lapse unexercised, a U.S. Holder generally will recognize a capital loss equal to such holder’s tax basis in the warrant. The deductibility of capital losses is subject to certain limitations.</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Possible Constructive Distributions</w:t>
      </w:r>
    </w:p>
    <w:p>
      <w:pPr>
        <w:spacing w:after="0" w:line="97" w:lineRule="exact"/>
        <w:rPr>
          <w:sz w:val="20"/>
          <w:szCs w:val="20"/>
          <w:color w:val="auto"/>
        </w:rPr>
      </w:pPr>
    </w:p>
    <w:p>
      <w:pPr>
        <w:ind w:left="1140" w:right="1579" w:firstLine="326"/>
        <w:spacing w:after="0" w:line="258" w:lineRule="auto"/>
        <w:rPr>
          <w:sz w:val="20"/>
          <w:szCs w:val="20"/>
          <w:color w:val="auto"/>
        </w:rPr>
      </w:pPr>
      <w:r>
        <w:rPr>
          <w:rFonts w:ascii="Arial" w:cs="Arial" w:eastAsia="Arial" w:hAnsi="Arial"/>
          <w:sz w:val="16"/>
          <w:szCs w:val="16"/>
          <w:color w:val="auto"/>
        </w:rPr>
        <w:t>The terms of each warrant provide for an adjustment to the number of shares of Class A common stock for which the warrant may be exercised or to the exercise price of the warrant in certain events, as discussed in the section of this prospectus captioned “Description of Securities — Warrants — Public Stockholders’ Warrants.” An adjustment which has the effect of preventing dilution is generally not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U.S. Holders as described under “U.S. Holders — Taxation of Distributions” above. Such constructive distribution would be subject to tax as described under that section in the same manner as if such U.S. Holder received a cash distribution from us equal to the fair market value of such increased interest.</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Information Reporting and Backup Withholding.</w:t>
      </w:r>
    </w:p>
    <w:p>
      <w:pPr>
        <w:spacing w:after="0" w:line="97" w:lineRule="exact"/>
        <w:rPr>
          <w:sz w:val="20"/>
          <w:szCs w:val="20"/>
          <w:color w:val="auto"/>
        </w:rPr>
      </w:pPr>
    </w:p>
    <w:p>
      <w:pPr>
        <w:jc w:val="both"/>
        <w:ind w:left="1140" w:right="1639" w:firstLine="326"/>
        <w:spacing w:after="0" w:line="284" w:lineRule="auto"/>
        <w:rPr>
          <w:sz w:val="20"/>
          <w:szCs w:val="20"/>
          <w:color w:val="auto"/>
        </w:rPr>
      </w:pPr>
      <w:r>
        <w:rPr>
          <w:rFonts w:ascii="Arial" w:cs="Arial" w:eastAsia="Arial" w:hAnsi="Arial"/>
          <w:sz w:val="15"/>
          <w:szCs w:val="15"/>
          <w:color w:val="auto"/>
        </w:rPr>
        <w:t>In general, information reporting requirements may apply to dividends paid to a U.S. Holder and to the proceeds of the sale or other disposition of our units, shares of Class A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56" w:lineRule="exact"/>
        <w:rPr>
          <w:sz w:val="20"/>
          <w:szCs w:val="20"/>
          <w:color w:val="auto"/>
        </w:rPr>
      </w:pPr>
    </w:p>
    <w:p>
      <w:pPr>
        <w:jc w:val="both"/>
        <w:ind w:left="1140" w:right="1579" w:firstLine="326"/>
        <w:spacing w:after="0" w:line="270"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will be allowed as a refund or a credit against a U.S. Holder’s U.S. federal income tax liability provided the required information is timely furnished to the IRS.</w:t>
      </w:r>
    </w:p>
    <w:p>
      <w:pPr>
        <w:spacing w:after="0" w:line="14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Non-U.S. Holders</w:t>
      </w:r>
    </w:p>
    <w:p>
      <w:pPr>
        <w:spacing w:after="0" w:line="187"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Taxation of Distributions</w:t>
      </w:r>
    </w:p>
    <w:p>
      <w:pPr>
        <w:spacing w:after="0" w:line="97" w:lineRule="exact"/>
        <w:rPr>
          <w:sz w:val="20"/>
          <w:szCs w:val="20"/>
          <w:color w:val="auto"/>
        </w:rPr>
      </w:pPr>
    </w:p>
    <w:p>
      <w:pPr>
        <w:ind w:left="1140" w:right="1639" w:firstLine="326"/>
        <w:spacing w:after="0" w:line="278" w:lineRule="auto"/>
        <w:rPr>
          <w:sz w:val="20"/>
          <w:szCs w:val="20"/>
          <w:color w:val="auto"/>
        </w:rPr>
      </w:pPr>
      <w:r>
        <w:rPr>
          <w:rFonts w:ascii="Arial" w:cs="Arial" w:eastAsia="Arial" w:hAnsi="Arial"/>
          <w:sz w:val="15"/>
          <w:szCs w:val="15"/>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it is possible that this tax would be withheld from any amount owed to a non-U.S.</w:t>
      </w:r>
    </w:p>
    <w:p>
      <w:pPr>
        <w:spacing w:after="0" w:line="220"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9" w:name="page150"/>
    <w:bookmarkEnd w:id="149"/>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579"/>
        <w:spacing w:after="0" w:line="277" w:lineRule="auto"/>
        <w:rPr>
          <w:sz w:val="20"/>
          <w:szCs w:val="20"/>
          <w:color w:val="auto"/>
        </w:rPr>
      </w:pPr>
      <w:r>
        <w:rPr>
          <w:rFonts w:ascii="Arial" w:cs="Arial" w:eastAsia="Arial" w:hAnsi="Arial"/>
          <w:sz w:val="15"/>
          <w:szCs w:val="15"/>
          <w:color w:val="auto"/>
        </w:rPr>
        <w:t>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“Non-U.S. Holders — Gain on Sale, Taxable Exchange or Other Taxable Disposition of Class A Common Stock and Warrants” below. In addition, if we determine that we are classified as a “United States real property holding corporation” (see “Non-U.S. Holders — Gain on Sale, Taxable Exchange or Other Taxable Disposition of Class A Common Stock and Warrants” below), we will withhold 15% of any distribution that exceeds our current and accumulated earnings and profits.</w:t>
      </w:r>
    </w:p>
    <w:p>
      <w:pPr>
        <w:spacing w:after="0" w:line="64" w:lineRule="exact"/>
        <w:rPr>
          <w:sz w:val="20"/>
          <w:szCs w:val="20"/>
          <w:color w:val="auto"/>
        </w:rPr>
      </w:pPr>
    </w:p>
    <w:p>
      <w:pPr>
        <w:ind w:left="1140" w:right="1559" w:firstLine="326"/>
        <w:spacing w:after="0" w:line="259" w:lineRule="auto"/>
        <w:rPr>
          <w:sz w:val="20"/>
          <w:szCs w:val="20"/>
          <w:color w:val="auto"/>
        </w:rPr>
      </w:pPr>
      <w:r>
        <w:rPr>
          <w:rFonts w:ascii="Arial" w:cs="Arial" w:eastAsia="Arial" w:hAnsi="Arial"/>
          <w:sz w:val="16"/>
          <w:szCs w:val="16"/>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Exercise of a Warrant</w:t>
      </w:r>
    </w:p>
    <w:p>
      <w:pPr>
        <w:spacing w:after="0" w:line="97" w:lineRule="exact"/>
        <w:rPr>
          <w:sz w:val="20"/>
          <w:szCs w:val="20"/>
          <w:color w:val="auto"/>
        </w:rPr>
      </w:pPr>
    </w:p>
    <w:p>
      <w:pPr>
        <w:ind w:left="1140" w:right="1699" w:firstLine="326"/>
        <w:spacing w:after="0" w:line="261" w:lineRule="auto"/>
        <w:rPr>
          <w:sz w:val="20"/>
          <w:szCs w:val="20"/>
          <w:color w:val="auto"/>
        </w:rPr>
      </w:pPr>
      <w:r>
        <w:rPr>
          <w:rFonts w:ascii="Arial" w:cs="Arial" w:eastAsia="Arial" w:hAnsi="Arial"/>
          <w:sz w:val="16"/>
          <w:szCs w:val="16"/>
          <w:color w:val="auto"/>
        </w:rPr>
        <w:t>The U.S. federal income tax treatment of a non-U.S. Holder’s exercise of a warrant generally will correspond to the U.S. federal income tax treatment of the exercise of a warrant by a U.S. Holder, as described under “U.S. Holders — Exercise of a Warrant” above, although to the extent a cashless exercise results in a taxable exchange, the tax consequences to the non-U.S. Holder would be the same as those described below in “Non-U.S. Holders — Gain on Sale, Exchange or Other Taxable Disposition of Class A Common Stock and Warrants.”</w:t>
      </w:r>
    </w:p>
    <w:p>
      <w:pPr>
        <w:spacing w:after="0" w:line="157"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Gain on Sale, Exchange or Other Taxable Disposition of Class A Common Stock and Warrants</w:t>
      </w:r>
    </w:p>
    <w:p>
      <w:pPr>
        <w:spacing w:after="0" w:line="97" w:lineRule="exact"/>
        <w:rPr>
          <w:sz w:val="20"/>
          <w:szCs w:val="20"/>
          <w:color w:val="auto"/>
        </w:rPr>
      </w:pPr>
    </w:p>
    <w:p>
      <w:pPr>
        <w:ind w:left="1140" w:right="1619" w:firstLine="326"/>
        <w:spacing w:after="0" w:line="284" w:lineRule="auto"/>
        <w:rPr>
          <w:sz w:val="20"/>
          <w:szCs w:val="20"/>
          <w:color w:val="auto"/>
        </w:rPr>
      </w:pPr>
      <w:r>
        <w:rPr>
          <w:rFonts w:ascii="Arial" w:cs="Arial" w:eastAsia="Arial" w:hAnsi="Arial"/>
          <w:sz w:val="15"/>
          <w:szCs w:val="15"/>
          <w:color w:val="auto"/>
        </w:rPr>
        <w:t>A non-U.S. Holder will generally not be subject to U.S. federal income or withholding tax in respect of gain recognized on a sale, taxable exchange or other taxable disposition of our Class A common stock, which would include a dissolution and liquidation in the event we do not complete an initial business combination within the completion window, or warrants (including an expiration or redemption of our warrants), in each case without regard to whether those securities were held as part of a unit, unless:</w:t>
      </w:r>
    </w:p>
    <w:p>
      <w:pPr>
        <w:spacing w:after="0" w:line="129" w:lineRule="exact"/>
        <w:rPr>
          <w:sz w:val="20"/>
          <w:szCs w:val="20"/>
          <w:color w:val="auto"/>
        </w:rPr>
      </w:pPr>
    </w:p>
    <w:p>
      <w:pPr>
        <w:ind w:left="1800" w:right="1819" w:hanging="335"/>
        <w:spacing w:after="0" w:line="270" w:lineRule="auto"/>
        <w:tabs>
          <w:tab w:leader="none" w:pos="18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125" w:lineRule="exact"/>
        <w:rPr>
          <w:rFonts w:ascii="Arial" w:cs="Arial" w:eastAsia="Arial" w:hAnsi="Arial"/>
          <w:sz w:val="16"/>
          <w:szCs w:val="16"/>
          <w:color w:val="auto"/>
        </w:rPr>
      </w:pPr>
    </w:p>
    <w:p>
      <w:pPr>
        <w:ind w:left="1800" w:right="1799" w:hanging="335"/>
        <w:spacing w:after="0" w:line="285" w:lineRule="auto"/>
        <w:tabs>
          <w:tab w:leader="none" w:pos="18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non-U.S. Holder is an individual who is present in the United States for 183 days or more in the taxable year of disposition and certain other conditions are met; or</w:t>
      </w:r>
    </w:p>
    <w:p>
      <w:pPr>
        <w:spacing w:after="0" w:line="113" w:lineRule="exact"/>
        <w:rPr>
          <w:rFonts w:ascii="Arial" w:cs="Arial" w:eastAsia="Arial" w:hAnsi="Arial"/>
          <w:sz w:val="16"/>
          <w:szCs w:val="16"/>
          <w:color w:val="auto"/>
        </w:rPr>
      </w:pPr>
    </w:p>
    <w:p>
      <w:pPr>
        <w:ind w:left="1800" w:right="1579" w:hanging="335"/>
        <w:spacing w:after="0" w:line="259" w:lineRule="auto"/>
        <w:tabs>
          <w:tab w:leader="none" w:pos="18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on an established securities market for this purpose.</w:t>
      </w:r>
    </w:p>
    <w:p>
      <w:pPr>
        <w:spacing w:after="0" w:line="231"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224790</wp:posOffset>
            </wp:positionV>
            <wp:extent cx="6166485" cy="15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0" w:name="page151"/>
    <w:bookmarkEnd w:id="150"/>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679" w:firstLine="326"/>
        <w:spacing w:after="0" w:line="261" w:lineRule="auto"/>
        <w:rPr>
          <w:sz w:val="20"/>
          <w:szCs w:val="20"/>
          <w:color w:val="auto"/>
        </w:rPr>
      </w:pPr>
      <w:r>
        <w:rPr>
          <w:rFonts w:ascii="Arial" w:cs="Arial" w:eastAsia="Arial" w:hAnsi="Arial"/>
          <w:sz w:val="16"/>
          <w:szCs w:val="16"/>
          <w:color w:val="auto"/>
        </w:rPr>
        <w:t>Gain described in the first bullet point above will be subject to tax at generally applicable U.S. federal income tax rates.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71" w:lineRule="exact"/>
        <w:rPr>
          <w:sz w:val="20"/>
          <w:szCs w:val="20"/>
          <w:color w:val="auto"/>
        </w:rPr>
      </w:pPr>
    </w:p>
    <w:p>
      <w:pPr>
        <w:ind w:left="1140" w:right="1579" w:firstLine="326"/>
        <w:spacing w:after="0" w:line="258" w:lineRule="auto"/>
        <w:rPr>
          <w:sz w:val="20"/>
          <w:szCs w:val="20"/>
          <w:color w:val="auto"/>
        </w:rPr>
      </w:pPr>
      <w:r>
        <w:rPr>
          <w:rFonts w:ascii="Arial" w:cs="Arial" w:eastAsia="Arial" w:hAnsi="Arial"/>
          <w:sz w:val="16"/>
          <w:szCs w:val="16"/>
          <w:color w:val="auto"/>
        </w:rPr>
        <w:t>If the third bullet point above applies to a non-U.S. Holder, gain recognized by such holder on the sale, exchange or other disposition of our Class A common stock or warrants will be subject to tax at generally applicable U.S. federal income tax rates. In addition, a buyer of our Class A common stock or warrants from such holder may be required to withhold U.S. income tax at a rate of 15% of the amount realized upon such disposition. We cannot determine whether we will be a United States real property holding corporation in the future until we complete an initial business combination.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If we are or have been a “United States real property holding corporation” you are urged to consult your own tax advisors regarding the application of these rules.</w:t>
      </w:r>
    </w:p>
    <w:p>
      <w:pPr>
        <w:spacing w:after="0" w:line="160"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Possible Constructive Distributions</w:t>
      </w:r>
    </w:p>
    <w:p>
      <w:pPr>
        <w:spacing w:after="0" w:line="97" w:lineRule="exact"/>
        <w:rPr>
          <w:sz w:val="20"/>
          <w:szCs w:val="20"/>
          <w:color w:val="auto"/>
        </w:rPr>
      </w:pPr>
    </w:p>
    <w:p>
      <w:pPr>
        <w:ind w:left="1140" w:right="1599" w:firstLine="326"/>
        <w:spacing w:after="0" w:line="276" w:lineRule="auto"/>
        <w:rPr>
          <w:sz w:val="20"/>
          <w:szCs w:val="20"/>
          <w:color w:val="auto"/>
        </w:rPr>
      </w:pPr>
      <w:r>
        <w:rPr>
          <w:rFonts w:ascii="Arial" w:cs="Arial" w:eastAsia="Arial" w:hAnsi="Arial"/>
          <w:sz w:val="15"/>
          <w:szCs w:val="15"/>
          <w:color w:val="auto"/>
        </w:rPr>
        <w:t>The terms of each warrant provide for an adjustment to the number of shares of Class A common stock for which the warrant may be exercised or to the exercise price of the warrant in certain events, as discussed in the section of this prospectus captioned “Description of Securities — Warrants — Public Stockholders’ Warrants.” An adjustment which has the effect of preventing dilution is generally not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non-U.S. Holders as described under “Non-U.S. Holders — Taxation of Distributions” above. A non-U.S. Holder would be subject to U.S. federal income tax withholding under that section in the same manner as if such non-U.S. Holder received a cash distribution from us equal to the fair market value of such increased interest without any corresponding receipt of cash.</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Redemption of Class A Common Stock</w:t>
      </w:r>
    </w:p>
    <w:p>
      <w:pPr>
        <w:spacing w:after="0" w:line="97" w:lineRule="exact"/>
        <w:rPr>
          <w:sz w:val="20"/>
          <w:szCs w:val="20"/>
          <w:color w:val="auto"/>
        </w:rPr>
      </w:pPr>
    </w:p>
    <w:p>
      <w:pPr>
        <w:ind w:left="1140" w:right="1639" w:firstLine="326"/>
        <w:spacing w:after="0" w:line="259" w:lineRule="auto"/>
        <w:rPr>
          <w:sz w:val="20"/>
          <w:szCs w:val="20"/>
          <w:color w:val="auto"/>
        </w:rPr>
      </w:pPr>
      <w:r>
        <w:rPr>
          <w:rFonts w:ascii="Arial" w:cs="Arial" w:eastAsia="Arial" w:hAnsi="Arial"/>
          <w:sz w:val="16"/>
          <w:szCs w:val="16"/>
          <w:color w:val="auto"/>
        </w:rPr>
        <w:t>The characterization for U.S. federal income tax purposes of the redemption of a non-U.S. Holder’s Class A common stock pursuant to the redemption provisions described in this prospectus under “Description of Securities — Common Stock” will generally correspond to the U.S. federal income tax characterization of such a redemption of a U.S. Holder’s Class A common stock, as described under “U.S. Holders — Redemption of Class A Common Stock” above, and the consequences of the redemption to the non-U.S. Holder will be as described above under “Non-U.S. Holders — Taxation of Distributions” and “Non-U.S. Holders — Gain on Sale, Exchange or Other Taxable Disposition of Class A Common Stock and Warrants,” as applicable.</w:t>
      </w:r>
    </w:p>
    <w:p>
      <w:pPr>
        <w:spacing w:after="0" w:line="161"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Foreign Account Tax Compliance Act</w:t>
      </w:r>
    </w:p>
    <w:p>
      <w:pPr>
        <w:spacing w:after="0" w:line="97" w:lineRule="exact"/>
        <w:rPr>
          <w:sz w:val="20"/>
          <w:szCs w:val="20"/>
          <w:color w:val="auto"/>
        </w:rPr>
      </w:pPr>
    </w:p>
    <w:p>
      <w:pPr>
        <w:ind w:left="1140" w:right="1759" w:firstLine="326"/>
        <w:spacing w:after="0" w:line="278" w:lineRule="auto"/>
        <w:rPr>
          <w:sz w:val="20"/>
          <w:szCs w:val="20"/>
          <w:color w:val="auto"/>
        </w:rPr>
      </w:pPr>
      <w:r>
        <w:rPr>
          <w:rFonts w:ascii="Arial" w:cs="Arial" w:eastAsia="Arial" w:hAnsi="Arial"/>
          <w:sz w:val="15"/>
          <w:szCs w:val="15"/>
          <w:color w:val="auto"/>
        </w:rPr>
        <w:t>Sections 1471 through 1474 of the Code and the Treasury Regulations and administrative guidance promulgated thereunder (commonly referred as the “Foreign Account Tax Compliance Act” or “FATCA”) generally impose withholding at a rate of 30% in certain circumstances on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w:t>
      </w:r>
    </w:p>
    <w:p>
      <w:pPr>
        <w:spacing w:after="0" w:line="220"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1" w:name="page152"/>
    <w:bookmarkEnd w:id="151"/>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559"/>
        <w:spacing w:after="0" w:line="258" w:lineRule="auto"/>
        <w:rPr>
          <w:sz w:val="20"/>
          <w:szCs w:val="20"/>
          <w:color w:val="auto"/>
        </w:rPr>
      </w:pPr>
      <w:r>
        <w:rPr>
          <w:rFonts w:ascii="Arial" w:cs="Arial" w:eastAsia="Arial" w:hAnsi="Arial"/>
          <w:sz w:val="16"/>
          <w:szCs w:val="16"/>
          <w:color w:val="auto"/>
        </w:rPr>
        <w:t>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Prospective investors should consult their tax advisors regarding the possible implications of FATCA on their investment in our securities.</w:t>
      </w:r>
    </w:p>
    <w:p>
      <w:pPr>
        <w:spacing w:after="0" w:line="163"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Information Reporting and Backup Withholding</w:t>
      </w:r>
    </w:p>
    <w:p>
      <w:pPr>
        <w:spacing w:after="0" w:line="97" w:lineRule="exact"/>
        <w:rPr>
          <w:sz w:val="20"/>
          <w:szCs w:val="20"/>
          <w:color w:val="auto"/>
        </w:rPr>
      </w:pPr>
    </w:p>
    <w:p>
      <w:pPr>
        <w:ind w:left="1140" w:right="1639" w:firstLine="326"/>
        <w:spacing w:after="0" w:line="259" w:lineRule="auto"/>
        <w:rPr>
          <w:sz w:val="20"/>
          <w:szCs w:val="20"/>
          <w:color w:val="auto"/>
        </w:rPr>
      </w:pPr>
      <w:r>
        <w:rPr>
          <w:rFonts w:ascii="Arial" w:cs="Arial" w:eastAsia="Arial" w:hAnsi="Arial"/>
          <w:sz w:val="16"/>
          <w:szCs w:val="16"/>
          <w:color w:val="auto"/>
        </w:rPr>
        <w:t>In general, information reporting requirements will apply to payments of dividends and proceeds from the sale of our securities to non-U.S. Holders that are not exempt recipients. We must report annually to the IRS and to each such holder the amount of dividends or other distributions we pay to such non-U.S. Holder on our shares of Class A common stock and the amount of tax withheld with respect to those distributions, regardless of whether withholding is required. The IRS may make copies of the information returns reporting those dividends and amounts withheld available to the tax authorities in the country in which the non-U.S. Holder resides pursuant to the provisions of an applicable income tax treaty or exchange of information treaty.</w:t>
      </w:r>
    </w:p>
    <w:p>
      <w:pPr>
        <w:spacing w:after="0" w:line="75" w:lineRule="exact"/>
        <w:rPr>
          <w:sz w:val="20"/>
          <w:szCs w:val="20"/>
          <w:color w:val="auto"/>
        </w:rPr>
      </w:pPr>
    </w:p>
    <w:p>
      <w:pPr>
        <w:jc w:val="both"/>
        <w:ind w:left="1140" w:right="1879" w:firstLine="326"/>
        <w:spacing w:after="0" w:line="296" w:lineRule="auto"/>
        <w:rPr>
          <w:sz w:val="20"/>
          <w:szCs w:val="20"/>
          <w:color w:val="auto"/>
        </w:rPr>
      </w:pPr>
      <w:r>
        <w:rPr>
          <w:rFonts w:ascii="Arial" w:cs="Arial" w:eastAsia="Arial" w:hAnsi="Arial"/>
          <w:sz w:val="15"/>
          <w:szCs w:val="15"/>
          <w:color w:val="auto"/>
        </w:rPr>
        <w:t>The gross amount of dividends and proceeds from the disposition of our Class A common stock or warrants paid to a holder that fails to provide the appropriate certification in accordance with applicable U.S. Treasury regulations generally will be subject to backup withholding at the applicable rate.</w:t>
      </w:r>
    </w:p>
    <w:p>
      <w:pPr>
        <w:spacing w:after="0" w:line="47" w:lineRule="exact"/>
        <w:rPr>
          <w:sz w:val="20"/>
          <w:szCs w:val="20"/>
          <w:color w:val="auto"/>
        </w:rPr>
      </w:pPr>
    </w:p>
    <w:p>
      <w:pPr>
        <w:ind w:left="1140" w:right="1579" w:firstLine="326"/>
        <w:spacing w:after="0" w:line="278" w:lineRule="auto"/>
        <w:rPr>
          <w:sz w:val="20"/>
          <w:szCs w:val="20"/>
          <w:color w:val="auto"/>
        </w:rPr>
      </w:pPr>
      <w:r>
        <w:rPr>
          <w:rFonts w:ascii="Arial" w:cs="Arial" w:eastAsia="Arial" w:hAnsi="Arial"/>
          <w:sz w:val="15"/>
          <w:szCs w:val="15"/>
          <w:color w:val="auto"/>
        </w:rPr>
        <w:t>Information reporting and backup withholding are generally not required with respect to the amount of any proceeds from the sale by a non-U.S. Holder of Class A common stock or warrants outside the United States through a foreign office of a foreign broker that does not have certain specified connections to the United States. However, if a non-U.S. Holder sells Class A common stock or warrants through a U.S. broker or the U.S. office of a foreign broker, the broker will generally be required to report to the IRS the amount of proceeds paid to such holder, unless the non-U.S. Holder provides appropriate certification (usually on an IRS Form W-8BEN or W-8BEN-E, as applicable) to the broker of its status as a non-U.S. Holder or such non-U.S. Holder is an exempt recipient. In addition, for information reporting purposes, certain non-U.S. brokers with certain relationships with the United States will be treated in a manner similar to U.S. brokers.</w:t>
      </w:r>
    </w:p>
    <w:p>
      <w:pPr>
        <w:spacing w:after="0" w:line="61" w:lineRule="exact"/>
        <w:rPr>
          <w:sz w:val="20"/>
          <w:szCs w:val="20"/>
          <w:color w:val="auto"/>
        </w:rPr>
      </w:pPr>
    </w:p>
    <w:p>
      <w:pPr>
        <w:jc w:val="both"/>
        <w:ind w:left="1140" w:right="1719" w:firstLine="326"/>
        <w:spacing w:after="0" w:line="270" w:lineRule="auto"/>
        <w:rPr>
          <w:sz w:val="20"/>
          <w:szCs w:val="20"/>
          <w:color w:val="auto"/>
        </w:rPr>
      </w:pPr>
      <w:r>
        <w:rPr>
          <w:rFonts w:ascii="Arial" w:cs="Arial" w:eastAsia="Arial" w:hAnsi="Arial"/>
          <w:sz w:val="16"/>
          <w:szCs w:val="16"/>
          <w:color w:val="auto"/>
        </w:rPr>
        <w:t>Backup withholding is not an additional tax. Any amounts we withhold under the backup withholding rules may be refunded or credited against a holder’s U.S. federal income tax liability, if any, by the IRS if the required information is furnished in a timely manner to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2" w:name="page153"/>
    <w:bookmarkEnd w:id="152"/>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UNDERWRITING</w:t>
      </w:r>
    </w:p>
    <w:p>
      <w:pPr>
        <w:spacing w:after="0" w:line="101" w:lineRule="exact"/>
        <w:rPr>
          <w:sz w:val="20"/>
          <w:szCs w:val="20"/>
          <w:color w:val="auto"/>
        </w:rPr>
      </w:pPr>
    </w:p>
    <w:p>
      <w:pPr>
        <w:ind w:left="1140" w:right="1659" w:firstLine="326"/>
        <w:spacing w:after="0" w:line="284" w:lineRule="auto"/>
        <w:rPr>
          <w:sz w:val="20"/>
          <w:szCs w:val="20"/>
          <w:color w:val="auto"/>
        </w:rPr>
      </w:pPr>
      <w:r>
        <w:rPr>
          <w:rFonts w:ascii="Arial" w:cs="Arial" w:eastAsia="Arial" w:hAnsi="Arial"/>
          <w:sz w:val="15"/>
          <w:szCs w:val="15"/>
          <w:color w:val="auto"/>
        </w:rPr>
        <w:t>Citigroup Global Markets Inc. is acting as global coordinator, joint bookrunner and representative of the underwriters and Goldman Sachs &amp; Co. LLC and J.P. Morgan Securities LLC are acting as joint bookrunners of the offering. Subject to the terms and conditions stated in the underwriting agreement dated the date of this prospectus, each underwriter named below has severally agreed to purchase, and we have agreed to sell to that underwriter, the number of units set forth opposite the underwriter’s name.</w:t>
      </w:r>
    </w:p>
    <w:p>
      <w:pPr>
        <w:spacing w:after="0" w:line="82"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9"/>
              </w:rPr>
              <w:t>Number of</w:t>
            </w:r>
          </w:p>
        </w:tc>
      </w:tr>
      <w:tr>
        <w:trPr>
          <w:trHeight w:val="168"/>
        </w:trPr>
        <w:tc>
          <w:tcPr>
            <w:tcW w:w="6620" w:type="dxa"/>
            <w:vAlign w:val="bottom"/>
            <w:gridSpan w:val="3"/>
          </w:tcPr>
          <w:p>
            <w:pPr>
              <w:spacing w:after="0"/>
              <w:rPr>
                <w:sz w:val="20"/>
                <w:szCs w:val="20"/>
                <w:color w:val="auto"/>
              </w:rPr>
            </w:pPr>
            <w:r>
              <w:rPr>
                <w:rFonts w:ascii="Arial" w:cs="Arial" w:eastAsia="Arial" w:hAnsi="Arial"/>
                <w:sz w:val="13"/>
                <w:szCs w:val="13"/>
                <w:b w:val="1"/>
                <w:bCs w:val="1"/>
                <w:color w:val="auto"/>
              </w:rPr>
              <w:t>Underwriter</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6"/>
              </w:rPr>
              <w:t>Units</w:t>
            </w:r>
          </w:p>
        </w:tc>
      </w:tr>
      <w:tr>
        <w:trPr>
          <w:trHeight w:val="23"/>
        </w:trPr>
        <w:tc>
          <w:tcPr>
            <w:tcW w:w="6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5"/>
        </w:trPr>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Citigroup Global Markets Inc.</w:t>
            </w:r>
          </w:p>
        </w:tc>
        <w:tc>
          <w:tcPr>
            <w:tcW w:w="820" w:type="dxa"/>
            <w:vAlign w:val="bottom"/>
            <w:shd w:val="clear" w:color="auto" w:fill="CCEEFF"/>
          </w:tcPr>
          <w:p>
            <w:pPr>
              <w:spacing w:after="0"/>
              <w:rPr>
                <w:sz w:val="19"/>
                <w:szCs w:val="19"/>
                <w:color w:val="auto"/>
              </w:rPr>
            </w:pPr>
          </w:p>
        </w:tc>
      </w:tr>
      <w:tr>
        <w:trPr>
          <w:trHeight w:val="232"/>
        </w:trPr>
        <w:tc>
          <w:tcPr>
            <w:tcW w:w="6620" w:type="dxa"/>
            <w:vAlign w:val="bottom"/>
            <w:gridSpan w:val="3"/>
          </w:tcPr>
          <w:p>
            <w:pPr>
              <w:spacing w:after="0"/>
              <w:rPr>
                <w:sz w:val="20"/>
                <w:szCs w:val="20"/>
                <w:color w:val="auto"/>
              </w:rPr>
            </w:pPr>
            <w:r>
              <w:rPr>
                <w:rFonts w:ascii="Arial" w:cs="Arial" w:eastAsia="Arial" w:hAnsi="Arial"/>
                <w:sz w:val="16"/>
                <w:szCs w:val="16"/>
                <w:color w:val="auto"/>
              </w:rPr>
              <w:t>Goldman Sachs &amp; Co. LLC.</w:t>
            </w:r>
          </w:p>
        </w:tc>
        <w:tc>
          <w:tcPr>
            <w:tcW w:w="820" w:type="dxa"/>
            <w:vAlign w:val="bottom"/>
          </w:tcPr>
          <w:p>
            <w:pPr>
              <w:spacing w:after="0"/>
              <w:rPr>
                <w:sz w:val="20"/>
                <w:szCs w:val="20"/>
                <w:color w:val="auto"/>
              </w:rPr>
            </w:pPr>
          </w:p>
        </w:tc>
      </w:tr>
      <w:tr>
        <w:trPr>
          <w:trHeight w:val="239"/>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J.P. Morgan Securities LLC.</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r>
      <w:tr>
        <w:trPr>
          <w:trHeight w:val="237"/>
        </w:trPr>
        <w:tc>
          <w:tcPr>
            <w:tcW w:w="6620" w:type="dxa"/>
            <w:vAlign w:val="bottom"/>
            <w:gridSpan w:val="3"/>
          </w:tcPr>
          <w:p>
            <w:pPr>
              <w:spacing w:after="0"/>
              <w:rPr>
                <w:sz w:val="20"/>
                <w:szCs w:val="20"/>
                <w:color w:val="auto"/>
              </w:rPr>
            </w:pPr>
            <w:r>
              <w:rPr>
                <w:rFonts w:ascii="Arial" w:cs="Arial" w:eastAsia="Arial" w:hAnsi="Arial"/>
                <w:sz w:val="16"/>
                <w:szCs w:val="16"/>
                <w:color w:val="auto"/>
              </w:rPr>
              <w:t>Total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150,000,000</w:t>
            </w:r>
          </w:p>
        </w:tc>
      </w:tr>
      <w:tr>
        <w:trPr>
          <w:trHeight w:val="20"/>
        </w:trPr>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-643890</wp:posOffset>
            </wp:positionV>
            <wp:extent cx="12446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4460" cy="7620"/>
                    </a:xfrm>
                    <a:prstGeom prst="rect">
                      <a:avLst/>
                    </a:prstGeom>
                    <a:noFill/>
                  </pic:spPr>
                </pic:pic>
              </a:graphicData>
            </a:graphic>
          </wp:anchor>
        </w:drawing>
      </w:r>
    </w:p>
    <w:p>
      <w:pPr>
        <w:spacing w:after="0" w:line="175" w:lineRule="exact"/>
        <w:rPr>
          <w:sz w:val="20"/>
          <w:szCs w:val="20"/>
          <w:color w:val="auto"/>
        </w:rPr>
      </w:pPr>
    </w:p>
    <w:p>
      <w:pPr>
        <w:ind w:left="1140" w:right="1579" w:firstLine="326"/>
        <w:spacing w:after="0" w:line="265" w:lineRule="auto"/>
        <w:rPr>
          <w:sz w:val="20"/>
          <w:szCs w:val="20"/>
          <w:color w:val="auto"/>
        </w:rPr>
      </w:pPr>
      <w:r>
        <w:rPr>
          <w:rFonts w:ascii="Arial" w:cs="Arial" w:eastAsia="Arial" w:hAnsi="Arial"/>
          <w:sz w:val="16"/>
          <w:szCs w:val="16"/>
          <w:color w:val="auto"/>
        </w:rPr>
        <w:t>The underwriting agreement provides that the obligations of the underwriters to purchase the units included in this offering are subject to approval of legal matters by counsel and to other conditions. The underwriters are obligated to purchase all of the units (other than those covered by the over-allotment option described below) if they purchase any of the units.</w:t>
      </w:r>
    </w:p>
    <w:p>
      <w:pPr>
        <w:spacing w:after="0" w:line="68" w:lineRule="exact"/>
        <w:rPr>
          <w:sz w:val="20"/>
          <w:szCs w:val="20"/>
          <w:color w:val="auto"/>
        </w:rPr>
      </w:pPr>
    </w:p>
    <w:p>
      <w:pPr>
        <w:ind w:left="1140" w:right="1679" w:firstLine="326"/>
        <w:spacing w:after="0" w:line="262" w:lineRule="auto"/>
        <w:rPr>
          <w:sz w:val="20"/>
          <w:szCs w:val="20"/>
          <w:color w:val="auto"/>
        </w:rPr>
      </w:pPr>
      <w:r>
        <w:rPr>
          <w:rFonts w:ascii="Arial" w:cs="Arial" w:eastAsia="Arial" w:hAnsi="Arial"/>
          <w:sz w:val="16"/>
          <w:szCs w:val="16"/>
          <w:color w:val="auto"/>
        </w:rPr>
        <w:t>Units sold by the underwriters to the public will initially be offered at the initial public offering price set forth on the cover of this prospectus. If all of the units are not sold at the initial offering price, the underwriters may change the offering price and the other selling terms. The representative has advised us that the underwriters do not intend to make sales to discretionary accounts. Sales of any units made outside of the United States may be made by affiliates of the underwriters.</w:t>
      </w:r>
    </w:p>
    <w:p>
      <w:pPr>
        <w:spacing w:after="0" w:line="72" w:lineRule="exact"/>
        <w:rPr>
          <w:sz w:val="20"/>
          <w:szCs w:val="20"/>
          <w:color w:val="auto"/>
        </w:rPr>
      </w:pPr>
    </w:p>
    <w:p>
      <w:pPr>
        <w:ind w:left="1140" w:right="1599" w:firstLine="326"/>
        <w:spacing w:after="0" w:line="259" w:lineRule="auto"/>
        <w:rPr>
          <w:sz w:val="20"/>
          <w:szCs w:val="20"/>
          <w:color w:val="auto"/>
        </w:rPr>
      </w:pPr>
      <w:r>
        <w:rPr>
          <w:rFonts w:ascii="Arial" w:cs="Arial" w:eastAsia="Arial" w:hAnsi="Arial"/>
          <w:sz w:val="16"/>
          <w:szCs w:val="16"/>
          <w:color w:val="auto"/>
        </w:rPr>
        <w:t>If the underwriters sell more units than the total number set forth in the table above, we have granted to the underwriters an option, exercisable for 45 days from the date of this prospectus, to purchase up to 22,500,000 additional units at the public offering price less the underwriting discount. The underwriters may exercise this option solely for the purpose of covering over-allotments, if any, in connection with this offering. To the extent the option is exercised, each underwriter must purchase a number of additional units approximately proportionate to that underwriter’s initial purchase commitment. Any units issued or sold under the option will be issued and sold on the same terms and conditions as the other units that are the subject of this offering.</w:t>
      </w:r>
    </w:p>
    <w:p>
      <w:pPr>
        <w:spacing w:after="0" w:line="75" w:lineRule="exact"/>
        <w:rPr>
          <w:sz w:val="20"/>
          <w:szCs w:val="20"/>
          <w:color w:val="auto"/>
        </w:rPr>
      </w:pPr>
    </w:p>
    <w:p>
      <w:pPr>
        <w:ind w:left="1140" w:right="1599" w:firstLine="326"/>
        <w:spacing w:after="0" w:line="259" w:lineRule="auto"/>
        <w:rPr>
          <w:sz w:val="20"/>
          <w:szCs w:val="20"/>
          <w:color w:val="auto"/>
        </w:rPr>
      </w:pPr>
      <w:r>
        <w:rPr>
          <w:rFonts w:ascii="Arial" w:cs="Arial" w:eastAsia="Arial" w:hAnsi="Arial"/>
          <w:sz w:val="16"/>
          <w:szCs w:val="16"/>
          <w:color w:val="auto"/>
        </w:rPr>
        <w:t>We, our sponsor and our officers and directors have agreed that, for a period of 180 days from the date of this prospectus, we and they will not, without the prior written consent of the representative, offer, sell, contract to sell, pledge or otherwise dispose of, directly or indirectly, any units, warrants, shares of common stock or any other securities convertible into, or exercisable, or exchangeable for, shares of common stock, subject to certain exceptions. The representative in its sole discretion may release any of the securities subject to these lock-up agreements at any time without notice. Our sponsor, officers and directors are also subject to separate transfer restrictions on their founder shares and private placement warrants pursuant to the insider letters as described herein.</w:t>
      </w:r>
    </w:p>
    <w:p>
      <w:pPr>
        <w:spacing w:after="0" w:line="75" w:lineRule="exact"/>
        <w:rPr>
          <w:sz w:val="20"/>
          <w:szCs w:val="20"/>
          <w:color w:val="auto"/>
        </w:rPr>
      </w:pPr>
    </w:p>
    <w:p>
      <w:pPr>
        <w:ind w:left="1140" w:right="1579" w:firstLine="326"/>
        <w:spacing w:after="0" w:line="276" w:lineRule="auto"/>
        <w:rPr>
          <w:sz w:val="20"/>
          <w:szCs w:val="20"/>
          <w:color w:val="auto"/>
        </w:rPr>
      </w:pPr>
      <w:r>
        <w:rPr>
          <w:rFonts w:ascii="Arial" w:cs="Arial" w:eastAsia="Arial" w:hAnsi="Arial"/>
          <w:sz w:val="15"/>
          <w:szCs w:val="15"/>
          <w:color w:val="auto"/>
        </w:rPr>
        <w:t>Our sponsor, founder, officers and directors have agreed not to transfer, assign or sell any founder shares held by them until the earlier to occur of: (1) one year after the completion of our initial business combination; or (2) the date on which we complete a liquidation, merger, stock exchange, reorganization or other similar transaction after our initial business combination that results in all of our public stockholders having the right to exchange their shares of common stock for cash, securities or other property (except as described herein under “Principal Stockholders — Transfers of Founder Shares and Private Placement Warrants”). Any permitted transferees would be subject to the same restrictions and other agreements of our sponsor with respect to any founder shares. We refer to such transfer restrictions throughout this prospectus as the lock-up. Notwithstanding the foregoing, if the closing price of our common stock equals or exceeds $12.00 per share (as adjusted for stock splits, stock dividends, reorganizations, recapitalizations and the like) for any 20 trading days within any 30-trading day period commencing at least 150 days after our initial business combination, the founder shares will be released from the lock-up. The private placement warrants (including the Class A common stock issuable upon exercise of the private placement</w:t>
      </w:r>
    </w:p>
    <w:p>
      <w:pPr>
        <w:spacing w:after="0" w:line="210"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3" w:name="page154"/>
    <w:bookmarkEnd w:id="153"/>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699"/>
        <w:spacing w:after="0" w:line="265" w:lineRule="auto"/>
        <w:rPr>
          <w:sz w:val="20"/>
          <w:szCs w:val="20"/>
          <w:color w:val="auto"/>
        </w:rPr>
      </w:pPr>
      <w:r>
        <w:rPr>
          <w:rFonts w:ascii="Arial" w:cs="Arial" w:eastAsia="Arial" w:hAnsi="Arial"/>
          <w:sz w:val="16"/>
          <w:szCs w:val="16"/>
          <w:color w:val="auto"/>
        </w:rPr>
        <w:t>warrants) will not be transferable, assignable or saleable until 30 days after the completion of our initial business combination (except with respect to permitted transferees as described herein under the section of this prospectus entitled “Principal Stockholders — Transfers of Founder Shares and Private Placement Warrants”).</w:t>
      </w:r>
    </w:p>
    <w:p>
      <w:pPr>
        <w:spacing w:after="0" w:line="68" w:lineRule="exact"/>
        <w:rPr>
          <w:sz w:val="20"/>
          <w:szCs w:val="20"/>
          <w:color w:val="auto"/>
        </w:rPr>
      </w:pPr>
    </w:p>
    <w:p>
      <w:pPr>
        <w:ind w:left="1140" w:right="1579" w:firstLine="326"/>
        <w:spacing w:after="0" w:line="285" w:lineRule="auto"/>
        <w:rPr>
          <w:sz w:val="20"/>
          <w:szCs w:val="20"/>
          <w:color w:val="auto"/>
        </w:rPr>
      </w:pPr>
      <w:r>
        <w:rPr>
          <w:rFonts w:ascii="Arial" w:cs="Arial" w:eastAsia="Arial" w:hAnsi="Arial"/>
          <w:sz w:val="16"/>
          <w:szCs w:val="16"/>
          <w:color w:val="auto"/>
        </w:rPr>
        <w:t>Prior to this offering, there has been no public market for our securities. Consequently, the initial public offering price for the units was determined by negotiations between us and the representative.</w:t>
      </w:r>
    </w:p>
    <w:p>
      <w:pPr>
        <w:spacing w:after="0" w:line="52" w:lineRule="exact"/>
        <w:rPr>
          <w:sz w:val="20"/>
          <w:szCs w:val="20"/>
          <w:color w:val="auto"/>
        </w:rPr>
      </w:pPr>
    </w:p>
    <w:p>
      <w:pPr>
        <w:ind w:left="1140" w:right="1679" w:firstLine="326"/>
        <w:spacing w:after="0" w:line="259" w:lineRule="auto"/>
        <w:rPr>
          <w:sz w:val="20"/>
          <w:szCs w:val="20"/>
          <w:color w:val="auto"/>
        </w:rPr>
      </w:pPr>
      <w:r>
        <w:rPr>
          <w:rFonts w:ascii="Arial" w:cs="Arial" w:eastAsia="Arial" w:hAnsi="Arial"/>
          <w:sz w:val="16"/>
          <w:szCs w:val="16"/>
          <w:color w:val="auto"/>
        </w:rPr>
        <w:t>Among the factors considered in determining the initial public offering price were the history and prospects of companies whose principal business is the acquisition of other companies, prior offerings of those companies, our management, our capital structure, and currently prevailing general conditions in the equity securities markets, including current market valuations of publicly traded companies considered comparable to our company. We cannot assure you, however, that the price at which the units, Class A common stock or warrants will sell in the public market after this offering will not be lower than the initial public offering price or that an active trading market in our units, Class A common stock or warrants will develop and continue after this offering.</w:t>
      </w:r>
    </w:p>
    <w:p>
      <w:pPr>
        <w:spacing w:after="0" w:line="75" w:lineRule="exact"/>
        <w:rPr>
          <w:sz w:val="20"/>
          <w:szCs w:val="20"/>
          <w:color w:val="auto"/>
        </w:rPr>
      </w:pPr>
    </w:p>
    <w:p>
      <w:pPr>
        <w:ind w:left="1140" w:right="1639" w:firstLine="326"/>
        <w:spacing w:after="0" w:line="265" w:lineRule="auto"/>
        <w:rPr>
          <w:sz w:val="20"/>
          <w:szCs w:val="20"/>
          <w:color w:val="auto"/>
        </w:rPr>
      </w:pPr>
      <w:r>
        <w:rPr>
          <w:rFonts w:ascii="Arial" w:cs="Arial" w:eastAsia="Arial" w:hAnsi="Arial"/>
          <w:sz w:val="16"/>
          <w:szCs w:val="16"/>
          <w:color w:val="auto"/>
        </w:rPr>
        <w:t>We have applied to list our units on the NYSE under the symbol “CCIV.U.” We cannot guarantee that our securities will be approved for listing on the NYSE. We expect that our Class A common stock and warrants will be listed under the symbols “CCIV” and “CCIV WS,” respectively, once the Class A common stock and warrants begin separate trading.</w:t>
      </w:r>
    </w:p>
    <w:p>
      <w:pPr>
        <w:spacing w:after="0" w:line="68" w:lineRule="exact"/>
        <w:rPr>
          <w:sz w:val="20"/>
          <w:szCs w:val="20"/>
          <w:color w:val="auto"/>
        </w:rPr>
      </w:pPr>
    </w:p>
    <w:p>
      <w:pPr>
        <w:ind w:left="1140" w:right="1659" w:firstLine="326"/>
        <w:spacing w:after="0" w:line="270" w:lineRule="auto"/>
        <w:rPr>
          <w:sz w:val="20"/>
          <w:szCs w:val="20"/>
          <w:color w:val="auto"/>
        </w:rPr>
      </w:pPr>
      <w:r>
        <w:rPr>
          <w:rFonts w:ascii="Arial" w:cs="Arial" w:eastAsia="Arial" w:hAnsi="Arial"/>
          <w:sz w:val="16"/>
          <w:szCs w:val="16"/>
          <w:color w:val="auto"/>
        </w:rPr>
        <w:t>The following table shows the underwriting discounts and commissions that we are to pay to the underwriters in connection with this offering. These amounts are shown assuming both no exercise and full exercise of the underwriters’ over-allotment option.</w:t>
      </w:r>
    </w:p>
    <w:p>
      <w:pPr>
        <w:spacing w:after="0" w:line="41" w:lineRule="exact"/>
        <w:rPr>
          <w:sz w:val="20"/>
          <w:szCs w:val="20"/>
          <w:color w:val="auto"/>
        </w:rPr>
      </w:pPr>
    </w:p>
    <w:tbl>
      <w:tblPr>
        <w:tblLayout w:type="fixed"/>
        <w:tblInd w:w="1460" w:type="dxa"/>
        <w:tblCellMar>
          <w:top w:w="0" w:type="dxa"/>
          <w:left w:w="0" w:type="dxa"/>
          <w:bottom w:w="0" w:type="dxa"/>
          <w:right w:w="0" w:type="dxa"/>
        </w:tblCellMar>
      </w:tblPr>
      <w:tr>
        <w:trPr>
          <w:trHeight w:val="149"/>
        </w:trPr>
        <w:tc>
          <w:tcPr>
            <w:tcW w:w="4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4"/>
          </w:tcPr>
          <w:p>
            <w:pPr>
              <w:jc w:val="right"/>
              <w:ind w:right="558"/>
              <w:spacing w:after="0"/>
              <w:rPr>
                <w:sz w:val="20"/>
                <w:szCs w:val="20"/>
                <w:color w:val="auto"/>
              </w:rPr>
            </w:pPr>
            <w:r>
              <w:rPr>
                <w:rFonts w:ascii="Arial" w:cs="Arial" w:eastAsia="Arial" w:hAnsi="Arial"/>
                <w:sz w:val="13"/>
                <w:szCs w:val="13"/>
                <w:b w:val="1"/>
                <w:bCs w:val="1"/>
                <w:color w:val="auto"/>
              </w:rPr>
              <w:t>Payable by</w:t>
            </w:r>
          </w:p>
        </w:tc>
      </w:tr>
      <w:tr>
        <w:trPr>
          <w:trHeight w:val="168"/>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right"/>
              <w:ind w:right="138"/>
              <w:spacing w:after="0"/>
              <w:rPr>
                <w:sz w:val="20"/>
                <w:szCs w:val="20"/>
                <w:color w:val="auto"/>
              </w:rPr>
            </w:pPr>
            <w:r>
              <w:rPr>
                <w:rFonts w:ascii="Arial" w:cs="Arial" w:eastAsia="Arial" w:hAnsi="Arial"/>
                <w:sz w:val="13"/>
                <w:szCs w:val="13"/>
                <w:b w:val="1"/>
                <w:bCs w:val="1"/>
                <w:color w:val="auto"/>
                <w:w w:val="99"/>
              </w:rPr>
              <w:t>Churchill Capital Corp IV</w:t>
            </w:r>
          </w:p>
        </w:tc>
      </w:tr>
      <w:tr>
        <w:trPr>
          <w:trHeight w:val="23"/>
        </w:trPr>
        <w:tc>
          <w:tcPr>
            <w:tcW w:w="49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r>
      <w:tr>
        <w:trPr>
          <w:trHeight w:val="177"/>
        </w:trPr>
        <w:tc>
          <w:tcPr>
            <w:tcW w:w="4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3"/>
                <w:szCs w:val="13"/>
                <w:b w:val="1"/>
                <w:bCs w:val="1"/>
                <w:color w:val="auto"/>
              </w:rPr>
              <w:t>No Exercise</w:t>
            </w:r>
          </w:p>
        </w:tc>
        <w:tc>
          <w:tcPr>
            <w:tcW w:w="84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Full Exercise</w:t>
            </w:r>
          </w:p>
        </w:tc>
      </w:tr>
      <w:tr>
        <w:trPr>
          <w:trHeight w:val="23"/>
        </w:trPr>
        <w:tc>
          <w:tcPr>
            <w:tcW w:w="49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4920" w:type="dxa"/>
            <w:vAlign w:val="bottom"/>
            <w:shd w:val="clear" w:color="auto" w:fill="CCEEFF"/>
          </w:tcPr>
          <w:p>
            <w:pPr>
              <w:spacing w:after="0" w:line="236" w:lineRule="exact"/>
              <w:rPr>
                <w:sz w:val="20"/>
                <w:szCs w:val="20"/>
                <w:color w:val="auto"/>
              </w:rPr>
            </w:pPr>
            <w:r>
              <w:rPr>
                <w:rFonts w:ascii="Arial" w:cs="Arial" w:eastAsia="Arial" w:hAnsi="Arial"/>
                <w:sz w:val="16"/>
                <w:szCs w:val="16"/>
                <w:color w:val="auto"/>
              </w:rPr>
              <w:t>Per Unit</w:t>
            </w:r>
            <w:r>
              <w:rPr>
                <w:rFonts w:ascii="Arial" w:cs="Arial" w:eastAsia="Arial" w:hAnsi="Arial"/>
                <w:sz w:val="24"/>
                <w:szCs w:val="24"/>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0.55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0.55</w:t>
            </w:r>
          </w:p>
        </w:tc>
      </w:tr>
      <w:tr>
        <w:trPr>
          <w:trHeight w:val="322"/>
        </w:trPr>
        <w:tc>
          <w:tcPr>
            <w:tcW w:w="4920" w:type="dxa"/>
            <w:vAlign w:val="bottom"/>
          </w:tcPr>
          <w:p>
            <w:pPr>
              <w:spacing w:after="0"/>
              <w:rPr>
                <w:sz w:val="20"/>
                <w:szCs w:val="20"/>
                <w:color w:val="auto"/>
              </w:rPr>
            </w:pPr>
            <w:r>
              <w:rPr>
                <w:rFonts w:ascii="Arial" w:cs="Arial" w:eastAsia="Arial" w:hAnsi="Arial"/>
                <w:sz w:val="16"/>
                <w:szCs w:val="16"/>
                <w:color w:val="auto"/>
              </w:rPr>
              <w:t>Total</w:t>
            </w:r>
            <w:r>
              <w:rPr>
                <w:rFonts w:ascii="Arial" w:cs="Arial" w:eastAsia="Arial" w:hAnsi="Arial"/>
                <w:sz w:val="24"/>
                <w:szCs w:val="24"/>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w w:val="89"/>
              </w:rPr>
              <w:t>82,500,000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94,875,000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-367030</wp:posOffset>
            </wp:positionV>
            <wp:extent cx="377444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774440" cy="762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106045</wp:posOffset>
            </wp:positionV>
            <wp:extent cx="1118235"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118235" cy="7620"/>
                    </a:xfrm>
                    <a:prstGeom prst="rect">
                      <a:avLst/>
                    </a:prstGeom>
                    <a:noFill/>
                  </pic:spPr>
                </pic:pic>
              </a:graphicData>
            </a:graphic>
          </wp:anchor>
        </w:drawing>
      </w:r>
    </w:p>
    <w:p>
      <w:pPr>
        <w:spacing w:after="0" w:line="343" w:lineRule="exact"/>
        <w:rPr>
          <w:sz w:val="20"/>
          <w:szCs w:val="20"/>
          <w:color w:val="auto"/>
        </w:rPr>
      </w:pPr>
    </w:p>
    <w:p>
      <w:pPr>
        <w:ind w:left="1460" w:right="1579" w:hanging="321"/>
        <w:spacing w:after="0" w:line="261" w:lineRule="auto"/>
        <w:tabs>
          <w:tab w:leader="none" w:pos="1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Includes $0.35 per unit, or $52,500,000 (or $60,375,000 if the over-allotment option is exercised in full) in the aggregate payable to the underwriters for deferred underwriting commissions to be placed in a trust account located in the United States as described herein. The deferred commissions will be released to the underwriters only on completion of an initial business combination, in an amount equal to $0.35 multiplied by the number of shares of Class A common stock sold as part of the units in this offering, as described in this prospectus.</w:t>
      </w:r>
    </w:p>
    <w:p>
      <w:pPr>
        <w:spacing w:after="0" w:line="71"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If we do not complete our initial business combination and subsequently liquidate, the trustee and the</w:t>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underwriters have agreed that (i) they will forfeit any rights or claims to their deferred underwriting</w:t>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discounts and commissions, including any accrued interest thereon, then in the trust account upon</w:t>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liquidation, and (ii) that the deferred underwriters’ discounts and commissions will be distributed on a</w:t>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pro rata basis, including interest earned on the funds held in the trust account and not previously released to</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us to pay our taxes to the public stockholders.</w:t>
      </w:r>
    </w:p>
    <w:p>
      <w:pPr>
        <w:spacing w:after="0" w:line="98" w:lineRule="exact"/>
        <w:rPr>
          <w:sz w:val="20"/>
          <w:szCs w:val="20"/>
          <w:color w:val="auto"/>
        </w:rPr>
      </w:pPr>
    </w:p>
    <w:p>
      <w:pPr>
        <w:ind w:left="1140" w:right="1719" w:firstLine="326"/>
        <w:spacing w:after="0" w:line="265" w:lineRule="auto"/>
        <w:rPr>
          <w:sz w:val="20"/>
          <w:szCs w:val="20"/>
          <w:color w:val="auto"/>
        </w:rPr>
      </w:pPr>
      <w:r>
        <w:rPr>
          <w:rFonts w:ascii="Arial" w:cs="Arial" w:eastAsia="Arial" w:hAnsi="Arial"/>
          <w:sz w:val="16"/>
          <w:szCs w:val="16"/>
          <w:color w:val="auto"/>
        </w:rPr>
        <w:t>In connection with the offering, the underwriters may purchase and sell units in the open market. Purchases and sales in the open market may include short sales, purchases to cover short positions, which may include purchases pursuant to the over-allotment option and stabilizing purchases, in accordance with Regulation M under the Exchange Act.</w:t>
      </w:r>
    </w:p>
    <w:p>
      <w:pPr>
        <w:spacing w:after="0" w:line="80" w:lineRule="exact"/>
        <w:rPr>
          <w:sz w:val="20"/>
          <w:szCs w:val="20"/>
          <w:color w:val="auto"/>
        </w:rPr>
      </w:pPr>
    </w:p>
    <w:p>
      <w:pPr>
        <w:ind w:left="1800" w:right="1759" w:hanging="335"/>
        <w:spacing w:after="0" w:line="285" w:lineRule="auto"/>
        <w:tabs>
          <w:tab w:leader="none" w:pos="18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Short sales involve secondary market sales by the underwriters of a greater number of units than they are required to purchase in the offering.</w:t>
      </w:r>
    </w:p>
    <w:p>
      <w:pPr>
        <w:spacing w:after="0" w:line="64" w:lineRule="exact"/>
        <w:rPr>
          <w:rFonts w:ascii="Arial" w:cs="Arial" w:eastAsia="Arial" w:hAnsi="Arial"/>
          <w:sz w:val="16"/>
          <w:szCs w:val="16"/>
          <w:color w:val="auto"/>
        </w:rPr>
      </w:pPr>
    </w:p>
    <w:p>
      <w:pPr>
        <w:ind w:left="1800" w:right="1659" w:hanging="335"/>
        <w:spacing w:after="0" w:line="285" w:lineRule="auto"/>
        <w:tabs>
          <w:tab w:leader="none" w:pos="18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“Covered” short sales are sales of units in an amount up to the number of units represented by the underwriters’ over-allotment option.</w:t>
      </w:r>
    </w:p>
    <w:p>
      <w:pPr>
        <w:spacing w:after="0" w:line="76" w:lineRule="exact"/>
        <w:rPr>
          <w:rFonts w:ascii="Arial" w:cs="Arial" w:eastAsia="Arial" w:hAnsi="Arial"/>
          <w:sz w:val="16"/>
          <w:szCs w:val="16"/>
          <w:color w:val="auto"/>
        </w:rPr>
      </w:pPr>
    </w:p>
    <w:p>
      <w:pPr>
        <w:ind w:left="1800" w:right="1599" w:hanging="335"/>
        <w:spacing w:after="0" w:line="285" w:lineRule="auto"/>
        <w:tabs>
          <w:tab w:leader="none" w:pos="18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“Naked” short sales are sales of units in an amount in excess of the number of units represented by the underwriters’ over-allotment option.</w:t>
      </w:r>
    </w:p>
    <w:p>
      <w:pPr>
        <w:spacing w:after="0" w:line="199"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4" w:name="page155"/>
    <w:bookmarkEnd w:id="154"/>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800" w:right="1639" w:hanging="335"/>
        <w:spacing w:after="0" w:line="320" w:lineRule="auto"/>
        <w:tabs>
          <w:tab w:leader="none" w:pos="18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Covering transactions involve purchases of units either pursuant to the over-allotment option or in the open market after the distribution has been completed in order to cover short positions.</w:t>
      </w:r>
    </w:p>
    <w:p>
      <w:pPr>
        <w:spacing w:after="0" w:line="102" w:lineRule="exact"/>
        <w:rPr>
          <w:rFonts w:ascii="Arial" w:cs="Arial" w:eastAsia="Arial" w:hAnsi="Arial"/>
          <w:sz w:val="15"/>
          <w:szCs w:val="15"/>
          <w:color w:val="auto"/>
        </w:rPr>
      </w:pPr>
    </w:p>
    <w:p>
      <w:pPr>
        <w:ind w:left="1800" w:right="1699" w:hanging="335"/>
        <w:spacing w:after="0" w:line="288" w:lineRule="auto"/>
        <w:tabs>
          <w:tab w:leader="none" w:pos="18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To close a naked short position, the underwriters must purchase units in the open market after the distribution has been completed. A naked short position is more likely to be created if the underwriters are concerned that there may be downward pressure on the price of the units in the open market after pricing that could adversely affect investors who purchase in the offering.</w:t>
      </w:r>
    </w:p>
    <w:p>
      <w:pPr>
        <w:spacing w:after="0" w:line="113" w:lineRule="exact"/>
        <w:rPr>
          <w:rFonts w:ascii="Arial" w:cs="Arial" w:eastAsia="Arial" w:hAnsi="Arial"/>
          <w:sz w:val="15"/>
          <w:szCs w:val="15"/>
          <w:color w:val="auto"/>
        </w:rPr>
      </w:pPr>
    </w:p>
    <w:p>
      <w:pPr>
        <w:ind w:left="1800" w:right="1619" w:hanging="335"/>
        <w:spacing w:after="0" w:line="262" w:lineRule="auto"/>
        <w:tabs>
          <w:tab w:leader="none" w:pos="18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To close a covered short position, the underwriters must purchase units in the open market after the distribution has been completed or must exercise the over-allotment option. In determining the source of units to close the covered short position, the underwriters will consider, among other things, the price of units available for purchase in the open market as compared to the price at which they may purchase units through the over-allotment option.</w:t>
      </w:r>
    </w:p>
    <w:p>
      <w:pPr>
        <w:spacing w:after="0" w:line="133" w:lineRule="exact"/>
        <w:rPr>
          <w:rFonts w:ascii="Arial" w:cs="Arial" w:eastAsia="Arial" w:hAnsi="Arial"/>
          <w:sz w:val="16"/>
          <w:szCs w:val="16"/>
          <w:color w:val="auto"/>
        </w:rPr>
      </w:pPr>
    </w:p>
    <w:p>
      <w:pPr>
        <w:ind w:left="1800" w:right="1599" w:hanging="335"/>
        <w:spacing w:after="0" w:line="285" w:lineRule="auto"/>
        <w:tabs>
          <w:tab w:leader="none" w:pos="18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Stabilizing transactions involve bids to purchase units so long as the stabilizing bids do not exceed a specified maximum.</w:t>
      </w:r>
    </w:p>
    <w:p>
      <w:pPr>
        <w:spacing w:after="0" w:line="52" w:lineRule="exact"/>
        <w:rPr>
          <w:sz w:val="20"/>
          <w:szCs w:val="20"/>
          <w:color w:val="auto"/>
        </w:rPr>
      </w:pPr>
    </w:p>
    <w:p>
      <w:pPr>
        <w:ind w:left="1140" w:right="1619" w:firstLine="326"/>
        <w:spacing w:after="0" w:line="261"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units. They may also cause the price of the units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71" w:lineRule="exact"/>
        <w:rPr>
          <w:sz w:val="20"/>
          <w:szCs w:val="20"/>
          <w:color w:val="auto"/>
        </w:rPr>
      </w:pPr>
    </w:p>
    <w:p>
      <w:pPr>
        <w:ind w:left="1140" w:right="1599" w:firstLine="326"/>
        <w:spacing w:after="0" w:line="270" w:lineRule="auto"/>
        <w:rPr>
          <w:sz w:val="20"/>
          <w:szCs w:val="20"/>
          <w:color w:val="auto"/>
        </w:rPr>
      </w:pPr>
      <w:r>
        <w:rPr>
          <w:rFonts w:ascii="Arial" w:cs="Arial" w:eastAsia="Arial" w:hAnsi="Arial"/>
          <w:sz w:val="16"/>
          <w:szCs w:val="16"/>
          <w:color w:val="auto"/>
        </w:rPr>
        <w:t>We estimate that our portion of the total expenses of this offering payable by us will be $1,350,000, excluding underwriting discounts and commissions. We have also agreed to pay the FINRA-related fees and expenses of the underwriters’ legal counsel, not to exceed $20,000.</w:t>
      </w:r>
    </w:p>
    <w:p>
      <w:pPr>
        <w:spacing w:after="0" w:line="64"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The underwriters have agreed to reimburse certain of our expenses.</w:t>
      </w:r>
    </w:p>
    <w:p>
      <w:pPr>
        <w:spacing w:after="0" w:line="110" w:lineRule="exact"/>
        <w:rPr>
          <w:sz w:val="20"/>
          <w:szCs w:val="20"/>
          <w:color w:val="auto"/>
        </w:rPr>
      </w:pPr>
    </w:p>
    <w:p>
      <w:pPr>
        <w:ind w:left="1140" w:right="1679" w:firstLine="326"/>
        <w:spacing w:after="0" w:line="270" w:lineRule="auto"/>
        <w:rPr>
          <w:sz w:val="20"/>
          <w:szCs w:val="20"/>
          <w:color w:val="auto"/>
        </w:rPr>
      </w:pPr>
      <w:r>
        <w:rPr>
          <w:rFonts w:ascii="Arial" w:cs="Arial" w:eastAsia="Arial" w:hAnsi="Arial"/>
          <w:sz w:val="16"/>
          <w:szCs w:val="16"/>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64" w:lineRule="exact"/>
        <w:rPr>
          <w:sz w:val="20"/>
          <w:szCs w:val="20"/>
          <w:color w:val="auto"/>
        </w:rPr>
      </w:pPr>
    </w:p>
    <w:p>
      <w:pPr>
        <w:ind w:left="1140" w:right="1599" w:firstLine="326"/>
        <w:spacing w:after="0" w:line="277" w:lineRule="auto"/>
        <w:rPr>
          <w:sz w:val="20"/>
          <w:szCs w:val="20"/>
          <w:color w:val="auto"/>
        </w:rPr>
      </w:pPr>
      <w:r>
        <w:rPr>
          <w:rFonts w:ascii="Arial" w:cs="Arial" w:eastAsia="Arial" w:hAnsi="Arial"/>
          <w:sz w:val="15"/>
          <w:szCs w:val="15"/>
          <w:color w:val="auto"/>
        </w:rPr>
        <w:t>We are not under any contractual obligation to engage any of the underwriters to provide any services for us after this offering, and have no present intent to do so. However, any of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of the underwriters and no fees for such services will be paid to any of the underwriters prior to the date that is 90 days from the date of this prospectus, unless FINRA determines that such payment would not be deemed underwriters’ compensation in connection with this offering and we may pay the underwriters of this offering or any entity with which they are affiliated a finder’s fee or other compensation for services rendered to us in connection with the completion of a business combination.</w:t>
      </w:r>
    </w:p>
    <w:p>
      <w:pPr>
        <w:spacing w:after="0" w:line="64" w:lineRule="exact"/>
        <w:rPr>
          <w:sz w:val="20"/>
          <w:szCs w:val="20"/>
          <w:color w:val="auto"/>
        </w:rPr>
      </w:pPr>
    </w:p>
    <w:p>
      <w:pPr>
        <w:ind w:left="1140" w:right="2019" w:firstLine="326"/>
        <w:spacing w:after="0" w:line="265" w:lineRule="auto"/>
        <w:rPr>
          <w:sz w:val="20"/>
          <w:szCs w:val="20"/>
          <w:color w:val="auto"/>
        </w:rPr>
      </w:pPr>
      <w:r>
        <w:rPr>
          <w:rFonts w:ascii="Arial" w:cs="Arial" w:eastAsia="Arial" w:hAnsi="Arial"/>
          <w:sz w:val="16"/>
          <w:szCs w:val="16"/>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68" w:lineRule="exact"/>
        <w:rPr>
          <w:sz w:val="20"/>
          <w:szCs w:val="20"/>
          <w:color w:val="auto"/>
        </w:rPr>
      </w:pPr>
    </w:p>
    <w:p>
      <w:pPr>
        <w:ind w:left="1140" w:right="1579" w:firstLine="326"/>
        <w:spacing w:after="0" w:line="259"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34"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224790</wp:posOffset>
            </wp:positionV>
            <wp:extent cx="6166485" cy="152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5" w:name="page156"/>
    <w:bookmarkEnd w:id="155"/>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Notice to Prospective Investors in the European Economic Area and the United Kingdom</w:t>
      </w:r>
    </w:p>
    <w:p>
      <w:pPr>
        <w:spacing w:after="0" w:line="183"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European Economic Area and the United Kingdom</w:t>
      </w:r>
    </w:p>
    <w:p>
      <w:pPr>
        <w:spacing w:after="0" w:line="101" w:lineRule="exact"/>
        <w:rPr>
          <w:sz w:val="20"/>
          <w:szCs w:val="20"/>
          <w:color w:val="auto"/>
        </w:rPr>
      </w:pPr>
    </w:p>
    <w:p>
      <w:pPr>
        <w:ind w:left="1140" w:right="1579" w:firstLine="326"/>
        <w:spacing w:after="0" w:line="260" w:lineRule="auto"/>
        <w:rPr>
          <w:sz w:val="20"/>
          <w:szCs w:val="20"/>
          <w:color w:val="auto"/>
        </w:rPr>
      </w:pPr>
      <w:r>
        <w:rPr>
          <w:rFonts w:ascii="Arial" w:cs="Arial" w:eastAsia="Arial" w:hAnsi="Arial"/>
          <w:sz w:val="16"/>
          <w:szCs w:val="16"/>
          <w:color w:val="auto"/>
        </w:rPr>
        <w:t>In relation to each Member State of the European Economic Area and the United Kingdom (each a “Relevant State”), no units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21" w:lineRule="exact"/>
        <w:rPr>
          <w:sz w:val="20"/>
          <w:szCs w:val="20"/>
          <w:color w:val="auto"/>
        </w:rPr>
      </w:pPr>
    </w:p>
    <w:p>
      <w:pPr>
        <w:ind w:left="1800" w:hanging="335"/>
        <w:spacing w:after="0"/>
        <w:tabs>
          <w:tab w:leader="none" w:pos="18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under the Prospectus Regulation;</w:t>
      </w:r>
    </w:p>
    <w:p>
      <w:pPr>
        <w:spacing w:after="0" w:line="158" w:lineRule="exact"/>
        <w:rPr>
          <w:rFonts w:ascii="Arial" w:cs="Arial" w:eastAsia="Arial" w:hAnsi="Arial"/>
          <w:sz w:val="16"/>
          <w:szCs w:val="16"/>
          <w:color w:val="auto"/>
        </w:rPr>
      </w:pPr>
    </w:p>
    <w:p>
      <w:pPr>
        <w:ind w:left="1800" w:right="1799" w:hanging="335"/>
        <w:spacing w:after="0" w:line="270" w:lineRule="auto"/>
        <w:tabs>
          <w:tab w:leader="none" w:pos="18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under the Prospectus Regulation), subject to obtaining the prior consent of the representative for any such offer; or</w:t>
      </w:r>
    </w:p>
    <w:p>
      <w:pPr>
        <w:spacing w:after="0" w:line="100" w:lineRule="exact"/>
        <w:rPr>
          <w:rFonts w:ascii="Arial" w:cs="Arial" w:eastAsia="Arial" w:hAnsi="Arial"/>
          <w:sz w:val="16"/>
          <w:szCs w:val="16"/>
          <w:color w:val="auto"/>
        </w:rPr>
      </w:pPr>
    </w:p>
    <w:p>
      <w:pPr>
        <w:ind w:left="1800" w:hanging="335"/>
        <w:spacing w:after="0"/>
        <w:tabs>
          <w:tab w:leader="none" w:pos="18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1(4) of the Prospectus Regulation,</w:t>
      </w:r>
    </w:p>
    <w:p>
      <w:pPr>
        <w:spacing w:after="0" w:line="110" w:lineRule="exact"/>
        <w:rPr>
          <w:sz w:val="20"/>
          <w:szCs w:val="20"/>
          <w:color w:val="auto"/>
        </w:rPr>
      </w:pPr>
    </w:p>
    <w:p>
      <w:pPr>
        <w:ind w:left="1140" w:right="1679"/>
        <w:spacing w:after="0" w:line="270" w:lineRule="auto"/>
        <w:rPr>
          <w:sz w:val="20"/>
          <w:szCs w:val="20"/>
          <w:color w:val="auto"/>
        </w:rPr>
      </w:pPr>
      <w:r>
        <w:rPr>
          <w:rFonts w:ascii="Arial" w:cs="Arial" w:eastAsia="Arial" w:hAnsi="Arial"/>
          <w:sz w:val="16"/>
          <w:szCs w:val="16"/>
          <w:color w:val="auto"/>
        </w:rPr>
        <w:t>provided that no such offer of Shares shall require the Issuer or any Manager to publish a prospectus pursuant to Article 3 of the Prospectus Regulation or supplement a prospectus pursuant to Article 23 of the Prospectus Regulation.</w:t>
      </w:r>
    </w:p>
    <w:p>
      <w:pPr>
        <w:spacing w:after="0" w:line="64" w:lineRule="exact"/>
        <w:rPr>
          <w:sz w:val="20"/>
          <w:szCs w:val="20"/>
          <w:color w:val="auto"/>
        </w:rPr>
      </w:pPr>
    </w:p>
    <w:p>
      <w:pPr>
        <w:ind w:left="1140" w:right="1639" w:firstLine="326"/>
        <w:spacing w:after="0" w:line="270" w:lineRule="auto"/>
        <w:rPr>
          <w:sz w:val="20"/>
          <w:szCs w:val="20"/>
          <w:color w:val="auto"/>
        </w:rPr>
      </w:pPr>
      <w:r>
        <w:rPr>
          <w:rFonts w:ascii="Arial" w:cs="Arial" w:eastAsia="Arial" w:hAnsi="Arial"/>
          <w:sz w:val="16"/>
          <w:szCs w:val="16"/>
          <w:color w:val="auto"/>
        </w:rPr>
        <w:t>Each person in a Relevant State who initially acquires any units or to whom any offer is made will be deemed to have represented, acknowledged and agreed to and with the Company and the representative that it is a qualified investor within the meaning of the Prospectus Regulation.</w:t>
      </w:r>
    </w:p>
    <w:p>
      <w:pPr>
        <w:spacing w:after="0" w:line="64" w:lineRule="exact"/>
        <w:rPr>
          <w:sz w:val="20"/>
          <w:szCs w:val="20"/>
          <w:color w:val="auto"/>
        </w:rPr>
      </w:pPr>
    </w:p>
    <w:p>
      <w:pPr>
        <w:ind w:left="1140" w:right="1579" w:firstLine="326"/>
        <w:spacing w:after="0" w:line="260" w:lineRule="auto"/>
        <w:rPr>
          <w:sz w:val="20"/>
          <w:szCs w:val="20"/>
          <w:color w:val="auto"/>
        </w:rPr>
      </w:pPr>
      <w:r>
        <w:rPr>
          <w:rFonts w:ascii="Arial" w:cs="Arial" w:eastAsia="Arial" w:hAnsi="Arial"/>
          <w:sz w:val="16"/>
          <w:szCs w:val="16"/>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Company has been obtained to each such proposed offer or resale.</w:t>
      </w:r>
    </w:p>
    <w:p>
      <w:pPr>
        <w:spacing w:after="0" w:line="72" w:lineRule="exact"/>
        <w:rPr>
          <w:sz w:val="20"/>
          <w:szCs w:val="20"/>
          <w:color w:val="auto"/>
        </w:rPr>
      </w:pPr>
    </w:p>
    <w:p>
      <w:pPr>
        <w:ind w:left="1140" w:right="1579" w:firstLine="326"/>
        <w:spacing w:after="0" w:line="285" w:lineRule="auto"/>
        <w:rPr>
          <w:sz w:val="20"/>
          <w:szCs w:val="20"/>
          <w:color w:val="auto"/>
        </w:rPr>
      </w:pPr>
      <w:r>
        <w:rPr>
          <w:rFonts w:ascii="Arial" w:cs="Arial" w:eastAsia="Arial" w:hAnsi="Arial"/>
          <w:sz w:val="16"/>
          <w:szCs w:val="16"/>
          <w:color w:val="auto"/>
        </w:rPr>
        <w:t>The Company and their affiliates will rely upon the truth and accuracy of the foregoing representations, acknowledgements and agreements.</w:t>
      </w:r>
    </w:p>
    <w:p>
      <w:pPr>
        <w:spacing w:after="0" w:line="52" w:lineRule="exact"/>
        <w:rPr>
          <w:sz w:val="20"/>
          <w:szCs w:val="20"/>
          <w:color w:val="auto"/>
        </w:rPr>
      </w:pPr>
    </w:p>
    <w:p>
      <w:pPr>
        <w:ind w:left="1140" w:right="1599" w:firstLine="326"/>
        <w:spacing w:after="0" w:line="288" w:lineRule="auto"/>
        <w:rPr>
          <w:sz w:val="20"/>
          <w:szCs w:val="20"/>
          <w:color w:val="auto"/>
        </w:rPr>
      </w:pPr>
      <w:r>
        <w:rPr>
          <w:rFonts w:ascii="Arial" w:cs="Arial" w:eastAsia="Arial" w:hAnsi="Arial"/>
          <w:sz w:val="15"/>
          <w:szCs w:val="15"/>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53" w:lineRule="exact"/>
        <w:rPr>
          <w:sz w:val="20"/>
          <w:szCs w:val="20"/>
          <w:color w:val="auto"/>
        </w:rPr>
      </w:pPr>
    </w:p>
    <w:p>
      <w:pPr>
        <w:ind w:left="1140" w:right="1599" w:firstLine="326"/>
        <w:spacing w:after="0" w:line="285" w:lineRule="auto"/>
        <w:rPr>
          <w:sz w:val="20"/>
          <w:szCs w:val="20"/>
          <w:color w:val="auto"/>
        </w:rPr>
      </w:pPr>
      <w:r>
        <w:rPr>
          <w:rFonts w:ascii="Arial" w:cs="Arial" w:eastAsia="Arial" w:hAnsi="Arial"/>
          <w:sz w:val="16"/>
          <w:szCs w:val="16"/>
          <w:color w:val="auto"/>
        </w:rPr>
        <w:t>References to the Prospectus Regulation includes, in relation to the UK, the Prospectus Regulation as it forms part of UK domestic law by virtue of the European Union (Withdrawal) Act 2018.</w:t>
      </w:r>
    </w:p>
    <w:p>
      <w:pPr>
        <w:spacing w:after="0" w:line="5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The above selling restriction is in addition to any other selling restrictions set out below.</w:t>
      </w:r>
    </w:p>
    <w:p>
      <w:pPr>
        <w:spacing w:after="0" w:line="110" w:lineRule="exact"/>
        <w:rPr>
          <w:sz w:val="20"/>
          <w:szCs w:val="20"/>
          <w:color w:val="auto"/>
        </w:rPr>
      </w:pPr>
    </w:p>
    <w:p>
      <w:pPr>
        <w:ind w:left="1140" w:right="1659" w:firstLine="326"/>
        <w:spacing w:after="0" w:line="270" w:lineRule="auto"/>
        <w:rPr>
          <w:sz w:val="20"/>
          <w:szCs w:val="20"/>
          <w:color w:val="auto"/>
        </w:rPr>
      </w:pPr>
      <w:r>
        <w:rPr>
          <w:rFonts w:ascii="Arial" w:cs="Arial" w:eastAsia="Arial" w:hAnsi="Arial"/>
          <w:sz w:val="16"/>
          <w:szCs w:val="16"/>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4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Notice to Prospective Investors in France</w:t>
      </w:r>
    </w:p>
    <w:p>
      <w:pPr>
        <w:spacing w:after="0" w:line="101" w:lineRule="exact"/>
        <w:rPr>
          <w:sz w:val="20"/>
          <w:szCs w:val="20"/>
          <w:color w:val="auto"/>
        </w:rPr>
      </w:pPr>
    </w:p>
    <w:p>
      <w:pPr>
        <w:jc w:val="both"/>
        <w:ind w:left="1140" w:right="1639" w:firstLine="326"/>
        <w:spacing w:after="0" w:line="288" w:lineRule="auto"/>
        <w:rPr>
          <w:sz w:val="20"/>
          <w:szCs w:val="20"/>
          <w:color w:val="auto"/>
        </w:rPr>
      </w:pPr>
      <w:r>
        <w:rPr>
          <w:rFonts w:ascii="Arial" w:cs="Arial" w:eastAsia="Arial" w:hAnsi="Arial"/>
          <w:sz w:val="15"/>
          <w:szCs w:val="15"/>
          <w:color w:val="auto"/>
        </w:rPr>
        <w:t>Neither this prospectus nor any other offering material relating to the units described in this prospectus has been submitted to the clearance procedures of the Autorité des Marchés Financiers or of the competent authority of another member state of the European Economic Area and notified to the Autorité des Marchés Financiers. The units have not been offered or sold and will not be offered or sold, directly or</w:t>
      </w:r>
    </w:p>
    <w:p>
      <w:pPr>
        <w:spacing w:after="0" w:line="212"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6" w:name="page157"/>
    <w:bookmarkEnd w:id="156"/>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2159"/>
        <w:spacing w:after="0" w:line="285" w:lineRule="auto"/>
        <w:rPr>
          <w:sz w:val="20"/>
          <w:szCs w:val="20"/>
          <w:color w:val="auto"/>
        </w:rPr>
      </w:pPr>
      <w:r>
        <w:rPr>
          <w:rFonts w:ascii="Arial" w:cs="Arial" w:eastAsia="Arial" w:hAnsi="Arial"/>
          <w:sz w:val="16"/>
          <w:szCs w:val="16"/>
          <w:color w:val="auto"/>
        </w:rPr>
        <w:t>indirectly, to the public in France. Neither this prospectus nor any other offering material relating to the units has been or will be:</w:t>
      </w:r>
    </w:p>
    <w:p>
      <w:pPr>
        <w:spacing w:after="0" w:line="101" w:lineRule="exact"/>
        <w:rPr>
          <w:sz w:val="20"/>
          <w:szCs w:val="20"/>
          <w:color w:val="auto"/>
        </w:rPr>
      </w:pPr>
    </w:p>
    <w:p>
      <w:pPr>
        <w:ind w:left="1800" w:right="1659" w:hanging="335"/>
        <w:spacing w:after="0" w:line="285" w:lineRule="auto"/>
        <w:tabs>
          <w:tab w:leader="none" w:pos="18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released, issued, distributed or caused to be released, issued or distributed to the public in France; or</w:t>
      </w:r>
    </w:p>
    <w:p>
      <w:pPr>
        <w:spacing w:after="0" w:line="101" w:lineRule="exact"/>
        <w:rPr>
          <w:rFonts w:ascii="Arial" w:cs="Arial" w:eastAsia="Arial" w:hAnsi="Arial"/>
          <w:sz w:val="16"/>
          <w:szCs w:val="16"/>
          <w:color w:val="auto"/>
        </w:rPr>
      </w:pPr>
    </w:p>
    <w:p>
      <w:pPr>
        <w:ind w:left="1800" w:right="1619" w:hanging="335"/>
        <w:spacing w:after="0" w:line="285" w:lineRule="auto"/>
        <w:tabs>
          <w:tab w:leader="none" w:pos="18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used in connection with any offer for subscription or sale of the units to the public in France. Such offers, sales and distributions will be made in France only:</w:t>
      </w:r>
    </w:p>
    <w:p>
      <w:pPr>
        <w:spacing w:after="0" w:line="88" w:lineRule="exact"/>
        <w:rPr>
          <w:rFonts w:ascii="Arial" w:cs="Arial" w:eastAsia="Arial" w:hAnsi="Arial"/>
          <w:sz w:val="16"/>
          <w:szCs w:val="16"/>
          <w:color w:val="auto"/>
        </w:rPr>
      </w:pPr>
    </w:p>
    <w:p>
      <w:pPr>
        <w:ind w:left="1800" w:right="1759" w:hanging="335"/>
        <w:spacing w:after="0" w:line="265" w:lineRule="auto"/>
        <w:tabs>
          <w:tab w:leader="none" w:pos="18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116" w:lineRule="exact"/>
        <w:rPr>
          <w:rFonts w:ascii="Arial" w:cs="Arial" w:eastAsia="Arial" w:hAnsi="Arial"/>
          <w:sz w:val="16"/>
          <w:szCs w:val="16"/>
          <w:color w:val="auto"/>
        </w:rPr>
      </w:pPr>
    </w:p>
    <w:p>
      <w:pPr>
        <w:ind w:left="1800" w:right="1699" w:hanging="335"/>
        <w:spacing w:after="0" w:line="285" w:lineRule="auto"/>
        <w:tabs>
          <w:tab w:leader="none" w:pos="18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to investment services providers authorized to engage in portfolio management on behalf of third parties; or</w:t>
      </w:r>
    </w:p>
    <w:p>
      <w:pPr>
        <w:spacing w:after="0" w:line="101" w:lineRule="exact"/>
        <w:rPr>
          <w:rFonts w:ascii="Arial" w:cs="Arial" w:eastAsia="Arial" w:hAnsi="Arial"/>
          <w:sz w:val="16"/>
          <w:szCs w:val="16"/>
          <w:color w:val="auto"/>
        </w:rPr>
      </w:pPr>
    </w:p>
    <w:p>
      <w:pPr>
        <w:ind w:left="1800" w:right="1859" w:hanging="335"/>
        <w:spacing w:after="0" w:line="296" w:lineRule="auto"/>
        <w:tabs>
          <w:tab w:leader="none" w:pos="18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 l’épargne).</w:t>
      </w:r>
    </w:p>
    <w:p>
      <w:pPr>
        <w:spacing w:after="0" w:line="47" w:lineRule="exact"/>
        <w:rPr>
          <w:sz w:val="20"/>
          <w:szCs w:val="20"/>
          <w:color w:val="auto"/>
        </w:rPr>
      </w:pPr>
    </w:p>
    <w:p>
      <w:pPr>
        <w:ind w:left="1140" w:right="2059" w:firstLine="326"/>
        <w:spacing w:after="0" w:line="285" w:lineRule="auto"/>
        <w:rPr>
          <w:sz w:val="20"/>
          <w:szCs w:val="20"/>
          <w:color w:val="auto"/>
        </w:rPr>
      </w:pPr>
      <w:r>
        <w:rPr>
          <w:rFonts w:ascii="Arial" w:cs="Arial" w:eastAsia="Arial" w:hAnsi="Arial"/>
          <w:sz w:val="16"/>
          <w:szCs w:val="16"/>
          <w:color w:val="auto"/>
        </w:rPr>
        <w:t>The units may be resold directly or indirectly, only in compliance with articles L.411-1, L.411-2, L.412-1 and L.621-8 through L.621-8-3 of the French Code monétaire et financier.</w:t>
      </w:r>
    </w:p>
    <w:p>
      <w:pPr>
        <w:spacing w:after="0" w:line="13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Notice to Prospective Investors in Hong Kong</w:t>
      </w:r>
    </w:p>
    <w:p>
      <w:pPr>
        <w:spacing w:after="0" w:line="101" w:lineRule="exact"/>
        <w:rPr>
          <w:sz w:val="20"/>
          <w:szCs w:val="20"/>
          <w:color w:val="auto"/>
        </w:rPr>
      </w:pPr>
    </w:p>
    <w:p>
      <w:pPr>
        <w:ind w:left="1140" w:right="1599" w:firstLine="326"/>
        <w:spacing w:after="0" w:line="258" w:lineRule="auto"/>
        <w:rPr>
          <w:sz w:val="20"/>
          <w:szCs w:val="20"/>
          <w:color w:val="auto"/>
        </w:rPr>
      </w:pPr>
      <w:r>
        <w:rPr>
          <w:rFonts w:ascii="Arial" w:cs="Arial" w:eastAsia="Arial" w:hAnsi="Arial"/>
          <w:sz w:val="16"/>
          <w:szCs w:val="16"/>
          <w:color w:val="auto"/>
        </w:rPr>
        <w:t>The units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 571, Laws of Hong Kong) and any rules made thereunder.</w:t>
      </w:r>
    </w:p>
    <w:p>
      <w:pPr>
        <w:spacing w:after="0" w:line="15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Notice to Prospective Investors in Japan</w:t>
      </w:r>
    </w:p>
    <w:p>
      <w:pPr>
        <w:spacing w:after="0" w:line="101" w:lineRule="exact"/>
        <w:rPr>
          <w:sz w:val="20"/>
          <w:szCs w:val="20"/>
          <w:color w:val="auto"/>
        </w:rPr>
      </w:pPr>
    </w:p>
    <w:p>
      <w:pPr>
        <w:ind w:left="1140" w:right="1619" w:firstLine="326"/>
        <w:spacing w:after="0" w:line="261" w:lineRule="auto"/>
        <w:rPr>
          <w:sz w:val="20"/>
          <w:szCs w:val="20"/>
          <w:color w:val="auto"/>
        </w:rPr>
      </w:pPr>
      <w:r>
        <w:rPr>
          <w:rFonts w:ascii="Arial" w:cs="Arial" w:eastAsia="Arial" w:hAnsi="Arial"/>
          <w:sz w:val="16"/>
          <w:szCs w:val="16"/>
          <w:color w:val="auto"/>
        </w:rPr>
        <w:t>The units offered in this prospectus have not been and will not be registered under the Financial Instruments and Exchange Law of Japan. The units have not been offered or sold and will not be offered or sold, directly or indirectly, in Japan or to or for the account of any resident of Japan (including any corporation or other entity organized under the laws of Japan), except (i) pursuant to an exemption from the registration requirements of the Financial Instruments and Exchange Law and (ii) in compliance with any other applicable requirements of Japanese law.</w:t>
      </w:r>
    </w:p>
    <w:p>
      <w:pPr>
        <w:spacing w:after="0" w:line="153"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Notice to Prospective Investors in Singapore</w:t>
      </w:r>
    </w:p>
    <w:p>
      <w:pPr>
        <w:spacing w:after="0" w:line="101" w:lineRule="exact"/>
        <w:rPr>
          <w:sz w:val="20"/>
          <w:szCs w:val="20"/>
          <w:color w:val="auto"/>
        </w:rPr>
      </w:pPr>
    </w:p>
    <w:p>
      <w:pPr>
        <w:ind w:left="1140" w:right="1639" w:firstLine="326"/>
        <w:spacing w:after="0" w:line="278" w:lineRule="auto"/>
        <w:rPr>
          <w:sz w:val="20"/>
          <w:szCs w:val="20"/>
          <w:color w:val="auto"/>
        </w:rPr>
      </w:pPr>
      <w:r>
        <w:rPr>
          <w:rFonts w:ascii="Arial" w:cs="Arial" w:eastAsia="Arial" w:hAnsi="Arial"/>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the units may not be circulated or distributed, nor may the units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208"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7" w:name="page158"/>
    <w:bookmarkEnd w:id="157"/>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Where the units are subscribed or purchased under Section 275 of the SFA by a relevant person which</w:t>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is</w:t>
      </w:r>
    </w:p>
    <w:p>
      <w:pPr>
        <w:spacing w:after="0" w:line="86" w:lineRule="exact"/>
        <w:rPr>
          <w:sz w:val="20"/>
          <w:szCs w:val="20"/>
          <w:color w:val="auto"/>
        </w:rPr>
      </w:pPr>
    </w:p>
    <w:p>
      <w:pPr>
        <w:jc w:val="both"/>
        <w:ind w:left="1800" w:right="1719" w:hanging="335"/>
        <w:spacing w:after="0" w:line="270" w:lineRule="auto"/>
        <w:tabs>
          <w:tab w:leader="none" w:pos="18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6"/>
          <w:szCs w:val="16"/>
          <w:color w:val="auto"/>
        </w:rPr>
      </w:pPr>
    </w:p>
    <w:p>
      <w:pPr>
        <w:ind w:left="1800" w:right="1619" w:hanging="335"/>
        <w:spacing w:after="0" w:line="262" w:lineRule="auto"/>
        <w:tabs>
          <w:tab w:leader="none" w:pos="18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59" w:lineRule="exact"/>
        <w:rPr>
          <w:rFonts w:ascii="Arial" w:cs="Arial" w:eastAsia="Arial" w:hAnsi="Arial"/>
          <w:sz w:val="16"/>
          <w:szCs w:val="16"/>
          <w:color w:val="auto"/>
        </w:rPr>
      </w:pPr>
    </w:p>
    <w:p>
      <w:pPr>
        <w:ind w:left="1800" w:right="1619" w:hanging="335"/>
        <w:spacing w:after="0" w:line="260" w:lineRule="auto"/>
        <w:tabs>
          <w:tab w:leader="none" w:pos="18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60" w:lineRule="exact"/>
        <w:rPr>
          <w:rFonts w:ascii="Arial" w:cs="Arial" w:eastAsia="Arial" w:hAnsi="Arial"/>
          <w:sz w:val="16"/>
          <w:szCs w:val="16"/>
          <w:color w:val="auto"/>
        </w:rPr>
      </w:pPr>
    </w:p>
    <w:p>
      <w:pPr>
        <w:ind w:left="1800" w:hanging="335"/>
        <w:spacing w:after="0"/>
        <w:tabs>
          <w:tab w:leader="none" w:pos="18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where no consideration is or will be given for the transfer; or</w:t>
      </w:r>
    </w:p>
    <w:p>
      <w:pPr>
        <w:spacing w:after="0" w:line="97" w:lineRule="exact"/>
        <w:rPr>
          <w:rFonts w:ascii="Arial" w:cs="Arial" w:eastAsia="Arial" w:hAnsi="Arial"/>
          <w:sz w:val="16"/>
          <w:szCs w:val="16"/>
          <w:color w:val="auto"/>
        </w:rPr>
      </w:pPr>
    </w:p>
    <w:p>
      <w:pPr>
        <w:ind w:left="1800" w:hanging="335"/>
        <w:spacing w:after="0"/>
        <w:tabs>
          <w:tab w:leader="none" w:pos="18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where the transfer is by operation of law.</w:t>
      </w:r>
    </w:p>
    <w:p>
      <w:pPr>
        <w:spacing w:after="0" w:line="191"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Notice to Prospective Investors in Canada</w:t>
      </w:r>
    </w:p>
    <w:p>
      <w:pPr>
        <w:spacing w:after="0" w:line="101" w:lineRule="exact"/>
        <w:rPr>
          <w:sz w:val="20"/>
          <w:szCs w:val="20"/>
          <w:color w:val="auto"/>
        </w:rPr>
      </w:pPr>
    </w:p>
    <w:p>
      <w:pPr>
        <w:ind w:left="1140" w:right="1639" w:firstLine="326"/>
        <w:spacing w:after="0" w:line="261" w:lineRule="auto"/>
        <w:rPr>
          <w:sz w:val="20"/>
          <w:szCs w:val="20"/>
          <w:color w:val="auto"/>
        </w:rPr>
      </w:pPr>
      <w:r>
        <w:rPr>
          <w:rFonts w:ascii="Arial" w:cs="Arial" w:eastAsia="Arial" w:hAnsi="Arial"/>
          <w:sz w:val="16"/>
          <w:szCs w:val="16"/>
          <w:color w:val="auto"/>
        </w:rPr>
        <w:t xml:space="preserve">The units may be sold in Canada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 or</w:t>
      </w:r>
      <w:r>
        <w:rPr>
          <w:rFonts w:ascii="Arial" w:cs="Arial" w:eastAsia="Arial" w:hAnsi="Arial"/>
          <w:sz w:val="16"/>
          <w:szCs w:val="16"/>
          <w:color w:val="auto"/>
        </w:rPr>
        <w:t xml:space="preserve">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units must be made in accordance with an exemption from, or in a transaction not subject to, the prospectus requirements of applicable securities laws.</w:t>
      </w:r>
    </w:p>
    <w:p>
      <w:pPr>
        <w:spacing w:after="0" w:line="71" w:lineRule="exact"/>
        <w:rPr>
          <w:sz w:val="20"/>
          <w:szCs w:val="20"/>
          <w:color w:val="auto"/>
        </w:rPr>
      </w:pPr>
    </w:p>
    <w:p>
      <w:pPr>
        <w:ind w:left="1140" w:right="1699" w:firstLine="326"/>
        <w:spacing w:after="0" w:line="26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71" w:lineRule="exact"/>
        <w:rPr>
          <w:sz w:val="20"/>
          <w:szCs w:val="20"/>
          <w:color w:val="auto"/>
        </w:rPr>
      </w:pPr>
    </w:p>
    <w:p>
      <w:pPr>
        <w:ind w:left="1140" w:right="2079" w:firstLine="326"/>
        <w:spacing w:after="0" w:line="270" w:lineRule="auto"/>
        <w:rPr>
          <w:sz w:val="20"/>
          <w:szCs w:val="20"/>
          <w:color w:val="auto"/>
        </w:rPr>
      </w:pPr>
      <w:r>
        <w:rPr>
          <w:rFonts w:ascii="Arial" w:cs="Arial" w:eastAsia="Arial" w:hAnsi="Arial"/>
          <w:sz w:val="16"/>
          <w:szCs w:val="16"/>
          <w:color w:val="auto"/>
        </w:rPr>
        <w:t xml:space="preserve">Pursuant to section 3A.3 of National Instrument 33-105 </w:t>
      </w:r>
      <w:r>
        <w:rPr>
          <w:rFonts w:ascii="Arial" w:cs="Arial" w:eastAsia="Arial" w:hAnsi="Arial"/>
          <w:sz w:val="16"/>
          <w:szCs w:val="16"/>
          <w:i w:val="1"/>
          <w:iCs w:val="1"/>
          <w:color w:val="auto"/>
        </w:rPr>
        <w:t>Underwriting Conflicts</w:t>
      </w:r>
      <w:r>
        <w:rPr>
          <w:rFonts w:ascii="Arial" w:cs="Arial" w:eastAsia="Arial" w:hAnsi="Arial"/>
          <w:sz w:val="16"/>
          <w:szCs w:val="16"/>
          <w:color w:val="auto"/>
        </w:rPr>
        <w:t xml:space="preserve"> (NI 33-105), the underwriters are not required to comply with the disclosure requirements of NI 33-105 regarding underwriter conflicts of interest in connection with this offering.</w:t>
      </w:r>
    </w:p>
    <w:p>
      <w:pPr>
        <w:spacing w:after="0" w:line="14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Notice to Prospective Investors in the Dubai International Financial Centre</w:t>
      </w:r>
    </w:p>
    <w:p>
      <w:pPr>
        <w:spacing w:after="0" w:line="101" w:lineRule="exact"/>
        <w:rPr>
          <w:sz w:val="20"/>
          <w:szCs w:val="20"/>
          <w:color w:val="auto"/>
        </w:rPr>
      </w:pPr>
    </w:p>
    <w:p>
      <w:pPr>
        <w:ind w:left="1140" w:right="1639" w:firstLine="326"/>
        <w:spacing w:after="0" w:line="259"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spacing w:after="0" w:line="15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Notice to Prospective Investors in Australia</w:t>
      </w:r>
    </w:p>
    <w:p>
      <w:pPr>
        <w:spacing w:after="0" w:line="101" w:lineRule="exact"/>
        <w:rPr>
          <w:sz w:val="20"/>
          <w:szCs w:val="20"/>
          <w:color w:val="auto"/>
        </w:rPr>
      </w:pPr>
    </w:p>
    <w:p>
      <w:pPr>
        <w:ind w:left="1140" w:right="1859" w:firstLine="326"/>
        <w:spacing w:after="0" w:line="320" w:lineRule="auto"/>
        <w:rPr>
          <w:sz w:val="20"/>
          <w:szCs w:val="20"/>
          <w:color w:val="auto"/>
        </w:rPr>
      </w:pPr>
      <w:r>
        <w:rPr>
          <w:rFonts w:ascii="Arial" w:cs="Arial" w:eastAsia="Arial" w:hAnsi="Arial"/>
          <w:sz w:val="15"/>
          <w:szCs w:val="15"/>
          <w:color w:val="auto"/>
        </w:rPr>
        <w:t>No placement document, prospectus, product disclosure statement or other disclosure document has been lodged with the Australian Securities and Investments Commission (“ASIC”), in relation to the</w:t>
      </w:r>
    </w:p>
    <w:p>
      <w:pPr>
        <w:spacing w:after="0" w:line="176"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8" w:name="page159"/>
    <w:bookmarkEnd w:id="158"/>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679"/>
        <w:spacing w:after="0" w:line="265" w:lineRule="auto"/>
        <w:rPr>
          <w:sz w:val="20"/>
          <w:szCs w:val="20"/>
          <w:color w:val="auto"/>
        </w:rPr>
      </w:pPr>
      <w:r>
        <w:rPr>
          <w:rFonts w:ascii="Arial" w:cs="Arial" w:eastAsia="Arial" w:hAnsi="Arial"/>
          <w:sz w:val="16"/>
          <w:szCs w:val="16"/>
          <w:color w:val="auto"/>
        </w:rPr>
        <w:t>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68" w:lineRule="exact"/>
        <w:rPr>
          <w:sz w:val="20"/>
          <w:szCs w:val="20"/>
          <w:color w:val="auto"/>
        </w:rPr>
      </w:pPr>
    </w:p>
    <w:p>
      <w:pPr>
        <w:ind w:left="1140" w:right="1639" w:firstLine="326"/>
        <w:spacing w:after="0" w:line="262" w:lineRule="auto"/>
        <w:rPr>
          <w:sz w:val="20"/>
          <w:szCs w:val="20"/>
          <w:color w:val="auto"/>
        </w:rPr>
      </w:pPr>
      <w:r>
        <w:rPr>
          <w:rFonts w:ascii="Arial" w:cs="Arial" w:eastAsia="Arial" w:hAnsi="Arial"/>
          <w:sz w:val="16"/>
          <w:szCs w:val="16"/>
          <w:color w:val="auto"/>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72" w:lineRule="exact"/>
        <w:rPr>
          <w:sz w:val="20"/>
          <w:szCs w:val="20"/>
          <w:color w:val="auto"/>
        </w:rPr>
      </w:pPr>
    </w:p>
    <w:p>
      <w:pPr>
        <w:ind w:left="1140" w:right="1679" w:firstLine="326"/>
        <w:spacing w:after="0" w:line="258" w:lineRule="auto"/>
        <w:rPr>
          <w:sz w:val="20"/>
          <w:szCs w:val="20"/>
          <w:color w:val="auto"/>
        </w:rPr>
      </w:pPr>
      <w:r>
        <w:rPr>
          <w:rFonts w:ascii="Arial" w:cs="Arial" w:eastAsia="Arial" w:hAnsi="Arial"/>
          <w:sz w:val="16"/>
          <w:szCs w:val="16"/>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5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Notice to Prospective Investors in Switzerland</w:t>
      </w:r>
    </w:p>
    <w:p>
      <w:pPr>
        <w:spacing w:after="0" w:line="101" w:lineRule="exact"/>
        <w:rPr>
          <w:sz w:val="20"/>
          <w:szCs w:val="20"/>
          <w:color w:val="auto"/>
        </w:rPr>
      </w:pPr>
    </w:p>
    <w:p>
      <w:pPr>
        <w:ind w:left="1140" w:right="1599" w:firstLine="326"/>
        <w:spacing w:after="0" w:line="280" w:lineRule="auto"/>
        <w:rPr>
          <w:sz w:val="20"/>
          <w:szCs w:val="20"/>
          <w:color w:val="auto"/>
        </w:rPr>
      </w:pPr>
      <w:r>
        <w:rPr>
          <w:rFonts w:ascii="Arial" w:cs="Arial" w:eastAsia="Arial" w:hAnsi="Arial"/>
          <w:sz w:val="15"/>
          <w:szCs w:val="15"/>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59" w:lineRule="exact"/>
        <w:rPr>
          <w:sz w:val="20"/>
          <w:szCs w:val="20"/>
          <w:color w:val="auto"/>
        </w:rPr>
      </w:pPr>
    </w:p>
    <w:p>
      <w:pPr>
        <w:ind w:left="1140" w:right="1679" w:firstLine="326"/>
        <w:spacing w:after="0" w:line="260"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9" w:name="page160"/>
    <w:bookmarkEnd w:id="159"/>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LEGAL MATTERS</w:t>
      </w:r>
    </w:p>
    <w:p>
      <w:pPr>
        <w:spacing w:after="0" w:line="101" w:lineRule="exact"/>
        <w:rPr>
          <w:sz w:val="20"/>
          <w:szCs w:val="20"/>
          <w:color w:val="auto"/>
        </w:rPr>
      </w:pPr>
    </w:p>
    <w:p>
      <w:pPr>
        <w:jc w:val="both"/>
        <w:ind w:left="1140" w:right="1679" w:firstLine="326"/>
        <w:spacing w:after="0" w:line="270" w:lineRule="auto"/>
        <w:rPr>
          <w:sz w:val="20"/>
          <w:szCs w:val="20"/>
          <w:color w:val="auto"/>
        </w:rPr>
      </w:pPr>
      <w:r>
        <w:rPr>
          <w:rFonts w:ascii="Arial" w:cs="Arial" w:eastAsia="Arial" w:hAnsi="Arial"/>
          <w:sz w:val="16"/>
          <w:szCs w:val="16"/>
          <w:color w:val="auto"/>
        </w:rPr>
        <w:t>Paul, Weiss, Rifkind, Wharton &amp; Garrison LLP, New York, New York, has passed upon the validity of the securities offered in this prospectus on behalf of us. White &amp; Case LLP, New York, New York, advised the underwriters in connection with the offering of the securities.</w:t>
      </w:r>
    </w:p>
    <w:p>
      <w:pPr>
        <w:spacing w:after="0" w:line="146"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EXPERTS</w:t>
      </w:r>
    </w:p>
    <w:p>
      <w:pPr>
        <w:spacing w:after="0" w:line="101" w:lineRule="exact"/>
        <w:rPr>
          <w:sz w:val="20"/>
          <w:szCs w:val="20"/>
          <w:color w:val="auto"/>
        </w:rPr>
      </w:pPr>
    </w:p>
    <w:p>
      <w:pPr>
        <w:ind w:left="1140" w:right="1659" w:firstLine="326"/>
        <w:spacing w:after="0" w:line="260" w:lineRule="auto"/>
        <w:rPr>
          <w:sz w:val="20"/>
          <w:szCs w:val="20"/>
          <w:color w:val="auto"/>
        </w:rPr>
      </w:pPr>
      <w:r>
        <w:rPr>
          <w:rFonts w:ascii="Arial" w:cs="Arial" w:eastAsia="Arial" w:hAnsi="Arial"/>
          <w:sz w:val="16"/>
          <w:szCs w:val="16"/>
          <w:color w:val="auto"/>
        </w:rPr>
        <w:t>The financial statements of Churchill Capital Corp IV as of May 22, 2020 and for the period from April 30, 2020 (inception) through May 22, 2020 included in this prospectus have been audited by Marcum LLP, independent registered public accounting firm, as set forth in their report, thereon (which contains an explanatory paragraph relating to substantial doubt about the ability of Churchill Capital Corp IV to continue as a going concern as described in Note 1 to the financial statements), appearing elsewhere in this prospectus, and are included in reliance on such report given upon such firm as experts in auditing and accounting.</w:t>
      </w:r>
    </w:p>
    <w:p>
      <w:pPr>
        <w:spacing w:after="0" w:line="154" w:lineRule="exact"/>
        <w:rPr>
          <w:sz w:val="20"/>
          <w:szCs w:val="20"/>
          <w:color w:val="auto"/>
        </w:rPr>
      </w:pPr>
    </w:p>
    <w:p>
      <w:pPr>
        <w:ind w:left="2820"/>
        <w:spacing w:after="0"/>
        <w:rPr>
          <w:sz w:val="20"/>
          <w:szCs w:val="20"/>
          <w:color w:val="auto"/>
        </w:rPr>
      </w:pPr>
      <w:r>
        <w:rPr>
          <w:rFonts w:ascii="Arial" w:cs="Arial" w:eastAsia="Arial" w:hAnsi="Arial"/>
          <w:sz w:val="16"/>
          <w:szCs w:val="16"/>
          <w:b w:val="1"/>
          <w:bCs w:val="1"/>
          <w:color w:val="auto"/>
        </w:rPr>
        <w:t>WHERE YOU CAN FIND ADDITIONAL INFORMATION</w:t>
      </w:r>
    </w:p>
    <w:p>
      <w:pPr>
        <w:spacing w:after="0" w:line="101" w:lineRule="exact"/>
        <w:rPr>
          <w:sz w:val="20"/>
          <w:szCs w:val="20"/>
          <w:color w:val="auto"/>
        </w:rPr>
      </w:pPr>
    </w:p>
    <w:p>
      <w:pPr>
        <w:ind w:left="1140" w:right="1619" w:firstLine="326"/>
        <w:spacing w:after="0" w:line="259"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75" w:lineRule="exact"/>
        <w:rPr>
          <w:sz w:val="20"/>
          <w:szCs w:val="20"/>
          <w:color w:val="auto"/>
        </w:rPr>
      </w:pPr>
    </w:p>
    <w:p>
      <w:pPr>
        <w:jc w:val="both"/>
        <w:ind w:left="1140" w:right="1719" w:firstLine="326"/>
        <w:spacing w:after="0" w:line="265" w:lineRule="auto"/>
        <w:rPr>
          <w:sz w:val="20"/>
          <w:szCs w:val="20"/>
          <w:color w:val="auto"/>
        </w:rPr>
      </w:pPr>
      <w:r>
        <w:rPr>
          <w:rFonts w:ascii="Arial" w:cs="Arial" w:eastAsia="Arial" w:hAnsi="Arial"/>
          <w:sz w:val="16"/>
          <w:szCs w:val="16"/>
          <w:color w:val="auto"/>
        </w:rPr>
        <w:t>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0" w:name="page161"/>
    <w:bookmarkEnd w:id="160"/>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60"/>
        <w:spacing w:after="0"/>
        <w:rPr>
          <w:sz w:val="20"/>
          <w:szCs w:val="20"/>
          <w:color w:val="auto"/>
        </w:rPr>
      </w:pPr>
      <w:r>
        <w:rPr>
          <w:rFonts w:ascii="Arial" w:cs="Arial" w:eastAsia="Arial" w:hAnsi="Arial"/>
          <w:sz w:val="16"/>
          <w:szCs w:val="16"/>
          <w:b w:val="1"/>
          <w:bCs w:val="1"/>
          <w:color w:val="auto"/>
        </w:rPr>
        <w:t>INDEX TO FINANCIAL STATEMENTS</w:t>
      </w:r>
    </w:p>
    <w:p>
      <w:pPr>
        <w:spacing w:after="0" w:line="106" w:lineRule="exact"/>
        <w:rPr>
          <w:sz w:val="20"/>
          <w:szCs w:val="20"/>
          <w:color w:val="auto"/>
        </w:rPr>
      </w:pPr>
    </w:p>
    <w:tbl>
      <w:tblPr>
        <w:tblLayout w:type="fixed"/>
        <w:tblInd w:w="1140" w:type="dxa"/>
        <w:tblCellMar>
          <w:top w:w="0" w:type="dxa"/>
          <w:left w:w="0" w:type="dxa"/>
          <w:bottom w:w="0" w:type="dxa"/>
          <w:right w:w="0" w:type="dxa"/>
        </w:tblCellMar>
      </w:tblPr>
      <w:tr>
        <w:trPr>
          <w:trHeight w:val="168"/>
        </w:trPr>
        <w:tc>
          <w:tcPr>
            <w:tcW w:w="716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3"/>
                <w:szCs w:val="13"/>
                <w:b w:val="1"/>
                <w:bCs w:val="1"/>
                <w:color w:val="auto"/>
                <w:w w:val="83"/>
              </w:rPr>
              <w:t>Page</w:t>
            </w:r>
          </w:p>
        </w:tc>
      </w:tr>
      <w:tr>
        <w:trPr>
          <w:trHeight w:val="23"/>
        </w:trPr>
        <w:tc>
          <w:tcPr>
            <w:tcW w:w="7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25"/>
        </w:trPr>
        <w:tc>
          <w:tcPr>
            <w:tcW w:w="7160" w:type="dxa"/>
            <w:vAlign w:val="bottom"/>
            <w:shd w:val="clear" w:color="auto" w:fill="CCEEFF"/>
          </w:tcPr>
          <w:p>
            <w:pPr>
              <w:spacing w:after="0"/>
              <w:rPr>
                <w:rFonts w:ascii="Arial" w:cs="Arial" w:eastAsia="Arial" w:hAnsi="Arial"/>
                <w:sz w:val="16"/>
                <w:szCs w:val="16"/>
                <w:u w:val="single" w:color="auto"/>
                <w:color w:val="0000EE"/>
              </w:rPr>
            </w:pPr>
            <w:hyperlink w:anchor="page161">
              <w:r>
                <w:rPr>
                  <w:rFonts w:ascii="Arial" w:cs="Arial" w:eastAsia="Arial" w:hAnsi="Arial"/>
                  <w:sz w:val="16"/>
                  <w:szCs w:val="16"/>
                  <w:u w:val="single" w:color="auto"/>
                  <w:color w:val="0000EE"/>
                </w:rPr>
                <w:t>Report of Independent Registered Public Accounting Firm</w:t>
              </w:r>
            </w:hyperlink>
          </w:p>
        </w:tc>
        <w:tc>
          <w:tcPr>
            <w:tcW w:w="280" w:type="dxa"/>
            <w:vAlign w:val="bottom"/>
            <w:shd w:val="clear" w:color="auto" w:fill="CCEEFF"/>
          </w:tcPr>
          <w:p>
            <w:pPr>
              <w:ind w:left="40"/>
              <w:spacing w:after="0"/>
              <w:rPr>
                <w:rFonts w:ascii="Arial" w:cs="Arial" w:eastAsia="Arial" w:hAnsi="Arial"/>
                <w:sz w:val="16"/>
                <w:szCs w:val="16"/>
                <w:u w:val="single" w:color="auto"/>
                <w:color w:val="0000EE"/>
                <w:w w:val="91"/>
              </w:rPr>
            </w:pPr>
            <w:hyperlink w:anchor="page161">
              <w:r>
                <w:rPr>
                  <w:rFonts w:ascii="Arial" w:cs="Arial" w:eastAsia="Arial" w:hAnsi="Arial"/>
                  <w:sz w:val="16"/>
                  <w:szCs w:val="16"/>
                  <w:u w:val="single" w:color="auto"/>
                  <w:color w:val="0000EE"/>
                  <w:w w:val="91"/>
                </w:rPr>
                <w:t>F-2</w:t>
              </w:r>
            </w:hyperlink>
          </w:p>
        </w:tc>
      </w:tr>
      <w:tr>
        <w:trPr>
          <w:trHeight w:val="232"/>
        </w:trPr>
        <w:tc>
          <w:tcPr>
            <w:tcW w:w="7160" w:type="dxa"/>
            <w:vAlign w:val="bottom"/>
          </w:tcPr>
          <w:p>
            <w:pPr>
              <w:spacing w:after="0"/>
              <w:rPr>
                <w:rFonts w:ascii="Arial" w:cs="Arial" w:eastAsia="Arial" w:hAnsi="Arial"/>
                <w:sz w:val="16"/>
                <w:szCs w:val="16"/>
                <w:u w:val="single" w:color="auto"/>
                <w:color w:val="0000EE"/>
              </w:rPr>
            </w:pPr>
            <w:hyperlink w:anchor="page162">
              <w:r>
                <w:rPr>
                  <w:rFonts w:ascii="Arial" w:cs="Arial" w:eastAsia="Arial" w:hAnsi="Arial"/>
                  <w:sz w:val="16"/>
                  <w:szCs w:val="16"/>
                  <w:u w:val="single" w:color="auto"/>
                  <w:color w:val="0000EE"/>
                </w:rPr>
                <w:t>Balance Sheet</w:t>
              </w:r>
            </w:hyperlink>
          </w:p>
        </w:tc>
        <w:tc>
          <w:tcPr>
            <w:tcW w:w="280" w:type="dxa"/>
            <w:vAlign w:val="bottom"/>
          </w:tcPr>
          <w:p>
            <w:pPr>
              <w:ind w:left="40"/>
              <w:spacing w:after="0"/>
              <w:rPr>
                <w:rFonts w:ascii="Arial" w:cs="Arial" w:eastAsia="Arial" w:hAnsi="Arial"/>
                <w:sz w:val="16"/>
                <w:szCs w:val="16"/>
                <w:u w:val="single" w:color="auto"/>
                <w:color w:val="0000EE"/>
                <w:w w:val="91"/>
              </w:rPr>
            </w:pPr>
            <w:hyperlink w:anchor="page162">
              <w:r>
                <w:rPr>
                  <w:rFonts w:ascii="Arial" w:cs="Arial" w:eastAsia="Arial" w:hAnsi="Arial"/>
                  <w:sz w:val="16"/>
                  <w:szCs w:val="16"/>
                  <w:u w:val="single" w:color="auto"/>
                  <w:color w:val="0000EE"/>
                  <w:w w:val="91"/>
                </w:rPr>
                <w:t>F-3</w:t>
              </w:r>
            </w:hyperlink>
          </w:p>
        </w:tc>
      </w:tr>
      <w:tr>
        <w:trPr>
          <w:trHeight w:val="233"/>
        </w:trPr>
        <w:tc>
          <w:tcPr>
            <w:tcW w:w="7160" w:type="dxa"/>
            <w:vAlign w:val="bottom"/>
            <w:shd w:val="clear" w:color="auto" w:fill="CCEEFF"/>
          </w:tcPr>
          <w:p>
            <w:pPr>
              <w:spacing w:after="0"/>
              <w:rPr>
                <w:rFonts w:ascii="Arial" w:cs="Arial" w:eastAsia="Arial" w:hAnsi="Arial"/>
                <w:sz w:val="16"/>
                <w:szCs w:val="16"/>
                <w:u w:val="single" w:color="auto"/>
                <w:color w:val="0000EE"/>
              </w:rPr>
            </w:pPr>
            <w:hyperlink w:anchor="page163">
              <w:r>
                <w:rPr>
                  <w:rFonts w:ascii="Arial" w:cs="Arial" w:eastAsia="Arial" w:hAnsi="Arial"/>
                  <w:sz w:val="16"/>
                  <w:szCs w:val="16"/>
                  <w:u w:val="single" w:color="auto"/>
                  <w:color w:val="0000EE"/>
                </w:rPr>
                <w:t>Statement of Operations</w:t>
              </w:r>
            </w:hyperlink>
          </w:p>
        </w:tc>
        <w:tc>
          <w:tcPr>
            <w:tcW w:w="280" w:type="dxa"/>
            <w:vAlign w:val="bottom"/>
            <w:shd w:val="clear" w:color="auto" w:fill="CCEEFF"/>
          </w:tcPr>
          <w:p>
            <w:pPr>
              <w:ind w:left="40"/>
              <w:spacing w:after="0"/>
              <w:rPr>
                <w:rFonts w:ascii="Arial" w:cs="Arial" w:eastAsia="Arial" w:hAnsi="Arial"/>
                <w:sz w:val="16"/>
                <w:szCs w:val="16"/>
                <w:u w:val="single" w:color="auto"/>
                <w:color w:val="0000EE"/>
                <w:w w:val="91"/>
              </w:rPr>
            </w:pPr>
            <w:hyperlink w:anchor="page163">
              <w:r>
                <w:rPr>
                  <w:rFonts w:ascii="Arial" w:cs="Arial" w:eastAsia="Arial" w:hAnsi="Arial"/>
                  <w:sz w:val="16"/>
                  <w:szCs w:val="16"/>
                  <w:u w:val="single" w:color="auto"/>
                  <w:color w:val="0000EE"/>
                  <w:w w:val="91"/>
                </w:rPr>
                <w:t>F-4</w:t>
              </w:r>
            </w:hyperlink>
          </w:p>
        </w:tc>
      </w:tr>
      <w:tr>
        <w:trPr>
          <w:trHeight w:val="244"/>
        </w:trPr>
        <w:tc>
          <w:tcPr>
            <w:tcW w:w="7160" w:type="dxa"/>
            <w:vAlign w:val="bottom"/>
          </w:tcPr>
          <w:p>
            <w:pPr>
              <w:spacing w:after="0"/>
              <w:rPr>
                <w:rFonts w:ascii="Arial" w:cs="Arial" w:eastAsia="Arial" w:hAnsi="Arial"/>
                <w:sz w:val="16"/>
                <w:szCs w:val="16"/>
                <w:u w:val="single" w:color="auto"/>
                <w:color w:val="0000EE"/>
              </w:rPr>
            </w:pPr>
            <w:hyperlink w:anchor="page164">
              <w:r>
                <w:rPr>
                  <w:rFonts w:ascii="Arial" w:cs="Arial" w:eastAsia="Arial" w:hAnsi="Arial"/>
                  <w:sz w:val="16"/>
                  <w:szCs w:val="16"/>
                  <w:u w:val="single" w:color="auto"/>
                  <w:color w:val="0000EE"/>
                </w:rPr>
                <w:t>Statement of Changes in Stockholder’s Equity</w:t>
              </w:r>
            </w:hyperlink>
          </w:p>
        </w:tc>
        <w:tc>
          <w:tcPr>
            <w:tcW w:w="280" w:type="dxa"/>
            <w:vAlign w:val="bottom"/>
          </w:tcPr>
          <w:p>
            <w:pPr>
              <w:ind w:left="40"/>
              <w:spacing w:after="0"/>
              <w:rPr>
                <w:rFonts w:ascii="Arial" w:cs="Arial" w:eastAsia="Arial" w:hAnsi="Arial"/>
                <w:sz w:val="16"/>
                <w:szCs w:val="16"/>
                <w:u w:val="single" w:color="auto"/>
                <w:color w:val="0000EE"/>
                <w:w w:val="91"/>
              </w:rPr>
            </w:pPr>
            <w:hyperlink w:anchor="page164">
              <w:r>
                <w:rPr>
                  <w:rFonts w:ascii="Arial" w:cs="Arial" w:eastAsia="Arial" w:hAnsi="Arial"/>
                  <w:sz w:val="16"/>
                  <w:szCs w:val="16"/>
                  <w:u w:val="single" w:color="auto"/>
                  <w:color w:val="0000EE"/>
                  <w:w w:val="91"/>
                </w:rPr>
                <w:t>F-5</w:t>
              </w:r>
            </w:hyperlink>
          </w:p>
        </w:tc>
      </w:tr>
      <w:tr>
        <w:trPr>
          <w:trHeight w:val="245"/>
        </w:trPr>
        <w:tc>
          <w:tcPr>
            <w:tcW w:w="7160" w:type="dxa"/>
            <w:vAlign w:val="bottom"/>
            <w:shd w:val="clear" w:color="auto" w:fill="CCEEFF"/>
          </w:tcPr>
          <w:p>
            <w:pPr>
              <w:spacing w:after="0"/>
              <w:rPr>
                <w:rFonts w:ascii="Arial" w:cs="Arial" w:eastAsia="Arial" w:hAnsi="Arial"/>
                <w:sz w:val="16"/>
                <w:szCs w:val="16"/>
                <w:u w:val="single" w:color="auto"/>
                <w:color w:val="0000EE"/>
              </w:rPr>
            </w:pPr>
            <w:hyperlink w:anchor="page165">
              <w:r>
                <w:rPr>
                  <w:rFonts w:ascii="Arial" w:cs="Arial" w:eastAsia="Arial" w:hAnsi="Arial"/>
                  <w:sz w:val="16"/>
                  <w:szCs w:val="16"/>
                  <w:u w:val="single" w:color="auto"/>
                  <w:color w:val="0000EE"/>
                </w:rPr>
                <w:t>Statement of Cash Flows</w:t>
              </w:r>
            </w:hyperlink>
          </w:p>
        </w:tc>
        <w:tc>
          <w:tcPr>
            <w:tcW w:w="280" w:type="dxa"/>
            <w:vAlign w:val="bottom"/>
            <w:shd w:val="clear" w:color="auto" w:fill="CCEEFF"/>
          </w:tcPr>
          <w:p>
            <w:pPr>
              <w:ind w:left="40"/>
              <w:spacing w:after="0"/>
              <w:rPr>
                <w:rFonts w:ascii="Arial" w:cs="Arial" w:eastAsia="Arial" w:hAnsi="Arial"/>
                <w:sz w:val="16"/>
                <w:szCs w:val="16"/>
                <w:u w:val="single" w:color="auto"/>
                <w:color w:val="0000EE"/>
                <w:w w:val="91"/>
              </w:rPr>
            </w:pPr>
            <w:hyperlink w:anchor="page165">
              <w:r>
                <w:rPr>
                  <w:rFonts w:ascii="Arial" w:cs="Arial" w:eastAsia="Arial" w:hAnsi="Arial"/>
                  <w:sz w:val="16"/>
                  <w:szCs w:val="16"/>
                  <w:u w:val="single" w:color="auto"/>
                  <w:color w:val="0000EE"/>
                  <w:w w:val="91"/>
                </w:rPr>
                <w:t>F-6</w:t>
              </w:r>
            </w:hyperlink>
          </w:p>
        </w:tc>
      </w:tr>
      <w:tr>
        <w:trPr>
          <w:trHeight w:val="244"/>
        </w:trPr>
        <w:tc>
          <w:tcPr>
            <w:tcW w:w="7160" w:type="dxa"/>
            <w:vAlign w:val="bottom"/>
          </w:tcPr>
          <w:p>
            <w:pPr>
              <w:spacing w:after="0"/>
              <w:rPr>
                <w:rFonts w:ascii="Arial" w:cs="Arial" w:eastAsia="Arial" w:hAnsi="Arial"/>
                <w:sz w:val="16"/>
                <w:szCs w:val="16"/>
                <w:u w:val="single" w:color="auto"/>
                <w:color w:val="0000EE"/>
              </w:rPr>
            </w:pPr>
            <w:hyperlink w:anchor="page166">
              <w:r>
                <w:rPr>
                  <w:rFonts w:ascii="Arial" w:cs="Arial" w:eastAsia="Arial" w:hAnsi="Arial"/>
                  <w:sz w:val="16"/>
                  <w:szCs w:val="16"/>
                  <w:u w:val="single" w:color="auto"/>
                  <w:color w:val="0000EE"/>
                </w:rPr>
                <w:t>Notes to Financial Statements</w:t>
              </w:r>
            </w:hyperlink>
          </w:p>
        </w:tc>
        <w:tc>
          <w:tcPr>
            <w:tcW w:w="280" w:type="dxa"/>
            <w:vAlign w:val="bottom"/>
          </w:tcPr>
          <w:p>
            <w:pPr>
              <w:ind w:left="40"/>
              <w:spacing w:after="0"/>
              <w:rPr>
                <w:rFonts w:ascii="Arial" w:cs="Arial" w:eastAsia="Arial" w:hAnsi="Arial"/>
                <w:sz w:val="16"/>
                <w:szCs w:val="16"/>
                <w:u w:val="single" w:color="auto"/>
                <w:color w:val="0000EE"/>
                <w:w w:val="91"/>
              </w:rPr>
            </w:pPr>
            <w:hyperlink w:anchor="page166">
              <w:r>
                <w:rPr>
                  <w:rFonts w:ascii="Arial" w:cs="Arial" w:eastAsia="Arial" w:hAnsi="Arial"/>
                  <w:sz w:val="16"/>
                  <w:szCs w:val="16"/>
                  <w:u w:val="single" w:color="auto"/>
                  <w:color w:val="0000EE"/>
                  <w:w w:val="91"/>
                </w:rPr>
                <w:t>F-7</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-915035</wp:posOffset>
            </wp:positionV>
            <wp:extent cx="4543425"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5434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1" w:name="page162"/>
    <w:bookmarkEnd w:id="161"/>
    <w:p>
      <w:pPr>
        <w:spacing w:after="0"/>
        <w:rPr>
          <w:rFonts w:ascii="Arial" w:cs="Arial" w:eastAsia="Arial" w:hAnsi="Arial"/>
          <w:sz w:val="13"/>
          <w:szCs w:val="13"/>
          <w:color w:val="003366"/>
        </w:rPr>
      </w:pPr>
      <w:hyperlink w:anchor="page160">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0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To the Shareholder and Board of Directors of</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Churchill Capital Corp IV</w:t>
      </w:r>
    </w:p>
    <w:p>
      <w:pPr>
        <w:spacing w:after="0" w:line="180"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Opinion on the Financial Statements</w:t>
      </w:r>
    </w:p>
    <w:p>
      <w:pPr>
        <w:spacing w:after="0" w:line="101" w:lineRule="exact"/>
        <w:rPr>
          <w:sz w:val="20"/>
          <w:szCs w:val="20"/>
          <w:color w:val="auto"/>
        </w:rPr>
      </w:pPr>
    </w:p>
    <w:p>
      <w:pPr>
        <w:ind w:left="1140" w:right="1759" w:firstLine="326"/>
        <w:spacing w:after="0" w:line="259" w:lineRule="auto"/>
        <w:rPr>
          <w:sz w:val="20"/>
          <w:szCs w:val="20"/>
          <w:color w:val="auto"/>
        </w:rPr>
      </w:pPr>
      <w:r>
        <w:rPr>
          <w:rFonts w:ascii="Arial" w:cs="Arial" w:eastAsia="Arial" w:hAnsi="Arial"/>
          <w:sz w:val="16"/>
          <w:szCs w:val="16"/>
          <w:color w:val="auto"/>
        </w:rPr>
        <w:t>We have audited the accompanying balance sheet of Churchill Capital Corp IV (formerly known as Annetta Acquisition Corp) (the “Company”) as of May 22, 2020, the related statements of operations, changes in stockholder’s equity and cash flows for the period from April 30, 2020 (inception) through May 22, 2020 and the related notes (collectively referred to as the “financial statements”). In our opinion, the financial statements present fairly, in all material respects, the financial position of the Company as of May 22, 2020 and the results of its operations and its cash flows for the period from April 30, 2020 (inception) through May 22, 2020, in conformity with accounting principles generally accepted in the United States of America.</w:t>
      </w:r>
    </w:p>
    <w:p>
      <w:pPr>
        <w:spacing w:after="0" w:line="157"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Explanatory Paragraph — Going Concern</w:t>
      </w:r>
    </w:p>
    <w:p>
      <w:pPr>
        <w:spacing w:after="0" w:line="101" w:lineRule="exact"/>
        <w:rPr>
          <w:sz w:val="20"/>
          <w:szCs w:val="20"/>
          <w:color w:val="auto"/>
        </w:rPr>
      </w:pPr>
    </w:p>
    <w:p>
      <w:pPr>
        <w:ind w:left="1140" w:right="1579" w:firstLine="326"/>
        <w:spacing w:after="0" w:line="278" w:lineRule="auto"/>
        <w:rPr>
          <w:sz w:val="20"/>
          <w:szCs w:val="20"/>
          <w:color w:val="auto"/>
        </w:rPr>
      </w:pPr>
      <w:r>
        <w:rPr>
          <w:rFonts w:ascii="Arial" w:cs="Arial" w:eastAsia="Arial" w:hAnsi="Arial"/>
          <w:sz w:val="15"/>
          <w:szCs w:val="15"/>
          <w:color w:val="auto"/>
        </w:rPr>
        <w:t>The accompanying financial statements have been prepared assuming that the Company will continue as a going concern. As discussed in Note 1 to the financial statements, the Company's ability to execute its business plan is dependent upon its completion of the proposed initial public offering described in Note 3 to the financial statements. The Company had a working capital deficit as of May 22, 2020 of $34,000 and lacks the financial resources it needs to sustain operations for a reasonable period of time, which is considered to be one year from the issuance date of the financial statements. These conditions raise substantial doubt about the Company’s ability to continue as a going concern. Management’s plans in regard to these matters are also described in Notes 1 and 3. The financial statements do not include any adjustments that might become necessary should the Company be unable to continue as a going concern.</w:t>
      </w:r>
    </w:p>
    <w:p>
      <w:pPr>
        <w:spacing w:after="0" w:line="143"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Basis for Opinion</w:t>
      </w:r>
    </w:p>
    <w:p>
      <w:pPr>
        <w:spacing w:after="0" w:line="101" w:lineRule="exact"/>
        <w:rPr>
          <w:sz w:val="20"/>
          <w:szCs w:val="20"/>
          <w:color w:val="auto"/>
        </w:rPr>
      </w:pPr>
    </w:p>
    <w:p>
      <w:pPr>
        <w:ind w:left="1140" w:right="1599" w:firstLine="326"/>
        <w:spacing w:after="0" w:line="284"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6" w:lineRule="exact"/>
        <w:rPr>
          <w:sz w:val="20"/>
          <w:szCs w:val="20"/>
          <w:color w:val="auto"/>
        </w:rPr>
      </w:pPr>
    </w:p>
    <w:p>
      <w:pPr>
        <w:ind w:left="1140" w:right="1579" w:firstLine="326"/>
        <w:spacing w:after="0" w:line="260"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2" w:lineRule="exact"/>
        <w:rPr>
          <w:sz w:val="20"/>
          <w:szCs w:val="20"/>
          <w:color w:val="auto"/>
        </w:rPr>
      </w:pPr>
    </w:p>
    <w:p>
      <w:pPr>
        <w:ind w:left="1140" w:right="1719" w:firstLine="326"/>
        <w:spacing w:after="0" w:line="26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7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 Marcum LLP</w:t>
      </w:r>
    </w:p>
    <w:p>
      <w:pPr>
        <w:spacing w:after="0" w:line="11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Marcum LLP</w:t>
      </w:r>
    </w:p>
    <w:p>
      <w:pPr>
        <w:spacing w:after="0" w:line="11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We have served as the Company’s auditor since 2020.</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New York, NY</w:t>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July 27, 2020</w:t>
      </w:r>
    </w:p>
    <w:p>
      <w:pPr>
        <w:spacing w:after="0" w:line="257"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2" w:name="page163"/>
    <w:bookmarkEnd w:id="162"/>
    <w:p>
      <w:pPr>
        <w:spacing w:after="0"/>
        <w:rPr>
          <w:rFonts w:ascii="Arial" w:cs="Arial" w:eastAsia="Arial" w:hAnsi="Arial"/>
          <w:sz w:val="13"/>
          <w:szCs w:val="13"/>
          <w:color w:val="003366"/>
        </w:rPr>
      </w:pPr>
      <w:hyperlink w:anchor="page160">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211"/>
        </w:trPr>
        <w:tc>
          <w:tcPr>
            <w:tcW w:w="1760" w:type="dxa"/>
            <w:vAlign w:val="bottom"/>
          </w:tcPr>
          <w:p>
            <w:pPr>
              <w:spacing w:after="0"/>
              <w:rPr>
                <w:sz w:val="18"/>
                <w:szCs w:val="18"/>
                <w:color w:val="auto"/>
              </w:rPr>
            </w:pPr>
          </w:p>
        </w:tc>
        <w:tc>
          <w:tcPr>
            <w:tcW w:w="5140" w:type="dxa"/>
            <w:vAlign w:val="bottom"/>
          </w:tcPr>
          <w:p>
            <w:pPr>
              <w:jc w:val="center"/>
              <w:ind w:right="1178"/>
              <w:spacing w:after="0"/>
              <w:rPr>
                <w:sz w:val="20"/>
                <w:szCs w:val="20"/>
                <w:color w:val="auto"/>
              </w:rPr>
            </w:pPr>
            <w:r>
              <w:rPr>
                <w:rFonts w:ascii="Arial" w:cs="Arial" w:eastAsia="Arial" w:hAnsi="Arial"/>
                <w:sz w:val="16"/>
                <w:szCs w:val="16"/>
                <w:b w:val="1"/>
                <w:bCs w:val="1"/>
                <w:color w:val="auto"/>
              </w:rPr>
              <w:t>CHURCHILL CAPITAL CORP IV</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02"/>
        </w:trPr>
        <w:tc>
          <w:tcPr>
            <w:tcW w:w="1760" w:type="dxa"/>
            <w:vAlign w:val="bottom"/>
          </w:tcPr>
          <w:p>
            <w:pPr>
              <w:spacing w:after="0"/>
              <w:rPr>
                <w:sz w:val="24"/>
                <w:szCs w:val="24"/>
                <w:color w:val="auto"/>
              </w:rPr>
            </w:pPr>
          </w:p>
        </w:tc>
        <w:tc>
          <w:tcPr>
            <w:tcW w:w="5140" w:type="dxa"/>
            <w:vAlign w:val="bottom"/>
          </w:tcPr>
          <w:p>
            <w:pPr>
              <w:jc w:val="center"/>
              <w:ind w:right="1178"/>
              <w:spacing w:after="0"/>
              <w:rPr>
                <w:sz w:val="20"/>
                <w:szCs w:val="20"/>
                <w:color w:val="auto"/>
              </w:rPr>
            </w:pPr>
            <w:r>
              <w:rPr>
                <w:rFonts w:ascii="Arial" w:cs="Arial" w:eastAsia="Arial" w:hAnsi="Arial"/>
                <w:sz w:val="16"/>
                <w:szCs w:val="16"/>
                <w:b w:val="1"/>
                <w:bCs w:val="1"/>
                <w:color w:val="auto"/>
                <w:w w:val="99"/>
              </w:rPr>
              <w:t>BALANCE SHEET</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1"/>
        </w:trPr>
        <w:tc>
          <w:tcPr>
            <w:tcW w:w="1760" w:type="dxa"/>
            <w:vAlign w:val="bottom"/>
          </w:tcPr>
          <w:p>
            <w:pPr>
              <w:spacing w:after="0"/>
              <w:rPr>
                <w:sz w:val="18"/>
                <w:szCs w:val="18"/>
                <w:color w:val="auto"/>
              </w:rPr>
            </w:pPr>
          </w:p>
        </w:tc>
        <w:tc>
          <w:tcPr>
            <w:tcW w:w="5140" w:type="dxa"/>
            <w:vAlign w:val="bottom"/>
          </w:tcPr>
          <w:p>
            <w:pPr>
              <w:jc w:val="center"/>
              <w:ind w:right="1138"/>
              <w:spacing w:after="0"/>
              <w:rPr>
                <w:sz w:val="20"/>
                <w:szCs w:val="20"/>
                <w:color w:val="auto"/>
              </w:rPr>
            </w:pPr>
            <w:r>
              <w:rPr>
                <w:rFonts w:ascii="Arial" w:cs="Arial" w:eastAsia="Arial" w:hAnsi="Arial"/>
                <w:sz w:val="16"/>
                <w:szCs w:val="16"/>
                <w:b w:val="1"/>
                <w:bCs w:val="1"/>
                <w:color w:val="auto"/>
                <w:w w:val="93"/>
              </w:rPr>
              <w:t>MAY 22, 2020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11"/>
        </w:trPr>
        <w:tc>
          <w:tcPr>
            <w:tcW w:w="1760" w:type="dxa"/>
            <w:vAlign w:val="bottom"/>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71"/>
        </w:trPr>
        <w:tc>
          <w:tcPr>
            <w:tcW w:w="6900" w:type="dxa"/>
            <w:vAlign w:val="bottom"/>
            <w:gridSpan w:val="2"/>
            <w:shd w:val="clear" w:color="auto" w:fill="CCEEFF"/>
          </w:tcPr>
          <w:p>
            <w:pPr>
              <w:spacing w:after="0" w:line="171" w:lineRule="exact"/>
              <w:rPr>
                <w:sz w:val="20"/>
                <w:szCs w:val="20"/>
                <w:color w:val="auto"/>
              </w:rPr>
            </w:pPr>
            <w:r>
              <w:rPr>
                <w:rFonts w:ascii="Arial" w:cs="Arial" w:eastAsia="Arial" w:hAnsi="Arial"/>
                <w:sz w:val="16"/>
                <w:szCs w:val="16"/>
                <w:b w:val="1"/>
                <w:bCs w:val="1"/>
                <w:color w:val="auto"/>
              </w:rPr>
              <w:t>ASSETS</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r>
      <w:tr>
        <w:trPr>
          <w:trHeight w:val="232"/>
        </w:trPr>
        <w:tc>
          <w:tcPr>
            <w:tcW w:w="6900" w:type="dxa"/>
            <w:vAlign w:val="bottom"/>
            <w:gridSpan w:val="2"/>
          </w:tcPr>
          <w:p>
            <w:pPr>
              <w:spacing w:after="0"/>
              <w:rPr>
                <w:sz w:val="20"/>
                <w:szCs w:val="20"/>
                <w:color w:val="auto"/>
              </w:rPr>
            </w:pPr>
            <w:r>
              <w:rPr>
                <w:rFonts w:ascii="Arial" w:cs="Arial" w:eastAsia="Arial" w:hAnsi="Arial"/>
                <w:sz w:val="16"/>
                <w:szCs w:val="16"/>
                <w:color w:val="auto"/>
              </w:rPr>
              <w:t>Current asset — cash</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25,000</w:t>
            </w:r>
          </w:p>
        </w:tc>
        <w:tc>
          <w:tcPr>
            <w:tcW w:w="60" w:type="dxa"/>
            <w:vAlign w:val="bottom"/>
          </w:tcPr>
          <w:p>
            <w:pPr>
              <w:spacing w:after="0"/>
              <w:rPr>
                <w:sz w:val="20"/>
                <w:szCs w:val="20"/>
                <w:color w:val="auto"/>
              </w:rPr>
            </w:pPr>
          </w:p>
        </w:tc>
      </w:tr>
      <w:tr>
        <w:trPr>
          <w:trHeight w:val="239"/>
        </w:trPr>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Deferred offering costs</w:t>
            </w:r>
          </w:p>
        </w:tc>
        <w:tc>
          <w:tcPr>
            <w:tcW w:w="8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58,000</w:t>
            </w:r>
          </w:p>
        </w:tc>
        <w:tc>
          <w:tcPr>
            <w:tcW w:w="60" w:type="dxa"/>
            <w:vAlign w:val="bottom"/>
          </w:tcPr>
          <w:p>
            <w:pPr>
              <w:spacing w:after="0"/>
              <w:rPr>
                <w:sz w:val="20"/>
                <w:szCs w:val="20"/>
                <w:color w:val="auto"/>
              </w:rPr>
            </w:pPr>
          </w:p>
        </w:tc>
      </w:tr>
      <w:tr>
        <w:trPr>
          <w:trHeight w:val="277"/>
        </w:trPr>
        <w:tc>
          <w:tcPr>
            <w:tcW w:w="69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Total Assets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83,000</w:t>
            </w:r>
          </w:p>
        </w:tc>
        <w:tc>
          <w:tcPr>
            <w:tcW w:w="60" w:type="dxa"/>
            <w:vAlign w:val="bottom"/>
          </w:tcPr>
          <w:p>
            <w:pPr>
              <w:spacing w:after="0"/>
              <w:rPr>
                <w:sz w:val="24"/>
                <w:szCs w:val="24"/>
                <w:color w:val="auto"/>
              </w:rPr>
            </w:pPr>
          </w:p>
        </w:tc>
      </w:tr>
      <w:tr>
        <w:trPr>
          <w:trHeight w:val="277"/>
        </w:trPr>
        <w:tc>
          <w:tcPr>
            <w:tcW w:w="69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232"/>
        </w:trPr>
        <w:tc>
          <w:tcPr>
            <w:tcW w:w="690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3"/>
        </w:trPr>
        <w:tc>
          <w:tcPr>
            <w:tcW w:w="69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Accrued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60" w:type="dxa"/>
            <w:vAlign w:val="bottom"/>
          </w:tcPr>
          <w:p>
            <w:pPr>
              <w:spacing w:after="0"/>
              <w:rPr>
                <w:sz w:val="20"/>
                <w:szCs w:val="20"/>
                <w:color w:val="auto"/>
              </w:rPr>
            </w:pPr>
          </w:p>
        </w:tc>
      </w:tr>
      <w:tr>
        <w:trPr>
          <w:trHeight w:val="238"/>
        </w:trPr>
        <w:tc>
          <w:tcPr>
            <w:tcW w:w="690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Accrued offering costs</w:t>
            </w: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58,000</w:t>
            </w:r>
          </w:p>
        </w:tc>
        <w:tc>
          <w:tcPr>
            <w:tcW w:w="60" w:type="dxa"/>
            <w:vAlign w:val="bottom"/>
          </w:tcPr>
          <w:p>
            <w:pPr>
              <w:spacing w:after="0"/>
              <w:rPr>
                <w:sz w:val="20"/>
                <w:szCs w:val="20"/>
                <w:color w:val="auto"/>
              </w:rPr>
            </w:pPr>
          </w:p>
        </w:tc>
      </w:tr>
      <w:tr>
        <w:trPr>
          <w:trHeight w:val="237"/>
        </w:trPr>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Current Liabilities</w:t>
            </w:r>
          </w:p>
        </w:tc>
        <w:tc>
          <w:tcPr>
            <w:tcW w:w="8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59,000</w:t>
            </w:r>
          </w:p>
        </w:tc>
        <w:tc>
          <w:tcPr>
            <w:tcW w:w="60" w:type="dxa"/>
            <w:vAlign w:val="bottom"/>
          </w:tcPr>
          <w:p>
            <w:pPr>
              <w:spacing w:after="0"/>
              <w:rPr>
                <w:sz w:val="20"/>
                <w:szCs w:val="20"/>
                <w:color w:val="auto"/>
              </w:rPr>
            </w:pPr>
          </w:p>
        </w:tc>
      </w:tr>
      <w:tr>
        <w:trPr>
          <w:trHeight w:val="231"/>
        </w:trPr>
        <w:tc>
          <w:tcPr>
            <w:tcW w:w="6900" w:type="dxa"/>
            <w:vAlign w:val="bottom"/>
            <w:gridSpan w:val="2"/>
          </w:tcPr>
          <w:p>
            <w:pPr>
              <w:spacing w:after="0"/>
              <w:rPr>
                <w:sz w:val="20"/>
                <w:szCs w:val="20"/>
                <w:color w:val="auto"/>
              </w:rPr>
            </w:pPr>
            <w:r>
              <w:rPr>
                <w:rFonts w:ascii="Arial" w:cs="Arial" w:eastAsia="Arial" w:hAnsi="Arial"/>
                <w:sz w:val="16"/>
                <w:szCs w:val="16"/>
                <w:b w:val="1"/>
                <w:bCs w:val="1"/>
                <w:color w:val="auto"/>
              </w:rPr>
              <w:t>Commitments</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3"/>
        </w:trPr>
        <w:tc>
          <w:tcPr>
            <w:tcW w:w="69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2"/>
        </w:trPr>
        <w:tc>
          <w:tcPr>
            <w:tcW w:w="6900" w:type="dxa"/>
            <w:vAlign w:val="bottom"/>
            <w:gridSpan w:val="2"/>
          </w:tcPr>
          <w:p>
            <w:pPr>
              <w:spacing w:after="0"/>
              <w:rPr>
                <w:sz w:val="20"/>
                <w:szCs w:val="20"/>
                <w:color w:val="auto"/>
              </w:rPr>
            </w:pPr>
            <w:r>
              <w:rPr>
                <w:rFonts w:ascii="Arial" w:cs="Arial" w:eastAsia="Arial" w:hAnsi="Arial"/>
                <w:sz w:val="16"/>
                <w:szCs w:val="16"/>
                <w:color w:val="auto"/>
              </w:rPr>
              <w:t>Preferred stock, $0.0001 par value; 1,000,000 shares authorized; none issued and outstanding</w:t>
            </w:r>
          </w:p>
        </w:tc>
        <w:tc>
          <w:tcPr>
            <w:tcW w:w="8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20"/>
        </w:trPr>
        <w:tc>
          <w:tcPr>
            <w:tcW w:w="6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Class A common stock, $0.0001 par value; 240,000,000 shares authorized; none issued and</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69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outstanding</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r>
      <w:tr>
        <w:trPr>
          <w:trHeight w:val="187"/>
        </w:trPr>
        <w:tc>
          <w:tcPr>
            <w:tcW w:w="6900" w:type="dxa"/>
            <w:vAlign w:val="bottom"/>
            <w:gridSpan w:val="2"/>
          </w:tcPr>
          <w:p>
            <w:pPr>
              <w:spacing w:after="0"/>
              <w:rPr>
                <w:sz w:val="20"/>
                <w:szCs w:val="20"/>
                <w:color w:val="auto"/>
              </w:rPr>
            </w:pPr>
            <w:r>
              <w:rPr>
                <w:rFonts w:ascii="Arial" w:cs="Arial" w:eastAsia="Arial" w:hAnsi="Arial"/>
                <w:sz w:val="16"/>
                <w:szCs w:val="16"/>
                <w:color w:val="auto"/>
              </w:rPr>
              <w:t>Class B common stock, $0.0001 par value; 60,000,000 shares authorized; 43,125,000 shares</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6"/>
        </w:trPr>
        <w:tc>
          <w:tcPr>
            <w:tcW w:w="6900" w:type="dxa"/>
            <w:vAlign w:val="bottom"/>
            <w:gridSpan w:val="2"/>
          </w:tcPr>
          <w:p>
            <w:pPr>
              <w:ind w:left="160"/>
              <w:spacing w:after="0" w:line="266" w:lineRule="exact"/>
              <w:rPr>
                <w:sz w:val="20"/>
                <w:szCs w:val="20"/>
                <w:color w:val="auto"/>
              </w:rPr>
            </w:pPr>
            <w:r>
              <w:rPr>
                <w:rFonts w:ascii="Arial" w:cs="Arial" w:eastAsia="Arial" w:hAnsi="Arial"/>
                <w:sz w:val="16"/>
                <w:szCs w:val="16"/>
                <w:color w:val="auto"/>
              </w:rPr>
              <w:t>issued and outstanding</w:t>
            </w:r>
            <w:r>
              <w:rPr>
                <w:rFonts w:ascii="Arial" w:cs="Arial" w:eastAsia="Arial" w:hAnsi="Arial"/>
                <w:sz w:val="24"/>
                <w:szCs w:val="24"/>
                <w:color w:val="auto"/>
                <w:vertAlign w:val="superscript"/>
              </w:rPr>
              <w:t>(1)</w:t>
            </w:r>
          </w:p>
        </w:tc>
        <w:tc>
          <w:tcPr>
            <w:tcW w:w="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4,313</w:t>
            </w:r>
          </w:p>
        </w:tc>
        <w:tc>
          <w:tcPr>
            <w:tcW w:w="60" w:type="dxa"/>
            <w:vAlign w:val="bottom"/>
          </w:tcPr>
          <w:p>
            <w:pPr>
              <w:spacing w:after="0"/>
              <w:rPr>
                <w:sz w:val="23"/>
                <w:szCs w:val="23"/>
                <w:color w:val="auto"/>
              </w:rPr>
            </w:pPr>
          </w:p>
        </w:tc>
      </w:tr>
      <w:tr>
        <w:trPr>
          <w:trHeight w:val="245"/>
        </w:trPr>
        <w:tc>
          <w:tcPr>
            <w:tcW w:w="69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Additional paid-in capital</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20,687</w:t>
            </w:r>
          </w:p>
        </w:tc>
        <w:tc>
          <w:tcPr>
            <w:tcW w:w="60" w:type="dxa"/>
            <w:vAlign w:val="bottom"/>
          </w:tcPr>
          <w:p>
            <w:pPr>
              <w:spacing w:after="0"/>
              <w:rPr>
                <w:sz w:val="21"/>
                <w:szCs w:val="21"/>
                <w:color w:val="auto"/>
              </w:rPr>
            </w:pPr>
          </w:p>
        </w:tc>
      </w:tr>
      <w:tr>
        <w:trPr>
          <w:trHeight w:val="250"/>
        </w:trPr>
        <w:tc>
          <w:tcPr>
            <w:tcW w:w="6900" w:type="dxa"/>
            <w:vAlign w:val="bottom"/>
            <w:gridSpan w:val="2"/>
          </w:tcPr>
          <w:p>
            <w:pPr>
              <w:spacing w:after="0"/>
              <w:rPr>
                <w:sz w:val="20"/>
                <w:szCs w:val="20"/>
                <w:color w:val="auto"/>
              </w:rPr>
            </w:pPr>
            <w:r>
              <w:rPr>
                <w:rFonts w:ascii="Arial" w:cs="Arial" w:eastAsia="Arial" w:hAnsi="Arial"/>
                <w:sz w:val="16"/>
                <w:szCs w:val="16"/>
                <w:color w:val="auto"/>
              </w:rPr>
              <w:t>Accumulated deficit</w:t>
            </w:r>
          </w:p>
        </w:tc>
        <w:tc>
          <w:tcPr>
            <w:tcW w:w="8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w w:val="98"/>
              </w:rPr>
              <w:t>(1,000)</w:t>
            </w:r>
          </w:p>
        </w:tc>
      </w:tr>
      <w:tr>
        <w:trPr>
          <w:trHeight w:val="249"/>
        </w:trPr>
        <w:tc>
          <w:tcPr>
            <w:tcW w:w="6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24,000</w:t>
            </w:r>
          </w:p>
        </w:tc>
        <w:tc>
          <w:tcPr>
            <w:tcW w:w="60" w:type="dxa"/>
            <w:vAlign w:val="bottom"/>
          </w:tcPr>
          <w:p>
            <w:pPr>
              <w:spacing w:after="0"/>
              <w:rPr>
                <w:sz w:val="21"/>
                <w:szCs w:val="21"/>
                <w:color w:val="auto"/>
              </w:rPr>
            </w:pPr>
          </w:p>
        </w:tc>
      </w:tr>
      <w:tr>
        <w:trPr>
          <w:trHeight w:val="249"/>
        </w:trPr>
        <w:tc>
          <w:tcPr>
            <w:tcW w:w="690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83,000</w:t>
            </w:r>
          </w:p>
        </w:tc>
        <w:tc>
          <w:tcPr>
            <w:tcW w:w="60" w:type="dxa"/>
            <w:vAlign w:val="bottom"/>
          </w:tcPr>
          <w:p>
            <w:pPr>
              <w:spacing w:after="0"/>
              <w:rPr>
                <w:sz w:val="21"/>
                <w:szCs w:val="21"/>
                <w:color w:val="auto"/>
              </w:rPr>
            </w:pPr>
          </w:p>
        </w:tc>
      </w:tr>
      <w:tr>
        <w:trPr>
          <w:trHeight w:val="20"/>
        </w:trPr>
        <w:tc>
          <w:tcPr>
            <w:tcW w:w="17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1760" w:type="dxa"/>
            <w:vAlign w:val="bottom"/>
            <w:tcBorders>
              <w:bottom w:val="single" w:sz="8" w:color="auto"/>
            </w:tcBorders>
          </w:tcPr>
          <w:p>
            <w:pPr>
              <w:spacing w:after="0"/>
              <w:rPr>
                <w:sz w:val="12"/>
                <w:szCs w:val="12"/>
                <w:color w:val="auto"/>
              </w:rPr>
            </w:pPr>
          </w:p>
        </w:tc>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-473075</wp:posOffset>
            </wp:positionV>
            <wp:extent cx="438023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380230" cy="762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-1972310</wp:posOffset>
            </wp:positionV>
            <wp:extent cx="438023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380230" cy="7620"/>
                    </a:xfrm>
                    <a:prstGeom prst="rect">
                      <a:avLst/>
                    </a:prstGeom>
                    <a:noFill/>
                  </pic:spPr>
                </pic:pic>
              </a:graphicData>
            </a:graphic>
          </wp:anchor>
        </w:drawing>
      </w:r>
    </w:p>
    <w:p>
      <w:pPr>
        <w:spacing w:after="0" w:line="163" w:lineRule="exact"/>
        <w:rPr>
          <w:sz w:val="20"/>
          <w:szCs w:val="20"/>
          <w:color w:val="auto"/>
        </w:rPr>
      </w:pPr>
    </w:p>
    <w:p>
      <w:pPr>
        <w:ind w:left="1460" w:right="1579" w:hanging="321"/>
        <w:spacing w:after="0" w:line="261" w:lineRule="auto"/>
        <w:tabs>
          <w:tab w:leader="none" w:pos="1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Includes an aggregate of 5,625,000 shares that are subject to forfeiture to the extent that the underwriters’ over-allotment is not exercised in full (see Note 7). On July 14, 2020, the Company effected a stock dividend of one-third of a share of Class B common stock for each outstanding share of Class B common stock and on July 27, 2020, the Company effected a stock dividend of 0.50 to 1 share of Class B common stock for each outstanding share of Class B common stock, resulting in 43,125,000 shares of Class B common stock being issued and outstanding (see Note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6"/>
          <w:szCs w:val="16"/>
          <w:i w:val="1"/>
          <w:iCs w:val="1"/>
          <w:color w:val="auto"/>
        </w:rPr>
        <w:t>The accompanying notes are an integral part of the financial statements.</w:t>
      </w:r>
    </w:p>
    <w:p>
      <w:pPr>
        <w:spacing w:after="0" w:line="97"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3" w:name="page164"/>
    <w:bookmarkEnd w:id="163"/>
    <w:p>
      <w:pPr>
        <w:spacing w:after="0"/>
        <w:rPr>
          <w:rFonts w:ascii="Arial" w:cs="Arial" w:eastAsia="Arial" w:hAnsi="Arial"/>
          <w:sz w:val="13"/>
          <w:szCs w:val="13"/>
          <w:color w:val="003366"/>
        </w:rPr>
      </w:pPr>
      <w:hyperlink w:anchor="page160">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211"/>
        </w:trPr>
        <w:tc>
          <w:tcPr>
            <w:tcW w:w="1760" w:type="dxa"/>
            <w:vAlign w:val="bottom"/>
          </w:tcPr>
          <w:p>
            <w:pPr>
              <w:spacing w:after="0"/>
              <w:rPr>
                <w:sz w:val="18"/>
                <w:szCs w:val="18"/>
                <w:color w:val="auto"/>
              </w:rPr>
            </w:pPr>
          </w:p>
        </w:tc>
        <w:tc>
          <w:tcPr>
            <w:tcW w:w="4840" w:type="dxa"/>
            <w:vAlign w:val="bottom"/>
          </w:tcPr>
          <w:p>
            <w:pPr>
              <w:jc w:val="center"/>
              <w:ind w:right="878"/>
              <w:spacing w:after="0"/>
              <w:rPr>
                <w:sz w:val="20"/>
                <w:szCs w:val="20"/>
                <w:color w:val="auto"/>
              </w:rPr>
            </w:pPr>
            <w:r>
              <w:rPr>
                <w:rFonts w:ascii="Arial" w:cs="Arial" w:eastAsia="Arial" w:hAnsi="Arial"/>
                <w:sz w:val="16"/>
                <w:szCs w:val="16"/>
                <w:b w:val="1"/>
                <w:bCs w:val="1"/>
                <w:color w:val="auto"/>
              </w:rPr>
              <w:t>CHURCHILL CAPITAL CORP IV</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1760" w:type="dxa"/>
            <w:vAlign w:val="bottom"/>
          </w:tcPr>
          <w:p>
            <w:pPr>
              <w:spacing w:after="0"/>
              <w:rPr>
                <w:sz w:val="24"/>
                <w:szCs w:val="24"/>
                <w:color w:val="auto"/>
              </w:rPr>
            </w:pPr>
          </w:p>
        </w:tc>
        <w:tc>
          <w:tcPr>
            <w:tcW w:w="4840" w:type="dxa"/>
            <w:vAlign w:val="bottom"/>
          </w:tcPr>
          <w:p>
            <w:pPr>
              <w:jc w:val="center"/>
              <w:ind w:right="898"/>
              <w:spacing w:after="0"/>
              <w:rPr>
                <w:sz w:val="20"/>
                <w:szCs w:val="20"/>
                <w:color w:val="auto"/>
              </w:rPr>
            </w:pPr>
            <w:r>
              <w:rPr>
                <w:rFonts w:ascii="Arial" w:cs="Arial" w:eastAsia="Arial" w:hAnsi="Arial"/>
                <w:sz w:val="16"/>
                <w:szCs w:val="16"/>
                <w:b w:val="1"/>
                <w:bCs w:val="1"/>
                <w:color w:val="auto"/>
                <w:w w:val="97"/>
              </w:rPr>
              <w:t>STATEMENT OF OPERATIONS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700" w:type="dxa"/>
            <w:vAlign w:val="bottom"/>
            <w:gridSpan w:val="3"/>
          </w:tcPr>
          <w:p>
            <w:pPr>
              <w:jc w:val="center"/>
              <w:ind w:left="658"/>
              <w:spacing w:after="0"/>
              <w:rPr>
                <w:sz w:val="20"/>
                <w:szCs w:val="20"/>
                <w:color w:val="auto"/>
              </w:rPr>
            </w:pPr>
            <w:r>
              <w:rPr>
                <w:rFonts w:ascii="Arial" w:cs="Arial" w:eastAsia="Arial" w:hAnsi="Arial"/>
                <w:sz w:val="16"/>
                <w:szCs w:val="16"/>
                <w:b w:val="1"/>
                <w:bCs w:val="1"/>
                <w:color w:val="auto"/>
                <w:w w:val="97"/>
              </w:rPr>
              <w:t>FOR THE PERIOD FROM APRIL 30, 2020 (INCEPTION) THROUGH MAY 22, 2020</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76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Formation costs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600" w:type="dxa"/>
            <w:vAlign w:val="bottom"/>
            <w:gridSpan w:val="2"/>
          </w:tcPr>
          <w:p>
            <w:pPr>
              <w:spacing w:after="0"/>
              <w:rPr>
                <w:sz w:val="20"/>
                <w:szCs w:val="20"/>
                <w:color w:val="auto"/>
              </w:rPr>
            </w:pPr>
            <w:r>
              <w:rPr>
                <w:rFonts w:ascii="Arial" w:cs="Arial" w:eastAsia="Arial" w:hAnsi="Arial"/>
                <w:sz w:val="16"/>
                <w:szCs w:val="16"/>
                <w:b w:val="1"/>
                <w:bCs w:val="1"/>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auto"/>
              </w:rPr>
              <w:t>(1,000)</w:t>
            </w:r>
          </w:p>
        </w:tc>
        <w:tc>
          <w:tcPr>
            <w:tcW w:w="0" w:type="dxa"/>
            <w:vAlign w:val="bottom"/>
          </w:tcPr>
          <w:p>
            <w:pPr>
              <w:spacing w:after="0"/>
              <w:rPr>
                <w:sz w:val="1"/>
                <w:szCs w:val="1"/>
                <w:color w:val="auto"/>
              </w:rPr>
            </w:pPr>
          </w:p>
        </w:tc>
      </w:tr>
      <w:tr>
        <w:trPr>
          <w:trHeight w:val="216"/>
        </w:trPr>
        <w:tc>
          <w:tcPr>
            <w:tcW w:w="6600" w:type="dxa"/>
            <w:vAlign w:val="bottom"/>
            <w:tcBorders>
              <w:top w:val="single" w:sz="8" w:color="CCEEFF"/>
              <w:bottom w:val="single" w:sz="8" w:color="CCEEFF"/>
            </w:tcBorders>
            <w:gridSpan w:val="2"/>
            <w:shd w:val="clear" w:color="auto" w:fill="CCEEFF"/>
          </w:tcPr>
          <w:p>
            <w:pPr>
              <w:spacing w:after="0" w:line="216" w:lineRule="exact"/>
              <w:rPr>
                <w:sz w:val="20"/>
                <w:szCs w:val="20"/>
                <w:color w:val="auto"/>
              </w:rPr>
            </w:pPr>
            <w:r>
              <w:rPr>
                <w:rFonts w:ascii="Arial" w:cs="Arial" w:eastAsia="Arial" w:hAnsi="Arial"/>
                <w:sz w:val="16"/>
                <w:szCs w:val="16"/>
                <w:color w:val="auto"/>
              </w:rPr>
              <w:t>Weighted average shares outstanding, basic and diluted</w:t>
            </w:r>
            <w:r>
              <w:rPr>
                <w:rFonts w:ascii="Arial" w:cs="Arial" w:eastAsia="Arial" w:hAnsi="Arial"/>
                <w:sz w:val="24"/>
                <w:szCs w:val="24"/>
                <w:color w:val="auto"/>
                <w:vertAlign w:val="superscript"/>
              </w:rPr>
              <w:t>(1)</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37,500,000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gridSpan w:val="2"/>
          </w:tcPr>
          <w:p>
            <w:pPr>
              <w:spacing w:after="0"/>
              <w:rPr>
                <w:sz w:val="20"/>
                <w:szCs w:val="20"/>
                <w:color w:val="auto"/>
              </w:rPr>
            </w:pPr>
            <w:r>
              <w:rPr>
                <w:rFonts w:ascii="Arial" w:cs="Arial" w:eastAsia="Arial" w:hAnsi="Arial"/>
                <w:sz w:val="16"/>
                <w:szCs w:val="16"/>
                <w:b w:val="1"/>
                <w:bCs w:val="1"/>
                <w:color w:val="auto"/>
              </w:rPr>
              <w:t>Basic and diluted net loss per common share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60" w:type="dxa"/>
            <w:vAlign w:val="bottom"/>
            <w:tcBorders>
              <w:bottom w:val="single" w:sz="8" w:color="auto"/>
            </w:tcBorders>
          </w:tcPr>
          <w:p>
            <w:pPr>
              <w:spacing w:after="0"/>
              <w:rPr>
                <w:sz w:val="12"/>
                <w:szCs w:val="12"/>
                <w:color w:val="auto"/>
              </w:rPr>
            </w:pPr>
          </w:p>
        </w:tc>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460" w:right="1579" w:hanging="321"/>
        <w:spacing w:after="0" w:line="261" w:lineRule="auto"/>
        <w:tabs>
          <w:tab w:leader="none" w:pos="1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Excludes an aggregate of 5,625,000 shares that are subject to forfeiture to the extent that the underwriters’ over-allotment is not exercised in full (see Note 7). On July 14, 2020, the Company effected a stock dividend of one-third of a share of Class B common stock for each outstanding share of Class B common stock and on July 27, 2020, the Company effected a stock dividend of 0.50 to 1 share of Class B common stock for each outstanding share of Class B common stock, resulting in 43,125,000 shares of Class B common stock being issued and outstanding (see Note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19"/>
        <w:spacing w:after="0"/>
        <w:rPr>
          <w:sz w:val="20"/>
          <w:szCs w:val="20"/>
          <w:color w:val="auto"/>
        </w:rPr>
      </w:pPr>
      <w:r>
        <w:rPr>
          <w:rFonts w:ascii="Arial" w:cs="Arial" w:eastAsia="Arial" w:hAnsi="Arial"/>
          <w:sz w:val="16"/>
          <w:szCs w:val="16"/>
          <w:i w:val="1"/>
          <w:iCs w:val="1"/>
          <w:color w:val="auto"/>
        </w:rPr>
        <w:t>The accompanying notes are an integral part of the financial statements.</w:t>
      </w:r>
    </w:p>
    <w:p>
      <w:pPr>
        <w:spacing w:after="0" w:line="97"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64" w:name="page165"/>
    <w:bookmarkEnd w:id="164"/>
    <w:p>
      <w:pPr>
        <w:spacing w:after="0"/>
        <w:rPr>
          <w:rFonts w:ascii="Arial" w:cs="Arial" w:eastAsia="Arial" w:hAnsi="Arial"/>
          <w:sz w:val="13"/>
          <w:szCs w:val="13"/>
          <w:color w:val="003366"/>
        </w:rPr>
      </w:pPr>
      <w:hyperlink w:anchor="page160">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640"/>
        <w:spacing w:after="0"/>
        <w:rPr>
          <w:sz w:val="20"/>
          <w:szCs w:val="20"/>
          <w:color w:val="auto"/>
        </w:rPr>
      </w:pPr>
      <w:r>
        <w:rPr>
          <w:rFonts w:ascii="Arial" w:cs="Arial" w:eastAsia="Arial" w:hAnsi="Arial"/>
          <w:sz w:val="16"/>
          <w:szCs w:val="16"/>
          <w:b w:val="1"/>
          <w:bCs w:val="1"/>
          <w:color w:val="auto"/>
        </w:rPr>
        <w:t>CHURCHILL CAPITAL CORP IV</w:t>
      </w:r>
    </w:p>
    <w:p>
      <w:pPr>
        <w:spacing w:after="0" w:line="158" w:lineRule="exact"/>
        <w:rPr>
          <w:sz w:val="20"/>
          <w:szCs w:val="20"/>
          <w:color w:val="auto"/>
        </w:rPr>
      </w:pPr>
    </w:p>
    <w:p>
      <w:pPr>
        <w:ind w:left="2660"/>
        <w:spacing w:after="0"/>
        <w:rPr>
          <w:sz w:val="20"/>
          <w:szCs w:val="20"/>
          <w:color w:val="auto"/>
        </w:rPr>
      </w:pPr>
      <w:r>
        <w:rPr>
          <w:rFonts w:ascii="Arial" w:cs="Arial" w:eastAsia="Arial" w:hAnsi="Arial"/>
          <w:sz w:val="16"/>
          <w:szCs w:val="16"/>
          <w:b w:val="1"/>
          <w:bCs w:val="1"/>
          <w:color w:val="auto"/>
        </w:rPr>
        <w:t>STATEMENT OF CHANGES IN STOCKHOLDER’S EQUITY</w:t>
      </w:r>
    </w:p>
    <w:p>
      <w:pPr>
        <w:spacing w:after="0" w:line="5" w:lineRule="exact"/>
        <w:rPr>
          <w:sz w:val="20"/>
          <w:szCs w:val="20"/>
          <w:color w:val="auto"/>
        </w:rPr>
      </w:pPr>
    </w:p>
    <w:p>
      <w:pPr>
        <w:ind w:left="1920"/>
        <w:spacing w:after="0"/>
        <w:rPr>
          <w:sz w:val="20"/>
          <w:szCs w:val="20"/>
          <w:color w:val="auto"/>
        </w:rPr>
      </w:pPr>
      <w:r>
        <w:rPr>
          <w:rFonts w:ascii="Arial" w:cs="Arial" w:eastAsia="Arial" w:hAnsi="Arial"/>
          <w:sz w:val="16"/>
          <w:szCs w:val="16"/>
          <w:b w:val="1"/>
          <w:bCs w:val="1"/>
          <w:color w:val="auto"/>
        </w:rPr>
        <w:t>FOR THE PERIOD FROM APRIL 30, 2020 (INCEPTION) THROUGH MAY 22, 2020</w:t>
      </w:r>
    </w:p>
    <w:p>
      <w:pPr>
        <w:spacing w:after="0" w:line="8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7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ind w:right="145"/>
              <w:spacing w:after="0"/>
              <w:rPr>
                <w:sz w:val="20"/>
                <w:szCs w:val="20"/>
                <w:color w:val="auto"/>
              </w:rPr>
            </w:pPr>
            <w:r>
              <w:rPr>
                <w:rFonts w:ascii="Arial" w:cs="Arial" w:eastAsia="Arial" w:hAnsi="Arial"/>
                <w:sz w:val="10"/>
                <w:szCs w:val="10"/>
                <w:b w:val="1"/>
                <w:bCs w:val="1"/>
                <w:color w:val="auto"/>
                <w:w w:val="97"/>
              </w:rPr>
              <w:t>(1)</w:t>
            </w:r>
          </w:p>
        </w:tc>
        <w:tc>
          <w:tcPr>
            <w:tcW w:w="220" w:type="dxa"/>
            <w:vAlign w:val="bottom"/>
          </w:tcPr>
          <w:p>
            <w:pPr>
              <w:spacing w:after="0"/>
              <w:rPr>
                <w:sz w:val="13"/>
                <w:szCs w:val="13"/>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600" w:type="dxa"/>
            <w:vAlign w:val="bottom"/>
            <w:gridSpan w:val="5"/>
          </w:tcPr>
          <w:p>
            <w:pPr>
              <w:jc w:val="right"/>
              <w:ind w:right="540"/>
              <w:spacing w:after="0" w:line="123" w:lineRule="exact"/>
              <w:rPr>
                <w:sz w:val="20"/>
                <w:szCs w:val="20"/>
                <w:color w:val="auto"/>
              </w:rPr>
            </w:pPr>
            <w:r>
              <w:rPr>
                <w:rFonts w:ascii="Arial" w:cs="Arial" w:eastAsia="Arial" w:hAnsi="Arial"/>
                <w:sz w:val="13"/>
                <w:szCs w:val="13"/>
                <w:b w:val="1"/>
                <w:bCs w:val="1"/>
                <w:color w:val="auto"/>
              </w:rPr>
              <w:t>Common Stock</w:t>
            </w:r>
          </w:p>
        </w:tc>
        <w:tc>
          <w:tcPr>
            <w:tcW w:w="780" w:type="dxa"/>
            <w:vAlign w:val="bottom"/>
            <w:gridSpan w:val="3"/>
            <w:vMerge w:val="restart"/>
          </w:tcPr>
          <w:p>
            <w:pPr>
              <w:jc w:val="center"/>
              <w:ind w:right="240"/>
              <w:spacing w:after="0"/>
              <w:rPr>
                <w:sz w:val="20"/>
                <w:szCs w:val="20"/>
                <w:color w:val="auto"/>
              </w:rPr>
            </w:pPr>
            <w:r>
              <w:rPr>
                <w:rFonts w:ascii="Arial" w:cs="Arial" w:eastAsia="Arial" w:hAnsi="Arial"/>
                <w:sz w:val="13"/>
                <w:szCs w:val="13"/>
                <w:b w:val="1"/>
                <w:bCs w:val="1"/>
                <w:color w:val="auto"/>
                <w:w w:val="87"/>
              </w:rPr>
              <w:t>Paid-in</w:t>
            </w:r>
          </w:p>
        </w:tc>
        <w:tc>
          <w:tcPr>
            <w:tcW w:w="940" w:type="dxa"/>
            <w:vAlign w:val="bottom"/>
            <w:gridSpan w:val="5"/>
            <w:vMerge w:val="restart"/>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780" w:type="dxa"/>
            <w:vAlign w:val="bottom"/>
            <w:gridSpan w:val="4"/>
            <w:vMerge w:val="restart"/>
          </w:tcPr>
          <w:p>
            <w:pPr>
              <w:jc w:val="center"/>
              <w:ind w:right="4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21"/>
        </w:trPr>
        <w:tc>
          <w:tcPr>
            <w:tcW w:w="1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3"/>
            <w:vMerge w:val="continue"/>
          </w:tcPr>
          <w:p>
            <w:pPr>
              <w:spacing w:after="0" w:line="20" w:lineRule="exact"/>
              <w:rPr>
                <w:sz w:val="1"/>
                <w:szCs w:val="1"/>
                <w:color w:val="auto"/>
              </w:rPr>
            </w:pPr>
          </w:p>
        </w:tc>
        <w:tc>
          <w:tcPr>
            <w:tcW w:w="940" w:type="dxa"/>
            <w:vAlign w:val="bottom"/>
            <w:gridSpan w:val="5"/>
            <w:vMerge w:val="continue"/>
          </w:tcPr>
          <w:p>
            <w:pPr>
              <w:spacing w:after="0" w:line="20" w:lineRule="exact"/>
              <w:rPr>
                <w:sz w:val="1"/>
                <w:szCs w:val="1"/>
                <w:color w:val="auto"/>
              </w:rPr>
            </w:pPr>
          </w:p>
        </w:tc>
        <w:tc>
          <w:tcPr>
            <w:tcW w:w="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5"/>
                <w:szCs w:val="15"/>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3"/>
        </w:trPr>
        <w:tc>
          <w:tcPr>
            <w:tcW w:w="17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 April 30, 2020 (inception)</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3340" w:type="dxa"/>
            <w:vAlign w:val="bottom"/>
            <w:gridSpan w:val="2"/>
          </w:tcPr>
          <w:p>
            <w:pPr>
              <w:spacing w:after="0" w:line="175" w:lineRule="exact"/>
              <w:rPr>
                <w:sz w:val="20"/>
                <w:szCs w:val="20"/>
                <w:color w:val="auto"/>
              </w:rPr>
            </w:pPr>
            <w:r>
              <w:rPr>
                <w:rFonts w:ascii="Arial" w:cs="Arial" w:eastAsia="Arial" w:hAnsi="Arial"/>
                <w:sz w:val="16"/>
                <w:szCs w:val="16"/>
                <w:color w:val="auto"/>
              </w:rPr>
              <w:t>Issuance of Class B common stock to</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3340" w:type="dxa"/>
            <w:vAlign w:val="bottom"/>
            <w:gridSpan w:val="2"/>
          </w:tcPr>
          <w:p>
            <w:pPr>
              <w:ind w:left="160"/>
              <w:spacing w:after="0" w:line="266" w:lineRule="exact"/>
              <w:rPr>
                <w:sz w:val="20"/>
                <w:szCs w:val="20"/>
                <w:color w:val="auto"/>
              </w:rPr>
            </w:pPr>
            <w:r>
              <w:rPr>
                <w:rFonts w:ascii="Arial" w:cs="Arial" w:eastAsia="Arial" w:hAnsi="Arial"/>
                <w:sz w:val="16"/>
                <w:szCs w:val="16"/>
                <w:color w:val="auto"/>
              </w:rPr>
              <w:t>Sponsor</w:t>
            </w:r>
            <w:r>
              <w:rPr>
                <w:rFonts w:ascii="Arial" w:cs="Arial" w:eastAsia="Arial" w:hAnsi="Arial"/>
                <w:sz w:val="24"/>
                <w:szCs w:val="24"/>
                <w:color w:val="auto"/>
                <w:vertAlign w:val="superscript"/>
              </w:rPr>
              <w:t>(1)</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w w:val="89"/>
              </w:rPr>
              <w:t>43,125,000</w:t>
            </w:r>
          </w:p>
        </w:tc>
        <w:tc>
          <w:tcPr>
            <w:tcW w:w="10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w w:val="84"/>
              </w:rPr>
              <w:t>4,313</w:t>
            </w:r>
          </w:p>
        </w:tc>
        <w:tc>
          <w:tcPr>
            <w:tcW w:w="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3"/>
              </w:rPr>
              <w:t>20,687</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25,000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5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(1,000)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4"/>
              </w:rPr>
              <w:t>(1,000)</w:t>
            </w:r>
          </w:p>
        </w:tc>
        <w:tc>
          <w:tcPr>
            <w:tcW w:w="0" w:type="dxa"/>
            <w:vAlign w:val="bottom"/>
          </w:tcPr>
          <w:p>
            <w:pPr>
              <w:spacing w:after="0"/>
              <w:rPr>
                <w:sz w:val="1"/>
                <w:szCs w:val="1"/>
                <w:color w:val="auto"/>
              </w:rPr>
            </w:pPr>
          </w:p>
        </w:tc>
      </w:tr>
      <w:tr>
        <w:trPr>
          <w:trHeight w:val="20"/>
        </w:trPr>
        <w:tc>
          <w:tcPr>
            <w:tcW w:w="176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40" w:type="dxa"/>
            <w:vAlign w:val="bottom"/>
            <w:gridSpan w:val="2"/>
          </w:tcPr>
          <w:p>
            <w:pPr>
              <w:spacing w:after="0"/>
              <w:rPr>
                <w:sz w:val="20"/>
                <w:szCs w:val="20"/>
                <w:color w:val="auto"/>
              </w:rPr>
            </w:pPr>
            <w:r>
              <w:rPr>
                <w:rFonts w:ascii="Arial" w:cs="Arial" w:eastAsia="Arial" w:hAnsi="Arial"/>
                <w:sz w:val="16"/>
                <w:szCs w:val="16"/>
                <w:b w:val="1"/>
                <w:bCs w:val="1"/>
                <w:color w:val="auto"/>
              </w:rPr>
              <w:t>Balance — May 22, 2020</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89"/>
              </w:rPr>
              <w:t>43,125,000</w:t>
            </w:r>
          </w:p>
        </w:tc>
        <w:tc>
          <w:tcPr>
            <w:tcW w:w="100" w:type="dxa"/>
            <w:vAlign w:val="bottom"/>
          </w:tcPr>
          <w:p>
            <w:pPr>
              <w:ind w:left="20"/>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4"/>
              </w:rPr>
              <w:t>4,313</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w w:val="93"/>
              </w:rPr>
              <w:t>20,687</w:t>
            </w:r>
          </w:p>
        </w:tc>
        <w:tc>
          <w:tcPr>
            <w:tcW w:w="2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0"/>
              </w:rPr>
              <w:t>(1,000)</w:t>
            </w:r>
          </w:p>
        </w:tc>
        <w:tc>
          <w:tcPr>
            <w:tcW w:w="2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w w:val="89"/>
              </w:rPr>
              <w:t>24,000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60" w:type="dxa"/>
            <w:vAlign w:val="bottom"/>
            <w:tcBorders>
              <w:bottom w:val="single" w:sz="8" w:color="auto"/>
            </w:tcBorders>
          </w:tcPr>
          <w:p>
            <w:pPr>
              <w:spacing w:after="0"/>
              <w:rPr>
                <w:sz w:val="12"/>
                <w:szCs w:val="12"/>
                <w:color w:val="auto"/>
              </w:rPr>
            </w:pPr>
          </w:p>
        </w:tc>
        <w:tc>
          <w:tcPr>
            <w:tcW w:w="1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-884555</wp:posOffset>
            </wp:positionV>
            <wp:extent cx="423291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232910" cy="7620"/>
                    </a:xfrm>
                    <a:prstGeom prst="rect">
                      <a:avLst/>
                    </a:prstGeom>
                    <a:noFill/>
                  </pic:spPr>
                </pic:pic>
              </a:graphicData>
            </a:graphic>
          </wp:anchor>
        </w:drawing>
      </w:r>
    </w:p>
    <w:p>
      <w:pPr>
        <w:spacing w:after="0" w:line="163" w:lineRule="exact"/>
        <w:rPr>
          <w:sz w:val="20"/>
          <w:szCs w:val="20"/>
          <w:color w:val="auto"/>
        </w:rPr>
      </w:pPr>
    </w:p>
    <w:p>
      <w:pPr>
        <w:ind w:left="1460" w:right="1819" w:hanging="321"/>
        <w:spacing w:after="0" w:line="260" w:lineRule="auto"/>
        <w:tabs>
          <w:tab w:leader="none" w:pos="1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Includes an aggregate of 5,625,000 shares that are subject to forfeiture to the extent that the underwriters’ over-allotment option is not exercised in full (see Note 7). On July 14, 2020, the Company effected a stock dividend of one-third of a share of Class B common stock for each outstanding share of Class B common stock and on July 27, 2020, the Company effected a stock dividend of 0.50 to 1 share of Class B common stock for each outstanding share of Class B common stock, resulting in 43,125,000 shares of Class B common stock being issued and outstanding (see Note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19"/>
        <w:spacing w:after="0"/>
        <w:rPr>
          <w:sz w:val="20"/>
          <w:szCs w:val="20"/>
          <w:color w:val="auto"/>
        </w:rPr>
      </w:pPr>
      <w:r>
        <w:rPr>
          <w:rFonts w:ascii="Arial" w:cs="Arial" w:eastAsia="Arial" w:hAnsi="Arial"/>
          <w:sz w:val="16"/>
          <w:szCs w:val="16"/>
          <w:i w:val="1"/>
          <w:iCs w:val="1"/>
          <w:color w:val="auto"/>
        </w:rPr>
        <w:t>The accompanying notes are an integral part of the financial statements.</w:t>
      </w:r>
    </w:p>
    <w:p>
      <w:pPr>
        <w:spacing w:after="0" w:line="85"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65" w:name="page166"/>
    <w:bookmarkEnd w:id="165"/>
    <w:p>
      <w:pPr>
        <w:spacing w:after="0"/>
        <w:rPr>
          <w:rFonts w:ascii="Arial" w:cs="Arial" w:eastAsia="Arial" w:hAnsi="Arial"/>
          <w:sz w:val="13"/>
          <w:szCs w:val="13"/>
          <w:color w:val="003366"/>
        </w:rPr>
      </w:pPr>
      <w:hyperlink w:anchor="page160">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211"/>
        </w:trPr>
        <w:tc>
          <w:tcPr>
            <w:tcW w:w="6900" w:type="dxa"/>
            <w:vAlign w:val="bottom"/>
            <w:gridSpan w:val="2"/>
          </w:tcPr>
          <w:p>
            <w:pPr>
              <w:jc w:val="center"/>
              <w:ind w:left="418"/>
              <w:spacing w:after="0"/>
              <w:rPr>
                <w:sz w:val="20"/>
                <w:szCs w:val="20"/>
                <w:color w:val="auto"/>
              </w:rPr>
            </w:pPr>
            <w:r>
              <w:rPr>
                <w:rFonts w:ascii="Arial" w:cs="Arial" w:eastAsia="Arial" w:hAnsi="Arial"/>
                <w:sz w:val="16"/>
                <w:szCs w:val="16"/>
                <w:b w:val="1"/>
                <w:bCs w:val="1"/>
                <w:color w:val="auto"/>
              </w:rPr>
              <w:t>CHURCHILL CAPITAL CORP IV</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6900" w:type="dxa"/>
            <w:vAlign w:val="bottom"/>
            <w:gridSpan w:val="2"/>
          </w:tcPr>
          <w:p>
            <w:pPr>
              <w:jc w:val="center"/>
              <w:ind w:left="418"/>
              <w:spacing w:after="0"/>
              <w:rPr>
                <w:sz w:val="20"/>
                <w:szCs w:val="20"/>
                <w:color w:val="auto"/>
              </w:rPr>
            </w:pPr>
            <w:r>
              <w:rPr>
                <w:rFonts w:ascii="Arial" w:cs="Arial" w:eastAsia="Arial" w:hAnsi="Arial"/>
                <w:sz w:val="16"/>
                <w:szCs w:val="16"/>
                <w:b w:val="1"/>
                <w:bCs w:val="1"/>
                <w:color w:val="auto"/>
                <w:w w:val="98"/>
              </w:rPr>
              <w:t>STATEMENT OF CASH FLOWS</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900" w:type="dxa"/>
            <w:vAlign w:val="bottom"/>
            <w:gridSpan w:val="2"/>
          </w:tcPr>
          <w:p>
            <w:pPr>
              <w:jc w:val="center"/>
              <w:ind w:left="458"/>
              <w:spacing w:after="0"/>
              <w:rPr>
                <w:sz w:val="20"/>
                <w:szCs w:val="20"/>
                <w:color w:val="auto"/>
              </w:rPr>
            </w:pPr>
            <w:r>
              <w:rPr>
                <w:rFonts w:ascii="Arial" w:cs="Arial" w:eastAsia="Arial" w:hAnsi="Arial"/>
                <w:sz w:val="16"/>
                <w:szCs w:val="16"/>
                <w:b w:val="1"/>
                <w:bCs w:val="1"/>
                <w:color w:val="auto"/>
                <w:w w:val="97"/>
              </w:rPr>
              <w:t>FOR THE PERIOD FROM APRIL 30, 2020 (INCEPTION) THROUGH MAY 22, 2020</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6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900" w:type="dxa"/>
            <w:vAlign w:val="bottom"/>
            <w:gridSpan w:val="2"/>
            <w:shd w:val="clear" w:color="auto" w:fill="CCEEFF"/>
          </w:tcPr>
          <w:p>
            <w:pPr>
              <w:spacing w:after="0" w:line="171" w:lineRule="exact"/>
              <w:rPr>
                <w:sz w:val="20"/>
                <w:szCs w:val="20"/>
                <w:color w:val="auto"/>
              </w:rPr>
            </w:pPr>
            <w:r>
              <w:rPr>
                <w:rFonts w:ascii="Arial" w:cs="Arial" w:eastAsia="Arial" w:hAnsi="Arial"/>
                <w:sz w:val="16"/>
                <w:szCs w:val="16"/>
                <w:b w:val="1"/>
                <w:bCs w:val="1"/>
                <w:color w:val="auto"/>
              </w:rPr>
              <w:t>Cash Flows from Operating Activities:</w:t>
            </w:r>
          </w:p>
        </w:tc>
        <w:tc>
          <w:tcPr>
            <w:tcW w:w="54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90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90"/>
              </w:rPr>
              <w:t>$ (1,000)</w:t>
            </w:r>
          </w:p>
        </w:tc>
        <w:tc>
          <w:tcPr>
            <w:tcW w:w="0" w:type="dxa"/>
            <w:vAlign w:val="bottom"/>
          </w:tcPr>
          <w:p>
            <w:pPr>
              <w:spacing w:after="0"/>
              <w:rPr>
                <w:sz w:val="1"/>
                <w:szCs w:val="1"/>
                <w:color w:val="auto"/>
              </w:rPr>
            </w:pPr>
          </w:p>
        </w:tc>
      </w:tr>
      <w:tr>
        <w:trPr>
          <w:trHeight w:val="233"/>
        </w:trPr>
        <w:tc>
          <w:tcPr>
            <w:tcW w:w="6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Changes in operating assets and liabilities:</w:t>
            </w:r>
          </w:p>
        </w:tc>
        <w:tc>
          <w:tcPr>
            <w:tcW w:w="5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900" w:type="dxa"/>
            <w:vAlign w:val="bottom"/>
            <w:gridSpan w:val="2"/>
          </w:tcPr>
          <w:p>
            <w:pPr>
              <w:ind w:left="160"/>
              <w:spacing w:after="0"/>
              <w:rPr>
                <w:sz w:val="20"/>
                <w:szCs w:val="20"/>
                <w:color w:val="auto"/>
              </w:rPr>
            </w:pPr>
            <w:r>
              <w:rPr>
                <w:rFonts w:ascii="Arial" w:cs="Arial" w:eastAsia="Arial" w:hAnsi="Arial"/>
                <w:sz w:val="16"/>
                <w:szCs w:val="16"/>
                <w:color w:val="auto"/>
              </w:rPr>
              <w:t>Accrued expenses</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37"/>
        </w:trPr>
        <w:tc>
          <w:tcPr>
            <w:tcW w:w="67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6"/>
                <w:szCs w:val="16"/>
                <w:b w:val="1"/>
                <w:bCs w:val="1"/>
                <w:color w:val="auto"/>
              </w:rPr>
              <w:t>Net cash used in operating activities</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690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Proceeds from issuance of common stock to Sponsor</w:t>
            </w: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00" w:type="dxa"/>
            <w:vAlign w:val="bottom"/>
            <w:gridSpan w:val="2"/>
          </w:tcPr>
          <w:p>
            <w:pPr>
              <w:ind w:left="320"/>
              <w:spacing w:after="0"/>
              <w:rPr>
                <w:sz w:val="20"/>
                <w:szCs w:val="20"/>
                <w:color w:val="auto"/>
              </w:rPr>
            </w:pPr>
            <w:r>
              <w:rPr>
                <w:rFonts w:ascii="Arial" w:cs="Arial" w:eastAsia="Arial" w:hAnsi="Arial"/>
                <w:sz w:val="16"/>
                <w:szCs w:val="16"/>
                <w:b w:val="1"/>
                <w:bCs w:val="1"/>
                <w:color w:val="auto"/>
              </w:rPr>
              <w:t>Net cash provided by financing activities</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25,000</w:t>
            </w:r>
          </w:p>
        </w:tc>
        <w:tc>
          <w:tcPr>
            <w:tcW w:w="0" w:type="dxa"/>
            <w:vAlign w:val="bottom"/>
          </w:tcPr>
          <w:p>
            <w:pPr>
              <w:spacing w:after="0"/>
              <w:rPr>
                <w:sz w:val="1"/>
                <w:szCs w:val="1"/>
                <w:color w:val="auto"/>
              </w:rPr>
            </w:pPr>
          </w:p>
        </w:tc>
      </w:tr>
      <w:tr>
        <w:trPr>
          <w:trHeight w:val="231"/>
        </w:trPr>
        <w:tc>
          <w:tcPr>
            <w:tcW w:w="6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Net Change in Cash</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900" w:type="dxa"/>
            <w:vAlign w:val="bottom"/>
            <w:gridSpan w:val="2"/>
          </w:tcPr>
          <w:p>
            <w:pPr>
              <w:spacing w:after="0"/>
              <w:rPr>
                <w:sz w:val="20"/>
                <w:szCs w:val="20"/>
                <w:color w:val="auto"/>
              </w:rPr>
            </w:pPr>
            <w:r>
              <w:rPr>
                <w:rFonts w:ascii="Arial" w:cs="Arial" w:eastAsia="Arial" w:hAnsi="Arial"/>
                <w:sz w:val="16"/>
                <w:szCs w:val="16"/>
                <w:color w:val="auto"/>
              </w:rPr>
              <w:t>Cash — Beginning</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Cash — Ending</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$25,000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90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Deferred offering costs included in accrued offering costs</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$58,000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-566420</wp:posOffset>
            </wp:positionV>
            <wp:extent cx="438023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380230" cy="762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-876935</wp:posOffset>
            </wp:positionV>
            <wp:extent cx="438023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380230" cy="762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-1576070</wp:posOffset>
            </wp:positionV>
            <wp:extent cx="438023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3802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19"/>
        <w:spacing w:after="0"/>
        <w:rPr>
          <w:sz w:val="20"/>
          <w:szCs w:val="20"/>
          <w:color w:val="auto"/>
        </w:rPr>
      </w:pPr>
      <w:r>
        <w:rPr>
          <w:rFonts w:ascii="Arial" w:cs="Arial" w:eastAsia="Arial" w:hAnsi="Arial"/>
          <w:sz w:val="16"/>
          <w:szCs w:val="16"/>
          <w:i w:val="1"/>
          <w:iCs w:val="1"/>
          <w:color w:val="auto"/>
        </w:rPr>
        <w:t>The accompanying notes are an integral part of the financial statements.</w:t>
      </w:r>
    </w:p>
    <w:p>
      <w:pPr>
        <w:spacing w:after="0" w:line="85"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6" w:name="page167"/>
    <w:bookmarkEnd w:id="166"/>
    <w:p>
      <w:pPr>
        <w:spacing w:after="0"/>
        <w:rPr>
          <w:rFonts w:ascii="Arial" w:cs="Arial" w:eastAsia="Arial" w:hAnsi="Arial"/>
          <w:sz w:val="13"/>
          <w:szCs w:val="13"/>
          <w:color w:val="003366"/>
        </w:rPr>
      </w:pPr>
      <w:hyperlink w:anchor="page160">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39"/>
        <w:spacing w:after="0"/>
        <w:rPr>
          <w:sz w:val="20"/>
          <w:szCs w:val="20"/>
          <w:color w:val="auto"/>
        </w:rPr>
      </w:pPr>
      <w:r>
        <w:rPr>
          <w:rFonts w:ascii="Arial" w:cs="Arial" w:eastAsia="Arial" w:hAnsi="Arial"/>
          <w:sz w:val="16"/>
          <w:szCs w:val="16"/>
          <w:b w:val="1"/>
          <w:bCs w:val="1"/>
          <w:color w:val="auto"/>
        </w:rPr>
        <w:t>CHURCHILL CAPITAL CORP IV</w:t>
      </w:r>
    </w:p>
    <w:p>
      <w:pPr>
        <w:spacing w:after="0" w:line="85" w:lineRule="exact"/>
        <w:rPr>
          <w:sz w:val="20"/>
          <w:szCs w:val="20"/>
          <w:color w:val="auto"/>
        </w:rPr>
      </w:pPr>
    </w:p>
    <w:p>
      <w:pPr>
        <w:jc w:val="center"/>
        <w:ind w:right="439"/>
        <w:spacing w:after="0"/>
        <w:rPr>
          <w:sz w:val="20"/>
          <w:szCs w:val="20"/>
          <w:color w:val="auto"/>
        </w:rPr>
      </w:pPr>
      <w:r>
        <w:rPr>
          <w:rFonts w:ascii="Arial" w:cs="Arial" w:eastAsia="Arial" w:hAnsi="Arial"/>
          <w:sz w:val="16"/>
          <w:szCs w:val="16"/>
          <w:b w:val="1"/>
          <w:bCs w:val="1"/>
          <w:color w:val="auto"/>
        </w:rPr>
        <w:t>NOTES TO FINANCIAL STATEMENTS</w:t>
      </w:r>
    </w:p>
    <w:p>
      <w:pPr>
        <w:spacing w:after="0" w:line="183"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Note 1 — Description of Organization and Business Operations</w:t>
      </w:r>
    </w:p>
    <w:p>
      <w:pPr>
        <w:spacing w:after="0" w:line="101" w:lineRule="exact"/>
        <w:rPr>
          <w:sz w:val="20"/>
          <w:szCs w:val="20"/>
          <w:color w:val="auto"/>
        </w:rPr>
      </w:pPr>
    </w:p>
    <w:p>
      <w:pPr>
        <w:ind w:left="1140" w:right="2079" w:firstLine="326"/>
        <w:spacing w:after="0" w:line="249" w:lineRule="auto"/>
        <w:rPr>
          <w:sz w:val="20"/>
          <w:szCs w:val="20"/>
          <w:color w:val="auto"/>
        </w:rPr>
      </w:pPr>
      <w:r>
        <w:rPr>
          <w:rFonts w:ascii="Arial" w:cs="Arial" w:eastAsia="Arial" w:hAnsi="Arial"/>
          <w:sz w:val="16"/>
          <w:szCs w:val="16"/>
          <w:color w:val="auto"/>
        </w:rPr>
        <w:t>Churchill Capital Corp IV (formerly known as Annetta Acquisition Corp) (the “Company”) was incorporated in Delaware on April 30, 2020. The Company was formed for the purpose of effecting a merger, capital stock exchange, asset acquisition, stock purchase, reorganization or similar business combination with one or more businesses (the “Business Combination”).</w:t>
      </w:r>
    </w:p>
    <w:p>
      <w:pPr>
        <w:spacing w:after="0" w:line="68" w:lineRule="exact"/>
        <w:rPr>
          <w:sz w:val="20"/>
          <w:szCs w:val="20"/>
          <w:color w:val="auto"/>
        </w:rPr>
      </w:pPr>
    </w:p>
    <w:p>
      <w:pPr>
        <w:ind w:left="1140" w:right="1659" w:firstLine="326"/>
        <w:spacing w:after="0" w:line="269" w:lineRule="auto"/>
        <w:rPr>
          <w:sz w:val="20"/>
          <w:szCs w:val="20"/>
          <w:color w:val="auto"/>
        </w:rPr>
      </w:pPr>
      <w:r>
        <w:rPr>
          <w:rFonts w:ascii="Arial" w:cs="Arial" w:eastAsia="Arial" w:hAnsi="Arial"/>
          <w:sz w:val="16"/>
          <w:szCs w:val="16"/>
          <w:color w:val="auto"/>
        </w:rPr>
        <w:t>The Company is an early stage and emerging growth company and, as such, the Company is subject to all of the risks associated with early stage and emerging growth companies.</w:t>
      </w:r>
    </w:p>
    <w:p>
      <w:pPr>
        <w:spacing w:after="0" w:line="52" w:lineRule="exact"/>
        <w:rPr>
          <w:sz w:val="20"/>
          <w:szCs w:val="20"/>
          <w:color w:val="auto"/>
        </w:rPr>
      </w:pPr>
    </w:p>
    <w:p>
      <w:pPr>
        <w:ind w:left="1140" w:right="1619" w:firstLine="326"/>
        <w:spacing w:after="0" w:line="264" w:lineRule="auto"/>
        <w:rPr>
          <w:sz w:val="20"/>
          <w:szCs w:val="20"/>
          <w:color w:val="auto"/>
        </w:rPr>
      </w:pPr>
      <w:r>
        <w:rPr>
          <w:rFonts w:ascii="Arial" w:cs="Arial" w:eastAsia="Arial" w:hAnsi="Arial"/>
          <w:sz w:val="15"/>
          <w:szCs w:val="15"/>
          <w:color w:val="auto"/>
        </w:rPr>
        <w:t>As of May 22, 2020, the Company had not commenced any operations. All activity for the period from April 30, 2020 (inception) through May 22, 2020 relates to the Company’s formation and the proposed initial public offering (“Proposed Public Offering”), which is described below. The Company will not generate any operating revenues until after the completion of its initial Business Combination, at the earliest. The Company will generate non-operating income in the form of interest income from the proceeds derived from the Proposed Public Offering. The Company has selected December 31 as its fiscal year end.</w:t>
      </w:r>
    </w:p>
    <w:p>
      <w:pPr>
        <w:spacing w:after="0" w:line="60" w:lineRule="exact"/>
        <w:rPr>
          <w:sz w:val="20"/>
          <w:szCs w:val="20"/>
          <w:color w:val="auto"/>
        </w:rPr>
      </w:pPr>
    </w:p>
    <w:p>
      <w:pPr>
        <w:ind w:left="1140" w:right="1579" w:firstLine="326"/>
        <w:spacing w:after="0" w:line="262" w:lineRule="auto"/>
        <w:rPr>
          <w:sz w:val="20"/>
          <w:szCs w:val="20"/>
          <w:color w:val="auto"/>
        </w:rPr>
      </w:pPr>
      <w:r>
        <w:rPr>
          <w:rFonts w:ascii="Arial" w:cs="Arial" w:eastAsia="Arial" w:hAnsi="Arial"/>
          <w:sz w:val="15"/>
          <w:szCs w:val="15"/>
          <w:color w:val="auto"/>
        </w:rPr>
        <w:t>The Company’s ability to commence operations is contingent upon obtaining adequate financial resources through a Proposed Public Offering of 150,000,000 units (the “Units” and, with respect to the shares of Class A common stock included in the Units being offered, the “Public Shares”) at $ 10.00 per Unit (or 172,500,000 Units if the underwriters’ over-allotment option is exercised in full), which is discussed in Note 3, and the sale of 31,350,000 warrants (or 35,850,000 warrants if the underwriters’ over-allotment option is exercised in full) (each, a “Private Placement Warrant” and, collectively, the “Private Placement Warrants”) at a price of $1.00 per Private Placement Warrant in a private placement to the Churchill Sponsor IV LLC (the “Sponsor”) that will close simultaneously with the Proposed Public Offering.</w:t>
      </w:r>
    </w:p>
    <w:p>
      <w:pPr>
        <w:spacing w:after="0" w:line="59" w:lineRule="exact"/>
        <w:rPr>
          <w:sz w:val="20"/>
          <w:szCs w:val="20"/>
          <w:color w:val="auto"/>
        </w:rPr>
      </w:pPr>
    </w:p>
    <w:p>
      <w:pPr>
        <w:ind w:left="1140" w:right="1659" w:firstLine="326"/>
        <w:spacing w:after="0" w:line="257" w:lineRule="auto"/>
        <w:rPr>
          <w:sz w:val="20"/>
          <w:szCs w:val="20"/>
          <w:color w:val="auto"/>
        </w:rPr>
      </w:pPr>
      <w:r>
        <w:rPr>
          <w:rFonts w:ascii="Arial" w:cs="Arial" w:eastAsia="Arial" w:hAnsi="Arial"/>
          <w:sz w:val="15"/>
          <w:szCs w:val="15"/>
          <w:color w:val="auto"/>
        </w:rPr>
        <w:t>The Company’s management has broad discretion with respect to the specific application of the net proceeds of the Proposed Public Offering and the sale of the Private Placement Warrants, although substantially all of the net proceeds are intended to be applied generally toward consummating a Business Combination. There is no assurance that the Company will be able to complete a Business Combination successfully. The Company’s initial Business Combination must be with one or more target businesses that together have a fair market value equal to at least 80% of the balance in the Trust Account (as defined below) (excluding taxes payable on interest income earned from the Trust Account and the deferred underwriting commissions) at the time of the agreement to enter into the initial Business Combination. The Company will only complete a Business Combination if the post-transaction company owns or acquires</w:t>
      </w:r>
    </w:p>
    <w:p>
      <w:pPr>
        <w:spacing w:after="0" w:line="3" w:lineRule="exact"/>
        <w:rPr>
          <w:sz w:val="20"/>
          <w:szCs w:val="20"/>
          <w:color w:val="auto"/>
        </w:rPr>
      </w:pPr>
    </w:p>
    <w:p>
      <w:pPr>
        <w:ind w:left="1140" w:right="1639"/>
        <w:spacing w:after="0" w:line="255" w:lineRule="auto"/>
        <w:rPr>
          <w:sz w:val="20"/>
          <w:szCs w:val="20"/>
          <w:color w:val="auto"/>
        </w:rPr>
      </w:pPr>
      <w:r>
        <w:rPr>
          <w:rFonts w:ascii="Arial" w:cs="Arial" w:eastAsia="Arial" w:hAnsi="Arial"/>
          <w:sz w:val="15"/>
          <w:szCs w:val="15"/>
          <w:color w:val="auto"/>
        </w:rPr>
        <w:t>50% or more of the outstanding voting securities of the target or otherwise acquires a controlling interest in the target sufficient for it not to be required to register as an investment company under the Investment Company Act of 1940, as amended (the “Investment Company Act”). Upon the closing of the Proposed Public Offering, management has agreed that an amount equal to at least $10.00 per Unit sold in the Proposed Public Offering, including the proceeds of the Private Placement Warrants, will be held in a trust account (“Trust Account”), located in the United States and invested only in U.S. government securities, within the meaning set forth in Section 2(a)(16) of the Investment Company Act, with a maturity of</w:t>
      </w:r>
    </w:p>
    <w:p>
      <w:pPr>
        <w:spacing w:after="0" w:line="1" w:lineRule="exact"/>
        <w:rPr>
          <w:sz w:val="20"/>
          <w:szCs w:val="20"/>
          <w:color w:val="auto"/>
        </w:rPr>
      </w:pPr>
    </w:p>
    <w:p>
      <w:pPr>
        <w:ind w:left="1140" w:right="1679"/>
        <w:spacing w:after="0" w:line="241" w:lineRule="auto"/>
        <w:rPr>
          <w:sz w:val="20"/>
          <w:szCs w:val="20"/>
          <w:color w:val="auto"/>
        </w:rPr>
      </w:pPr>
      <w:r>
        <w:rPr>
          <w:rFonts w:ascii="Arial" w:cs="Arial" w:eastAsia="Arial" w:hAnsi="Arial"/>
          <w:sz w:val="16"/>
          <w:szCs w:val="16"/>
          <w:color w:val="auto"/>
        </w:rPr>
        <w:t>185 days or less or in any open-ended investment company that holds itself out as a money market fund selected by the Company meeting the conditions of Rule 2a-7 of the Investment Company Act, as determined by the Company, until the earlier of: (i) the completion of a Business Combination or (ii) the distribution of the Trust Account, as described below, except that interest earned on the Trust Account can be released to the Company to fund working capital requirements, subject to an annual limit of $1,000,000 and/or to pay its tax obligations.</w:t>
      </w:r>
    </w:p>
    <w:p>
      <w:pPr>
        <w:spacing w:after="0" w:line="76" w:lineRule="exact"/>
        <w:rPr>
          <w:sz w:val="20"/>
          <w:szCs w:val="20"/>
          <w:color w:val="auto"/>
        </w:rPr>
      </w:pPr>
    </w:p>
    <w:p>
      <w:pPr>
        <w:ind w:left="1140" w:right="1579" w:firstLine="326"/>
        <w:spacing w:after="0" w:line="262" w:lineRule="auto"/>
        <w:rPr>
          <w:sz w:val="20"/>
          <w:szCs w:val="20"/>
          <w:color w:val="auto"/>
        </w:rPr>
      </w:pPr>
      <w:r>
        <w:rPr>
          <w:rFonts w:ascii="Arial" w:cs="Arial" w:eastAsia="Arial" w:hAnsi="Arial"/>
          <w:sz w:val="15"/>
          <w:szCs w:val="15"/>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$10.00 per Public Share, plus any pro rata interest, net of amounts withdrawn for working capital requirements, subject to an annual limit</w:t>
      </w:r>
    </w:p>
    <w:p>
      <w:pPr>
        <w:spacing w:after="0" w:line="218"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7" w:name="page168"/>
    <w:bookmarkEnd w:id="167"/>
    <w:p>
      <w:pPr>
        <w:spacing w:after="0"/>
        <w:rPr>
          <w:rFonts w:ascii="Arial" w:cs="Arial" w:eastAsia="Arial" w:hAnsi="Arial"/>
          <w:sz w:val="13"/>
          <w:szCs w:val="13"/>
          <w:color w:val="003366"/>
        </w:rPr>
      </w:pPr>
      <w:hyperlink w:anchor="page160">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CHURCHILL CAPITAL CORP IV</w:t>
      </w:r>
    </w:p>
    <w:p>
      <w:pPr>
        <w:spacing w:after="0" w:line="85"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auto"/>
        </w:rPr>
        <w:t>NOTES TO FINANCIAL STATEMENTS</w:t>
      </w:r>
    </w:p>
    <w:p>
      <w:pPr>
        <w:spacing w:after="0" w:line="199" w:lineRule="exact"/>
        <w:rPr>
          <w:sz w:val="20"/>
          <w:szCs w:val="20"/>
          <w:color w:val="auto"/>
        </w:rPr>
      </w:pPr>
    </w:p>
    <w:p>
      <w:pPr>
        <w:ind w:left="1140" w:right="1659"/>
        <w:spacing w:after="0" w:line="244" w:lineRule="auto"/>
        <w:rPr>
          <w:sz w:val="20"/>
          <w:szCs w:val="20"/>
          <w:color w:val="auto"/>
        </w:rPr>
      </w:pPr>
      <w:r>
        <w:rPr>
          <w:rFonts w:ascii="Arial" w:cs="Arial" w:eastAsia="Arial" w:hAnsi="Arial"/>
          <w:sz w:val="16"/>
          <w:szCs w:val="16"/>
          <w:color w:val="auto"/>
        </w:rPr>
        <w:t>of $1,000,000 and/or to pay its taxes (“permitted withdrawals”)). The per-share amount to be distributed to public stockholders who redeem their Public Shares will not be reduced by the deferred underwriting commissions the Company will pay to the underwriters (as discussed in Note 6) . There will be no redemption rights upon the completion of a Business Combination with respect to the Company’s warrants. The Public Shares subject to redemption will be recorded at redemption value and classified as temporary equity upon the completion of the Proposed Public Offering in accordance with the Accounting Standards Codification (“ASC”) Topic 480 “Distinguishing Liabilities from Equity.”</w:t>
      </w:r>
    </w:p>
    <w:p>
      <w:pPr>
        <w:spacing w:after="0" w:line="73" w:lineRule="exact"/>
        <w:rPr>
          <w:sz w:val="20"/>
          <w:szCs w:val="20"/>
          <w:color w:val="auto"/>
        </w:rPr>
      </w:pPr>
    </w:p>
    <w:p>
      <w:pPr>
        <w:ind w:left="1140" w:right="1599" w:firstLine="326"/>
        <w:spacing w:after="0" w:line="241" w:lineRule="auto"/>
        <w:rPr>
          <w:sz w:val="20"/>
          <w:szCs w:val="20"/>
          <w:color w:val="auto"/>
        </w:rPr>
      </w:pPr>
      <w:r>
        <w:rPr>
          <w:rFonts w:ascii="Arial" w:cs="Arial" w:eastAsia="Arial" w:hAnsi="Arial"/>
          <w:sz w:val="16"/>
          <w:szCs w:val="16"/>
          <w:color w:val="auto"/>
        </w:rPr>
        <w:t>The Company will proceed with a Business Combination if the Company has net tangible assets of at least $5,000,001 upon such consummation of a Business Combination and, if the Company seeks stockholder approval, a majority of the shares voted are voted in favor of the Business Combination. If a stockholder vote is not required by law or stock exchange requirements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Company’s Sponsor and its permitted transferees will agree to vote their Founder Shares (as defined in Note 5) and any Public Shares purchased during or after the Proposed Public Offering in favor of approving a Business Combination. Additionally, each public stockholder may elect to redeem their Public Shares irrespective of whether they vote for or against the proposed transaction.</w:t>
      </w:r>
    </w:p>
    <w:p>
      <w:pPr>
        <w:spacing w:after="0" w:line="77" w:lineRule="exact"/>
        <w:rPr>
          <w:sz w:val="20"/>
          <w:szCs w:val="20"/>
          <w:color w:val="auto"/>
        </w:rPr>
      </w:pPr>
    </w:p>
    <w:p>
      <w:pPr>
        <w:ind w:left="1140" w:right="1599" w:firstLine="326"/>
        <w:spacing w:after="0" w:line="244" w:lineRule="auto"/>
        <w:rPr>
          <w:sz w:val="20"/>
          <w:szCs w:val="20"/>
          <w:color w:val="auto"/>
        </w:rPr>
      </w:pPr>
      <w:r>
        <w:rPr>
          <w:rFonts w:ascii="Arial" w:cs="Arial" w:eastAsia="Arial" w:hAnsi="Arial"/>
          <w:sz w:val="16"/>
          <w:szCs w:val="16"/>
          <w:color w:val="auto"/>
        </w:rPr>
        <w:t>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73" w:lineRule="exact"/>
        <w:rPr>
          <w:sz w:val="20"/>
          <w:szCs w:val="20"/>
          <w:color w:val="auto"/>
        </w:rPr>
      </w:pPr>
    </w:p>
    <w:p>
      <w:pPr>
        <w:ind w:left="1140" w:right="1579" w:firstLine="326"/>
        <w:spacing w:after="0" w:line="262" w:lineRule="auto"/>
        <w:rPr>
          <w:sz w:val="20"/>
          <w:szCs w:val="20"/>
          <w:color w:val="auto"/>
        </w:rPr>
      </w:pPr>
      <w:r>
        <w:rPr>
          <w:rFonts w:ascii="Arial" w:cs="Arial" w:eastAsia="Arial" w:hAnsi="Arial"/>
          <w:sz w:val="15"/>
          <w:szCs w:val="15"/>
          <w:color w:val="auto"/>
        </w:rPr>
        <w:t>The Sponsor has agreed (a) to waive its redemption rights with respect to its Founder Shares and Public Shares held by it in connection with the completion of a Business Combination, (b) to waive its rights to liquidating distributions from the Trust Account with respect to its Founder Shares if the Company fails to consummate a Business Combination within the Combination Window (as defined below) and (c)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with the opportunity to redeem their shares in conjunction with any such amendment.</w:t>
      </w:r>
    </w:p>
    <w:p>
      <w:pPr>
        <w:spacing w:after="0" w:line="59" w:lineRule="exact"/>
        <w:rPr>
          <w:sz w:val="20"/>
          <w:szCs w:val="20"/>
          <w:color w:val="auto"/>
        </w:rPr>
      </w:pPr>
    </w:p>
    <w:p>
      <w:pPr>
        <w:ind w:left="1140" w:right="1619" w:firstLine="326"/>
        <w:spacing w:after="0" w:line="259" w:lineRule="auto"/>
        <w:rPr>
          <w:sz w:val="20"/>
          <w:szCs w:val="20"/>
          <w:color w:val="auto"/>
        </w:rPr>
      </w:pPr>
      <w:r>
        <w:rPr>
          <w:rFonts w:ascii="Arial" w:cs="Arial" w:eastAsia="Arial" w:hAnsi="Arial"/>
          <w:sz w:val="15"/>
          <w:szCs w:val="15"/>
          <w:color w:val="auto"/>
        </w:rPr>
        <w:t>If the Company is unable to complete a Business Combination within 24 months from the closing of the Proposed Public Offering (or 27 months from the closing of the Proposed Public Offering if the Company has an executed letter of intent, agreement in principle or definitive agreement for a Business Combination within 24 months from the closing of the Proposed Public Offering) (the “Combination Window”),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(net of permitted withdrawals and up to $ 100,000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w:t>
      </w:r>
    </w:p>
    <w:p>
      <w:pPr>
        <w:spacing w:after="0" w:line="210"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8" w:name="page169"/>
    <w:bookmarkEnd w:id="168"/>
    <w:p>
      <w:pPr>
        <w:spacing w:after="0"/>
        <w:rPr>
          <w:rFonts w:ascii="Arial" w:cs="Arial" w:eastAsia="Arial" w:hAnsi="Arial"/>
          <w:sz w:val="13"/>
          <w:szCs w:val="13"/>
          <w:color w:val="003366"/>
        </w:rPr>
      </w:pPr>
      <w:hyperlink w:anchor="page160">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CHURCHILL CAPITAL CORP IV</w:t>
      </w:r>
    </w:p>
    <w:p>
      <w:pPr>
        <w:spacing w:after="0" w:line="85"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auto"/>
        </w:rPr>
        <w:t>NOTES TO FINANCIAL STATEMENTS</w:t>
      </w:r>
    </w:p>
    <w:p>
      <w:pPr>
        <w:spacing w:after="0" w:line="199" w:lineRule="exact"/>
        <w:rPr>
          <w:sz w:val="20"/>
          <w:szCs w:val="20"/>
          <w:color w:val="auto"/>
        </w:rPr>
      </w:pPr>
    </w:p>
    <w:p>
      <w:pPr>
        <w:ind w:left="1140" w:right="1779"/>
        <w:spacing w:after="0" w:line="254" w:lineRule="auto"/>
        <w:rPr>
          <w:sz w:val="20"/>
          <w:szCs w:val="20"/>
          <w:color w:val="auto"/>
        </w:rPr>
      </w:pPr>
      <w:r>
        <w:rPr>
          <w:rFonts w:ascii="Arial" w:cs="Arial" w:eastAsia="Arial" w:hAnsi="Arial"/>
          <w:sz w:val="16"/>
          <w:szCs w:val="16"/>
          <w:color w:val="auto"/>
        </w:rPr>
        <w:t>creditors and the requirements of other applicable law. There will be no redemption rights or liquidating distributions with respect to the Company’s warrants, which will expire worthless if the Company fails to complete a Business Combination within the Combination Window.</w:t>
      </w:r>
    </w:p>
    <w:p>
      <w:pPr>
        <w:spacing w:after="0" w:line="64" w:lineRule="exact"/>
        <w:rPr>
          <w:sz w:val="20"/>
          <w:szCs w:val="20"/>
          <w:color w:val="auto"/>
        </w:rPr>
      </w:pPr>
    </w:p>
    <w:p>
      <w:pPr>
        <w:ind w:left="1140" w:right="1779" w:firstLine="326"/>
        <w:spacing w:after="0" w:line="242" w:lineRule="auto"/>
        <w:rPr>
          <w:sz w:val="20"/>
          <w:szCs w:val="20"/>
          <w:color w:val="auto"/>
        </w:rPr>
      </w:pPr>
      <w:r>
        <w:rPr>
          <w:rFonts w:ascii="Arial" w:cs="Arial" w:eastAsia="Arial" w:hAnsi="Arial"/>
          <w:sz w:val="16"/>
          <w:szCs w:val="16"/>
          <w:color w:val="auto"/>
        </w:rPr>
        <w:t>The Sponsor has agreed to waive its right to liquidating distributions from the Trust Account with respect to the Founder Shares if the Company fails to complete a Business Combination within the Combination Window. However, if the Sponsor acquires Public Shares in or after the Proposed Public Offering, such Public Shares will be entitled to liquidating distributions from the Trust Account if the Company fails to complete a Business Combination within the Combination Window. The underwriters have agreed to waive their rights to their deferred underwriting commission (see Note 6) held in the Trust Account in the event the Company does not complete a Business Combination within the Combination Window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Proposed Public Offering price per Unit ($10.00).</w:t>
      </w:r>
    </w:p>
    <w:p>
      <w:pPr>
        <w:spacing w:after="0" w:line="75" w:lineRule="exact"/>
        <w:rPr>
          <w:sz w:val="20"/>
          <w:szCs w:val="20"/>
          <w:color w:val="auto"/>
        </w:rPr>
      </w:pPr>
    </w:p>
    <w:p>
      <w:pPr>
        <w:ind w:left="1140" w:right="1599" w:firstLine="326"/>
        <w:spacing w:after="0" w:line="241" w:lineRule="auto"/>
        <w:rPr>
          <w:sz w:val="20"/>
          <w:szCs w:val="20"/>
          <w:color w:val="auto"/>
        </w:rPr>
      </w:pPr>
      <w:r>
        <w:rPr>
          <w:rFonts w:ascii="Arial" w:cs="Arial" w:eastAsia="Arial" w:hAnsi="Arial"/>
          <w:sz w:val="16"/>
          <w:szCs w:val="16"/>
          <w:color w:val="auto"/>
        </w:rPr>
        <w:t>In order to protect the amounts held in the Trust Account, the Sponsor has agreed to be liable to the Company if and to the extent any claims by a third party (other than the Company’s independent registered public accounting firm) for services rendered or products sold to the Company, or a prospective target business with which the Company has entered into a written letter of intent, confidentiality or similar agreement, reduce the amount of funds in the Trust Account to below (i) $ 10.00 per Public Share or (ii) the amount per Public Share held in the Trust Account as of the liquidation of the Trust Account, if less than $10.00 per Public Share due to reductions in the value of the trust assets, in each case net of permitted withdrawals. This liability will not apply with respect to any claims by a third party who executed a waiver of any and all rights to seek access to the Trust Account or to any claims under the Company’s indemnity of the underwriters of the Proposed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Going Concern Consideration</w:t>
      </w:r>
    </w:p>
    <w:p>
      <w:pPr>
        <w:spacing w:after="0" w:line="97" w:lineRule="exact"/>
        <w:rPr>
          <w:sz w:val="20"/>
          <w:szCs w:val="20"/>
          <w:color w:val="auto"/>
        </w:rPr>
      </w:pPr>
    </w:p>
    <w:p>
      <w:pPr>
        <w:ind w:left="1140" w:right="1679" w:firstLine="326"/>
        <w:spacing w:after="0" w:line="243" w:lineRule="auto"/>
        <w:rPr>
          <w:sz w:val="20"/>
          <w:szCs w:val="20"/>
          <w:color w:val="auto"/>
        </w:rPr>
      </w:pPr>
      <w:r>
        <w:rPr>
          <w:rFonts w:ascii="Arial" w:cs="Arial" w:eastAsia="Arial" w:hAnsi="Arial"/>
          <w:sz w:val="16"/>
          <w:szCs w:val="16"/>
          <w:color w:val="auto"/>
        </w:rPr>
        <w:t>At May 22, 2020, the Company had $25,000 in cash and working capital deficit of $34,000. The Company has incurred and expects to continue to incur significant costs in pursuit of its financing and acquisition plans. These conditions raise substantial doubt about the Company’s ability to continue as a going concern within one year after the date that the financial statements are issued. Management plans to address this uncertainty through a Proposed Public Offering as discussed in Note 3. There is no assurance that the Company’s plans to raise capital or to consummate a Business Combination will be successful within the Combination Window. The financial statements do not include any adjustments that might result from the outcome of this uncertainty.</w:t>
      </w:r>
    </w:p>
    <w:p>
      <w:pPr>
        <w:spacing w:after="0" w:line="161" w:lineRule="exact"/>
        <w:rPr>
          <w:sz w:val="20"/>
          <w:szCs w:val="20"/>
          <w:color w:val="auto"/>
        </w:rPr>
      </w:pPr>
    </w:p>
    <w:p>
      <w:pPr>
        <w:ind w:left="122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97" w:lineRule="exact"/>
        <w:rPr>
          <w:sz w:val="20"/>
          <w:szCs w:val="20"/>
          <w:color w:val="auto"/>
        </w:rPr>
      </w:pPr>
    </w:p>
    <w:p>
      <w:pPr>
        <w:ind w:left="1140" w:right="1739" w:firstLine="326"/>
        <w:spacing w:after="0" w:line="254" w:lineRule="auto"/>
        <w:rPr>
          <w:sz w:val="20"/>
          <w:szCs w:val="20"/>
          <w:color w:val="auto"/>
        </w:rPr>
      </w:pPr>
      <w:r>
        <w:rPr>
          <w:rFonts w:ascii="Arial" w:cs="Arial" w:eastAsia="Arial" w:hAnsi="Arial"/>
          <w:sz w:val="16"/>
          <w:szCs w:val="16"/>
          <w:color w:val="auto"/>
        </w:rPr>
        <w:t>The accompanying financial statements are presented in in conformity with accounting principles generally accepted in the United States of America (“GAAP”) and pursuant to the rules and regulations of the SEC.</w:t>
      </w:r>
    </w:p>
    <w:p>
      <w:pPr>
        <w:spacing w:after="0" w:line="150"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Emerging Growth Company</w:t>
      </w:r>
    </w:p>
    <w:p>
      <w:pPr>
        <w:spacing w:after="0" w:line="97" w:lineRule="exact"/>
        <w:rPr>
          <w:sz w:val="20"/>
          <w:szCs w:val="20"/>
          <w:color w:val="auto"/>
        </w:rPr>
      </w:pPr>
    </w:p>
    <w:p>
      <w:pPr>
        <w:ind w:left="1140" w:right="1679" w:firstLine="326"/>
        <w:spacing w:after="0" w:line="279" w:lineRule="auto"/>
        <w:rPr>
          <w:sz w:val="20"/>
          <w:szCs w:val="20"/>
          <w:color w:val="auto"/>
        </w:rPr>
      </w:pPr>
      <w:r>
        <w:rPr>
          <w:rFonts w:ascii="Arial" w:cs="Arial" w:eastAsia="Arial" w:hAnsi="Arial"/>
          <w:sz w:val="15"/>
          <w:szCs w:val="15"/>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w:t>
      </w:r>
    </w:p>
    <w:p>
      <w:pPr>
        <w:spacing w:after="0" w:line="193"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9" w:name="page170"/>
    <w:bookmarkEnd w:id="169"/>
    <w:p>
      <w:pPr>
        <w:spacing w:after="0"/>
        <w:rPr>
          <w:rFonts w:ascii="Arial" w:cs="Arial" w:eastAsia="Arial" w:hAnsi="Arial"/>
          <w:sz w:val="13"/>
          <w:szCs w:val="13"/>
          <w:color w:val="003366"/>
        </w:rPr>
      </w:pPr>
      <w:hyperlink w:anchor="page160">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CHURCHILL CAPITAL CORP IV</w:t>
      </w:r>
    </w:p>
    <w:p>
      <w:pPr>
        <w:spacing w:after="0" w:line="85"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auto"/>
        </w:rPr>
        <w:t>NOTES TO FINANCIAL STATEMENTS</w:t>
      </w:r>
    </w:p>
    <w:p>
      <w:pPr>
        <w:spacing w:after="0" w:line="199" w:lineRule="exact"/>
        <w:rPr>
          <w:sz w:val="20"/>
          <w:szCs w:val="20"/>
          <w:color w:val="auto"/>
        </w:rPr>
      </w:pPr>
    </w:p>
    <w:p>
      <w:pPr>
        <w:ind w:left="1140" w:right="1619"/>
        <w:spacing w:after="0" w:line="245" w:lineRule="auto"/>
        <w:rPr>
          <w:sz w:val="20"/>
          <w:szCs w:val="20"/>
          <w:color w:val="auto"/>
        </w:rPr>
      </w:pPr>
      <w:r>
        <w:rPr>
          <w:rFonts w:ascii="Arial" w:cs="Arial" w:eastAsia="Arial" w:hAnsi="Arial"/>
          <w:sz w:val="16"/>
          <w:szCs w:val="16"/>
          <w:color w:val="auto"/>
        </w:rPr>
        <w:t>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72" w:lineRule="exact"/>
        <w:rPr>
          <w:sz w:val="20"/>
          <w:szCs w:val="20"/>
          <w:color w:val="auto"/>
        </w:rPr>
      </w:pPr>
    </w:p>
    <w:p>
      <w:pPr>
        <w:ind w:left="1140" w:right="1559" w:firstLine="326"/>
        <w:spacing w:after="0" w:line="259" w:lineRule="auto"/>
        <w:rPr>
          <w:sz w:val="20"/>
          <w:szCs w:val="20"/>
          <w:color w:val="auto"/>
        </w:rPr>
      </w:pPr>
      <w:r>
        <w:rPr>
          <w:rFonts w:ascii="Arial" w:cs="Arial" w:eastAsia="Arial" w:hAnsi="Arial"/>
          <w:sz w:val="15"/>
          <w:szCs w:val="15"/>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 -emerging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49"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97" w:lineRule="exact"/>
        <w:rPr>
          <w:sz w:val="20"/>
          <w:szCs w:val="20"/>
          <w:color w:val="auto"/>
        </w:rPr>
      </w:pPr>
    </w:p>
    <w:p>
      <w:pPr>
        <w:ind w:left="1140" w:right="1559" w:firstLine="326"/>
        <w:spacing w:after="0" w:line="249" w:lineRule="auto"/>
        <w:rPr>
          <w:sz w:val="20"/>
          <w:szCs w:val="20"/>
          <w:color w:val="auto"/>
        </w:rPr>
      </w:pPr>
      <w:r>
        <w:rPr>
          <w:rFonts w:ascii="Arial" w:cs="Arial" w:eastAsia="Arial" w:hAnsi="Arial"/>
          <w:sz w:val="16"/>
          <w:szCs w:val="16"/>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68" w:lineRule="exact"/>
        <w:rPr>
          <w:sz w:val="20"/>
          <w:szCs w:val="20"/>
          <w:color w:val="auto"/>
        </w:rPr>
      </w:pPr>
    </w:p>
    <w:p>
      <w:pPr>
        <w:ind w:left="1140" w:right="1659" w:firstLine="326"/>
        <w:spacing w:after="0" w:line="246"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Deferred Offering Costs</w:t>
      </w:r>
    </w:p>
    <w:p>
      <w:pPr>
        <w:spacing w:after="0" w:line="97" w:lineRule="exact"/>
        <w:rPr>
          <w:sz w:val="20"/>
          <w:szCs w:val="20"/>
          <w:color w:val="auto"/>
        </w:rPr>
      </w:pPr>
    </w:p>
    <w:p>
      <w:pPr>
        <w:ind w:left="1140" w:right="1619" w:firstLine="326"/>
        <w:spacing w:after="0" w:line="246" w:lineRule="auto"/>
        <w:rPr>
          <w:sz w:val="20"/>
          <w:szCs w:val="20"/>
          <w:color w:val="auto"/>
        </w:rPr>
      </w:pPr>
      <w:r>
        <w:rPr>
          <w:rFonts w:ascii="Arial" w:cs="Arial" w:eastAsia="Arial" w:hAnsi="Arial"/>
          <w:sz w:val="16"/>
          <w:szCs w:val="16"/>
          <w:color w:val="auto"/>
        </w:rPr>
        <w:t>Deferred offering costs consist of legal, accounting, underwriting fees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Income Taxes</w:t>
      </w:r>
    </w:p>
    <w:p>
      <w:pPr>
        <w:spacing w:after="0" w:line="97" w:lineRule="exact"/>
        <w:rPr>
          <w:sz w:val="20"/>
          <w:szCs w:val="20"/>
          <w:color w:val="auto"/>
        </w:rPr>
      </w:pPr>
    </w:p>
    <w:p>
      <w:pPr>
        <w:ind w:left="1140" w:right="1579" w:firstLine="326"/>
        <w:spacing w:after="0" w:line="262" w:lineRule="auto"/>
        <w:rPr>
          <w:sz w:val="20"/>
          <w:szCs w:val="20"/>
          <w:color w:val="auto"/>
        </w:rPr>
      </w:pPr>
      <w:r>
        <w:rPr>
          <w:rFonts w:ascii="Arial" w:cs="Arial" w:eastAsia="Arial" w:hAnsi="Arial"/>
          <w:sz w:val="15"/>
          <w:szCs w:val="15"/>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59" w:lineRule="exact"/>
        <w:rPr>
          <w:sz w:val="20"/>
          <w:szCs w:val="20"/>
          <w:color w:val="auto"/>
        </w:rPr>
      </w:pPr>
    </w:p>
    <w:p>
      <w:pPr>
        <w:ind w:left="1140" w:right="1719" w:firstLine="326"/>
        <w:spacing w:after="0" w:line="271" w:lineRule="auto"/>
        <w:rPr>
          <w:sz w:val="20"/>
          <w:szCs w:val="20"/>
          <w:color w:val="auto"/>
        </w:rPr>
      </w:pPr>
      <w:r>
        <w:rPr>
          <w:rFonts w:ascii="Arial" w:cs="Arial" w:eastAsia="Arial" w:hAnsi="Arial"/>
          <w:sz w:val="15"/>
          <w:szCs w:val="15"/>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w:t>
      </w:r>
    </w:p>
    <w:p>
      <w:pPr>
        <w:spacing w:after="0" w:line="199"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70" w:name="page171"/>
    <w:bookmarkEnd w:id="170"/>
    <w:p>
      <w:pPr>
        <w:spacing w:after="0"/>
        <w:rPr>
          <w:rFonts w:ascii="Arial" w:cs="Arial" w:eastAsia="Arial" w:hAnsi="Arial"/>
          <w:sz w:val="13"/>
          <w:szCs w:val="13"/>
          <w:color w:val="003366"/>
        </w:rPr>
      </w:pPr>
      <w:hyperlink w:anchor="page160">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CHURCHILL CAPITAL CORP IV</w:t>
      </w:r>
    </w:p>
    <w:p>
      <w:pPr>
        <w:spacing w:after="0" w:line="85"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auto"/>
        </w:rPr>
        <w:t>NOTES TO FINANCIAL STATEMENTS</w:t>
      </w:r>
    </w:p>
    <w:p>
      <w:pPr>
        <w:spacing w:after="0" w:line="199" w:lineRule="exact"/>
        <w:rPr>
          <w:sz w:val="20"/>
          <w:szCs w:val="20"/>
          <w:color w:val="auto"/>
        </w:rPr>
      </w:pPr>
    </w:p>
    <w:p>
      <w:pPr>
        <w:ind w:left="1140" w:right="1739"/>
        <w:spacing w:after="0" w:line="249" w:lineRule="auto"/>
        <w:rPr>
          <w:sz w:val="20"/>
          <w:szCs w:val="20"/>
          <w:color w:val="auto"/>
        </w:rPr>
      </w:pPr>
      <w:r>
        <w:rPr>
          <w:rFonts w:ascii="Arial" w:cs="Arial" w:eastAsia="Arial" w:hAnsi="Arial"/>
          <w:sz w:val="16"/>
          <w:szCs w:val="16"/>
          <w:color w:val="auto"/>
        </w:rPr>
        <w:t>benefits as income tax expense. There were no unrecognized tax benefits and no amounts accrued for interest and penalties as of May 22,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68" w:lineRule="exact"/>
        <w:rPr>
          <w:sz w:val="20"/>
          <w:szCs w:val="20"/>
          <w:color w:val="auto"/>
        </w:rPr>
      </w:pPr>
    </w:p>
    <w:p>
      <w:pPr>
        <w:ind w:left="1140" w:right="2099" w:firstLine="326"/>
        <w:spacing w:after="0" w:line="269" w:lineRule="auto"/>
        <w:rPr>
          <w:sz w:val="20"/>
          <w:szCs w:val="20"/>
          <w:color w:val="auto"/>
        </w:rPr>
      </w:pPr>
      <w:r>
        <w:rPr>
          <w:rFonts w:ascii="Arial" w:cs="Arial" w:eastAsia="Arial" w:hAnsi="Arial"/>
          <w:sz w:val="16"/>
          <w:szCs w:val="16"/>
          <w:color w:val="auto"/>
        </w:rPr>
        <w:t>The provision for income taxes was deemed to be immaterial for the period from April 30, 2020 (inception) through May 22, 2020.</w:t>
      </w:r>
    </w:p>
    <w:p>
      <w:pPr>
        <w:spacing w:after="0" w:line="138"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Net Loss Per Common Share</w:t>
      </w:r>
    </w:p>
    <w:p>
      <w:pPr>
        <w:spacing w:after="0" w:line="97" w:lineRule="exact"/>
        <w:rPr>
          <w:sz w:val="20"/>
          <w:szCs w:val="20"/>
          <w:color w:val="auto"/>
        </w:rPr>
      </w:pPr>
    </w:p>
    <w:p>
      <w:pPr>
        <w:ind w:left="1140" w:right="1719" w:firstLine="326"/>
        <w:spacing w:after="0" w:line="263" w:lineRule="auto"/>
        <w:rPr>
          <w:sz w:val="20"/>
          <w:szCs w:val="20"/>
          <w:color w:val="auto"/>
        </w:rPr>
      </w:pPr>
      <w:r>
        <w:rPr>
          <w:rFonts w:ascii="Arial" w:cs="Arial" w:eastAsia="Arial" w:hAnsi="Arial"/>
          <w:sz w:val="15"/>
          <w:szCs w:val="15"/>
          <w:color w:val="auto"/>
        </w:rPr>
        <w:t>Net loss per share is computed by dividing net loss by the weighted average number of shares of common stock outstanding during the period, excluding shares of common stock subject to forfeiture. Weighted average shares were reduced for the effect of an aggregate of 5,625,000 shares of common stock that are subject to forfeiture if the over-allotment option is not exercised by the underwriters (see Note 7). As of May 22,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45"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Concentration of Credit Risk</w:t>
      </w:r>
    </w:p>
    <w:p>
      <w:pPr>
        <w:spacing w:after="0" w:line="97" w:lineRule="exact"/>
        <w:rPr>
          <w:sz w:val="20"/>
          <w:szCs w:val="20"/>
          <w:color w:val="auto"/>
        </w:rPr>
      </w:pPr>
    </w:p>
    <w:p>
      <w:pPr>
        <w:ind w:left="1140" w:right="1679" w:firstLine="326"/>
        <w:spacing w:after="0" w:line="249"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54"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Financial Instruments</w:t>
      </w:r>
    </w:p>
    <w:p>
      <w:pPr>
        <w:spacing w:after="0" w:line="97" w:lineRule="exact"/>
        <w:rPr>
          <w:sz w:val="20"/>
          <w:szCs w:val="20"/>
          <w:color w:val="auto"/>
        </w:rPr>
      </w:pPr>
    </w:p>
    <w:p>
      <w:pPr>
        <w:ind w:left="1140" w:right="1759" w:firstLine="326"/>
        <w:spacing w:after="0" w:line="254"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820, “Fair Value Measurements and Disclosures,” approximates the carrying amounts represented in the balance sheet, primarily due to their short-term nature.</w:t>
      </w:r>
    </w:p>
    <w:p>
      <w:pPr>
        <w:spacing w:after="0" w:line="150"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97" w:lineRule="exact"/>
        <w:rPr>
          <w:sz w:val="20"/>
          <w:szCs w:val="20"/>
          <w:color w:val="auto"/>
        </w:rPr>
      </w:pPr>
    </w:p>
    <w:p>
      <w:pPr>
        <w:ind w:left="1140" w:right="1679" w:firstLine="326"/>
        <w:spacing w:after="0" w:line="303" w:lineRule="auto"/>
        <w:rPr>
          <w:sz w:val="20"/>
          <w:szCs w:val="20"/>
          <w:color w:val="auto"/>
        </w:rPr>
      </w:pPr>
      <w:r>
        <w:rPr>
          <w:rFonts w:ascii="Arial" w:cs="Arial" w:eastAsia="Arial" w:hAnsi="Arial"/>
          <w:sz w:val="15"/>
          <w:szCs w:val="15"/>
          <w:color w:val="auto"/>
        </w:rPr>
        <w:t>Management does not believe that any recently issued, but not yet effective, accounting pronouncements, if currently adopted, would have a material effect on the Company’s financial statements.</w:t>
      </w:r>
    </w:p>
    <w:p>
      <w:pPr>
        <w:spacing w:after="0" w:line="111"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Note 3 — Public Offering</w:t>
      </w:r>
    </w:p>
    <w:p>
      <w:pPr>
        <w:spacing w:after="0" w:line="101" w:lineRule="exact"/>
        <w:rPr>
          <w:sz w:val="20"/>
          <w:szCs w:val="20"/>
          <w:color w:val="auto"/>
        </w:rPr>
      </w:pPr>
    </w:p>
    <w:p>
      <w:pPr>
        <w:ind w:left="1140" w:right="1579" w:firstLine="326"/>
        <w:spacing w:after="0" w:line="246" w:lineRule="auto"/>
        <w:rPr>
          <w:sz w:val="20"/>
          <w:szCs w:val="20"/>
          <w:color w:val="auto"/>
        </w:rPr>
      </w:pPr>
      <w:r>
        <w:rPr>
          <w:rFonts w:ascii="Arial" w:cs="Arial" w:eastAsia="Arial" w:hAnsi="Arial"/>
          <w:sz w:val="16"/>
          <w:szCs w:val="16"/>
          <w:color w:val="auto"/>
        </w:rPr>
        <w:t>Pursuant to the Proposed Public Offering, the Company intends to offer for sale 150,000,000 Units (or 172,500,000 Units if the underwriters’ over-allotment option is exercised in full) at a price of $10.00 per Unit. Each Unit consists of one share of Class A common stock and one-fifth of one redeemable warrant (“Public Warrant”). Each whole Public Warrant entitles the holder to purchase one share of Class A common stock at a price of $11.50 per share, subject to adjustment (see Note 7).</w:t>
      </w:r>
    </w:p>
    <w:p>
      <w:pPr>
        <w:spacing w:after="0" w:line="15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Note 4 — Private Placement</w:t>
      </w:r>
    </w:p>
    <w:p>
      <w:pPr>
        <w:spacing w:after="0" w:line="101" w:lineRule="exact"/>
        <w:rPr>
          <w:sz w:val="20"/>
          <w:szCs w:val="20"/>
          <w:color w:val="auto"/>
        </w:rPr>
      </w:pPr>
    </w:p>
    <w:p>
      <w:pPr>
        <w:ind w:left="1140" w:right="1619" w:firstLine="326"/>
        <w:spacing w:after="0" w:line="242" w:lineRule="auto"/>
        <w:rPr>
          <w:sz w:val="20"/>
          <w:szCs w:val="20"/>
          <w:color w:val="auto"/>
        </w:rPr>
      </w:pPr>
      <w:r>
        <w:rPr>
          <w:rFonts w:ascii="Arial" w:cs="Arial" w:eastAsia="Arial" w:hAnsi="Arial"/>
          <w:sz w:val="16"/>
          <w:szCs w:val="16"/>
          <w:color w:val="auto"/>
        </w:rPr>
        <w:t>The Sponsor will agree to purchase an aggregate of 31,350,000 Private Placement Warrants (or 35,850,000 Private Placement Warrants if the over-allotment option is exercised in full) at a price of $ 1.00 per Private Placement Warrant, for an aggregate purchase price of $ 31,350,000, or $35,850,000 if the over-allotment option is exercised in full, in a private placement that will occur simultaneously with the closing of the Proposed Public Offering. Each Private Placement Warrant is exercisable to purchase one share of Class A common stock at a price of $11.50 per share. The proceeds from the Private Placement Warrants will be added to the proceeds from the Proposed Public Offering to be held in the Trust Account. If the Company does not complete a Business Combination within the Combination Window, the proceeds of the sale of the Private Placement Warrants will be used to fund the redemption of the Public Shares (subject to the requirements of applicable law) and the Private Placement Warrants will expire worthless. There will be no redemption rights or liquidating distributions from the Trust Account with respect to the Private Placement Warrants.</w:t>
      </w:r>
    </w:p>
    <w:p>
      <w:pPr>
        <w:spacing w:after="0" w:line="220"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71" w:name="page172"/>
    <w:bookmarkEnd w:id="171"/>
    <w:p>
      <w:pPr>
        <w:spacing w:after="0"/>
        <w:rPr>
          <w:rFonts w:ascii="Arial" w:cs="Arial" w:eastAsia="Arial" w:hAnsi="Arial"/>
          <w:sz w:val="13"/>
          <w:szCs w:val="13"/>
          <w:color w:val="003366"/>
        </w:rPr>
      </w:pPr>
      <w:hyperlink w:anchor="page160">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CHURCHILL CAPITAL CORP IV</w:t>
      </w:r>
    </w:p>
    <w:p>
      <w:pPr>
        <w:spacing w:after="0" w:line="85"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auto"/>
        </w:rPr>
        <w:t>NOTES TO FINANCIAL STATEMENTS</w:t>
      </w:r>
    </w:p>
    <w:p>
      <w:pPr>
        <w:spacing w:after="0" w:line="183"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Note 5 — Related Party Transactions</w:t>
      </w:r>
    </w:p>
    <w:p>
      <w:pPr>
        <w:spacing w:after="0" w:line="187"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Founder Shares</w:t>
      </w:r>
    </w:p>
    <w:p>
      <w:pPr>
        <w:spacing w:after="0" w:line="97" w:lineRule="exact"/>
        <w:rPr>
          <w:sz w:val="20"/>
          <w:szCs w:val="20"/>
          <w:color w:val="auto"/>
        </w:rPr>
      </w:pPr>
    </w:p>
    <w:p>
      <w:pPr>
        <w:ind w:left="1140" w:right="1579" w:firstLine="326"/>
        <w:spacing w:after="0" w:line="242" w:lineRule="auto"/>
        <w:rPr>
          <w:sz w:val="20"/>
          <w:szCs w:val="20"/>
          <w:color w:val="auto"/>
        </w:rPr>
      </w:pPr>
      <w:r>
        <w:rPr>
          <w:rFonts w:ascii="Arial" w:cs="Arial" w:eastAsia="Arial" w:hAnsi="Arial"/>
          <w:sz w:val="16"/>
          <w:szCs w:val="16"/>
          <w:color w:val="auto"/>
        </w:rPr>
        <w:t>On May 22, 2020, the Sponsor purchased 21,562,500 shares of the Company’s Class B common stock for an aggregate price of $25,000 (the “Founder Shares”). On July 14, 2020, the Company effected a stock dividend of one-third of a share of Class B common stock for each outstanding share of Class B common stock and on July 27, 2020, the Company effected a stock dividend of 0.50 to 1 share of Class B common stock for each outstanding share of Class B common stock, resulting in 43,125,000 shares of Class B common stock being issued and outstanding. The Founder Shares include an aggregate of up to 5,625,000 shares subject to forfeiture to the extent that the underwriters’ over-allotment option is not exercised in full or in part, so that the Sponsor will own, on an as-converted basis, 20% of the Company’s issued and outstanding shares after the Proposed Public Offering (assuming the Sponsor does not purchase any Public Shares in the Proposed Public Offering). All share and per-share amounts have been retroactively restated to reflect the stock dividend.</w:t>
      </w:r>
    </w:p>
    <w:p>
      <w:pPr>
        <w:spacing w:after="0" w:line="75" w:lineRule="exact"/>
        <w:rPr>
          <w:sz w:val="20"/>
          <w:szCs w:val="20"/>
          <w:color w:val="auto"/>
        </w:rPr>
      </w:pPr>
    </w:p>
    <w:p>
      <w:pPr>
        <w:ind w:left="1140" w:right="1639" w:firstLine="326"/>
        <w:spacing w:after="0" w:line="243" w:lineRule="auto"/>
        <w:rPr>
          <w:sz w:val="20"/>
          <w:szCs w:val="20"/>
          <w:color w:val="auto"/>
        </w:rPr>
      </w:pPr>
      <w:r>
        <w:rPr>
          <w:rFonts w:ascii="Arial" w:cs="Arial" w:eastAsia="Arial" w:hAnsi="Arial"/>
          <w:sz w:val="16"/>
          <w:szCs w:val="16"/>
          <w:color w:val="auto"/>
        </w:rPr>
        <w:t>The Sponsor has agreed, subject to limited exceptions, not to transfer, assign or sell any of its Founder Shares until the earlier to occur of: (A) one year after the completion of a Business Combination or (B) the date on which the Company completes a liquidation, merger, stock exchange, reorganization or similar transaction after a Business Combination that results in all of the Company’s stockholders having the right to exchange their shares of common stock for cash, securities or other property. Notwithstanding the foregoing, if the closing price of the Class A common stock equals or exceeds $ 12.00 per share (as adjusted for stock splits, stock dividends, reorganizations, recapitalizations and the like) for any 20 trading days within any 30- trading day period commencing at least 150 days after a Business Combination, the Founder Shares will be released form the lock-up.</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Promissory Note — Related Party</w:t>
      </w:r>
    </w:p>
    <w:p>
      <w:pPr>
        <w:spacing w:after="0" w:line="97" w:lineRule="exact"/>
        <w:rPr>
          <w:sz w:val="20"/>
          <w:szCs w:val="20"/>
          <w:color w:val="auto"/>
        </w:rPr>
      </w:pPr>
    </w:p>
    <w:p>
      <w:pPr>
        <w:ind w:left="1140" w:right="1719" w:firstLine="326"/>
        <w:spacing w:after="0" w:line="246" w:lineRule="auto"/>
        <w:rPr>
          <w:sz w:val="20"/>
          <w:szCs w:val="20"/>
          <w:color w:val="auto"/>
        </w:rPr>
      </w:pPr>
      <w:r>
        <w:rPr>
          <w:rFonts w:ascii="Arial" w:cs="Arial" w:eastAsia="Arial" w:hAnsi="Arial"/>
          <w:sz w:val="16"/>
          <w:szCs w:val="16"/>
          <w:color w:val="auto"/>
        </w:rPr>
        <w:t>On May 13, 2020, the Sponsor agreed to loan the Company an aggregate of up to $600,000 to cover expenses related to the Proposed Public Offering pursuant to a promissory note (the “Promissory Note”). The Promissory Note is non -interest bearing and payable on the earlier of December 31, 2021 or the completion of the Proposed Public Offering. As of May 22, 2020, there was no amounts outstanding under the Promissory Note.</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Administrative Support Agreement</w:t>
      </w:r>
    </w:p>
    <w:p>
      <w:pPr>
        <w:spacing w:after="0" w:line="97" w:lineRule="exact"/>
        <w:rPr>
          <w:sz w:val="20"/>
          <w:szCs w:val="20"/>
          <w:color w:val="auto"/>
        </w:rPr>
      </w:pPr>
    </w:p>
    <w:p>
      <w:pPr>
        <w:ind w:left="1140" w:right="1739" w:firstLine="326"/>
        <w:spacing w:after="0" w:line="279" w:lineRule="auto"/>
        <w:rPr>
          <w:sz w:val="20"/>
          <w:szCs w:val="20"/>
          <w:color w:val="auto"/>
        </w:rPr>
      </w:pPr>
      <w:r>
        <w:rPr>
          <w:rFonts w:ascii="Arial" w:cs="Arial" w:eastAsia="Arial" w:hAnsi="Arial"/>
          <w:sz w:val="15"/>
          <w:szCs w:val="15"/>
          <w:color w:val="auto"/>
        </w:rPr>
        <w:t>The Company will agree, commencing on the effective date of the Proposed Public Offering through the earlier of the Company’s consummation of a Business Combination and its liquidation, to pay an affiliate of the Sponsor a total of $50,000 per month for office space, administrative and support services.</w:t>
      </w:r>
    </w:p>
    <w:p>
      <w:pPr>
        <w:spacing w:after="0" w:line="132"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Advisory Fee</w:t>
      </w:r>
    </w:p>
    <w:p>
      <w:pPr>
        <w:spacing w:after="0" w:line="97" w:lineRule="exact"/>
        <w:rPr>
          <w:sz w:val="20"/>
          <w:szCs w:val="20"/>
          <w:color w:val="auto"/>
        </w:rPr>
      </w:pPr>
    </w:p>
    <w:p>
      <w:pPr>
        <w:ind w:left="1140" w:right="1579" w:firstLine="326"/>
        <w:spacing w:after="0" w:line="249" w:lineRule="auto"/>
        <w:rPr>
          <w:sz w:val="20"/>
          <w:szCs w:val="20"/>
          <w:color w:val="auto"/>
        </w:rPr>
      </w:pPr>
      <w:r>
        <w:rPr>
          <w:rFonts w:ascii="Arial" w:cs="Arial" w:eastAsia="Arial" w:hAnsi="Arial"/>
          <w:sz w:val="16"/>
          <w:szCs w:val="16"/>
          <w:color w:val="auto"/>
        </w:rPr>
        <w:t>The Company may engage M. Klein and Company, LLC, an affiliate of the Sponsor, or another affiliate of the Sponsor, as its lead financial advisor in connection with a Business Combination and may pay such affiliate a customary financial advisory fee in an amount that constitutes a market standard financial advisory fee for comparable transactions.</w:t>
      </w:r>
    </w:p>
    <w:p>
      <w:pPr>
        <w:spacing w:after="0" w:line="154"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Related Party Loans</w:t>
      </w:r>
    </w:p>
    <w:p>
      <w:pPr>
        <w:spacing w:after="0" w:line="97" w:lineRule="exact"/>
        <w:rPr>
          <w:sz w:val="20"/>
          <w:szCs w:val="20"/>
          <w:color w:val="auto"/>
        </w:rPr>
      </w:pPr>
    </w:p>
    <w:p>
      <w:pPr>
        <w:ind w:left="1140" w:right="1799" w:firstLine="326"/>
        <w:spacing w:after="0" w:line="262" w:lineRule="auto"/>
        <w:rPr>
          <w:sz w:val="20"/>
          <w:szCs w:val="20"/>
          <w:color w:val="auto"/>
        </w:rPr>
      </w:pPr>
      <w:r>
        <w:rPr>
          <w:rFonts w:ascii="Arial" w:cs="Arial" w:eastAsia="Arial" w:hAnsi="Arial"/>
          <w:sz w:val="15"/>
          <w:szCs w:val="15"/>
          <w:color w:val="auto"/>
        </w:rPr>
        <w:t>In order to finance transaction costs in connection with a Business Combination, the Sponsor, an affiliate of the Sponsor, or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w:t>
      </w:r>
    </w:p>
    <w:p>
      <w:pPr>
        <w:spacing w:after="0" w:line="206"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2" w:name="page173"/>
    <w:bookmarkEnd w:id="172"/>
    <w:p>
      <w:pPr>
        <w:spacing w:after="0"/>
        <w:rPr>
          <w:rFonts w:ascii="Arial" w:cs="Arial" w:eastAsia="Arial" w:hAnsi="Arial"/>
          <w:sz w:val="13"/>
          <w:szCs w:val="13"/>
          <w:color w:val="003366"/>
        </w:rPr>
      </w:pPr>
      <w:hyperlink w:anchor="page160">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CHURCHILL CAPITAL CORP IV</w:t>
      </w:r>
    </w:p>
    <w:p>
      <w:pPr>
        <w:spacing w:after="0" w:line="85"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auto"/>
        </w:rPr>
        <w:t>NOTES TO FINANCIAL STATEMENTS</w:t>
      </w:r>
    </w:p>
    <w:p>
      <w:pPr>
        <w:spacing w:after="0" w:line="199" w:lineRule="exact"/>
        <w:rPr>
          <w:sz w:val="20"/>
          <w:szCs w:val="20"/>
          <w:color w:val="auto"/>
        </w:rPr>
      </w:pPr>
    </w:p>
    <w:p>
      <w:pPr>
        <w:ind w:left="1140" w:right="1719"/>
        <w:spacing w:after="0" w:line="249" w:lineRule="auto"/>
        <w:rPr>
          <w:sz w:val="20"/>
          <w:szCs w:val="20"/>
          <w:color w:val="auto"/>
        </w:rPr>
      </w:pPr>
      <w:r>
        <w:rPr>
          <w:rFonts w:ascii="Arial" w:cs="Arial" w:eastAsia="Arial" w:hAnsi="Arial"/>
          <w:sz w:val="16"/>
          <w:szCs w:val="16"/>
          <w:color w:val="auto"/>
        </w:rPr>
        <w:t>agreements exist with respect to such loans. The Working Capital Loans would either be repaid upon consummation of a Business Combination, without interest, or, at the lender’s discretion, up to $ 1,500,000 of such Working Capital Loans may be convertible into warrants at a price of $1.00 per warrant. The warrants would be identical to the Private Placement Warrants.</w:t>
      </w:r>
    </w:p>
    <w:p>
      <w:pPr>
        <w:spacing w:after="0" w:line="150"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Note 6 — Commitments</w:t>
      </w:r>
    </w:p>
    <w:p>
      <w:pPr>
        <w:spacing w:after="0" w:line="187"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Registration Rights</w:t>
      </w:r>
    </w:p>
    <w:p>
      <w:pPr>
        <w:spacing w:after="0" w:line="97" w:lineRule="exact"/>
        <w:rPr>
          <w:sz w:val="20"/>
          <w:szCs w:val="20"/>
          <w:color w:val="auto"/>
        </w:rPr>
      </w:pPr>
    </w:p>
    <w:p>
      <w:pPr>
        <w:ind w:left="1140" w:right="1659" w:firstLine="326"/>
        <w:spacing w:after="0" w:line="259" w:lineRule="auto"/>
        <w:rPr>
          <w:sz w:val="20"/>
          <w:szCs w:val="20"/>
          <w:color w:val="auto"/>
        </w:rPr>
      </w:pPr>
      <w:r>
        <w:rPr>
          <w:rFonts w:ascii="Arial" w:cs="Arial" w:eastAsia="Arial" w:hAnsi="Arial"/>
          <w:sz w:val="15"/>
          <w:szCs w:val="15"/>
          <w:color w:val="auto"/>
        </w:rPr>
        <w:t>The holders of the Founder Shares, Private Placement Warrants and warrants that may be issued upon conversion of Working Capital Loans (and any shares of Class A common stock issuable upon the exercise of the Private Placement Warrants or warrants that may be issued upon conversion of Working Capital Loans and upon conversion of the Founder Shares) will be entitled to registration rights pursuant to a registration rights agreement to be signed prior to or on the effective date of Proposed Public Offering requiring the Company to register such securities for resale (in the case of the Founder Shares, only after conversion to Class A common stock).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Underwriting Agreement</w:t>
      </w:r>
    </w:p>
    <w:p>
      <w:pPr>
        <w:spacing w:after="0" w:line="97" w:lineRule="exact"/>
        <w:rPr>
          <w:sz w:val="20"/>
          <w:szCs w:val="20"/>
          <w:color w:val="auto"/>
        </w:rPr>
      </w:pPr>
    </w:p>
    <w:p>
      <w:pPr>
        <w:jc w:val="both"/>
        <w:ind w:left="1140" w:right="1619" w:firstLine="326"/>
        <w:spacing w:after="0" w:line="254" w:lineRule="auto"/>
        <w:rPr>
          <w:sz w:val="20"/>
          <w:szCs w:val="20"/>
          <w:color w:val="auto"/>
        </w:rPr>
      </w:pPr>
      <w:r>
        <w:rPr>
          <w:rFonts w:ascii="Arial" w:cs="Arial" w:eastAsia="Arial" w:hAnsi="Arial"/>
          <w:sz w:val="16"/>
          <w:szCs w:val="16"/>
          <w:color w:val="auto"/>
        </w:rPr>
        <w:t>The Company will grant the underwriters a 45-day option from the date of Proposed Public Offering to purchase up to 22,500,000 additional Units to cover over-allotments, if any, at the Proposed Public Offering price less the underwriting discounts and commissions.</w:t>
      </w:r>
    </w:p>
    <w:p>
      <w:pPr>
        <w:spacing w:after="0" w:line="64" w:lineRule="exact"/>
        <w:rPr>
          <w:sz w:val="20"/>
          <w:szCs w:val="20"/>
          <w:color w:val="auto"/>
        </w:rPr>
      </w:pPr>
    </w:p>
    <w:p>
      <w:pPr>
        <w:ind w:left="1140" w:right="1579" w:firstLine="326"/>
        <w:spacing w:after="0" w:line="244" w:lineRule="auto"/>
        <w:rPr>
          <w:sz w:val="20"/>
          <w:szCs w:val="20"/>
          <w:color w:val="auto"/>
        </w:rPr>
      </w:pPr>
      <w:r>
        <w:rPr>
          <w:rFonts w:ascii="Arial" w:cs="Arial" w:eastAsia="Arial" w:hAnsi="Arial"/>
          <w:sz w:val="16"/>
          <w:szCs w:val="16"/>
          <w:color w:val="auto"/>
        </w:rPr>
        <w:t>The underwriters will be entitled to a cash underwriting discount of $0.20 per Unit, or $30,000,000 in the aggregate (or $34,500,000 in in the aggregate if the underwriters’ over-allotment option is exercised in full), payable upon the closing of the Proposed Public Offering. In addition, the underwriters will be entitled to a deferred fee of $0.35 per Unit, or $52,500,000 in the aggregate (or $60,375,000 in the aggregate if the underwriters’ over- allotment option is exercised in full). The deferred fee will be waived by the underwriters in the event that the Company does not complete a Business Combination, subject to the terms of the underwriting agreement.</w:t>
      </w:r>
    </w:p>
    <w:p>
      <w:pPr>
        <w:spacing w:after="0" w:line="15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Note 7 — Stockholder’s Equity</w:t>
      </w:r>
    </w:p>
    <w:p>
      <w:pPr>
        <w:spacing w:after="0" w:line="101" w:lineRule="exact"/>
        <w:rPr>
          <w:sz w:val="20"/>
          <w:szCs w:val="20"/>
          <w:color w:val="auto"/>
        </w:rPr>
      </w:pPr>
    </w:p>
    <w:p>
      <w:pPr>
        <w:ind w:left="1140" w:right="1699" w:firstLine="326"/>
        <w:spacing w:after="0" w:line="249" w:lineRule="auto"/>
        <w:rPr>
          <w:sz w:val="20"/>
          <w:szCs w:val="20"/>
          <w:color w:val="auto"/>
        </w:rPr>
      </w:pPr>
      <w:r>
        <w:rPr>
          <w:rFonts w:ascii="Arial" w:cs="Arial" w:eastAsia="Arial" w:hAnsi="Arial"/>
          <w:sz w:val="16"/>
          <w:szCs w:val="16"/>
          <w:b w:val="1"/>
          <w:bCs w:val="1"/>
          <w:i w:val="1"/>
          <w:iCs w:val="1"/>
          <w:color w:val="auto"/>
        </w:rPr>
        <w:t xml:space="preserve">Preferred Stock </w:t>
      </w:r>
      <w:r>
        <w:rPr>
          <w:rFonts w:ascii="Arial" w:cs="Arial" w:eastAsia="Arial" w:hAnsi="Arial"/>
          <w:sz w:val="16"/>
          <w:szCs w:val="16"/>
          <w:color w:val="auto"/>
        </w:rPr>
        <w:t>— The Company is authorized to issue 1,000,000 shares of preferred stock with a par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of $0.0001 per share with such designations, voting and other rights and preferences as may be determined from time to time by the Company’s board of directors. At May 22, 2020, there were no shares of preferred stock issued or outstanding.</w:t>
      </w:r>
    </w:p>
    <w:p>
      <w:pPr>
        <w:spacing w:after="0" w:line="68" w:lineRule="exact"/>
        <w:rPr>
          <w:sz w:val="20"/>
          <w:szCs w:val="20"/>
          <w:color w:val="auto"/>
        </w:rPr>
      </w:pPr>
    </w:p>
    <w:p>
      <w:pPr>
        <w:jc w:val="both"/>
        <w:ind w:left="1140" w:right="1719" w:firstLine="326"/>
        <w:spacing w:after="0" w:line="279" w:lineRule="auto"/>
        <w:rPr>
          <w:sz w:val="20"/>
          <w:szCs w:val="20"/>
          <w:color w:val="auto"/>
        </w:rPr>
      </w:pPr>
      <w:r>
        <w:rPr>
          <w:rFonts w:ascii="Arial" w:cs="Arial" w:eastAsia="Arial" w:hAnsi="Arial"/>
          <w:sz w:val="15"/>
          <w:szCs w:val="15"/>
          <w:b w:val="1"/>
          <w:bCs w:val="1"/>
          <w:i w:val="1"/>
          <w:iCs w:val="1"/>
          <w:color w:val="auto"/>
        </w:rPr>
        <w:t xml:space="preserve">Class A Common Stock </w:t>
      </w:r>
      <w:r>
        <w:rPr>
          <w:rFonts w:ascii="Arial" w:cs="Arial" w:eastAsia="Arial" w:hAnsi="Arial"/>
          <w:sz w:val="15"/>
          <w:szCs w:val="15"/>
          <w:color w:val="auto"/>
        </w:rPr>
        <w:t>— The Company is authorized to issue 240,000,000 shares of Class A common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stock with a par value of $0.0001 per share. Holders of Class A common stock are entitled to one vote for each share. At May 22, 2020, there were no shares of Class A common stock issued or outstanding.</w:t>
      </w:r>
    </w:p>
    <w:p>
      <w:pPr>
        <w:spacing w:after="0" w:line="47" w:lineRule="exact"/>
        <w:rPr>
          <w:sz w:val="20"/>
          <w:szCs w:val="20"/>
          <w:color w:val="auto"/>
        </w:rPr>
      </w:pPr>
    </w:p>
    <w:p>
      <w:pPr>
        <w:ind w:left="1140" w:right="1739" w:firstLine="326"/>
        <w:spacing w:after="0" w:line="263" w:lineRule="auto"/>
        <w:rPr>
          <w:sz w:val="20"/>
          <w:szCs w:val="20"/>
          <w:color w:val="auto"/>
        </w:rPr>
      </w:pPr>
      <w:r>
        <w:rPr>
          <w:rFonts w:ascii="Arial" w:cs="Arial" w:eastAsia="Arial" w:hAnsi="Arial"/>
          <w:sz w:val="15"/>
          <w:szCs w:val="15"/>
          <w:b w:val="1"/>
          <w:bCs w:val="1"/>
          <w:i w:val="1"/>
          <w:iCs w:val="1"/>
          <w:color w:val="auto"/>
        </w:rPr>
        <w:t xml:space="preserve">Class B Common Stock </w:t>
      </w:r>
      <w:r>
        <w:rPr>
          <w:rFonts w:ascii="Arial" w:cs="Arial" w:eastAsia="Arial" w:hAnsi="Arial"/>
          <w:sz w:val="15"/>
          <w:szCs w:val="15"/>
          <w:color w:val="auto"/>
        </w:rPr>
        <w:t>— The Company is authorized to issue 60,000,000 shares of Class B common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stock with a par value of $0.0001 per share. Holders of Class B common stock are entitled to one vote for each share. At May 22, 2020, there were 43,125,000 shares of Class B common stock issued and outstanding, of which an aggregate of up to 5,625,000 shares are subject to forfeiture to the extent that the underwriters’ over-allotment option is not exercised in full or in part, so that the Sponsor will collectively own 20% of the Company’s issued and outstanding common stock after the Proposed Public Offering (assuming the Sponsor does not purchase any Public Shares in the Proposed Public Offering).</w:t>
      </w:r>
    </w:p>
    <w:p>
      <w:pPr>
        <w:spacing w:after="0" w:line="59" w:lineRule="exact"/>
        <w:rPr>
          <w:sz w:val="20"/>
          <w:szCs w:val="20"/>
          <w:color w:val="auto"/>
        </w:rPr>
      </w:pPr>
    </w:p>
    <w:p>
      <w:pPr>
        <w:ind w:left="1140" w:right="1579" w:firstLine="326"/>
        <w:spacing w:after="0" w:line="254" w:lineRule="auto"/>
        <w:rPr>
          <w:sz w:val="20"/>
          <w:szCs w:val="20"/>
          <w:color w:val="auto"/>
        </w:rPr>
      </w:pPr>
      <w:r>
        <w:rPr>
          <w:rFonts w:ascii="Arial" w:cs="Arial" w:eastAsia="Arial" w:hAnsi="Arial"/>
          <w:sz w:val="16"/>
          <w:szCs w:val="16"/>
          <w:color w:val="auto"/>
        </w:rPr>
        <w:t>Holders of Class B common stock will have the right to elect all of the Company’s directors prior to a Business Combination. Holders of Class A common stock and Class B common stock will vote together as a single class on all other matters submitted to a vote of stockholders except as required by law.</w:t>
      </w:r>
    </w:p>
    <w:p>
      <w:pPr>
        <w:spacing w:after="0" w:line="211"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3" w:name="page174"/>
    <w:bookmarkEnd w:id="173"/>
    <w:p>
      <w:pPr>
        <w:spacing w:after="0"/>
        <w:rPr>
          <w:rFonts w:ascii="Arial" w:cs="Arial" w:eastAsia="Arial" w:hAnsi="Arial"/>
          <w:sz w:val="13"/>
          <w:szCs w:val="13"/>
          <w:color w:val="003366"/>
        </w:rPr>
      </w:pPr>
      <w:hyperlink w:anchor="page160">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CHURCHILL CAPITAL CORP IV</w:t>
      </w:r>
    </w:p>
    <w:p>
      <w:pPr>
        <w:spacing w:after="0" w:line="85"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auto"/>
        </w:rPr>
        <w:t>NOTES TO FINANCIAL STATEMENTS</w:t>
      </w:r>
    </w:p>
    <w:p>
      <w:pPr>
        <w:spacing w:after="0" w:line="199" w:lineRule="exact"/>
        <w:rPr>
          <w:sz w:val="20"/>
          <w:szCs w:val="20"/>
          <w:color w:val="auto"/>
        </w:rPr>
      </w:pPr>
    </w:p>
    <w:p>
      <w:pPr>
        <w:ind w:left="1140" w:right="1559" w:firstLine="326"/>
        <w:spacing w:after="0" w:line="258" w:lineRule="auto"/>
        <w:rPr>
          <w:sz w:val="20"/>
          <w:szCs w:val="20"/>
          <w:color w:val="auto"/>
        </w:rPr>
      </w:pPr>
      <w:r>
        <w:rPr>
          <w:rFonts w:ascii="Arial" w:cs="Arial" w:eastAsia="Arial" w:hAnsi="Arial"/>
          <w:sz w:val="15"/>
          <w:szCs w:val="15"/>
          <w:color w:val="auto"/>
        </w:rPr>
        <w:t>The shares of Class B common stock will automatically convert into shares of Class A common stock at the time of a Business Combination on a one-for-one basis, subject to adjustment. In the case that additional shares of Class A common stock, or equity -linked securities, are issued or deemed issued in excess of the amounts offered in the Proposed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the Proposed Public Offering plus all shares of Class A common stock and equity-linked securities issued or deemed issued in connection with a Business Combination (excluding any shares or equity-linked securities issued, or to be issued, to any seller in a Business Combination in consideration for such seller’s interest in the Business Combination target, any private placement-equivalent warrants issued, or to be issued, to any seller in a Business Combination.</w:t>
      </w:r>
    </w:p>
    <w:p>
      <w:pPr>
        <w:spacing w:after="0" w:line="70" w:lineRule="exact"/>
        <w:rPr>
          <w:sz w:val="20"/>
          <w:szCs w:val="20"/>
          <w:color w:val="auto"/>
        </w:rPr>
      </w:pPr>
    </w:p>
    <w:p>
      <w:pPr>
        <w:ind w:left="1140" w:right="1599" w:firstLine="326"/>
        <w:spacing w:after="0" w:line="267" w:lineRule="auto"/>
        <w:rPr>
          <w:sz w:val="20"/>
          <w:szCs w:val="20"/>
          <w:color w:val="auto"/>
        </w:rPr>
      </w:pPr>
      <w:r>
        <w:rPr>
          <w:rFonts w:ascii="Arial" w:cs="Arial" w:eastAsia="Arial" w:hAnsi="Arial"/>
          <w:sz w:val="15"/>
          <w:szCs w:val="15"/>
          <w:b w:val="1"/>
          <w:bCs w:val="1"/>
          <w:i w:val="1"/>
          <w:iCs w:val="1"/>
          <w:color w:val="auto"/>
        </w:rPr>
        <w:t xml:space="preserve">Warrants </w:t>
      </w:r>
      <w:r>
        <w:rPr>
          <w:rFonts w:ascii="Arial" w:cs="Arial" w:eastAsia="Arial" w:hAnsi="Arial"/>
          <w:sz w:val="15"/>
          <w:szCs w:val="15"/>
          <w:color w:val="auto"/>
        </w:rPr>
        <w:t>— Public Warrants may only be exercised for a whole number of shares. No fractional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warrants will be issued upon separation of the Units and only whole warrants will trade. The Public Warrants will become exercisable on the later of (a) 30 days after the completion of a Business Combination or (b) 12 months from the closing of the Proposed Public Offering. The Public Warrants will expire five years after the completion of a Business Combination or earlier upon redemption or liquidation.</w:t>
      </w:r>
    </w:p>
    <w:p>
      <w:pPr>
        <w:spacing w:after="0" w:line="56" w:lineRule="exact"/>
        <w:rPr>
          <w:sz w:val="20"/>
          <w:szCs w:val="20"/>
          <w:color w:val="auto"/>
        </w:rPr>
      </w:pPr>
    </w:p>
    <w:p>
      <w:pPr>
        <w:ind w:left="1140" w:right="1559" w:firstLine="326"/>
        <w:spacing w:after="0" w:line="243" w:lineRule="auto"/>
        <w:rPr>
          <w:sz w:val="20"/>
          <w:szCs w:val="20"/>
          <w:color w:val="auto"/>
        </w:rPr>
      </w:pPr>
      <w:r>
        <w:rPr>
          <w:rFonts w:ascii="Arial" w:cs="Arial" w:eastAsia="Arial" w:hAnsi="Arial"/>
          <w:sz w:val="16"/>
          <w:szCs w:val="16"/>
          <w:color w:val="auto"/>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the Company satisfying its obligations with respect to registration.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from registration is available.</w:t>
      </w:r>
    </w:p>
    <w:p>
      <w:pPr>
        <w:spacing w:after="0" w:line="72" w:lineRule="exact"/>
        <w:rPr>
          <w:sz w:val="20"/>
          <w:szCs w:val="20"/>
          <w:color w:val="auto"/>
        </w:rPr>
      </w:pPr>
    </w:p>
    <w:p>
      <w:pPr>
        <w:ind w:left="1140" w:right="1639" w:firstLine="326"/>
        <w:spacing w:after="0" w:line="259" w:lineRule="auto"/>
        <w:rPr>
          <w:sz w:val="20"/>
          <w:szCs w:val="20"/>
          <w:color w:val="auto"/>
        </w:rPr>
      </w:pPr>
      <w:r>
        <w:rPr>
          <w:rFonts w:ascii="Arial" w:cs="Arial" w:eastAsia="Arial" w:hAnsi="Arial"/>
          <w:sz w:val="15"/>
          <w:szCs w:val="15"/>
          <w:color w:val="auto"/>
        </w:rPr>
        <w:t>The Company will agree that as soon as practicable, but in no event later than 15 business days after the closing of a Business Combination, the Company will use its best efforts to file with the SEC, and within 60 business days following a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Notwithstanding the above, if the Class A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66"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Once the warrants become exercisable, the Company may redeem the Public Warrants:</w:t>
      </w:r>
    </w:p>
    <w:p>
      <w:pPr>
        <w:spacing w:after="0" w:line="146" w:lineRule="exact"/>
        <w:rPr>
          <w:sz w:val="20"/>
          <w:szCs w:val="20"/>
          <w:color w:val="auto"/>
        </w:rPr>
      </w:pPr>
    </w:p>
    <w:p>
      <w:pPr>
        <w:ind w:left="1800" w:hanging="335"/>
        <w:spacing w:after="0"/>
        <w:tabs>
          <w:tab w:leader="none" w:pos="18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 whole and not in part;</w:t>
      </w:r>
    </w:p>
    <w:p>
      <w:pPr>
        <w:spacing w:after="0" w:line="182" w:lineRule="exact"/>
        <w:rPr>
          <w:rFonts w:ascii="Arial" w:cs="Arial" w:eastAsia="Arial" w:hAnsi="Arial"/>
          <w:sz w:val="16"/>
          <w:szCs w:val="16"/>
          <w:color w:val="auto"/>
        </w:rPr>
      </w:pPr>
    </w:p>
    <w:p>
      <w:pPr>
        <w:ind w:left="1800" w:hanging="335"/>
        <w:spacing w:after="0"/>
        <w:tabs>
          <w:tab w:leader="none" w:pos="18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at a price of $0.01 per warrant;</w:t>
      </w:r>
    </w:p>
    <w:p>
      <w:pPr>
        <w:spacing w:after="0" w:line="170" w:lineRule="exact"/>
        <w:rPr>
          <w:rFonts w:ascii="Arial" w:cs="Arial" w:eastAsia="Arial" w:hAnsi="Arial"/>
          <w:sz w:val="16"/>
          <w:szCs w:val="16"/>
          <w:color w:val="auto"/>
        </w:rPr>
      </w:pPr>
    </w:p>
    <w:p>
      <w:pPr>
        <w:ind w:left="1800" w:right="1659" w:hanging="335"/>
        <w:spacing w:after="0" w:line="285" w:lineRule="auto"/>
        <w:tabs>
          <w:tab w:leader="none" w:pos="18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upon a minimum of 30 days’ prior written notice of redemption, or the 30-day redemption period, to each warrant holder; and</w:t>
      </w:r>
    </w:p>
    <w:p>
      <w:pPr>
        <w:spacing w:after="0" w:line="113" w:lineRule="exact"/>
        <w:rPr>
          <w:rFonts w:ascii="Arial" w:cs="Arial" w:eastAsia="Arial" w:hAnsi="Arial"/>
          <w:sz w:val="16"/>
          <w:szCs w:val="16"/>
          <w:color w:val="auto"/>
        </w:rPr>
      </w:pPr>
    </w:p>
    <w:p>
      <w:pPr>
        <w:ind w:left="1800" w:right="1579" w:hanging="335"/>
        <w:spacing w:after="0" w:line="270" w:lineRule="auto"/>
        <w:tabs>
          <w:tab w:leader="none" w:pos="18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if, and only if, the closing price of the Company’s Class A common stock equals or exceeds $18.00 per share for any 20 trading days within a 30-trading day period ending on the third trading day prior to the date on which we send the notice of redemption to the warrant holders.</w:t>
      </w:r>
    </w:p>
    <w:p>
      <w:pPr>
        <w:spacing w:after="0" w:line="211"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4" w:name="page175"/>
    <w:bookmarkEnd w:id="174"/>
    <w:p>
      <w:pPr>
        <w:spacing w:after="0"/>
        <w:rPr>
          <w:rFonts w:ascii="Arial" w:cs="Arial" w:eastAsia="Arial" w:hAnsi="Arial"/>
          <w:sz w:val="13"/>
          <w:szCs w:val="13"/>
          <w:color w:val="003366"/>
        </w:rPr>
      </w:pPr>
      <w:hyperlink w:anchor="page160">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CHURCHILL CAPITAL CORP IV</w:t>
      </w:r>
    </w:p>
    <w:p>
      <w:pPr>
        <w:spacing w:after="0" w:line="85"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auto"/>
        </w:rPr>
        <w:t>NOTES TO FINANCIAL STATEMENTS</w:t>
      </w:r>
    </w:p>
    <w:p>
      <w:pPr>
        <w:spacing w:after="0" w:line="199" w:lineRule="exact"/>
        <w:rPr>
          <w:sz w:val="20"/>
          <w:szCs w:val="20"/>
          <w:color w:val="auto"/>
        </w:rPr>
      </w:pPr>
    </w:p>
    <w:p>
      <w:pPr>
        <w:ind w:left="1140" w:right="2159" w:firstLine="326"/>
        <w:spacing w:after="0" w:line="254" w:lineRule="auto"/>
        <w:rPr>
          <w:sz w:val="20"/>
          <w:szCs w:val="20"/>
          <w:color w:val="auto"/>
        </w:rPr>
      </w:pPr>
      <w:r>
        <w:rPr>
          <w:rFonts w:ascii="Arial" w:cs="Arial" w:eastAsia="Arial" w:hAnsi="Arial"/>
          <w:sz w:val="16"/>
          <w:szCs w:val="16"/>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64" w:lineRule="exact"/>
        <w:rPr>
          <w:sz w:val="20"/>
          <w:szCs w:val="20"/>
          <w:color w:val="auto"/>
        </w:rPr>
      </w:pPr>
    </w:p>
    <w:p>
      <w:pPr>
        <w:ind w:left="1140" w:right="1599" w:firstLine="326"/>
        <w:spacing w:after="0" w:line="242" w:lineRule="auto"/>
        <w:rPr>
          <w:sz w:val="20"/>
          <w:szCs w:val="20"/>
          <w:color w:val="auto"/>
        </w:rPr>
      </w:pPr>
      <w:r>
        <w:rPr>
          <w:rFonts w:ascii="Arial" w:cs="Arial" w:eastAsia="Arial" w:hAnsi="Arial"/>
          <w:sz w:val="16"/>
          <w:szCs w:val="16"/>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warrants will not be adjusted for issuance of Class A common stock at a price below its exercise price. Additionally, in no event will the Company be required to net cash settle the warrants. If the Company is unable to complete a Business Combination within the Combination Window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75" w:lineRule="exact"/>
        <w:rPr>
          <w:sz w:val="20"/>
          <w:szCs w:val="20"/>
          <w:color w:val="auto"/>
        </w:rPr>
      </w:pPr>
    </w:p>
    <w:p>
      <w:pPr>
        <w:ind w:left="1140" w:right="1639" w:firstLine="326"/>
        <w:spacing w:after="0" w:line="243" w:lineRule="auto"/>
        <w:rPr>
          <w:sz w:val="20"/>
          <w:szCs w:val="20"/>
          <w:color w:val="auto"/>
        </w:rPr>
      </w:pPr>
      <w:r>
        <w:rPr>
          <w:rFonts w:ascii="Arial" w:cs="Arial" w:eastAsia="Arial" w:hAnsi="Arial"/>
          <w:sz w:val="16"/>
          <w:szCs w:val="16"/>
          <w:color w:val="auto"/>
        </w:rPr>
        <w:t>The Private Placement Warrants will be identical to the Public Warrants underlying the Units being sold in the Proposed Public Offering, except that the Private Placement Warrants and the Class A common stock issuable upon the exercise of the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5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Note 8 — Subsequent Events</w:t>
      </w:r>
    </w:p>
    <w:p>
      <w:pPr>
        <w:spacing w:after="0" w:line="101" w:lineRule="exact"/>
        <w:rPr>
          <w:sz w:val="20"/>
          <w:szCs w:val="20"/>
          <w:color w:val="auto"/>
        </w:rPr>
      </w:pPr>
    </w:p>
    <w:p>
      <w:pPr>
        <w:ind w:left="1140" w:right="1699" w:firstLine="326"/>
        <w:spacing w:after="0" w:line="249" w:lineRule="auto"/>
        <w:rPr>
          <w:sz w:val="20"/>
          <w:szCs w:val="20"/>
          <w:color w:val="auto"/>
        </w:rPr>
      </w:pPr>
      <w:r>
        <w:rPr>
          <w:rFonts w:ascii="Arial" w:cs="Arial" w:eastAsia="Arial" w:hAnsi="Arial"/>
          <w:sz w:val="16"/>
          <w:szCs w:val="16"/>
          <w:color w:val="auto"/>
        </w:rPr>
        <w:t>The Company evaluated subsequent events and transactions that occurred after the balance sheet date and through the date that the financial statements were issued. Based upon this review, other than as described below, the Company did not identify any subsequent events that would have required adjustment or disclosure in the financial statements.</w:t>
      </w:r>
    </w:p>
    <w:p>
      <w:pPr>
        <w:spacing w:after="0" w:line="68" w:lineRule="exact"/>
        <w:rPr>
          <w:sz w:val="20"/>
          <w:szCs w:val="20"/>
          <w:color w:val="auto"/>
        </w:rPr>
      </w:pPr>
    </w:p>
    <w:p>
      <w:pPr>
        <w:ind w:left="1140" w:right="1759" w:firstLine="326"/>
        <w:spacing w:after="0" w:line="269" w:lineRule="auto"/>
        <w:rPr>
          <w:sz w:val="20"/>
          <w:szCs w:val="20"/>
          <w:color w:val="auto"/>
        </w:rPr>
      </w:pPr>
      <w:r>
        <w:rPr>
          <w:rFonts w:ascii="Arial" w:cs="Arial" w:eastAsia="Arial" w:hAnsi="Arial"/>
          <w:sz w:val="16"/>
          <w:szCs w:val="16"/>
          <w:color w:val="auto"/>
        </w:rPr>
        <w:t>Between June 1, 2020 and July 27, 2020, the Company borrowed an aggregate of $550,000 under the Promissory Note.</w:t>
      </w:r>
    </w:p>
    <w:p>
      <w:pPr>
        <w:spacing w:after="0" w:line="52" w:lineRule="exact"/>
        <w:rPr>
          <w:sz w:val="20"/>
          <w:szCs w:val="20"/>
          <w:color w:val="auto"/>
        </w:rPr>
      </w:pPr>
    </w:p>
    <w:p>
      <w:pPr>
        <w:ind w:left="1140" w:right="1779" w:firstLine="326"/>
        <w:spacing w:after="0" w:line="246" w:lineRule="auto"/>
        <w:rPr>
          <w:sz w:val="20"/>
          <w:szCs w:val="20"/>
          <w:color w:val="auto"/>
        </w:rPr>
      </w:pPr>
      <w:r>
        <w:rPr>
          <w:rFonts w:ascii="Arial" w:cs="Arial" w:eastAsia="Arial" w:hAnsi="Arial"/>
          <w:sz w:val="16"/>
          <w:szCs w:val="16"/>
          <w:color w:val="auto"/>
        </w:rPr>
        <w:t>On July 14, 2020, the Company effected a stock dividend of one-third of a share of Class B common stock for each outstanding share of Class B common stock, resulting in 28,750,000 shares of Class B common stock being issued and outstanding. All share and per-share amounts have been retroactively restated to reflect the stock dividend. Also, on July 14, 2020, the Company changed its name to Churchill Capital Corp IV.</w:t>
      </w:r>
    </w:p>
    <w:p>
      <w:pPr>
        <w:spacing w:after="0" w:line="72" w:lineRule="exact"/>
        <w:rPr>
          <w:sz w:val="20"/>
          <w:szCs w:val="20"/>
          <w:color w:val="auto"/>
        </w:rPr>
      </w:pPr>
    </w:p>
    <w:p>
      <w:pPr>
        <w:ind w:left="1140" w:right="1719" w:firstLine="326"/>
        <w:spacing w:after="0" w:line="249" w:lineRule="auto"/>
        <w:rPr>
          <w:sz w:val="20"/>
          <w:szCs w:val="20"/>
          <w:color w:val="auto"/>
        </w:rPr>
      </w:pPr>
      <w:r>
        <w:rPr>
          <w:rFonts w:ascii="Arial" w:cs="Arial" w:eastAsia="Arial" w:hAnsi="Arial"/>
          <w:sz w:val="16"/>
          <w:szCs w:val="16"/>
          <w:color w:val="auto"/>
        </w:rPr>
        <w:t>On July 27, 2020, the Company effected a stock dividend of 0.50 to 1 share of Class B common stock for each outstanding share of Class B common stock, resulting in 43,125,000 shares of Class B common stock being issued and outstanding. All share and per-share amounts have been retroactively restated to reflect the stock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75" w:name="page176"/>
    <w:bookmarkEnd w:id="175"/>
    <w:p>
      <w:pPr>
        <w:spacing w:after="0"/>
        <w:rPr>
          <w:rFonts w:ascii="Arial" w:cs="Arial" w:eastAsia="Arial" w:hAnsi="Arial"/>
          <w:sz w:val="12"/>
          <w:szCs w:val="12"/>
          <w:color w:val="003366"/>
        </w:rPr>
      </w:pPr>
      <w:hyperlink w:anchor="page160">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282575</wp:posOffset>
            </wp:positionV>
            <wp:extent cx="4721860" cy="234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721860" cy="23495"/>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336550</wp:posOffset>
            </wp:positionV>
            <wp:extent cx="472186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721860" cy="762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760"/>
        <w:spacing w:after="0"/>
        <w:rPr>
          <w:sz w:val="20"/>
          <w:szCs w:val="20"/>
          <w:color w:val="auto"/>
        </w:rPr>
      </w:pPr>
      <w:r>
        <w:rPr>
          <w:rFonts w:ascii="Arial" w:cs="Arial" w:eastAsia="Arial" w:hAnsi="Arial"/>
          <w:sz w:val="29"/>
          <w:szCs w:val="29"/>
          <w:b w:val="1"/>
          <w:bCs w:val="1"/>
          <w:color w:val="auto"/>
        </w:rPr>
        <w:t>150,000,000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80"/>
        <w:spacing w:after="0"/>
        <w:rPr>
          <w:sz w:val="20"/>
          <w:szCs w:val="20"/>
          <w:color w:val="auto"/>
        </w:rPr>
      </w:pPr>
      <w:r>
        <w:rPr>
          <w:rFonts w:ascii="Arial" w:cs="Arial" w:eastAsia="Arial" w:hAnsi="Arial"/>
          <w:sz w:val="49"/>
          <w:szCs w:val="49"/>
          <w:b w:val="1"/>
          <w:bCs w:val="1"/>
          <w:color w:val="auto"/>
        </w:rPr>
        <w:t>Churchill Capital Corp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2522855</wp:posOffset>
            </wp:positionH>
            <wp:positionV relativeFrom="paragraph">
              <wp:posOffset>972185</wp:posOffset>
            </wp:positionV>
            <wp:extent cx="1118235"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1182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460"/>
        <w:spacing w:after="0"/>
        <w:rPr>
          <w:sz w:val="20"/>
          <w:szCs w:val="20"/>
          <w:color w:val="auto"/>
        </w:rPr>
      </w:pPr>
      <w:r>
        <w:rPr>
          <w:rFonts w:ascii="Arial" w:cs="Arial" w:eastAsia="Arial" w:hAnsi="Arial"/>
          <w:sz w:val="16"/>
          <w:szCs w:val="16"/>
          <w:b w:val="1"/>
          <w:bCs w:val="1"/>
          <w:color w:val="auto"/>
        </w:rPr>
        <w:t>PRELIMINARY PROSPECTUS</w:t>
      </w:r>
    </w:p>
    <w:p>
      <w:pPr>
        <w:spacing w:after="0" w:line="183"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2522855</wp:posOffset>
            </wp:positionH>
            <wp:positionV relativeFrom="paragraph">
              <wp:posOffset>165735</wp:posOffset>
            </wp:positionV>
            <wp:extent cx="1118235"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1182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39"/>
        <w:spacing w:after="0"/>
        <w:rPr>
          <w:sz w:val="20"/>
          <w:szCs w:val="20"/>
          <w:color w:val="auto"/>
        </w:rPr>
      </w:pPr>
      <w:r>
        <w:rPr>
          <w:rFonts w:ascii="Arial" w:cs="Arial" w:eastAsia="Arial" w:hAnsi="Arial"/>
          <w:sz w:val="39"/>
          <w:szCs w:val="39"/>
          <w:b w:val="1"/>
          <w:bCs w:val="1"/>
          <w:color w:val="auto"/>
        </w:rPr>
        <w:t>Citigroup</w:t>
      </w:r>
    </w:p>
    <w:p>
      <w:pPr>
        <w:jc w:val="center"/>
        <w:ind w:right="439"/>
        <w:spacing w:after="0" w:line="216" w:lineRule="auto"/>
        <w:rPr>
          <w:sz w:val="20"/>
          <w:szCs w:val="20"/>
          <w:color w:val="auto"/>
        </w:rPr>
      </w:pPr>
      <w:r>
        <w:rPr>
          <w:rFonts w:ascii="Arial" w:cs="Arial" w:eastAsia="Arial" w:hAnsi="Arial"/>
          <w:sz w:val="39"/>
          <w:szCs w:val="39"/>
          <w:b w:val="1"/>
          <w:bCs w:val="1"/>
          <w:color w:val="auto"/>
        </w:rPr>
        <w:t>Goldman Sachs &amp; Co. LLC</w:t>
      </w:r>
    </w:p>
    <w:p>
      <w:pPr>
        <w:jc w:val="center"/>
        <w:ind w:right="439"/>
        <w:spacing w:after="0"/>
        <w:rPr>
          <w:sz w:val="20"/>
          <w:szCs w:val="20"/>
          <w:color w:val="auto"/>
        </w:rPr>
      </w:pPr>
      <w:r>
        <w:rPr>
          <w:rFonts w:ascii="Arial" w:cs="Arial" w:eastAsia="Arial" w:hAnsi="Arial"/>
          <w:sz w:val="39"/>
          <w:szCs w:val="39"/>
          <w:b w:val="1"/>
          <w:bCs w:val="1"/>
          <w:color w:val="auto"/>
        </w:rPr>
        <w:t>J.P. Morgan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40" w:right="1639" w:firstLine="326"/>
        <w:spacing w:after="0" w:line="265" w:lineRule="auto"/>
        <w:rPr>
          <w:sz w:val="20"/>
          <w:szCs w:val="20"/>
          <w:color w:val="auto"/>
        </w:rPr>
      </w:pPr>
      <w:r>
        <w:rPr>
          <w:rFonts w:ascii="Arial" w:cs="Arial" w:eastAsia="Arial" w:hAnsi="Arial"/>
          <w:sz w:val="16"/>
          <w:szCs w:val="16"/>
          <w:color w:val="auto"/>
        </w:rPr>
        <w:t>Until , 2020 (25 days after the date of this prospectus), all dealers that buy, sell or trade shares of our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494030</wp:posOffset>
            </wp:positionV>
            <wp:extent cx="472186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721860" cy="762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532765</wp:posOffset>
            </wp:positionV>
            <wp:extent cx="4721860" cy="234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721860" cy="234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781050</wp:posOffset>
            </wp:positionV>
            <wp:extent cx="6166485" cy="152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6" w:name="page177"/>
    <w:bookmarkEnd w:id="176"/>
    <w:p>
      <w:pPr>
        <w:spacing w:after="0"/>
        <w:rPr>
          <w:rFonts w:ascii="Arial" w:cs="Arial" w:eastAsia="Arial" w:hAnsi="Arial"/>
          <w:sz w:val="13"/>
          <w:szCs w:val="13"/>
          <w:color w:val="003366"/>
        </w:rPr>
      </w:pPr>
      <w:hyperlink w:anchor="page160">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PART II</w:t>
      </w:r>
    </w:p>
    <w:p>
      <w:pPr>
        <w:spacing w:after="0" w:line="183"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auto"/>
        </w:rPr>
        <w:t>INFORMATION NOT REQUIRED IN PROSPECTUS</w:t>
      </w:r>
    </w:p>
    <w:p>
      <w:pPr>
        <w:spacing w:after="0" w:line="183"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Item 13. Other Expenses of Issuance and Distribution.</w:t>
      </w:r>
    </w:p>
    <w:p>
      <w:pPr>
        <w:spacing w:after="0" w:line="101" w:lineRule="exact"/>
        <w:rPr>
          <w:sz w:val="20"/>
          <w:szCs w:val="20"/>
          <w:color w:val="auto"/>
        </w:rPr>
      </w:pPr>
    </w:p>
    <w:p>
      <w:pPr>
        <w:ind w:left="1140" w:right="1919" w:firstLine="326"/>
        <w:spacing w:after="0" w:line="285" w:lineRule="auto"/>
        <w:rPr>
          <w:sz w:val="20"/>
          <w:szCs w:val="20"/>
          <w:color w:val="auto"/>
        </w:rPr>
      </w:pPr>
      <w:r>
        <w:rPr>
          <w:rFonts w:ascii="Arial" w:cs="Arial" w:eastAsia="Arial" w:hAnsi="Arial"/>
          <w:sz w:val="16"/>
          <w:szCs w:val="16"/>
          <w:color w:val="auto"/>
        </w:rPr>
        <w:t>The estimated expenses payable by us in connection with the offering described in this registration statement (other than the underwriting discount and commissions) will be as follows:</w:t>
      </w:r>
    </w:p>
    <w:p>
      <w:pPr>
        <w:spacing w:after="0" w:line="89"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320" w:type="dxa"/>
            <w:vAlign w:val="bottom"/>
          </w:tcPr>
          <w:p>
            <w:pPr>
              <w:spacing w:after="0"/>
              <w:rPr>
                <w:sz w:val="16"/>
                <w:szCs w:val="16"/>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SEC/FINRA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483,155</w:t>
            </w:r>
          </w:p>
        </w:tc>
      </w:tr>
      <w:tr>
        <w:trPr>
          <w:trHeight w:val="232"/>
        </w:trPr>
        <w:tc>
          <w:tcPr>
            <w:tcW w:w="6360" w:type="dxa"/>
            <w:vAlign w:val="bottom"/>
            <w:gridSpan w:val="3"/>
          </w:tcPr>
          <w:p>
            <w:pPr>
              <w:ind w:left="320"/>
              <w:spacing w:after="0"/>
              <w:rPr>
                <w:sz w:val="20"/>
                <w:szCs w:val="20"/>
                <w:color w:val="auto"/>
              </w:rPr>
            </w:pPr>
            <w:r>
              <w:rPr>
                <w:rFonts w:ascii="Arial" w:cs="Arial" w:eastAsia="Arial" w:hAnsi="Arial"/>
                <w:sz w:val="16"/>
                <w:szCs w:val="16"/>
                <w:color w:val="auto"/>
              </w:rPr>
              <w:t>Accounting fees and expenses</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40,000</w:t>
            </w:r>
          </w:p>
        </w:tc>
      </w:tr>
      <w:tr>
        <w:trPr>
          <w:trHeight w:val="233"/>
        </w:trPr>
        <w:tc>
          <w:tcPr>
            <w:tcW w:w="320" w:type="dxa"/>
            <w:vAlign w:val="bottom"/>
          </w:tcPr>
          <w:p>
            <w:pPr>
              <w:spacing w:after="0"/>
              <w:rPr>
                <w:sz w:val="20"/>
                <w:szCs w:val="20"/>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Printing and engraving expenses</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w:t>
            </w:r>
          </w:p>
        </w:tc>
      </w:tr>
      <w:tr>
        <w:trPr>
          <w:trHeight w:val="231"/>
        </w:trPr>
        <w:tc>
          <w:tcPr>
            <w:tcW w:w="6360" w:type="dxa"/>
            <w:vAlign w:val="bottom"/>
            <w:gridSpan w:val="3"/>
          </w:tcPr>
          <w:p>
            <w:pPr>
              <w:ind w:left="320"/>
              <w:spacing w:after="0"/>
              <w:rPr>
                <w:sz w:val="20"/>
                <w:szCs w:val="20"/>
                <w:color w:val="auto"/>
              </w:rPr>
            </w:pPr>
            <w:r>
              <w:rPr>
                <w:rFonts w:ascii="Arial" w:cs="Arial" w:eastAsia="Arial" w:hAnsi="Arial"/>
                <w:sz w:val="16"/>
                <w:szCs w:val="16"/>
                <w:color w:val="auto"/>
              </w:rPr>
              <w:t>Travel and road show expenses</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20,000</w:t>
            </w:r>
          </w:p>
        </w:tc>
      </w:tr>
      <w:tr>
        <w:trPr>
          <w:trHeight w:val="246"/>
        </w:trPr>
        <w:tc>
          <w:tcPr>
            <w:tcW w:w="320" w:type="dxa"/>
            <w:vAlign w:val="bottom"/>
          </w:tcPr>
          <w:p>
            <w:pPr>
              <w:spacing w:after="0"/>
              <w:rPr>
                <w:sz w:val="21"/>
                <w:szCs w:val="21"/>
                <w:color w:val="auto"/>
              </w:rPr>
            </w:pPr>
          </w:p>
        </w:tc>
        <w:tc>
          <w:tcPr>
            <w:tcW w:w="6040" w:type="dxa"/>
            <w:vAlign w:val="bottom"/>
            <w:gridSpan w:val="2"/>
            <w:shd w:val="clear" w:color="auto" w:fill="CCEEFF"/>
          </w:tcPr>
          <w:p>
            <w:pPr>
              <w:spacing w:after="0" w:line="245" w:lineRule="exact"/>
              <w:rPr>
                <w:sz w:val="20"/>
                <w:szCs w:val="20"/>
                <w:color w:val="auto"/>
              </w:rPr>
            </w:pPr>
            <w:r>
              <w:rPr>
                <w:rFonts w:ascii="Arial" w:cs="Arial" w:eastAsia="Arial" w:hAnsi="Arial"/>
                <w:sz w:val="16"/>
                <w:szCs w:val="16"/>
                <w:color w:val="auto"/>
              </w:rPr>
              <w:t>Directors and officers insurance premiums</w:t>
            </w:r>
            <w:r>
              <w:rPr>
                <w:rFonts w:ascii="Arial" w:cs="Arial" w:eastAsia="Arial" w:hAnsi="Arial"/>
                <w:sz w:val="24"/>
                <w:szCs w:val="24"/>
                <w:color w:val="auto"/>
                <w:vertAlign w:val="superscript"/>
              </w:rPr>
              <w:t>(1)</w:t>
            </w: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325,000</w:t>
            </w:r>
          </w:p>
        </w:tc>
      </w:tr>
      <w:tr>
        <w:trPr>
          <w:trHeight w:val="232"/>
        </w:trPr>
        <w:tc>
          <w:tcPr>
            <w:tcW w:w="6360" w:type="dxa"/>
            <w:vAlign w:val="bottom"/>
            <w:gridSpan w:val="3"/>
          </w:tcPr>
          <w:p>
            <w:pPr>
              <w:ind w:left="320"/>
              <w:spacing w:after="0"/>
              <w:rPr>
                <w:sz w:val="20"/>
                <w:szCs w:val="20"/>
                <w:color w:val="auto"/>
              </w:rPr>
            </w:pPr>
            <w:r>
              <w:rPr>
                <w:rFonts w:ascii="Arial" w:cs="Arial" w:eastAsia="Arial" w:hAnsi="Arial"/>
                <w:sz w:val="16"/>
                <w:szCs w:val="16"/>
                <w:color w:val="auto"/>
              </w:rPr>
              <w:t>Legal fees and expenses</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300,000</w:t>
            </w:r>
          </w:p>
        </w:tc>
      </w:tr>
      <w:tr>
        <w:trPr>
          <w:trHeight w:val="233"/>
        </w:trPr>
        <w:tc>
          <w:tcPr>
            <w:tcW w:w="320" w:type="dxa"/>
            <w:vAlign w:val="bottom"/>
          </w:tcPr>
          <w:p>
            <w:pPr>
              <w:spacing w:after="0"/>
              <w:rPr>
                <w:sz w:val="20"/>
                <w:szCs w:val="20"/>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NYSE listing and filing fees</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85,000</w:t>
            </w:r>
          </w:p>
        </w:tc>
      </w:tr>
      <w:tr>
        <w:trPr>
          <w:trHeight w:val="238"/>
        </w:trPr>
        <w:tc>
          <w:tcPr>
            <w:tcW w:w="6360" w:type="dxa"/>
            <w:vAlign w:val="bottom"/>
            <w:gridSpan w:val="3"/>
          </w:tcPr>
          <w:p>
            <w:pPr>
              <w:ind w:left="320"/>
              <w:spacing w:after="0"/>
              <w:rPr>
                <w:sz w:val="20"/>
                <w:szCs w:val="20"/>
                <w:color w:val="auto"/>
              </w:rPr>
            </w:pPr>
            <w:r>
              <w:rPr>
                <w:rFonts w:ascii="Arial" w:cs="Arial" w:eastAsia="Arial" w:hAnsi="Arial"/>
                <w:sz w:val="16"/>
                <w:szCs w:val="16"/>
                <w:color w:val="auto"/>
              </w:rPr>
              <w:t>Miscellaneous</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61,845</w:t>
            </w:r>
          </w:p>
        </w:tc>
      </w:tr>
      <w:tr>
        <w:trPr>
          <w:trHeight w:val="249"/>
        </w:trPr>
        <w:tc>
          <w:tcPr>
            <w:tcW w:w="320" w:type="dxa"/>
            <w:vAlign w:val="bottom"/>
          </w:tcPr>
          <w:p>
            <w:pPr>
              <w:spacing w:after="0"/>
              <w:rPr>
                <w:sz w:val="21"/>
                <w:szCs w:val="21"/>
                <w:color w:val="auto"/>
              </w:rPr>
            </w:pPr>
          </w:p>
        </w:tc>
        <w:tc>
          <w:tcPr>
            <w:tcW w:w="60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1,350,000</w:t>
            </w:r>
          </w:p>
        </w:tc>
      </w:tr>
      <w:tr>
        <w:trPr>
          <w:trHeight w:val="121"/>
        </w:trPr>
        <w:tc>
          <w:tcPr>
            <w:tcW w:w="3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4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-263525</wp:posOffset>
            </wp:positionV>
            <wp:extent cx="382905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29050" cy="7620"/>
                    </a:xfrm>
                    <a:prstGeom prst="rect">
                      <a:avLst/>
                    </a:prstGeom>
                    <a:noFill/>
                  </pic:spPr>
                </pic:pic>
              </a:graphicData>
            </a:graphic>
          </wp:anchor>
        </w:drawing>
      </w:r>
    </w:p>
    <w:p>
      <w:pPr>
        <w:spacing w:after="0" w:line="65" w:lineRule="exact"/>
        <w:rPr>
          <w:sz w:val="20"/>
          <w:szCs w:val="20"/>
          <w:color w:val="auto"/>
        </w:rPr>
      </w:pPr>
    </w:p>
    <w:p>
      <w:pPr>
        <w:ind w:left="1460" w:right="1799" w:hanging="321"/>
        <w:spacing w:after="0" w:line="254" w:lineRule="auto"/>
        <w:tabs>
          <w:tab w:leader="none" w:pos="14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This amount represents the approximate amount of annual director and officer liability insurance premiums the registrant anticipates paying following the completion of its initial public offering and until it completes a business combination.</w:t>
      </w:r>
    </w:p>
    <w:p>
      <w:pPr>
        <w:spacing w:after="0" w:line="14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Item 14. Indemnification of Directors and officers.</w:t>
      </w:r>
    </w:p>
    <w:p>
      <w:pPr>
        <w:spacing w:after="0" w:line="101" w:lineRule="exact"/>
        <w:rPr>
          <w:sz w:val="20"/>
          <w:szCs w:val="20"/>
          <w:color w:val="auto"/>
        </w:rPr>
      </w:pPr>
    </w:p>
    <w:p>
      <w:pPr>
        <w:ind w:left="1140" w:right="1579" w:firstLine="326"/>
        <w:spacing w:after="0" w:line="288" w:lineRule="auto"/>
        <w:rPr>
          <w:sz w:val="20"/>
          <w:szCs w:val="20"/>
          <w:color w:val="auto"/>
        </w:rPr>
      </w:pPr>
      <w:r>
        <w:rPr>
          <w:rFonts w:ascii="Arial" w:cs="Arial" w:eastAsia="Arial" w:hAnsi="Arial"/>
          <w:sz w:val="15"/>
          <w:szCs w:val="15"/>
          <w:color w:val="auto"/>
        </w:rPr>
        <w:t>Our amended and restated certificate of incorporation will provide that all of our directors, officers, employees and agents shall be entitled to be indemnified by us to the fullest extent permitted by Section 145 of the Delaware General Corporation Law (“DGCL”). Section 145 of the Delaware General Corporation Law concerning indemnification of officers, directors, employees and agents is set forth below.</w:t>
      </w:r>
    </w:p>
    <w:p>
      <w:pPr>
        <w:spacing w:after="0" w:line="138"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Section 145.  Indemnification of officers, directors, employees and agents; insurance.</w:t>
      </w:r>
    </w:p>
    <w:p>
      <w:pPr>
        <w:spacing w:after="0" w:line="97" w:lineRule="exact"/>
        <w:rPr>
          <w:sz w:val="20"/>
          <w:szCs w:val="20"/>
          <w:color w:val="auto"/>
        </w:rPr>
      </w:pPr>
    </w:p>
    <w:p>
      <w:pPr>
        <w:ind w:left="1140" w:right="1579" w:firstLine="325"/>
        <w:spacing w:after="0" w:line="257" w:lineRule="auto"/>
        <w:tabs>
          <w:tab w:leader="none" w:pos="17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77" w:lineRule="exact"/>
        <w:rPr>
          <w:rFonts w:ascii="Arial" w:cs="Arial" w:eastAsia="Arial" w:hAnsi="Arial"/>
          <w:sz w:val="16"/>
          <w:szCs w:val="16"/>
          <w:color w:val="auto"/>
        </w:rPr>
      </w:pPr>
    </w:p>
    <w:p>
      <w:pPr>
        <w:ind w:left="1140" w:right="1579" w:firstLine="325"/>
        <w:spacing w:after="0" w:line="279" w:lineRule="auto"/>
        <w:tabs>
          <w:tab w:leader="none" w:pos="1789" w:val="left"/>
        </w:tabs>
        <w:numPr>
          <w:ilvl w:val="0"/>
          <w:numId w:val="86"/>
        </w:numPr>
        <w:rPr>
          <w:rFonts w:ascii="Arial" w:cs="Arial" w:eastAsia="Arial" w:hAnsi="Arial"/>
          <w:sz w:val="15"/>
          <w:szCs w:val="15"/>
          <w:color w:val="auto"/>
        </w:rPr>
      </w:pPr>
      <w:r>
        <w:rPr>
          <w:rFonts w:ascii="Arial" w:cs="Arial" w:eastAsia="Arial" w:hAnsi="Arial"/>
          <w:sz w:val="15"/>
          <w:szCs w:val="15"/>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w:t>
      </w:r>
    </w:p>
    <w:p>
      <w:pPr>
        <w:spacing w:after="0" w:line="206"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7" w:name="page178"/>
    <w:bookmarkEnd w:id="177"/>
    <w:p>
      <w:pPr>
        <w:spacing w:after="0"/>
        <w:rPr>
          <w:rFonts w:ascii="Arial" w:cs="Arial" w:eastAsia="Arial" w:hAnsi="Arial"/>
          <w:sz w:val="13"/>
          <w:szCs w:val="13"/>
          <w:color w:val="003366"/>
        </w:rPr>
      </w:pPr>
      <w:hyperlink w:anchor="page160">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599"/>
        <w:spacing w:after="0" w:line="284" w:lineRule="auto"/>
        <w:rPr>
          <w:sz w:val="20"/>
          <w:szCs w:val="20"/>
          <w:color w:val="auto"/>
        </w:rPr>
      </w:pPr>
      <w:r>
        <w:rPr>
          <w:rFonts w:ascii="Arial" w:cs="Arial" w:eastAsia="Arial" w:hAnsi="Arial"/>
          <w:sz w:val="15"/>
          <w:szCs w:val="15"/>
          <w:color w:val="auto"/>
        </w:rPr>
        <w:t>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56" w:lineRule="exact"/>
        <w:rPr>
          <w:sz w:val="20"/>
          <w:szCs w:val="20"/>
          <w:color w:val="auto"/>
        </w:rPr>
      </w:pPr>
    </w:p>
    <w:p>
      <w:pPr>
        <w:ind w:left="1140" w:right="1699" w:firstLine="325"/>
        <w:spacing w:after="0" w:line="262" w:lineRule="auto"/>
        <w:tabs>
          <w:tab w:leader="none" w:pos="1786" w:val="left"/>
        </w:tabs>
        <w:numPr>
          <w:ilvl w:val="0"/>
          <w:numId w:val="87"/>
        </w:numPr>
        <w:rPr>
          <w:rFonts w:ascii="Arial" w:cs="Arial" w:eastAsia="Arial" w:hAnsi="Arial"/>
          <w:sz w:val="16"/>
          <w:szCs w:val="16"/>
          <w:color w:val="auto"/>
        </w:rPr>
      </w:pPr>
      <w:r>
        <w:rPr>
          <w:rFonts w:ascii="Arial" w:cs="Arial" w:eastAsia="Arial" w:hAnsi="Arial"/>
          <w:sz w:val="16"/>
          <w:szCs w:val="16"/>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72" w:lineRule="exact"/>
        <w:rPr>
          <w:rFonts w:ascii="Arial" w:cs="Arial" w:eastAsia="Arial" w:hAnsi="Arial"/>
          <w:sz w:val="16"/>
          <w:szCs w:val="16"/>
          <w:color w:val="auto"/>
        </w:rPr>
      </w:pPr>
    </w:p>
    <w:p>
      <w:pPr>
        <w:ind w:left="1140" w:right="1579" w:firstLine="325"/>
        <w:spacing w:after="0" w:line="278" w:lineRule="auto"/>
        <w:tabs>
          <w:tab w:leader="none" w:pos="1789" w:val="left"/>
        </w:tabs>
        <w:numPr>
          <w:ilvl w:val="0"/>
          <w:numId w:val="87"/>
        </w:numPr>
        <w:rPr>
          <w:rFonts w:ascii="Arial" w:cs="Arial" w:eastAsia="Arial" w:hAnsi="Arial"/>
          <w:sz w:val="15"/>
          <w:szCs w:val="15"/>
          <w:color w:val="auto"/>
        </w:rPr>
      </w:pPr>
      <w:r>
        <w:rPr>
          <w:rFonts w:ascii="Arial" w:cs="Arial" w:eastAsia="Arial" w:hAnsi="Arial"/>
          <w:sz w:val="15"/>
          <w:szCs w:val="15"/>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60" w:lineRule="exact"/>
        <w:rPr>
          <w:rFonts w:ascii="Arial" w:cs="Arial" w:eastAsia="Arial" w:hAnsi="Arial"/>
          <w:sz w:val="15"/>
          <w:szCs w:val="15"/>
          <w:color w:val="auto"/>
        </w:rPr>
      </w:pPr>
    </w:p>
    <w:p>
      <w:pPr>
        <w:ind w:left="1140" w:right="1699" w:firstLine="325"/>
        <w:spacing w:after="0" w:line="260" w:lineRule="auto"/>
        <w:tabs>
          <w:tab w:leader="none" w:pos="1789" w:val="left"/>
        </w:tabs>
        <w:numPr>
          <w:ilvl w:val="0"/>
          <w:numId w:val="87"/>
        </w:numPr>
        <w:rPr>
          <w:rFonts w:ascii="Arial" w:cs="Arial" w:eastAsia="Arial" w:hAnsi="Arial"/>
          <w:sz w:val="16"/>
          <w:szCs w:val="16"/>
          <w:color w:val="auto"/>
        </w:rPr>
      </w:pPr>
      <w:r>
        <w:rPr>
          <w:rFonts w:ascii="Arial" w:cs="Arial" w:eastAsia="Arial" w:hAnsi="Arial"/>
          <w:sz w:val="16"/>
          <w:szCs w:val="16"/>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72" w:lineRule="exact"/>
        <w:rPr>
          <w:rFonts w:ascii="Arial" w:cs="Arial" w:eastAsia="Arial" w:hAnsi="Arial"/>
          <w:sz w:val="16"/>
          <w:szCs w:val="16"/>
          <w:color w:val="auto"/>
        </w:rPr>
      </w:pPr>
    </w:p>
    <w:p>
      <w:pPr>
        <w:ind w:left="1140" w:right="1619" w:firstLine="325"/>
        <w:spacing w:after="0" w:line="277" w:lineRule="auto"/>
        <w:tabs>
          <w:tab w:leader="none" w:pos="1768"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64" w:lineRule="exact"/>
        <w:rPr>
          <w:rFonts w:ascii="Arial" w:cs="Arial" w:eastAsia="Arial" w:hAnsi="Arial"/>
          <w:sz w:val="15"/>
          <w:szCs w:val="15"/>
          <w:color w:val="auto"/>
        </w:rPr>
      </w:pPr>
    </w:p>
    <w:p>
      <w:pPr>
        <w:ind w:left="1140" w:right="1579" w:firstLine="325"/>
        <w:spacing w:after="0" w:line="261" w:lineRule="auto"/>
        <w:tabs>
          <w:tab w:leader="none" w:pos="1789"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71" w:lineRule="exact"/>
        <w:rPr>
          <w:rFonts w:ascii="Arial" w:cs="Arial" w:eastAsia="Arial" w:hAnsi="Arial"/>
          <w:sz w:val="16"/>
          <w:szCs w:val="16"/>
          <w:color w:val="auto"/>
        </w:rPr>
      </w:pPr>
    </w:p>
    <w:p>
      <w:pPr>
        <w:ind w:left="1140" w:right="1639" w:firstLine="325"/>
        <w:spacing w:after="0" w:line="259" w:lineRule="auto"/>
        <w:tabs>
          <w:tab w:leader="none" w:pos="1798" w:val="left"/>
        </w:tabs>
        <w:numPr>
          <w:ilvl w:val="0"/>
          <w:numId w:val="87"/>
        </w:numPr>
        <w:rPr>
          <w:rFonts w:ascii="Arial" w:cs="Arial" w:eastAsia="Arial" w:hAnsi="Arial"/>
          <w:sz w:val="16"/>
          <w:szCs w:val="16"/>
          <w:color w:val="auto"/>
        </w:rPr>
      </w:pPr>
      <w:r>
        <w:rPr>
          <w:rFonts w:ascii="Arial" w:cs="Arial" w:eastAsia="Arial" w:hAnsi="Arial"/>
          <w:sz w:val="16"/>
          <w:szCs w:val="16"/>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231"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78" w:name="page179"/>
    <w:bookmarkEnd w:id="178"/>
    <w:p>
      <w:pPr>
        <w:spacing w:after="0"/>
        <w:rPr>
          <w:rFonts w:ascii="Arial" w:cs="Arial" w:eastAsia="Arial" w:hAnsi="Arial"/>
          <w:sz w:val="13"/>
          <w:szCs w:val="13"/>
          <w:color w:val="003366"/>
        </w:rPr>
      </w:pPr>
      <w:hyperlink w:anchor="page160">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599" w:firstLine="325"/>
        <w:spacing w:after="0" w:line="279" w:lineRule="auto"/>
        <w:tabs>
          <w:tab w:leader="none" w:pos="1762" w:val="left"/>
        </w:tabs>
        <w:numPr>
          <w:ilvl w:val="0"/>
          <w:numId w:val="88"/>
        </w:numPr>
        <w:rPr>
          <w:rFonts w:ascii="Arial" w:cs="Arial" w:eastAsia="Arial" w:hAnsi="Arial"/>
          <w:sz w:val="15"/>
          <w:szCs w:val="15"/>
          <w:color w:val="auto"/>
        </w:rPr>
      </w:pPr>
      <w:r>
        <w:rPr>
          <w:rFonts w:ascii="Arial" w:cs="Arial" w:eastAsia="Arial" w:hAnsi="Arial"/>
          <w:sz w:val="15"/>
          <w:szCs w:val="15"/>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59" w:lineRule="exact"/>
        <w:rPr>
          <w:rFonts w:ascii="Arial" w:cs="Arial" w:eastAsia="Arial" w:hAnsi="Arial"/>
          <w:sz w:val="15"/>
          <w:szCs w:val="15"/>
          <w:color w:val="auto"/>
        </w:rPr>
      </w:pPr>
    </w:p>
    <w:p>
      <w:pPr>
        <w:jc w:val="both"/>
        <w:ind w:left="1140" w:right="1619" w:firstLine="325"/>
        <w:spacing w:after="0" w:line="265" w:lineRule="auto"/>
        <w:tabs>
          <w:tab w:leader="none" w:pos="1759"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68" w:lineRule="exact"/>
        <w:rPr>
          <w:rFonts w:ascii="Arial" w:cs="Arial" w:eastAsia="Arial" w:hAnsi="Arial"/>
          <w:sz w:val="16"/>
          <w:szCs w:val="16"/>
          <w:color w:val="auto"/>
        </w:rPr>
      </w:pPr>
    </w:p>
    <w:p>
      <w:pPr>
        <w:ind w:left="1140" w:right="1899" w:firstLine="325"/>
        <w:spacing w:after="0" w:line="288" w:lineRule="auto"/>
        <w:tabs>
          <w:tab w:leader="none" w:pos="1795"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53" w:lineRule="exact"/>
        <w:rPr>
          <w:sz w:val="20"/>
          <w:szCs w:val="20"/>
          <w:color w:val="auto"/>
        </w:rPr>
      </w:pPr>
    </w:p>
    <w:p>
      <w:pPr>
        <w:ind w:left="1140" w:right="1639" w:firstLine="326"/>
        <w:spacing w:after="0" w:line="258" w:lineRule="auto"/>
        <w:rPr>
          <w:sz w:val="20"/>
          <w:szCs w:val="20"/>
          <w:color w:val="auto"/>
        </w:rPr>
      </w:pPr>
      <w:r>
        <w:rPr>
          <w:rFonts w:ascii="Arial" w:cs="Arial" w:eastAsia="Arial" w:hAnsi="Arial"/>
          <w:sz w:val="16"/>
          <w:szCs w:val="16"/>
          <w:color w:val="auto"/>
        </w:rPr>
        <w:t>In connection with this registration statement, we have undertaken that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 See Item 17 “Undertakings”.</w:t>
      </w:r>
    </w:p>
    <w:p>
      <w:pPr>
        <w:spacing w:after="0" w:line="75" w:lineRule="exact"/>
        <w:rPr>
          <w:sz w:val="20"/>
          <w:szCs w:val="20"/>
          <w:color w:val="auto"/>
        </w:rPr>
      </w:pPr>
    </w:p>
    <w:p>
      <w:pPr>
        <w:ind w:left="1140" w:right="1599" w:firstLine="326"/>
        <w:spacing w:after="0" w:line="258" w:lineRule="auto"/>
        <w:rPr>
          <w:sz w:val="20"/>
          <w:szCs w:val="20"/>
          <w:color w:val="auto"/>
        </w:rPr>
      </w:pPr>
      <w:r>
        <w:rPr>
          <w:rFonts w:ascii="Arial" w:cs="Arial" w:eastAsia="Arial" w:hAnsi="Arial"/>
          <w:sz w:val="16"/>
          <w:szCs w:val="16"/>
          <w:color w:val="auto"/>
        </w:rPr>
        <w:t>In accordance with Section 102(b)(7) of the DGCL, our amended and restated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amended and restated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77" w:lineRule="exact"/>
        <w:rPr>
          <w:sz w:val="20"/>
          <w:szCs w:val="20"/>
          <w:color w:val="auto"/>
        </w:rPr>
      </w:pPr>
    </w:p>
    <w:p>
      <w:pPr>
        <w:ind w:left="1140" w:right="1579" w:firstLine="326"/>
        <w:spacing w:after="0" w:line="258" w:lineRule="auto"/>
        <w:rPr>
          <w:sz w:val="20"/>
          <w:szCs w:val="20"/>
          <w:color w:val="auto"/>
        </w:rPr>
      </w:pPr>
      <w:r>
        <w:rPr>
          <w:rFonts w:ascii="Arial" w:cs="Arial" w:eastAsia="Arial" w:hAnsi="Arial"/>
          <w:sz w:val="16"/>
          <w:szCs w:val="16"/>
          <w:color w:val="auto"/>
        </w:rPr>
        <w:t>Our amended and restated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amended and restated certificate of incorporation will be indemnified by us in connection with a proceeding initiated by such person only if such proceeding was authorized by our board of directors, except for proceedings to enforce rights to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9" w:name="page180"/>
    <w:bookmarkEnd w:id="179"/>
    <w:p>
      <w:pPr>
        <w:spacing w:after="0"/>
        <w:rPr>
          <w:rFonts w:ascii="Arial" w:cs="Arial" w:eastAsia="Arial" w:hAnsi="Arial"/>
          <w:sz w:val="13"/>
          <w:szCs w:val="13"/>
          <w:color w:val="003366"/>
        </w:rPr>
      </w:pPr>
      <w:hyperlink w:anchor="page160">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679" w:firstLine="326"/>
        <w:spacing w:after="0" w:line="259" w:lineRule="auto"/>
        <w:rPr>
          <w:sz w:val="20"/>
          <w:szCs w:val="20"/>
          <w:color w:val="auto"/>
        </w:rPr>
      </w:pPr>
      <w:r>
        <w:rPr>
          <w:rFonts w:ascii="Arial" w:cs="Arial" w:eastAsia="Arial" w:hAnsi="Arial"/>
          <w:sz w:val="16"/>
          <w:szCs w:val="16"/>
          <w:color w:val="auto"/>
        </w:rPr>
        <w:t>The right to indemnification which will be conferred by our amended and restated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amended and restated certificate of incorporation or otherwise.</w:t>
      </w:r>
    </w:p>
    <w:p>
      <w:pPr>
        <w:spacing w:after="0" w:line="75" w:lineRule="exact"/>
        <w:rPr>
          <w:sz w:val="20"/>
          <w:szCs w:val="20"/>
          <w:color w:val="auto"/>
        </w:rPr>
      </w:pPr>
    </w:p>
    <w:p>
      <w:pPr>
        <w:ind w:left="1140" w:right="1699" w:firstLine="326"/>
        <w:spacing w:after="0" w:line="265" w:lineRule="auto"/>
        <w:rPr>
          <w:sz w:val="20"/>
          <w:szCs w:val="20"/>
          <w:color w:val="auto"/>
        </w:rPr>
      </w:pPr>
      <w:r>
        <w:rPr>
          <w:rFonts w:ascii="Arial" w:cs="Arial" w:eastAsia="Arial" w:hAnsi="Arial"/>
          <w:sz w:val="16"/>
          <w:szCs w:val="16"/>
          <w:color w:val="auto"/>
        </w:rPr>
        <w:t>The rights to indemnification and advancement of expenses will not be deemed exclusive of any other rights which any person covered by our amended and restated certificate of incorporation may have or hereafter acquire under law, our amended and restated certificate of incorporation, our bylaws, an agreement, vote of stockholders or disinterested directors, or otherwise.</w:t>
      </w:r>
    </w:p>
    <w:p>
      <w:pPr>
        <w:spacing w:after="0" w:line="68" w:lineRule="exact"/>
        <w:rPr>
          <w:sz w:val="20"/>
          <w:szCs w:val="20"/>
          <w:color w:val="auto"/>
        </w:rPr>
      </w:pPr>
    </w:p>
    <w:p>
      <w:pPr>
        <w:ind w:left="1140" w:right="1639" w:firstLine="326"/>
        <w:spacing w:after="0" w:line="257" w:lineRule="auto"/>
        <w:rPr>
          <w:sz w:val="20"/>
          <w:szCs w:val="20"/>
          <w:color w:val="auto"/>
        </w:rPr>
      </w:pPr>
      <w:r>
        <w:rPr>
          <w:rFonts w:ascii="Arial" w:cs="Arial" w:eastAsia="Arial" w:hAnsi="Arial"/>
          <w:sz w:val="16"/>
          <w:szCs w:val="16"/>
          <w:color w:val="auto"/>
        </w:rPr>
        <w:t>If the DGCL is amended to authorize corporate action further eliminating or limiting the liability of directors, then, in accordance with our amended and restated certificate of incorporation, the liability of our directors to us or our stockholders will be eliminated or limited to the fullest extent authorized by the DGCL, as so amended. Any repeal or amendment of provisions of our amended and restated certificate of incorporation affecting indemnification rights, whether by our stockholders or by changes in law, or the adoption of any other provisions inconsistent therewith, will (unless otherwise required by applicable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amended and restated certificate of incorporation will also permit us, to the extent and in the manner authorized or permitted by law, to indemnify and to advance expenses to persons other that those specifically covered by our amended and restated certificate of incorporation.</w:t>
      </w:r>
    </w:p>
    <w:p>
      <w:pPr>
        <w:spacing w:after="0" w:line="81" w:lineRule="exact"/>
        <w:rPr>
          <w:sz w:val="20"/>
          <w:szCs w:val="20"/>
          <w:color w:val="auto"/>
        </w:rPr>
      </w:pPr>
    </w:p>
    <w:p>
      <w:pPr>
        <w:ind w:left="1140" w:right="1619" w:firstLine="326"/>
        <w:spacing w:after="0" w:line="279" w:lineRule="auto"/>
        <w:rPr>
          <w:sz w:val="20"/>
          <w:szCs w:val="20"/>
          <w:color w:val="auto"/>
        </w:rPr>
      </w:pPr>
      <w:r>
        <w:rPr>
          <w:rFonts w:ascii="Arial" w:cs="Arial" w:eastAsia="Arial" w:hAnsi="Arial"/>
          <w:sz w:val="15"/>
          <w:szCs w:val="15"/>
          <w:color w:val="auto"/>
        </w:rPr>
        <w:t>Our bylaws, which we intend to adopt immediately prior to the closing of this offering, include the provisions relating to advancement of expenses and indemnification rights consistent with those which will be set forth in our amended and restated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59" w:lineRule="exact"/>
        <w:rPr>
          <w:sz w:val="20"/>
          <w:szCs w:val="20"/>
          <w:color w:val="auto"/>
        </w:rPr>
      </w:pPr>
    </w:p>
    <w:p>
      <w:pPr>
        <w:ind w:left="1140" w:right="1659" w:firstLine="326"/>
        <w:spacing w:after="0" w:line="260" w:lineRule="auto"/>
        <w:rPr>
          <w:sz w:val="20"/>
          <w:szCs w:val="20"/>
          <w:color w:val="auto"/>
        </w:rPr>
      </w:pPr>
      <w:r>
        <w:rPr>
          <w:rFonts w:ascii="Arial" w:cs="Arial" w:eastAsia="Arial" w:hAnsi="Arial"/>
          <w:sz w:val="16"/>
          <w:szCs w:val="16"/>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applicable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72" w:lineRule="exact"/>
        <w:rPr>
          <w:sz w:val="20"/>
          <w:szCs w:val="20"/>
          <w:color w:val="auto"/>
        </w:rPr>
      </w:pPr>
    </w:p>
    <w:p>
      <w:pPr>
        <w:ind w:left="1140" w:right="1579" w:firstLine="326"/>
        <w:spacing w:after="0" w:line="262" w:lineRule="auto"/>
        <w:rPr>
          <w:sz w:val="20"/>
          <w:szCs w:val="20"/>
          <w:color w:val="auto"/>
        </w:rPr>
      </w:pPr>
      <w:r>
        <w:rPr>
          <w:rFonts w:ascii="Arial" w:cs="Arial" w:eastAsia="Arial" w:hAnsi="Arial"/>
          <w:sz w:val="16"/>
          <w:szCs w:val="16"/>
          <w:color w:val="auto"/>
        </w:rPr>
        <w:t>We will enter into indemnification agreements with each of our officers and directors a form of which is to be filed as an exhibit to this registration statement. These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72" w:lineRule="exact"/>
        <w:rPr>
          <w:sz w:val="20"/>
          <w:szCs w:val="20"/>
          <w:color w:val="auto"/>
        </w:rPr>
      </w:pPr>
    </w:p>
    <w:p>
      <w:pPr>
        <w:ind w:left="1140" w:right="1639" w:firstLine="326"/>
        <w:spacing w:after="0" w:line="265" w:lineRule="auto"/>
        <w:rPr>
          <w:sz w:val="20"/>
          <w:szCs w:val="20"/>
          <w:color w:val="auto"/>
        </w:rPr>
      </w:pPr>
      <w:r>
        <w:rPr>
          <w:rFonts w:ascii="Arial" w:cs="Arial" w:eastAsia="Arial" w:hAnsi="Arial"/>
          <w:sz w:val="16"/>
          <w:szCs w:val="16"/>
          <w:color w:val="auto"/>
        </w:rPr>
        <w:t>Pursuant to the Underwriting Agreement to be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288"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0" w:name="page181"/>
    <w:bookmarkEnd w:id="180"/>
    <w:p>
      <w:pPr>
        <w:spacing w:after="0"/>
        <w:rPr>
          <w:rFonts w:ascii="Arial" w:cs="Arial" w:eastAsia="Arial" w:hAnsi="Arial"/>
          <w:sz w:val="13"/>
          <w:szCs w:val="13"/>
          <w:color w:val="003366"/>
        </w:rPr>
      </w:pPr>
      <w:hyperlink w:anchor="page160">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Item 15. Recent Sales of Unregistered Securities.</w:t>
      </w:r>
    </w:p>
    <w:p>
      <w:pPr>
        <w:spacing w:after="0" w:line="101" w:lineRule="exact"/>
        <w:rPr>
          <w:sz w:val="20"/>
          <w:szCs w:val="20"/>
          <w:color w:val="auto"/>
        </w:rPr>
      </w:pPr>
    </w:p>
    <w:p>
      <w:pPr>
        <w:ind w:left="1140" w:right="1659" w:firstLine="326"/>
        <w:spacing w:after="0" w:line="277" w:lineRule="auto"/>
        <w:rPr>
          <w:sz w:val="20"/>
          <w:szCs w:val="20"/>
          <w:color w:val="auto"/>
        </w:rPr>
      </w:pPr>
      <w:r>
        <w:rPr>
          <w:rFonts w:ascii="Arial" w:cs="Arial" w:eastAsia="Arial" w:hAnsi="Arial"/>
          <w:sz w:val="15"/>
          <w:szCs w:val="15"/>
          <w:color w:val="auto"/>
        </w:rPr>
        <w:t>In May 2020, Churchill Sponsor IV LLC, purchased an aggregate of 21,562,500 founder shares, for an aggregate offering price of $25,000 at an average purchase price of approximately $0.001 per share. On July 14, 2020, we effected a stock dividend of one-third of a share of Class B common stock for each outstanding share of Class B common stock, resulting in our initial stockholders holding an aggregate of 28,750,000 founder shares. On July 27, 2020, we effected a stock dividend of 0.50 of a share of Class B common stock for each outstanding share of Class B common stock, resulting in our initial stockholders holding an aggregate of 43,125,000 founder shares. The number of founder shares issued was determined based on the expectation that the founder shares would represent 20% of the outstanding shares of common stock upon completion of this offering. Such securities were issued in connection with our organization pursuant to the exemption from registration contained in Section 4(a)(2) of the Securities Act. Churchill Sponsor IV LLC is an accredited investor for purposes of Rule 501 of Regulation D.</w:t>
      </w:r>
    </w:p>
    <w:p>
      <w:pPr>
        <w:spacing w:after="0" w:line="61" w:lineRule="exact"/>
        <w:rPr>
          <w:sz w:val="20"/>
          <w:szCs w:val="20"/>
          <w:color w:val="auto"/>
        </w:rPr>
      </w:pPr>
    </w:p>
    <w:p>
      <w:pPr>
        <w:ind w:left="1140" w:right="1639" w:firstLine="326"/>
        <w:spacing w:after="0" w:line="260" w:lineRule="auto"/>
        <w:rPr>
          <w:sz w:val="20"/>
          <w:szCs w:val="20"/>
          <w:color w:val="auto"/>
        </w:rPr>
      </w:pPr>
      <w:r>
        <w:rPr>
          <w:rFonts w:ascii="Arial" w:cs="Arial" w:eastAsia="Arial" w:hAnsi="Arial"/>
          <w:sz w:val="16"/>
          <w:szCs w:val="16"/>
          <w:color w:val="auto"/>
        </w:rPr>
        <w:t>In addition, Churchill Sponsor IV LLC has subscribed to purchase from us an aggregate of 31,350,000 private placement warrants (or 35,850,000 warrants if the underwriters’ option to purchase additional units is exercised in full) at $1.00 per warrant (for an aggregate purchase price of $31,350,000 or $35,850,000 if the underwriters’ option to purchase additional units is exercised in full). This purchase will take place on a private placement basis simultaneously with the completion of our initial public offering. Any such issuances will be made pursuant to the exemption from registration contained in Section 4(a)(2) of the Securities Act.</w:t>
      </w:r>
    </w:p>
    <w:p>
      <w:pPr>
        <w:spacing w:after="0" w:line="7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No underwriting discounts or commissions were paid with respect to such sales.</w:t>
      </w:r>
    </w:p>
    <w:p>
      <w:pPr>
        <w:spacing w:after="0" w:line="191"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Item 16. Exhibits and Financial Statement Schedules.</w:t>
      </w:r>
    </w:p>
    <w:p>
      <w:pPr>
        <w:spacing w:after="0" w:line="101" w:lineRule="exact"/>
        <w:rPr>
          <w:sz w:val="20"/>
          <w:szCs w:val="20"/>
          <w:color w:val="auto"/>
        </w:rPr>
      </w:pPr>
    </w:p>
    <w:p>
      <w:pPr>
        <w:ind w:left="1460"/>
        <w:spacing w:after="0"/>
        <w:tabs>
          <w:tab w:leader="none" w:pos="1760" w:val="left"/>
          <w:tab w:leader="none" w:pos="25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i w:val="1"/>
          <w:iCs w:val="1"/>
          <w:color w:val="auto"/>
        </w:rPr>
        <w:t>Exhibits</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following exhibits are being filed herewith:</w:t>
      </w:r>
    </w:p>
    <w:p>
      <w:pPr>
        <w:spacing w:after="0" w:line="15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1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40" w:type="dxa"/>
            <w:vAlign w:val="bottom"/>
            <w:gridSpan w:val="3"/>
          </w:tcPr>
          <w:p>
            <w:pPr>
              <w:ind w:left="1360"/>
              <w:spacing w:after="0"/>
              <w:rPr>
                <w:sz w:val="20"/>
                <w:szCs w:val="20"/>
                <w:color w:val="auto"/>
              </w:rPr>
            </w:pPr>
            <w:r>
              <w:rPr>
                <w:rFonts w:ascii="Arial" w:cs="Arial" w:eastAsia="Arial" w:hAnsi="Arial"/>
                <w:sz w:val="13"/>
                <w:szCs w:val="13"/>
                <w:b w:val="1"/>
                <w:bCs w:val="1"/>
                <w:color w:val="auto"/>
              </w:rPr>
              <w:t>Description</w:t>
            </w:r>
          </w:p>
        </w:tc>
      </w:tr>
      <w:tr>
        <w:trPr>
          <w:trHeight w:val="217"/>
        </w:trPr>
        <w:tc>
          <w:tcPr>
            <w:tcW w:w="480" w:type="dxa"/>
            <w:vAlign w:val="bottom"/>
            <w:tcBorders>
              <w:top w:val="single" w:sz="8" w:color="auto"/>
            </w:tcBorders>
          </w:tcPr>
          <w:p>
            <w:pPr>
              <w:jc w:val="right"/>
              <w:spacing w:after="0"/>
              <w:rPr>
                <w:rFonts w:ascii="Arial" w:cs="Arial" w:eastAsia="Arial" w:hAnsi="Arial"/>
                <w:sz w:val="16"/>
                <w:szCs w:val="16"/>
                <w:u w:val="single" w:color="auto"/>
                <w:color w:val="0000EE"/>
              </w:rPr>
            </w:pPr>
            <w:hyperlink r:id="rId286">
              <w:r>
                <w:rPr>
                  <w:rFonts w:ascii="Arial" w:cs="Arial" w:eastAsia="Arial" w:hAnsi="Arial"/>
                  <w:sz w:val="16"/>
                  <w:szCs w:val="16"/>
                  <w:u w:val="single" w:color="auto"/>
                  <w:color w:val="0000EE"/>
                </w:rPr>
                <w:t>1.1**</w:t>
              </w:r>
            </w:hyperlink>
          </w:p>
        </w:tc>
        <w:tc>
          <w:tcPr>
            <w:tcW w:w="200" w:type="dxa"/>
            <w:vAlign w:val="bottom"/>
          </w:tcPr>
          <w:p>
            <w:pPr>
              <w:spacing w:after="0"/>
              <w:rPr>
                <w:sz w:val="18"/>
                <w:szCs w:val="18"/>
                <w:color w:val="auto"/>
              </w:rPr>
            </w:pPr>
          </w:p>
        </w:tc>
        <w:tc>
          <w:tcPr>
            <w:tcW w:w="6760" w:type="dxa"/>
            <w:vAlign w:val="bottom"/>
            <w:tcBorders>
              <w:top w:val="single" w:sz="8" w:color="auto"/>
            </w:tcBorders>
            <w:gridSpan w:val="5"/>
          </w:tcPr>
          <w:p>
            <w:pPr>
              <w:spacing w:after="0"/>
              <w:rPr>
                <w:rFonts w:ascii="Arial" w:cs="Arial" w:eastAsia="Arial" w:hAnsi="Arial"/>
                <w:sz w:val="16"/>
                <w:szCs w:val="16"/>
                <w:u w:val="single" w:color="auto"/>
                <w:color w:val="0000EE"/>
              </w:rPr>
            </w:pPr>
            <w:hyperlink r:id="rId286">
              <w:r>
                <w:rPr>
                  <w:rFonts w:ascii="Arial" w:cs="Arial" w:eastAsia="Arial" w:hAnsi="Arial"/>
                  <w:sz w:val="16"/>
                  <w:szCs w:val="16"/>
                  <w:u w:val="single" w:color="auto"/>
                  <w:color w:val="0000EE"/>
                </w:rPr>
                <w:t>Form of Underwriting Agreement</w:t>
              </w:r>
            </w:hyperlink>
          </w:p>
        </w:tc>
      </w:tr>
      <w:tr>
        <w:trPr>
          <w:trHeight w:val="220"/>
        </w:trPr>
        <w:tc>
          <w:tcPr>
            <w:tcW w:w="480" w:type="dxa"/>
            <w:vAlign w:val="bottom"/>
          </w:tcPr>
          <w:p>
            <w:pPr>
              <w:jc w:val="right"/>
              <w:spacing w:after="0"/>
              <w:rPr>
                <w:rFonts w:ascii="Arial" w:cs="Arial" w:eastAsia="Arial" w:hAnsi="Arial"/>
                <w:sz w:val="16"/>
                <w:szCs w:val="16"/>
                <w:u w:val="single" w:color="auto"/>
                <w:color w:val="0000EE"/>
              </w:rPr>
            </w:pPr>
            <w:hyperlink r:id="rId287">
              <w:r>
                <w:rPr>
                  <w:rFonts w:ascii="Arial" w:cs="Arial" w:eastAsia="Arial" w:hAnsi="Arial"/>
                  <w:sz w:val="16"/>
                  <w:szCs w:val="16"/>
                  <w:u w:val="single" w:color="auto"/>
                  <w:color w:val="0000EE"/>
                </w:rPr>
                <w:t>3.1**</w:t>
              </w:r>
            </w:hyperlink>
          </w:p>
        </w:tc>
        <w:tc>
          <w:tcPr>
            <w:tcW w:w="200" w:type="dxa"/>
            <w:vAlign w:val="bottom"/>
          </w:tcPr>
          <w:p>
            <w:pPr>
              <w:spacing w:after="0"/>
              <w:rPr>
                <w:sz w:val="19"/>
                <w:szCs w:val="19"/>
                <w:color w:val="auto"/>
              </w:rPr>
            </w:pPr>
          </w:p>
        </w:tc>
        <w:tc>
          <w:tcPr>
            <w:tcW w:w="6760" w:type="dxa"/>
            <w:vAlign w:val="bottom"/>
            <w:gridSpan w:val="5"/>
          </w:tcPr>
          <w:p>
            <w:pPr>
              <w:spacing w:after="0"/>
              <w:rPr>
                <w:rFonts w:ascii="Arial" w:cs="Arial" w:eastAsia="Arial" w:hAnsi="Arial"/>
                <w:sz w:val="16"/>
                <w:szCs w:val="16"/>
                <w:u w:val="single" w:color="auto"/>
                <w:color w:val="0000EE"/>
              </w:rPr>
            </w:pPr>
            <w:hyperlink r:id="rId287">
              <w:r>
                <w:rPr>
                  <w:rFonts w:ascii="Arial" w:cs="Arial" w:eastAsia="Arial" w:hAnsi="Arial"/>
                  <w:sz w:val="16"/>
                  <w:szCs w:val="16"/>
                  <w:u w:val="single" w:color="auto"/>
                  <w:color w:val="0000EE"/>
                </w:rPr>
                <w:t>Certificate of Incorporation</w:t>
              </w:r>
            </w:hyperlink>
          </w:p>
        </w:tc>
      </w:tr>
      <w:tr>
        <w:trPr>
          <w:trHeight w:val="220"/>
        </w:trPr>
        <w:tc>
          <w:tcPr>
            <w:tcW w:w="480" w:type="dxa"/>
            <w:vAlign w:val="bottom"/>
          </w:tcPr>
          <w:p>
            <w:pPr>
              <w:jc w:val="right"/>
              <w:spacing w:after="0"/>
              <w:rPr>
                <w:rFonts w:ascii="Arial" w:cs="Arial" w:eastAsia="Arial" w:hAnsi="Arial"/>
                <w:sz w:val="16"/>
                <w:szCs w:val="16"/>
                <w:u w:val="single" w:color="auto"/>
                <w:color w:val="0000EE"/>
              </w:rPr>
            </w:pPr>
            <w:hyperlink r:id="rId288">
              <w:r>
                <w:rPr>
                  <w:rFonts w:ascii="Arial" w:cs="Arial" w:eastAsia="Arial" w:hAnsi="Arial"/>
                  <w:sz w:val="16"/>
                  <w:szCs w:val="16"/>
                  <w:u w:val="single" w:color="auto"/>
                  <w:color w:val="0000EE"/>
                </w:rPr>
                <w:t>3.2**</w:t>
              </w:r>
            </w:hyperlink>
          </w:p>
        </w:tc>
        <w:tc>
          <w:tcPr>
            <w:tcW w:w="200" w:type="dxa"/>
            <w:vAlign w:val="bottom"/>
          </w:tcPr>
          <w:p>
            <w:pPr>
              <w:spacing w:after="0"/>
              <w:rPr>
                <w:sz w:val="19"/>
                <w:szCs w:val="19"/>
                <w:color w:val="auto"/>
              </w:rPr>
            </w:pPr>
          </w:p>
        </w:tc>
        <w:tc>
          <w:tcPr>
            <w:tcW w:w="6760" w:type="dxa"/>
            <w:vAlign w:val="bottom"/>
            <w:gridSpan w:val="5"/>
          </w:tcPr>
          <w:p>
            <w:pPr>
              <w:spacing w:after="0"/>
              <w:rPr>
                <w:rFonts w:ascii="Arial" w:cs="Arial" w:eastAsia="Arial" w:hAnsi="Arial"/>
                <w:sz w:val="16"/>
                <w:szCs w:val="16"/>
                <w:u w:val="single" w:color="auto"/>
                <w:color w:val="0000EE"/>
              </w:rPr>
            </w:pPr>
            <w:hyperlink r:id="rId288">
              <w:r>
                <w:rPr>
                  <w:rFonts w:ascii="Arial" w:cs="Arial" w:eastAsia="Arial" w:hAnsi="Arial"/>
                  <w:sz w:val="16"/>
                  <w:szCs w:val="16"/>
                  <w:u w:val="single" w:color="auto"/>
                  <w:color w:val="0000EE"/>
                </w:rPr>
                <w:t>Amended and Restated Certificate of Incorporation</w:t>
              </w:r>
            </w:hyperlink>
          </w:p>
        </w:tc>
      </w:tr>
      <w:tr>
        <w:trPr>
          <w:trHeight w:val="220"/>
        </w:trPr>
        <w:tc>
          <w:tcPr>
            <w:tcW w:w="480" w:type="dxa"/>
            <w:vAlign w:val="bottom"/>
          </w:tcPr>
          <w:p>
            <w:pPr>
              <w:jc w:val="right"/>
              <w:spacing w:after="0"/>
              <w:rPr>
                <w:rFonts w:ascii="Arial" w:cs="Arial" w:eastAsia="Arial" w:hAnsi="Arial"/>
                <w:sz w:val="16"/>
                <w:szCs w:val="16"/>
                <w:u w:val="single" w:color="auto"/>
                <w:color w:val="0000EE"/>
              </w:rPr>
            </w:pPr>
            <w:hyperlink r:id="rId289">
              <w:r>
                <w:rPr>
                  <w:rFonts w:ascii="Arial" w:cs="Arial" w:eastAsia="Arial" w:hAnsi="Arial"/>
                  <w:sz w:val="16"/>
                  <w:szCs w:val="16"/>
                  <w:u w:val="single" w:color="auto"/>
                  <w:color w:val="0000EE"/>
                </w:rPr>
                <w:t>3.3**</w:t>
              </w:r>
            </w:hyperlink>
          </w:p>
        </w:tc>
        <w:tc>
          <w:tcPr>
            <w:tcW w:w="200" w:type="dxa"/>
            <w:vAlign w:val="bottom"/>
          </w:tcPr>
          <w:p>
            <w:pPr>
              <w:spacing w:after="0"/>
              <w:rPr>
                <w:sz w:val="19"/>
                <w:szCs w:val="19"/>
                <w:color w:val="auto"/>
              </w:rPr>
            </w:pPr>
          </w:p>
        </w:tc>
        <w:tc>
          <w:tcPr>
            <w:tcW w:w="6760" w:type="dxa"/>
            <w:vAlign w:val="bottom"/>
            <w:gridSpan w:val="5"/>
          </w:tcPr>
          <w:p>
            <w:pPr>
              <w:spacing w:after="0"/>
              <w:rPr>
                <w:rFonts w:ascii="Arial" w:cs="Arial" w:eastAsia="Arial" w:hAnsi="Arial"/>
                <w:sz w:val="16"/>
                <w:szCs w:val="16"/>
                <w:u w:val="single" w:color="auto"/>
                <w:color w:val="0000EE"/>
              </w:rPr>
            </w:pPr>
            <w:hyperlink r:id="rId289">
              <w:r>
                <w:rPr>
                  <w:rFonts w:ascii="Arial" w:cs="Arial" w:eastAsia="Arial" w:hAnsi="Arial"/>
                  <w:sz w:val="16"/>
                  <w:szCs w:val="16"/>
                  <w:u w:val="single" w:color="auto"/>
                  <w:color w:val="0000EE"/>
                </w:rPr>
                <w:t>Form of Amended and Restated Bylaws</w:t>
              </w:r>
            </w:hyperlink>
          </w:p>
        </w:tc>
      </w:tr>
      <w:tr>
        <w:trPr>
          <w:trHeight w:val="220"/>
        </w:trPr>
        <w:tc>
          <w:tcPr>
            <w:tcW w:w="480" w:type="dxa"/>
            <w:vAlign w:val="bottom"/>
          </w:tcPr>
          <w:p>
            <w:pPr>
              <w:jc w:val="right"/>
              <w:spacing w:after="0"/>
              <w:rPr>
                <w:rFonts w:ascii="Arial" w:cs="Arial" w:eastAsia="Arial" w:hAnsi="Arial"/>
                <w:sz w:val="16"/>
                <w:szCs w:val="16"/>
                <w:u w:val="single" w:color="auto"/>
                <w:color w:val="0000EE"/>
              </w:rPr>
            </w:pPr>
            <w:hyperlink r:id="rId290">
              <w:r>
                <w:rPr>
                  <w:rFonts w:ascii="Arial" w:cs="Arial" w:eastAsia="Arial" w:hAnsi="Arial"/>
                  <w:sz w:val="16"/>
                  <w:szCs w:val="16"/>
                  <w:u w:val="single" w:color="auto"/>
                  <w:color w:val="0000EE"/>
                </w:rPr>
                <w:t>4.1**</w:t>
              </w:r>
            </w:hyperlink>
          </w:p>
        </w:tc>
        <w:tc>
          <w:tcPr>
            <w:tcW w:w="200" w:type="dxa"/>
            <w:vAlign w:val="bottom"/>
          </w:tcPr>
          <w:p>
            <w:pPr>
              <w:spacing w:after="0"/>
              <w:rPr>
                <w:sz w:val="19"/>
                <w:szCs w:val="19"/>
                <w:color w:val="auto"/>
              </w:rPr>
            </w:pPr>
          </w:p>
        </w:tc>
        <w:tc>
          <w:tcPr>
            <w:tcW w:w="6760" w:type="dxa"/>
            <w:vAlign w:val="bottom"/>
            <w:gridSpan w:val="5"/>
          </w:tcPr>
          <w:p>
            <w:pPr>
              <w:spacing w:after="0"/>
              <w:rPr>
                <w:rFonts w:ascii="Arial" w:cs="Arial" w:eastAsia="Arial" w:hAnsi="Arial"/>
                <w:sz w:val="16"/>
                <w:szCs w:val="16"/>
                <w:u w:val="single" w:color="auto"/>
                <w:color w:val="0000EE"/>
              </w:rPr>
            </w:pPr>
            <w:hyperlink r:id="rId290">
              <w:r>
                <w:rPr>
                  <w:rFonts w:ascii="Arial" w:cs="Arial" w:eastAsia="Arial" w:hAnsi="Arial"/>
                  <w:sz w:val="16"/>
                  <w:szCs w:val="16"/>
                  <w:u w:val="single" w:color="auto"/>
                  <w:color w:val="0000EE"/>
                </w:rPr>
                <w:t>Specimen Unit Certificate</w:t>
              </w:r>
            </w:hyperlink>
          </w:p>
        </w:tc>
      </w:tr>
      <w:tr>
        <w:trPr>
          <w:trHeight w:val="220"/>
        </w:trPr>
        <w:tc>
          <w:tcPr>
            <w:tcW w:w="480" w:type="dxa"/>
            <w:vAlign w:val="bottom"/>
          </w:tcPr>
          <w:p>
            <w:pPr>
              <w:jc w:val="right"/>
              <w:spacing w:after="0"/>
              <w:rPr>
                <w:rFonts w:ascii="Arial" w:cs="Arial" w:eastAsia="Arial" w:hAnsi="Arial"/>
                <w:sz w:val="16"/>
                <w:szCs w:val="16"/>
                <w:u w:val="single" w:color="auto"/>
                <w:color w:val="0000EE"/>
              </w:rPr>
            </w:pPr>
            <w:hyperlink r:id="rId291">
              <w:r>
                <w:rPr>
                  <w:rFonts w:ascii="Arial" w:cs="Arial" w:eastAsia="Arial" w:hAnsi="Arial"/>
                  <w:sz w:val="16"/>
                  <w:szCs w:val="16"/>
                  <w:u w:val="single" w:color="auto"/>
                  <w:color w:val="0000EE"/>
                </w:rPr>
                <w:t>4.2**</w:t>
              </w:r>
            </w:hyperlink>
          </w:p>
        </w:tc>
        <w:tc>
          <w:tcPr>
            <w:tcW w:w="200" w:type="dxa"/>
            <w:vAlign w:val="bottom"/>
          </w:tcPr>
          <w:p>
            <w:pPr>
              <w:spacing w:after="0"/>
              <w:rPr>
                <w:sz w:val="19"/>
                <w:szCs w:val="19"/>
                <w:color w:val="auto"/>
              </w:rPr>
            </w:pPr>
          </w:p>
        </w:tc>
        <w:tc>
          <w:tcPr>
            <w:tcW w:w="6760" w:type="dxa"/>
            <w:vAlign w:val="bottom"/>
            <w:gridSpan w:val="5"/>
          </w:tcPr>
          <w:p>
            <w:pPr>
              <w:spacing w:after="0"/>
              <w:rPr>
                <w:rFonts w:ascii="Arial" w:cs="Arial" w:eastAsia="Arial" w:hAnsi="Arial"/>
                <w:sz w:val="16"/>
                <w:szCs w:val="16"/>
                <w:u w:val="single" w:color="auto"/>
                <w:color w:val="0000EE"/>
              </w:rPr>
            </w:pPr>
            <w:hyperlink r:id="rId291">
              <w:r>
                <w:rPr>
                  <w:rFonts w:ascii="Arial" w:cs="Arial" w:eastAsia="Arial" w:hAnsi="Arial"/>
                  <w:sz w:val="16"/>
                  <w:szCs w:val="16"/>
                  <w:u w:val="single" w:color="auto"/>
                  <w:color w:val="0000EE"/>
                </w:rPr>
                <w:t>Specimen Class A Common Stock Certificate</w:t>
              </w:r>
            </w:hyperlink>
          </w:p>
        </w:tc>
      </w:tr>
      <w:tr>
        <w:trPr>
          <w:trHeight w:val="220"/>
        </w:trPr>
        <w:tc>
          <w:tcPr>
            <w:tcW w:w="480" w:type="dxa"/>
            <w:vAlign w:val="bottom"/>
          </w:tcPr>
          <w:p>
            <w:pPr>
              <w:jc w:val="right"/>
              <w:spacing w:after="0"/>
              <w:rPr>
                <w:rFonts w:ascii="Arial" w:cs="Arial" w:eastAsia="Arial" w:hAnsi="Arial"/>
                <w:sz w:val="16"/>
                <w:szCs w:val="16"/>
                <w:u w:val="single" w:color="auto"/>
                <w:color w:val="0000EE"/>
              </w:rPr>
            </w:pPr>
            <w:hyperlink r:id="rId292">
              <w:r>
                <w:rPr>
                  <w:rFonts w:ascii="Arial" w:cs="Arial" w:eastAsia="Arial" w:hAnsi="Arial"/>
                  <w:sz w:val="16"/>
                  <w:szCs w:val="16"/>
                  <w:u w:val="single" w:color="auto"/>
                  <w:color w:val="0000EE"/>
                </w:rPr>
                <w:t>4.3**</w:t>
              </w:r>
            </w:hyperlink>
          </w:p>
        </w:tc>
        <w:tc>
          <w:tcPr>
            <w:tcW w:w="200" w:type="dxa"/>
            <w:vAlign w:val="bottom"/>
          </w:tcPr>
          <w:p>
            <w:pPr>
              <w:spacing w:after="0"/>
              <w:rPr>
                <w:sz w:val="19"/>
                <w:szCs w:val="19"/>
                <w:color w:val="auto"/>
              </w:rPr>
            </w:pPr>
          </w:p>
        </w:tc>
        <w:tc>
          <w:tcPr>
            <w:tcW w:w="6760" w:type="dxa"/>
            <w:vAlign w:val="bottom"/>
            <w:gridSpan w:val="5"/>
          </w:tcPr>
          <w:p>
            <w:pPr>
              <w:spacing w:after="0"/>
              <w:rPr>
                <w:rFonts w:ascii="Arial" w:cs="Arial" w:eastAsia="Arial" w:hAnsi="Arial"/>
                <w:sz w:val="16"/>
                <w:szCs w:val="16"/>
                <w:u w:val="single" w:color="auto"/>
                <w:color w:val="0000EE"/>
              </w:rPr>
            </w:pPr>
            <w:hyperlink r:id="rId292">
              <w:r>
                <w:rPr>
                  <w:rFonts w:ascii="Arial" w:cs="Arial" w:eastAsia="Arial" w:hAnsi="Arial"/>
                  <w:sz w:val="16"/>
                  <w:szCs w:val="16"/>
                  <w:u w:val="single" w:color="auto"/>
                  <w:color w:val="0000EE"/>
                </w:rPr>
                <w:t>Specimen Warrant Certificate (included in Exhibit 4.4)</w:t>
              </w:r>
            </w:hyperlink>
          </w:p>
        </w:tc>
      </w:tr>
      <w:tr>
        <w:trPr>
          <w:trHeight w:val="220"/>
        </w:trPr>
        <w:tc>
          <w:tcPr>
            <w:tcW w:w="480" w:type="dxa"/>
            <w:vAlign w:val="bottom"/>
          </w:tcPr>
          <w:p>
            <w:pPr>
              <w:jc w:val="right"/>
              <w:spacing w:after="0"/>
              <w:rPr>
                <w:rFonts w:ascii="Arial" w:cs="Arial" w:eastAsia="Arial" w:hAnsi="Arial"/>
                <w:sz w:val="16"/>
                <w:szCs w:val="16"/>
                <w:u w:val="single" w:color="auto"/>
                <w:color w:val="0000EE"/>
              </w:rPr>
            </w:pPr>
            <w:hyperlink r:id="rId292">
              <w:r>
                <w:rPr>
                  <w:rFonts w:ascii="Arial" w:cs="Arial" w:eastAsia="Arial" w:hAnsi="Arial"/>
                  <w:sz w:val="16"/>
                  <w:szCs w:val="16"/>
                  <w:u w:val="single" w:color="auto"/>
                  <w:color w:val="0000EE"/>
                </w:rPr>
                <w:t>4.4**</w:t>
              </w:r>
            </w:hyperlink>
          </w:p>
        </w:tc>
        <w:tc>
          <w:tcPr>
            <w:tcW w:w="200" w:type="dxa"/>
            <w:vAlign w:val="bottom"/>
          </w:tcPr>
          <w:p>
            <w:pPr>
              <w:spacing w:after="0"/>
              <w:rPr>
                <w:sz w:val="19"/>
                <w:szCs w:val="19"/>
                <w:color w:val="auto"/>
              </w:rPr>
            </w:pPr>
          </w:p>
        </w:tc>
        <w:tc>
          <w:tcPr>
            <w:tcW w:w="6760" w:type="dxa"/>
            <w:vAlign w:val="bottom"/>
            <w:gridSpan w:val="5"/>
          </w:tcPr>
          <w:p>
            <w:pPr>
              <w:spacing w:after="0"/>
              <w:rPr>
                <w:rFonts w:ascii="Arial" w:cs="Arial" w:eastAsia="Arial" w:hAnsi="Arial"/>
                <w:sz w:val="16"/>
                <w:szCs w:val="16"/>
                <w:u w:val="single" w:color="auto"/>
                <w:color w:val="0000EE"/>
              </w:rPr>
            </w:pPr>
            <w:hyperlink r:id="rId292">
              <w:r>
                <w:rPr>
                  <w:rFonts w:ascii="Arial" w:cs="Arial" w:eastAsia="Arial" w:hAnsi="Arial"/>
                  <w:sz w:val="16"/>
                  <w:szCs w:val="16"/>
                  <w:u w:val="single" w:color="auto"/>
                  <w:color w:val="0000EE"/>
                </w:rPr>
                <w:t>Warrant Agreement between Continental Stock Transfer &amp; Trust Company and the Registrant</w:t>
              </w:r>
            </w:hyperlink>
          </w:p>
        </w:tc>
      </w:tr>
      <w:tr>
        <w:trPr>
          <w:trHeight w:val="220"/>
        </w:trPr>
        <w:tc>
          <w:tcPr>
            <w:tcW w:w="480" w:type="dxa"/>
            <w:vAlign w:val="bottom"/>
          </w:tcPr>
          <w:p>
            <w:pPr>
              <w:jc w:val="right"/>
              <w:ind w:right="19"/>
              <w:spacing w:after="0"/>
              <w:rPr>
                <w:rFonts w:ascii="Arial" w:cs="Arial" w:eastAsia="Arial" w:hAnsi="Arial"/>
                <w:sz w:val="16"/>
                <w:szCs w:val="16"/>
                <w:u w:val="single" w:color="auto"/>
                <w:color w:val="0000EE"/>
              </w:rPr>
            </w:pPr>
            <w:hyperlink w:anchor="page185">
              <w:r>
                <w:rPr>
                  <w:rFonts w:ascii="Arial" w:cs="Arial" w:eastAsia="Arial" w:hAnsi="Arial"/>
                  <w:sz w:val="16"/>
                  <w:szCs w:val="16"/>
                  <w:u w:val="single" w:color="auto"/>
                  <w:color w:val="0000EE"/>
                </w:rPr>
                <w:t>5.1*</w:t>
              </w:r>
            </w:hyperlink>
          </w:p>
        </w:tc>
        <w:tc>
          <w:tcPr>
            <w:tcW w:w="200" w:type="dxa"/>
            <w:vAlign w:val="bottom"/>
          </w:tcPr>
          <w:p>
            <w:pPr>
              <w:spacing w:after="0"/>
              <w:rPr>
                <w:sz w:val="19"/>
                <w:szCs w:val="19"/>
                <w:color w:val="auto"/>
              </w:rPr>
            </w:pPr>
          </w:p>
        </w:tc>
        <w:tc>
          <w:tcPr>
            <w:tcW w:w="6760" w:type="dxa"/>
            <w:vAlign w:val="bottom"/>
            <w:gridSpan w:val="5"/>
          </w:tcPr>
          <w:p>
            <w:pPr>
              <w:spacing w:after="0"/>
              <w:rPr>
                <w:rFonts w:ascii="Arial" w:cs="Arial" w:eastAsia="Arial" w:hAnsi="Arial"/>
                <w:sz w:val="16"/>
                <w:szCs w:val="16"/>
                <w:u w:val="single" w:color="auto"/>
                <w:color w:val="0000EE"/>
              </w:rPr>
            </w:pPr>
            <w:hyperlink w:anchor="page185">
              <w:r>
                <w:rPr>
                  <w:rFonts w:ascii="Arial" w:cs="Arial" w:eastAsia="Arial" w:hAnsi="Arial"/>
                  <w:sz w:val="16"/>
                  <w:szCs w:val="16"/>
                  <w:u w:val="single" w:color="auto"/>
                  <w:color w:val="0000EE"/>
                </w:rPr>
                <w:t>Opinion of Paul, Weiss, Rifkind, Wharton &amp; Garrison LLP</w:t>
              </w:r>
            </w:hyperlink>
          </w:p>
        </w:tc>
      </w:tr>
      <w:tr>
        <w:trPr>
          <w:trHeight w:val="209"/>
        </w:trPr>
        <w:tc>
          <w:tcPr>
            <w:tcW w:w="480" w:type="dxa"/>
            <w:vAlign w:val="bottom"/>
          </w:tcPr>
          <w:p>
            <w:pPr>
              <w:jc w:val="right"/>
              <w:spacing w:after="0"/>
              <w:rPr>
                <w:rFonts w:ascii="Arial" w:cs="Arial" w:eastAsia="Arial" w:hAnsi="Arial"/>
                <w:sz w:val="16"/>
                <w:szCs w:val="16"/>
                <w:u w:val="single" w:color="auto"/>
                <w:color w:val="0000EE"/>
              </w:rPr>
            </w:pPr>
            <w:hyperlink r:id="rId293">
              <w:r>
                <w:rPr>
                  <w:rFonts w:ascii="Arial" w:cs="Arial" w:eastAsia="Arial" w:hAnsi="Arial"/>
                  <w:sz w:val="16"/>
                  <w:szCs w:val="16"/>
                  <w:u w:val="single" w:color="auto"/>
                  <w:color w:val="0000EE"/>
                </w:rPr>
                <w:t>10.1**</w:t>
              </w:r>
            </w:hyperlink>
          </w:p>
        </w:tc>
        <w:tc>
          <w:tcPr>
            <w:tcW w:w="200" w:type="dxa"/>
            <w:vAlign w:val="bottom"/>
          </w:tcPr>
          <w:p>
            <w:pPr>
              <w:spacing w:after="0"/>
              <w:rPr>
                <w:sz w:val="18"/>
                <w:szCs w:val="18"/>
                <w:color w:val="auto"/>
              </w:rPr>
            </w:pPr>
          </w:p>
        </w:tc>
        <w:tc>
          <w:tcPr>
            <w:tcW w:w="6760" w:type="dxa"/>
            <w:vAlign w:val="bottom"/>
            <w:gridSpan w:val="5"/>
          </w:tcPr>
          <w:p>
            <w:pPr>
              <w:spacing w:after="0"/>
              <w:rPr>
                <w:rFonts w:ascii="Arial" w:cs="Arial" w:eastAsia="Arial" w:hAnsi="Arial"/>
                <w:sz w:val="16"/>
                <w:szCs w:val="16"/>
                <w:u w:val="single" w:color="auto"/>
                <w:color w:val="0000EE"/>
              </w:rPr>
            </w:pPr>
            <w:hyperlink r:id="rId293">
              <w:r>
                <w:rPr>
                  <w:rFonts w:ascii="Arial" w:cs="Arial" w:eastAsia="Arial" w:hAnsi="Arial"/>
                  <w:sz w:val="16"/>
                  <w:szCs w:val="16"/>
                  <w:u w:val="single" w:color="auto"/>
                  <w:color w:val="0000EE"/>
                </w:rPr>
                <w:t>Promissory Note, dated May 13, 2020, issued to the Sponsor</w:t>
              </w:r>
            </w:hyperlink>
          </w:p>
        </w:tc>
      </w:tr>
      <w:tr>
        <w:trPr>
          <w:trHeight w:val="171"/>
        </w:trPr>
        <w:tc>
          <w:tcPr>
            <w:tcW w:w="480" w:type="dxa"/>
            <w:vAlign w:val="bottom"/>
          </w:tcPr>
          <w:p>
            <w:pPr>
              <w:jc w:val="right"/>
              <w:spacing w:after="0" w:line="171" w:lineRule="exact"/>
              <w:rPr>
                <w:rFonts w:ascii="Arial" w:cs="Arial" w:eastAsia="Arial" w:hAnsi="Arial"/>
                <w:sz w:val="16"/>
                <w:szCs w:val="16"/>
                <w:u w:val="single" w:color="auto"/>
                <w:color w:val="0000EE"/>
              </w:rPr>
            </w:pPr>
            <w:hyperlink r:id="rId294">
              <w:r>
                <w:rPr>
                  <w:rFonts w:ascii="Arial" w:cs="Arial" w:eastAsia="Arial" w:hAnsi="Arial"/>
                  <w:sz w:val="16"/>
                  <w:szCs w:val="16"/>
                  <w:u w:val="single" w:color="auto"/>
                  <w:color w:val="0000EE"/>
                </w:rPr>
                <w:t>10.2**</w:t>
              </w:r>
            </w:hyperlink>
          </w:p>
        </w:tc>
        <w:tc>
          <w:tcPr>
            <w:tcW w:w="200" w:type="dxa"/>
            <w:vAlign w:val="bottom"/>
          </w:tcPr>
          <w:p>
            <w:pPr>
              <w:spacing w:after="0"/>
              <w:rPr>
                <w:sz w:val="14"/>
                <w:szCs w:val="14"/>
                <w:color w:val="auto"/>
              </w:rPr>
            </w:pPr>
          </w:p>
        </w:tc>
        <w:tc>
          <w:tcPr>
            <w:tcW w:w="6160" w:type="dxa"/>
            <w:vAlign w:val="bottom"/>
            <w:tcBorders>
              <w:bottom w:val="single" w:sz="8" w:color="0000EE"/>
            </w:tcBorders>
            <w:gridSpan w:val="3"/>
          </w:tcPr>
          <w:p>
            <w:pPr>
              <w:spacing w:after="0" w:line="171" w:lineRule="exact"/>
              <w:rPr>
                <w:rFonts w:ascii="Arial" w:cs="Arial" w:eastAsia="Arial" w:hAnsi="Arial"/>
                <w:sz w:val="16"/>
                <w:szCs w:val="16"/>
                <w:color w:val="0000EE"/>
                <w:w w:val="96"/>
              </w:rPr>
            </w:pPr>
            <w:hyperlink r:id="rId294">
              <w:r>
                <w:rPr>
                  <w:rFonts w:ascii="Arial" w:cs="Arial" w:eastAsia="Arial" w:hAnsi="Arial"/>
                  <w:sz w:val="16"/>
                  <w:szCs w:val="16"/>
                  <w:color w:val="0000EE"/>
                  <w:w w:val="96"/>
                </w:rPr>
                <w:t>Letter Agreement among the Registrant and the Registrant’s officers and directors and the</w:t>
              </w:r>
            </w:hyperlink>
          </w:p>
        </w:tc>
        <w:tc>
          <w:tcPr>
            <w:tcW w:w="600" w:type="dxa"/>
            <w:vAlign w:val="bottom"/>
            <w:gridSpan w:val="2"/>
          </w:tcPr>
          <w:p>
            <w:pPr>
              <w:spacing w:after="0"/>
              <w:rPr>
                <w:sz w:val="14"/>
                <w:szCs w:val="14"/>
                <w:color w:val="auto"/>
              </w:rPr>
            </w:pPr>
          </w:p>
        </w:tc>
      </w:tr>
      <w:tr>
        <w:trPr>
          <w:trHeight w:val="176"/>
        </w:trPr>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Borders>
              <w:bottom w:val="single" w:sz="8" w:color="0000EE"/>
            </w:tcBorders>
            <w:gridSpan w:val="2"/>
          </w:tcPr>
          <w:p>
            <w:pPr>
              <w:spacing w:after="0" w:line="176" w:lineRule="exact"/>
              <w:rPr>
                <w:rFonts w:ascii="Arial" w:cs="Arial" w:eastAsia="Arial" w:hAnsi="Arial"/>
                <w:sz w:val="16"/>
                <w:szCs w:val="16"/>
                <w:color w:val="0000EE"/>
                <w:w w:val="93"/>
              </w:rPr>
            </w:pPr>
            <w:hyperlink r:id="rId294">
              <w:r>
                <w:rPr>
                  <w:rFonts w:ascii="Arial" w:cs="Arial" w:eastAsia="Arial" w:hAnsi="Arial"/>
                  <w:sz w:val="16"/>
                  <w:szCs w:val="16"/>
                  <w:color w:val="0000EE"/>
                  <w:w w:val="93"/>
                </w:rPr>
                <w:t>Sponsor and its members</w:t>
              </w:r>
            </w:hyperlink>
          </w:p>
        </w:tc>
        <w:tc>
          <w:tcPr>
            <w:tcW w:w="5040" w:type="dxa"/>
            <w:vAlign w:val="bottom"/>
            <w:gridSpan w:val="3"/>
          </w:tcPr>
          <w:p>
            <w:pPr>
              <w:spacing w:after="0"/>
              <w:rPr>
                <w:sz w:val="15"/>
                <w:szCs w:val="15"/>
                <w:color w:val="auto"/>
              </w:rPr>
            </w:pPr>
          </w:p>
        </w:tc>
      </w:tr>
      <w:tr>
        <w:trPr>
          <w:trHeight w:val="212"/>
        </w:trPr>
        <w:tc>
          <w:tcPr>
            <w:tcW w:w="480" w:type="dxa"/>
            <w:vAlign w:val="bottom"/>
          </w:tcPr>
          <w:p>
            <w:pPr>
              <w:jc w:val="right"/>
              <w:spacing w:after="0"/>
              <w:rPr>
                <w:rFonts w:ascii="Arial" w:cs="Arial" w:eastAsia="Arial" w:hAnsi="Arial"/>
                <w:sz w:val="16"/>
                <w:szCs w:val="16"/>
                <w:u w:val="single" w:color="auto"/>
                <w:color w:val="0000EE"/>
              </w:rPr>
            </w:pPr>
            <w:hyperlink r:id="rId295">
              <w:r>
                <w:rPr>
                  <w:rFonts w:ascii="Arial" w:cs="Arial" w:eastAsia="Arial" w:hAnsi="Arial"/>
                  <w:sz w:val="16"/>
                  <w:szCs w:val="16"/>
                  <w:u w:val="single" w:color="auto"/>
                  <w:color w:val="0000EE"/>
                </w:rPr>
                <w:t>10.3**</w:t>
              </w:r>
            </w:hyperlink>
          </w:p>
        </w:tc>
        <w:tc>
          <w:tcPr>
            <w:tcW w:w="200" w:type="dxa"/>
            <w:vAlign w:val="bottom"/>
          </w:tcPr>
          <w:p>
            <w:pPr>
              <w:spacing w:after="0"/>
              <w:rPr>
                <w:sz w:val="18"/>
                <w:szCs w:val="18"/>
                <w:color w:val="auto"/>
              </w:rPr>
            </w:pPr>
          </w:p>
        </w:tc>
        <w:tc>
          <w:tcPr>
            <w:tcW w:w="6660" w:type="dxa"/>
            <w:vAlign w:val="bottom"/>
            <w:tcBorders>
              <w:bottom w:val="single" w:sz="8" w:color="0000EE"/>
            </w:tcBorders>
            <w:gridSpan w:val="4"/>
          </w:tcPr>
          <w:p>
            <w:pPr>
              <w:spacing w:after="0"/>
              <w:rPr>
                <w:rFonts w:ascii="Arial" w:cs="Arial" w:eastAsia="Arial" w:hAnsi="Arial"/>
                <w:sz w:val="16"/>
                <w:szCs w:val="16"/>
                <w:color w:val="0000EE"/>
                <w:w w:val="96"/>
              </w:rPr>
            </w:pPr>
            <w:hyperlink r:id="rId295">
              <w:r>
                <w:rPr>
                  <w:rFonts w:ascii="Arial" w:cs="Arial" w:eastAsia="Arial" w:hAnsi="Arial"/>
                  <w:sz w:val="16"/>
                  <w:szCs w:val="16"/>
                  <w:color w:val="0000EE"/>
                  <w:w w:val="96"/>
                </w:rPr>
                <w:t>Investment Management Trust Agreement between Continental Stock Transfer &amp; Trust Company</w:t>
              </w:r>
            </w:hyperlink>
          </w:p>
        </w:tc>
        <w:tc>
          <w:tcPr>
            <w:tcW w:w="100" w:type="dxa"/>
            <w:vAlign w:val="bottom"/>
          </w:tcPr>
          <w:p>
            <w:pPr>
              <w:spacing w:after="0"/>
              <w:rPr>
                <w:sz w:val="18"/>
                <w:szCs w:val="18"/>
                <w:color w:val="auto"/>
              </w:rPr>
            </w:pPr>
          </w:p>
        </w:tc>
      </w:tr>
      <w:tr>
        <w:trPr>
          <w:trHeight w:val="176"/>
        </w:trPr>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760" w:type="dxa"/>
            <w:vAlign w:val="bottom"/>
            <w:gridSpan w:val="5"/>
          </w:tcPr>
          <w:p>
            <w:pPr>
              <w:spacing w:after="0" w:line="176" w:lineRule="exact"/>
              <w:rPr>
                <w:rFonts w:ascii="Arial" w:cs="Arial" w:eastAsia="Arial" w:hAnsi="Arial"/>
                <w:sz w:val="16"/>
                <w:szCs w:val="16"/>
                <w:color w:val="0000EE"/>
              </w:rPr>
            </w:pPr>
            <w:hyperlink r:id="rId295">
              <w:r>
                <w:rPr>
                  <w:rFonts w:ascii="Arial" w:cs="Arial" w:eastAsia="Arial" w:hAnsi="Arial"/>
                  <w:sz w:val="16"/>
                  <w:szCs w:val="16"/>
                  <w:color w:val="0000EE"/>
                </w:rPr>
                <w:t>and the Registrant</w:t>
              </w:r>
            </w:hyperlink>
          </w:p>
        </w:tc>
      </w:tr>
      <w:tr>
        <w:trPr>
          <w:trHeight w:val="20"/>
        </w:trPr>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520" w:type="dxa"/>
            <w:vAlign w:val="bottom"/>
            <w:gridSpan w:val="4"/>
          </w:tcPr>
          <w:p>
            <w:pPr>
              <w:spacing w:after="0" w:line="20" w:lineRule="exact"/>
              <w:rPr>
                <w:sz w:val="1"/>
                <w:szCs w:val="1"/>
                <w:color w:val="auto"/>
              </w:rPr>
            </w:pPr>
          </w:p>
        </w:tc>
      </w:tr>
      <w:tr>
        <w:trPr>
          <w:trHeight w:val="273"/>
        </w:trPr>
        <w:tc>
          <w:tcPr>
            <w:tcW w:w="480" w:type="dxa"/>
            <w:vAlign w:val="bottom"/>
          </w:tcPr>
          <w:p>
            <w:pPr>
              <w:jc w:val="right"/>
              <w:spacing w:after="0"/>
              <w:rPr>
                <w:rFonts w:ascii="Arial" w:cs="Arial" w:eastAsia="Arial" w:hAnsi="Arial"/>
                <w:sz w:val="16"/>
                <w:szCs w:val="16"/>
                <w:u w:val="single" w:color="auto"/>
                <w:color w:val="0000EE"/>
              </w:rPr>
            </w:pPr>
            <w:hyperlink r:id="rId296">
              <w:r>
                <w:rPr>
                  <w:rFonts w:ascii="Arial" w:cs="Arial" w:eastAsia="Arial" w:hAnsi="Arial"/>
                  <w:sz w:val="16"/>
                  <w:szCs w:val="16"/>
                  <w:u w:val="single" w:color="auto"/>
                  <w:color w:val="0000EE"/>
                </w:rPr>
                <w:t>10.4**</w:t>
              </w:r>
            </w:hyperlink>
          </w:p>
        </w:tc>
        <w:tc>
          <w:tcPr>
            <w:tcW w:w="200" w:type="dxa"/>
            <w:vAlign w:val="bottom"/>
          </w:tcPr>
          <w:p>
            <w:pPr>
              <w:spacing w:after="0"/>
              <w:rPr>
                <w:sz w:val="23"/>
                <w:szCs w:val="23"/>
                <w:color w:val="auto"/>
              </w:rPr>
            </w:pPr>
          </w:p>
        </w:tc>
        <w:tc>
          <w:tcPr>
            <w:tcW w:w="6760" w:type="dxa"/>
            <w:vAlign w:val="bottom"/>
            <w:gridSpan w:val="5"/>
          </w:tcPr>
          <w:p>
            <w:pPr>
              <w:spacing w:after="0"/>
              <w:rPr>
                <w:rFonts w:ascii="Arial" w:cs="Arial" w:eastAsia="Arial" w:hAnsi="Arial"/>
                <w:sz w:val="16"/>
                <w:szCs w:val="16"/>
                <w:u w:val="single" w:color="auto"/>
                <w:color w:val="0000EE"/>
              </w:rPr>
            </w:pPr>
            <w:hyperlink r:id="rId296">
              <w:r>
                <w:rPr>
                  <w:rFonts w:ascii="Arial" w:cs="Arial" w:eastAsia="Arial" w:hAnsi="Arial"/>
                  <w:sz w:val="16"/>
                  <w:szCs w:val="16"/>
                  <w:u w:val="single" w:color="auto"/>
                  <w:color w:val="0000EE"/>
                </w:rPr>
                <w:t>Registration Rights Agreement between the Registrant and certain security holders</w:t>
              </w:r>
            </w:hyperlink>
          </w:p>
        </w:tc>
      </w:tr>
      <w:tr>
        <w:trPr>
          <w:trHeight w:val="232"/>
        </w:trPr>
        <w:tc>
          <w:tcPr>
            <w:tcW w:w="480" w:type="dxa"/>
            <w:vAlign w:val="bottom"/>
          </w:tcPr>
          <w:p>
            <w:pPr>
              <w:jc w:val="right"/>
              <w:spacing w:after="0"/>
              <w:rPr>
                <w:rFonts w:ascii="Arial" w:cs="Arial" w:eastAsia="Arial" w:hAnsi="Arial"/>
                <w:sz w:val="16"/>
                <w:szCs w:val="16"/>
                <w:u w:val="single" w:color="auto"/>
                <w:color w:val="0000EE"/>
              </w:rPr>
            </w:pPr>
            <w:hyperlink r:id="rId297">
              <w:r>
                <w:rPr>
                  <w:rFonts w:ascii="Arial" w:cs="Arial" w:eastAsia="Arial" w:hAnsi="Arial"/>
                  <w:sz w:val="16"/>
                  <w:szCs w:val="16"/>
                  <w:u w:val="single" w:color="auto"/>
                  <w:color w:val="0000EE"/>
                </w:rPr>
                <w:t>10.5**</w:t>
              </w:r>
            </w:hyperlink>
          </w:p>
        </w:tc>
        <w:tc>
          <w:tcPr>
            <w:tcW w:w="200" w:type="dxa"/>
            <w:vAlign w:val="bottom"/>
          </w:tcPr>
          <w:p>
            <w:pPr>
              <w:spacing w:after="0"/>
              <w:rPr>
                <w:sz w:val="20"/>
                <w:szCs w:val="20"/>
                <w:color w:val="auto"/>
              </w:rPr>
            </w:pPr>
          </w:p>
        </w:tc>
        <w:tc>
          <w:tcPr>
            <w:tcW w:w="6760" w:type="dxa"/>
            <w:vAlign w:val="bottom"/>
            <w:gridSpan w:val="5"/>
          </w:tcPr>
          <w:p>
            <w:pPr>
              <w:spacing w:after="0"/>
              <w:rPr>
                <w:rFonts w:ascii="Arial" w:cs="Arial" w:eastAsia="Arial" w:hAnsi="Arial"/>
                <w:sz w:val="16"/>
                <w:szCs w:val="16"/>
                <w:u w:val="single" w:color="auto"/>
                <w:color w:val="0000EE"/>
                <w:w w:val="97"/>
              </w:rPr>
            </w:pPr>
            <w:hyperlink r:id="rId297">
              <w:r>
                <w:rPr>
                  <w:rFonts w:ascii="Arial" w:cs="Arial" w:eastAsia="Arial" w:hAnsi="Arial"/>
                  <w:sz w:val="16"/>
                  <w:szCs w:val="16"/>
                  <w:u w:val="single" w:color="auto"/>
                  <w:color w:val="0000EE"/>
                  <w:w w:val="97"/>
                </w:rPr>
                <w:t>Securities Subscription Agreement, dated May 13, 2020, between the Registrant and the Sponsor</w:t>
              </w:r>
            </w:hyperlink>
          </w:p>
        </w:tc>
      </w:tr>
      <w:tr>
        <w:trPr>
          <w:trHeight w:val="232"/>
        </w:trPr>
        <w:tc>
          <w:tcPr>
            <w:tcW w:w="480" w:type="dxa"/>
            <w:vAlign w:val="bottom"/>
          </w:tcPr>
          <w:p>
            <w:pPr>
              <w:jc w:val="right"/>
              <w:spacing w:after="0"/>
              <w:rPr>
                <w:rFonts w:ascii="Arial" w:cs="Arial" w:eastAsia="Arial" w:hAnsi="Arial"/>
                <w:sz w:val="16"/>
                <w:szCs w:val="16"/>
                <w:u w:val="single" w:color="auto"/>
                <w:color w:val="0000EE"/>
              </w:rPr>
            </w:pPr>
            <w:hyperlink r:id="rId298">
              <w:r>
                <w:rPr>
                  <w:rFonts w:ascii="Arial" w:cs="Arial" w:eastAsia="Arial" w:hAnsi="Arial"/>
                  <w:sz w:val="16"/>
                  <w:szCs w:val="16"/>
                  <w:u w:val="single" w:color="auto"/>
                  <w:color w:val="0000EE"/>
                </w:rPr>
                <w:t>10.6**</w:t>
              </w:r>
            </w:hyperlink>
          </w:p>
        </w:tc>
        <w:tc>
          <w:tcPr>
            <w:tcW w:w="200" w:type="dxa"/>
            <w:vAlign w:val="bottom"/>
          </w:tcPr>
          <w:p>
            <w:pPr>
              <w:spacing w:after="0"/>
              <w:rPr>
                <w:sz w:val="20"/>
                <w:szCs w:val="20"/>
                <w:color w:val="auto"/>
              </w:rPr>
            </w:pPr>
          </w:p>
        </w:tc>
        <w:tc>
          <w:tcPr>
            <w:tcW w:w="6760" w:type="dxa"/>
            <w:vAlign w:val="bottom"/>
            <w:gridSpan w:val="5"/>
          </w:tcPr>
          <w:p>
            <w:pPr>
              <w:spacing w:after="0"/>
              <w:rPr>
                <w:rFonts w:ascii="Arial" w:cs="Arial" w:eastAsia="Arial" w:hAnsi="Arial"/>
                <w:sz w:val="16"/>
                <w:szCs w:val="16"/>
                <w:u w:val="single" w:color="auto"/>
                <w:color w:val="0000EE"/>
              </w:rPr>
            </w:pPr>
            <w:hyperlink r:id="rId298">
              <w:r>
                <w:rPr>
                  <w:rFonts w:ascii="Arial" w:cs="Arial" w:eastAsia="Arial" w:hAnsi="Arial"/>
                  <w:sz w:val="16"/>
                  <w:szCs w:val="16"/>
                  <w:u w:val="single" w:color="auto"/>
                  <w:color w:val="0000EE"/>
                </w:rPr>
                <w:t>Private Placement Warrants Purchase Agreement between the Registrant and the Sponsor</w:t>
              </w:r>
            </w:hyperlink>
          </w:p>
        </w:tc>
      </w:tr>
      <w:tr>
        <w:trPr>
          <w:trHeight w:val="232"/>
        </w:trPr>
        <w:tc>
          <w:tcPr>
            <w:tcW w:w="480" w:type="dxa"/>
            <w:vAlign w:val="bottom"/>
          </w:tcPr>
          <w:p>
            <w:pPr>
              <w:jc w:val="right"/>
              <w:spacing w:after="0"/>
              <w:rPr>
                <w:rFonts w:ascii="Arial" w:cs="Arial" w:eastAsia="Arial" w:hAnsi="Arial"/>
                <w:sz w:val="16"/>
                <w:szCs w:val="16"/>
                <w:u w:val="single" w:color="auto"/>
                <w:color w:val="0000EE"/>
              </w:rPr>
            </w:pPr>
            <w:hyperlink r:id="rId299">
              <w:r>
                <w:rPr>
                  <w:rFonts w:ascii="Arial" w:cs="Arial" w:eastAsia="Arial" w:hAnsi="Arial"/>
                  <w:sz w:val="16"/>
                  <w:szCs w:val="16"/>
                  <w:u w:val="single" w:color="auto"/>
                  <w:color w:val="0000EE"/>
                </w:rPr>
                <w:t>10.7**</w:t>
              </w:r>
            </w:hyperlink>
          </w:p>
        </w:tc>
        <w:tc>
          <w:tcPr>
            <w:tcW w:w="200" w:type="dxa"/>
            <w:vAlign w:val="bottom"/>
          </w:tcPr>
          <w:p>
            <w:pPr>
              <w:spacing w:after="0"/>
              <w:rPr>
                <w:sz w:val="20"/>
                <w:szCs w:val="20"/>
                <w:color w:val="auto"/>
              </w:rPr>
            </w:pPr>
          </w:p>
        </w:tc>
        <w:tc>
          <w:tcPr>
            <w:tcW w:w="6760" w:type="dxa"/>
            <w:vAlign w:val="bottom"/>
            <w:gridSpan w:val="5"/>
          </w:tcPr>
          <w:p>
            <w:pPr>
              <w:spacing w:after="0"/>
              <w:rPr>
                <w:rFonts w:ascii="Arial" w:cs="Arial" w:eastAsia="Arial" w:hAnsi="Arial"/>
                <w:sz w:val="16"/>
                <w:szCs w:val="16"/>
                <w:u w:val="single" w:color="auto"/>
                <w:color w:val="0000EE"/>
              </w:rPr>
            </w:pPr>
            <w:hyperlink r:id="rId299">
              <w:r>
                <w:rPr>
                  <w:rFonts w:ascii="Arial" w:cs="Arial" w:eastAsia="Arial" w:hAnsi="Arial"/>
                  <w:sz w:val="16"/>
                  <w:szCs w:val="16"/>
                  <w:u w:val="single" w:color="auto"/>
                  <w:color w:val="0000EE"/>
                </w:rPr>
                <w:t>Indemnity Agreement</w:t>
              </w:r>
            </w:hyperlink>
          </w:p>
        </w:tc>
      </w:tr>
      <w:tr>
        <w:trPr>
          <w:trHeight w:val="208"/>
        </w:trPr>
        <w:tc>
          <w:tcPr>
            <w:tcW w:w="480" w:type="dxa"/>
            <w:vAlign w:val="bottom"/>
          </w:tcPr>
          <w:p>
            <w:pPr>
              <w:jc w:val="right"/>
              <w:spacing w:after="0"/>
              <w:rPr>
                <w:rFonts w:ascii="Arial" w:cs="Arial" w:eastAsia="Arial" w:hAnsi="Arial"/>
                <w:sz w:val="16"/>
                <w:szCs w:val="16"/>
                <w:u w:val="single" w:color="auto"/>
                <w:color w:val="0000EE"/>
              </w:rPr>
            </w:pPr>
            <w:hyperlink r:id="rId300">
              <w:r>
                <w:rPr>
                  <w:rFonts w:ascii="Arial" w:cs="Arial" w:eastAsia="Arial" w:hAnsi="Arial"/>
                  <w:sz w:val="16"/>
                  <w:szCs w:val="16"/>
                  <w:u w:val="single" w:color="auto"/>
                  <w:color w:val="0000EE"/>
                </w:rPr>
                <w:t>10.8**</w:t>
              </w:r>
            </w:hyperlink>
          </w:p>
        </w:tc>
        <w:tc>
          <w:tcPr>
            <w:tcW w:w="200" w:type="dxa"/>
            <w:vAlign w:val="bottom"/>
          </w:tcPr>
          <w:p>
            <w:pPr>
              <w:spacing w:after="0"/>
              <w:rPr>
                <w:sz w:val="18"/>
                <w:szCs w:val="18"/>
                <w:color w:val="auto"/>
              </w:rPr>
            </w:pPr>
          </w:p>
        </w:tc>
        <w:tc>
          <w:tcPr>
            <w:tcW w:w="6760" w:type="dxa"/>
            <w:vAlign w:val="bottom"/>
            <w:gridSpan w:val="5"/>
          </w:tcPr>
          <w:p>
            <w:pPr>
              <w:spacing w:after="0"/>
              <w:rPr>
                <w:rFonts w:ascii="Arial" w:cs="Arial" w:eastAsia="Arial" w:hAnsi="Arial"/>
                <w:sz w:val="16"/>
                <w:szCs w:val="16"/>
                <w:u w:val="single" w:color="auto"/>
                <w:color w:val="0000EE"/>
                <w:w w:val="97"/>
              </w:rPr>
            </w:pPr>
            <w:hyperlink r:id="rId300">
              <w:r>
                <w:rPr>
                  <w:rFonts w:ascii="Arial" w:cs="Arial" w:eastAsia="Arial" w:hAnsi="Arial"/>
                  <w:sz w:val="16"/>
                  <w:szCs w:val="16"/>
                  <w:u w:val="single" w:color="auto"/>
                  <w:color w:val="0000EE"/>
                  <w:w w:val="97"/>
                </w:rPr>
                <w:t>Administrative Services Agreement, by and between the Registrant and an affiliate of the Sponsor</w:t>
              </w:r>
            </w:hyperlink>
          </w:p>
        </w:tc>
      </w:tr>
      <w:tr>
        <w:trPr>
          <w:trHeight w:val="257"/>
        </w:trPr>
        <w:tc>
          <w:tcPr>
            <w:tcW w:w="480" w:type="dxa"/>
            <w:vAlign w:val="bottom"/>
          </w:tcPr>
          <w:p>
            <w:pPr>
              <w:jc w:val="right"/>
              <w:ind w:right="19"/>
              <w:spacing w:after="0"/>
              <w:rPr>
                <w:rFonts w:ascii="Arial" w:cs="Arial" w:eastAsia="Arial" w:hAnsi="Arial"/>
                <w:sz w:val="16"/>
                <w:szCs w:val="16"/>
                <w:u w:val="single" w:color="auto"/>
                <w:color w:val="0000EE"/>
                <w:w w:val="96"/>
              </w:rPr>
            </w:pPr>
            <w:hyperlink w:anchor="page190">
              <w:r>
                <w:rPr>
                  <w:rFonts w:ascii="Arial" w:cs="Arial" w:eastAsia="Arial" w:hAnsi="Arial"/>
                  <w:sz w:val="16"/>
                  <w:szCs w:val="16"/>
                  <w:u w:val="single" w:color="auto"/>
                  <w:color w:val="0000EE"/>
                  <w:w w:val="96"/>
                </w:rPr>
                <w:t>23.1*</w:t>
              </w:r>
            </w:hyperlink>
          </w:p>
        </w:tc>
        <w:tc>
          <w:tcPr>
            <w:tcW w:w="200" w:type="dxa"/>
            <w:vAlign w:val="bottom"/>
          </w:tcPr>
          <w:p>
            <w:pPr>
              <w:spacing w:after="0"/>
              <w:rPr>
                <w:sz w:val="22"/>
                <w:szCs w:val="22"/>
                <w:color w:val="auto"/>
              </w:rPr>
            </w:pPr>
          </w:p>
        </w:tc>
        <w:tc>
          <w:tcPr>
            <w:tcW w:w="6760" w:type="dxa"/>
            <w:vAlign w:val="bottom"/>
            <w:gridSpan w:val="5"/>
          </w:tcPr>
          <w:p>
            <w:pPr>
              <w:spacing w:after="0"/>
              <w:rPr>
                <w:rFonts w:ascii="Arial" w:cs="Arial" w:eastAsia="Arial" w:hAnsi="Arial"/>
                <w:sz w:val="16"/>
                <w:szCs w:val="16"/>
                <w:u w:val="single" w:color="auto"/>
                <w:color w:val="0000EE"/>
              </w:rPr>
            </w:pPr>
            <w:hyperlink w:anchor="page190">
              <w:r>
                <w:rPr>
                  <w:rFonts w:ascii="Arial" w:cs="Arial" w:eastAsia="Arial" w:hAnsi="Arial"/>
                  <w:sz w:val="16"/>
                  <w:szCs w:val="16"/>
                  <w:u w:val="single" w:color="auto"/>
                  <w:color w:val="0000EE"/>
                </w:rPr>
                <w:t>Consent of Marcum LLP</w:t>
              </w:r>
            </w:hyperlink>
          </w:p>
        </w:tc>
      </w:tr>
      <w:tr>
        <w:trPr>
          <w:trHeight w:val="232"/>
        </w:trPr>
        <w:tc>
          <w:tcPr>
            <w:tcW w:w="480" w:type="dxa"/>
            <w:vAlign w:val="bottom"/>
          </w:tcPr>
          <w:p>
            <w:pPr>
              <w:jc w:val="right"/>
              <w:ind w:right="19"/>
              <w:spacing w:after="0"/>
              <w:rPr>
                <w:rFonts w:ascii="Arial" w:cs="Arial" w:eastAsia="Arial" w:hAnsi="Arial"/>
                <w:sz w:val="16"/>
                <w:szCs w:val="16"/>
                <w:u w:val="single" w:color="auto"/>
                <w:color w:val="0000EE"/>
                <w:w w:val="96"/>
              </w:rPr>
            </w:pPr>
            <w:hyperlink w:anchor="page185">
              <w:r>
                <w:rPr>
                  <w:rFonts w:ascii="Arial" w:cs="Arial" w:eastAsia="Arial" w:hAnsi="Arial"/>
                  <w:sz w:val="16"/>
                  <w:szCs w:val="16"/>
                  <w:u w:val="single" w:color="auto"/>
                  <w:color w:val="0000EE"/>
                  <w:w w:val="96"/>
                </w:rPr>
                <w:t>23.2*</w:t>
              </w:r>
            </w:hyperlink>
          </w:p>
        </w:tc>
        <w:tc>
          <w:tcPr>
            <w:tcW w:w="200" w:type="dxa"/>
            <w:vAlign w:val="bottom"/>
          </w:tcPr>
          <w:p>
            <w:pPr>
              <w:spacing w:after="0"/>
              <w:rPr>
                <w:sz w:val="20"/>
                <w:szCs w:val="20"/>
                <w:color w:val="auto"/>
              </w:rPr>
            </w:pPr>
          </w:p>
        </w:tc>
        <w:tc>
          <w:tcPr>
            <w:tcW w:w="6760" w:type="dxa"/>
            <w:vAlign w:val="bottom"/>
            <w:gridSpan w:val="5"/>
          </w:tcPr>
          <w:p>
            <w:pPr>
              <w:spacing w:after="0"/>
              <w:rPr>
                <w:rFonts w:ascii="Arial" w:cs="Arial" w:eastAsia="Arial" w:hAnsi="Arial"/>
                <w:sz w:val="16"/>
                <w:szCs w:val="16"/>
                <w:u w:val="single" w:color="auto"/>
                <w:color w:val="0000EE"/>
              </w:rPr>
            </w:pPr>
            <w:hyperlink w:anchor="page185">
              <w:r>
                <w:rPr>
                  <w:rFonts w:ascii="Arial" w:cs="Arial" w:eastAsia="Arial" w:hAnsi="Arial"/>
                  <w:sz w:val="16"/>
                  <w:szCs w:val="16"/>
                  <w:u w:val="single" w:color="auto"/>
                  <w:color w:val="0000EE"/>
                </w:rPr>
                <w:t>Consent of Paul, Weiss, Rifkind, Wharton &amp; Garrison LLP (included in Exhibit 5.1)</w:t>
              </w:r>
            </w:hyperlink>
          </w:p>
        </w:tc>
      </w:tr>
      <w:tr>
        <w:trPr>
          <w:trHeight w:val="232"/>
        </w:trPr>
        <w:tc>
          <w:tcPr>
            <w:tcW w:w="480" w:type="dxa"/>
            <w:vAlign w:val="bottom"/>
          </w:tcPr>
          <w:p>
            <w:pPr>
              <w:spacing w:after="0"/>
              <w:rPr>
                <w:rFonts w:ascii="Arial" w:cs="Arial" w:eastAsia="Arial" w:hAnsi="Arial"/>
                <w:sz w:val="16"/>
                <w:szCs w:val="16"/>
                <w:u w:val="single" w:color="auto"/>
                <w:color w:val="0000EE"/>
              </w:rPr>
            </w:pPr>
            <w:hyperlink r:id="rId301">
              <w:r>
                <w:rPr>
                  <w:rFonts w:ascii="Arial" w:cs="Arial" w:eastAsia="Arial" w:hAnsi="Arial"/>
                  <w:sz w:val="16"/>
                  <w:szCs w:val="16"/>
                  <w:u w:val="single" w:color="auto"/>
                  <w:color w:val="0000EE"/>
                </w:rPr>
                <w:t>24**</w:t>
              </w:r>
            </w:hyperlink>
          </w:p>
        </w:tc>
        <w:tc>
          <w:tcPr>
            <w:tcW w:w="200" w:type="dxa"/>
            <w:vAlign w:val="bottom"/>
          </w:tcPr>
          <w:p>
            <w:pPr>
              <w:spacing w:after="0"/>
              <w:rPr>
                <w:sz w:val="20"/>
                <w:szCs w:val="20"/>
                <w:color w:val="auto"/>
              </w:rPr>
            </w:pPr>
          </w:p>
        </w:tc>
        <w:tc>
          <w:tcPr>
            <w:tcW w:w="6760" w:type="dxa"/>
            <w:vAlign w:val="bottom"/>
            <w:gridSpan w:val="5"/>
          </w:tcPr>
          <w:p>
            <w:pPr>
              <w:spacing w:after="0"/>
              <w:rPr>
                <w:rFonts w:ascii="Arial" w:cs="Arial" w:eastAsia="Arial" w:hAnsi="Arial"/>
                <w:sz w:val="16"/>
                <w:szCs w:val="16"/>
                <w:u w:val="single" w:color="auto"/>
                <w:color w:val="0000EE"/>
              </w:rPr>
            </w:pPr>
            <w:hyperlink r:id="rId301">
              <w:r>
                <w:rPr>
                  <w:rFonts w:ascii="Arial" w:cs="Arial" w:eastAsia="Arial" w:hAnsi="Arial"/>
                  <w:sz w:val="16"/>
                  <w:szCs w:val="16"/>
                  <w:u w:val="single" w:color="auto"/>
                  <w:color w:val="0000EE"/>
                </w:rPr>
                <w:t>Power of Attorney (included on signature page of this Registration Statement)</w:t>
              </w:r>
            </w:hyperlink>
          </w:p>
        </w:tc>
      </w:tr>
      <w:tr>
        <w:trPr>
          <w:trHeight w:val="232"/>
        </w:trPr>
        <w:tc>
          <w:tcPr>
            <w:tcW w:w="480" w:type="dxa"/>
            <w:vAlign w:val="bottom"/>
          </w:tcPr>
          <w:p>
            <w:pPr>
              <w:jc w:val="right"/>
              <w:spacing w:after="0"/>
              <w:rPr>
                <w:rFonts w:ascii="Arial" w:cs="Arial" w:eastAsia="Arial" w:hAnsi="Arial"/>
                <w:sz w:val="16"/>
                <w:szCs w:val="16"/>
                <w:u w:val="single" w:color="auto"/>
                <w:color w:val="0000EE"/>
              </w:rPr>
            </w:pPr>
            <w:hyperlink r:id="rId302">
              <w:r>
                <w:rPr>
                  <w:rFonts w:ascii="Arial" w:cs="Arial" w:eastAsia="Arial" w:hAnsi="Arial"/>
                  <w:sz w:val="16"/>
                  <w:szCs w:val="16"/>
                  <w:u w:val="single" w:color="auto"/>
                  <w:color w:val="0000EE"/>
                </w:rPr>
                <w:t>99.1**</w:t>
              </w:r>
            </w:hyperlink>
          </w:p>
        </w:tc>
        <w:tc>
          <w:tcPr>
            <w:tcW w:w="200" w:type="dxa"/>
            <w:vAlign w:val="bottom"/>
          </w:tcPr>
          <w:p>
            <w:pPr>
              <w:spacing w:after="0"/>
              <w:rPr>
                <w:sz w:val="20"/>
                <w:szCs w:val="20"/>
                <w:color w:val="auto"/>
              </w:rPr>
            </w:pPr>
          </w:p>
        </w:tc>
        <w:tc>
          <w:tcPr>
            <w:tcW w:w="6760" w:type="dxa"/>
            <w:vAlign w:val="bottom"/>
            <w:gridSpan w:val="5"/>
          </w:tcPr>
          <w:p>
            <w:pPr>
              <w:spacing w:after="0"/>
              <w:rPr>
                <w:rFonts w:ascii="Arial" w:cs="Arial" w:eastAsia="Arial" w:hAnsi="Arial"/>
                <w:sz w:val="16"/>
                <w:szCs w:val="16"/>
                <w:u w:val="single" w:color="auto"/>
                <w:color w:val="0000EE"/>
              </w:rPr>
            </w:pPr>
            <w:hyperlink r:id="rId302">
              <w:r>
                <w:rPr>
                  <w:rFonts w:ascii="Arial" w:cs="Arial" w:eastAsia="Arial" w:hAnsi="Arial"/>
                  <w:sz w:val="16"/>
                  <w:szCs w:val="16"/>
                  <w:u w:val="single" w:color="auto"/>
                  <w:color w:val="0000EE"/>
                </w:rPr>
                <w:t>Consent of Glenn R. August</w:t>
              </w:r>
            </w:hyperlink>
          </w:p>
        </w:tc>
      </w:tr>
      <w:tr>
        <w:trPr>
          <w:trHeight w:val="232"/>
        </w:trPr>
        <w:tc>
          <w:tcPr>
            <w:tcW w:w="480" w:type="dxa"/>
            <w:vAlign w:val="bottom"/>
          </w:tcPr>
          <w:p>
            <w:pPr>
              <w:jc w:val="right"/>
              <w:ind w:right="19"/>
              <w:spacing w:after="0"/>
              <w:rPr>
                <w:rFonts w:ascii="Arial" w:cs="Arial" w:eastAsia="Arial" w:hAnsi="Arial"/>
                <w:sz w:val="16"/>
                <w:szCs w:val="16"/>
                <w:u w:val="single" w:color="auto"/>
                <w:color w:val="0000EE"/>
                <w:w w:val="96"/>
              </w:rPr>
            </w:pPr>
            <w:hyperlink w:anchor="page191">
              <w:r>
                <w:rPr>
                  <w:rFonts w:ascii="Arial" w:cs="Arial" w:eastAsia="Arial" w:hAnsi="Arial"/>
                  <w:sz w:val="16"/>
                  <w:szCs w:val="16"/>
                  <w:u w:val="single" w:color="auto"/>
                  <w:color w:val="0000EE"/>
                  <w:w w:val="96"/>
                </w:rPr>
                <w:t>99.2*</w:t>
              </w:r>
            </w:hyperlink>
          </w:p>
        </w:tc>
        <w:tc>
          <w:tcPr>
            <w:tcW w:w="200" w:type="dxa"/>
            <w:vAlign w:val="bottom"/>
          </w:tcPr>
          <w:p>
            <w:pPr>
              <w:spacing w:after="0"/>
              <w:rPr>
                <w:sz w:val="20"/>
                <w:szCs w:val="20"/>
                <w:color w:val="auto"/>
              </w:rPr>
            </w:pPr>
          </w:p>
        </w:tc>
        <w:tc>
          <w:tcPr>
            <w:tcW w:w="6760" w:type="dxa"/>
            <w:vAlign w:val="bottom"/>
            <w:gridSpan w:val="5"/>
          </w:tcPr>
          <w:p>
            <w:pPr>
              <w:spacing w:after="0"/>
              <w:rPr>
                <w:rFonts w:ascii="Arial" w:cs="Arial" w:eastAsia="Arial" w:hAnsi="Arial"/>
                <w:sz w:val="16"/>
                <w:szCs w:val="16"/>
                <w:u w:val="single" w:color="auto"/>
                <w:color w:val="0000EE"/>
              </w:rPr>
            </w:pPr>
            <w:hyperlink w:anchor="page191">
              <w:r>
                <w:rPr>
                  <w:rFonts w:ascii="Arial" w:cs="Arial" w:eastAsia="Arial" w:hAnsi="Arial"/>
                  <w:sz w:val="16"/>
                  <w:szCs w:val="16"/>
                  <w:u w:val="single" w:color="auto"/>
                  <w:color w:val="0000EE"/>
                </w:rPr>
                <w:t>Consent of William J. Bynum</w:t>
              </w:r>
            </w:hyperlink>
          </w:p>
        </w:tc>
      </w:tr>
    </w:tbl>
    <w:p>
      <w:pPr>
        <w:spacing w:after="0" w:line="245"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3">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81" w:name="page182"/>
    <w:bookmarkEnd w:id="181"/>
    <w:p>
      <w:pPr>
        <w:spacing w:after="0"/>
        <w:rPr>
          <w:rFonts w:ascii="Arial" w:cs="Arial" w:eastAsia="Arial" w:hAnsi="Arial"/>
          <w:sz w:val="13"/>
          <w:szCs w:val="13"/>
          <w:color w:val="003366"/>
        </w:rPr>
      </w:pPr>
      <w:hyperlink w:anchor="page160">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140"/>
        <w:spacing w:after="0"/>
        <w:tabs>
          <w:tab w:leader="none" w:pos="4880" w:val="left"/>
        </w:tabs>
        <w:rPr>
          <w:sz w:val="20"/>
          <w:szCs w:val="20"/>
          <w:color w:val="auto"/>
        </w:rPr>
      </w:pPr>
      <w:r>
        <w:rPr>
          <w:rFonts w:ascii="Arial" w:cs="Arial" w:eastAsia="Arial" w:hAnsi="Arial"/>
          <w:sz w:val="13"/>
          <w:szCs w:val="13"/>
          <w:b w:val="1"/>
          <w:bCs w:val="1"/>
          <w:color w:val="auto"/>
        </w:rPr>
        <w:t>Exhibit</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19050</wp:posOffset>
            </wp:positionV>
            <wp:extent cx="4721860"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4">
                      <a:extLst>
                        <a:ext uri="{28A0092B-C50C-407E-A947-70E740481C1C}"/>
                      </a:extLst>
                    </a:blip>
                    <a:srcRect/>
                    <a:stretch>
                      <a:fillRect/>
                    </a:stretch>
                  </pic:blipFill>
                  <pic:spPr bwMode="auto">
                    <a:xfrm>
                      <a:off x="0" y="0"/>
                      <a:ext cx="4721860" cy="7620"/>
                    </a:xfrm>
                    <a:prstGeom prst="rect">
                      <a:avLst/>
                    </a:prstGeom>
                    <a:noFill/>
                  </pic:spPr>
                </pic:pic>
              </a:graphicData>
            </a:graphic>
          </wp:anchor>
        </w:drawing>
      </w:r>
    </w:p>
    <w:p>
      <w:pPr>
        <w:spacing w:after="0" w:line="34" w:lineRule="exact"/>
        <w:rPr>
          <w:sz w:val="20"/>
          <w:szCs w:val="20"/>
          <w:color w:val="auto"/>
        </w:rPr>
      </w:pPr>
    </w:p>
    <w:p>
      <w:pPr>
        <w:ind w:left="1140"/>
        <w:spacing w:after="0"/>
        <w:tabs>
          <w:tab w:leader="none" w:pos="1800" w:val="left"/>
        </w:tabs>
        <w:rPr>
          <w:rFonts w:ascii="Arial" w:cs="Arial" w:eastAsia="Arial" w:hAnsi="Arial"/>
          <w:sz w:val="15"/>
          <w:szCs w:val="15"/>
          <w:u w:val="single" w:color="auto"/>
          <w:color w:val="0000EE"/>
        </w:rPr>
      </w:pPr>
      <w:hyperlink w:anchor="page192">
        <w:r>
          <w:rPr>
            <w:rFonts w:ascii="Arial" w:cs="Arial" w:eastAsia="Arial" w:hAnsi="Arial"/>
            <w:sz w:val="16"/>
            <w:szCs w:val="16"/>
            <w:u w:val="single" w:color="auto"/>
            <w:color w:val="0000EE"/>
          </w:rPr>
          <w:t>99.3*</w:t>
        </w:r>
      </w:hyperlink>
      <w:r>
        <w:rPr>
          <w:rFonts w:ascii="Arial" w:cs="Arial" w:eastAsia="Arial" w:hAnsi="Arial"/>
          <w:sz w:val="16"/>
          <w:szCs w:val="16"/>
          <w:u w:val="single" w:color="auto"/>
          <w:color w:val="0000EE"/>
        </w:rPr>
        <w:tab/>
      </w:r>
      <w:hyperlink w:anchor="page192">
        <w:r>
          <w:rPr>
            <w:rFonts w:ascii="Arial" w:cs="Arial" w:eastAsia="Arial" w:hAnsi="Arial"/>
            <w:sz w:val="15"/>
            <w:szCs w:val="15"/>
            <w:u w:val="single" w:color="auto"/>
            <w:color w:val="0000EE"/>
          </w:rPr>
          <w:t>Consent of Bonnie Jonas</w:t>
        </w:r>
      </w:hyperlink>
    </w:p>
    <w:p>
      <w:pPr>
        <w:spacing w:after="0" w:line="24" w:lineRule="exact"/>
        <w:rPr>
          <w:sz w:val="20"/>
          <w:szCs w:val="20"/>
          <w:color w:val="auto"/>
        </w:rPr>
      </w:pPr>
    </w:p>
    <w:p>
      <w:pPr>
        <w:ind w:left="1140"/>
        <w:spacing w:after="0"/>
        <w:tabs>
          <w:tab w:leader="none" w:pos="1800" w:val="left"/>
        </w:tabs>
        <w:rPr>
          <w:rFonts w:ascii="Arial" w:cs="Arial" w:eastAsia="Arial" w:hAnsi="Arial"/>
          <w:sz w:val="16"/>
          <w:szCs w:val="16"/>
          <w:u w:val="single" w:color="auto"/>
          <w:color w:val="0000EE"/>
        </w:rPr>
      </w:pPr>
      <w:hyperlink w:anchor="page193">
        <w:r>
          <w:rPr>
            <w:rFonts w:ascii="Arial" w:cs="Arial" w:eastAsia="Arial" w:hAnsi="Arial"/>
            <w:sz w:val="16"/>
            <w:szCs w:val="16"/>
            <w:u w:val="single" w:color="auto"/>
            <w:color w:val="0000EE"/>
          </w:rPr>
          <w:t>99.4*</w:t>
        </w:r>
      </w:hyperlink>
      <w:r>
        <w:rPr>
          <w:rFonts w:ascii="Arial" w:cs="Arial" w:eastAsia="Arial" w:hAnsi="Arial"/>
          <w:sz w:val="16"/>
          <w:szCs w:val="16"/>
          <w:u w:val="single" w:color="auto"/>
          <w:color w:val="0000EE"/>
        </w:rPr>
        <w:tab/>
      </w:r>
      <w:hyperlink w:anchor="page193">
        <w:r>
          <w:rPr>
            <w:rFonts w:ascii="Arial" w:cs="Arial" w:eastAsia="Arial" w:hAnsi="Arial"/>
            <w:sz w:val="16"/>
            <w:szCs w:val="16"/>
            <w:u w:val="single" w:color="auto"/>
            <w:color w:val="0000EE"/>
          </w:rPr>
          <w:t>Consent of Mark Klein</w:t>
        </w:r>
      </w:hyperlink>
    </w:p>
    <w:p>
      <w:pPr>
        <w:spacing w:after="0" w:line="24" w:lineRule="exact"/>
        <w:rPr>
          <w:sz w:val="20"/>
          <w:szCs w:val="20"/>
          <w:color w:val="auto"/>
        </w:rPr>
      </w:pPr>
    </w:p>
    <w:p>
      <w:pPr>
        <w:ind w:left="1140"/>
        <w:spacing w:after="0"/>
        <w:tabs>
          <w:tab w:leader="none" w:pos="1800" w:val="left"/>
        </w:tabs>
        <w:rPr>
          <w:rFonts w:ascii="Arial" w:cs="Arial" w:eastAsia="Arial" w:hAnsi="Arial"/>
          <w:sz w:val="15"/>
          <w:szCs w:val="15"/>
          <w:u w:val="single" w:color="auto"/>
          <w:color w:val="0000EE"/>
        </w:rPr>
      </w:pPr>
      <w:hyperlink w:anchor="page194">
        <w:r>
          <w:rPr>
            <w:rFonts w:ascii="Arial" w:cs="Arial" w:eastAsia="Arial" w:hAnsi="Arial"/>
            <w:sz w:val="16"/>
            <w:szCs w:val="16"/>
            <w:u w:val="single" w:color="auto"/>
            <w:color w:val="0000EE"/>
          </w:rPr>
          <w:t>99.5*</w:t>
        </w:r>
      </w:hyperlink>
      <w:r>
        <w:rPr>
          <w:rFonts w:ascii="Arial" w:cs="Arial" w:eastAsia="Arial" w:hAnsi="Arial"/>
          <w:sz w:val="16"/>
          <w:szCs w:val="16"/>
          <w:u w:val="single" w:color="auto"/>
          <w:color w:val="0000EE"/>
        </w:rPr>
        <w:tab/>
      </w:r>
      <w:hyperlink w:anchor="page194">
        <w:r>
          <w:rPr>
            <w:rFonts w:ascii="Arial" w:cs="Arial" w:eastAsia="Arial" w:hAnsi="Arial"/>
            <w:sz w:val="15"/>
            <w:szCs w:val="15"/>
            <w:u w:val="single" w:color="auto"/>
            <w:color w:val="0000EE"/>
          </w:rPr>
          <w:t>Consent of Malcolm S. McDermid</w:t>
        </w:r>
      </w:hyperlink>
    </w:p>
    <w:p>
      <w:pPr>
        <w:spacing w:after="0" w:line="36" w:lineRule="exact"/>
        <w:rPr>
          <w:sz w:val="20"/>
          <w:szCs w:val="20"/>
          <w:color w:val="auto"/>
        </w:rPr>
      </w:pPr>
    </w:p>
    <w:p>
      <w:pPr>
        <w:ind w:left="1140"/>
        <w:spacing w:after="0"/>
        <w:tabs>
          <w:tab w:leader="none" w:pos="1800" w:val="left"/>
        </w:tabs>
        <w:rPr>
          <w:rFonts w:ascii="Arial" w:cs="Arial" w:eastAsia="Arial" w:hAnsi="Arial"/>
          <w:sz w:val="15"/>
          <w:szCs w:val="15"/>
          <w:u w:val="single" w:color="auto"/>
          <w:color w:val="0000EE"/>
        </w:rPr>
      </w:pPr>
      <w:hyperlink w:anchor="page195">
        <w:r>
          <w:rPr>
            <w:rFonts w:ascii="Arial" w:cs="Arial" w:eastAsia="Arial" w:hAnsi="Arial"/>
            <w:sz w:val="16"/>
            <w:szCs w:val="16"/>
            <w:u w:val="single" w:color="auto"/>
            <w:color w:val="0000EE"/>
          </w:rPr>
          <w:t>99.6*</w:t>
        </w:r>
      </w:hyperlink>
      <w:r>
        <w:rPr>
          <w:rFonts w:ascii="Arial" w:cs="Arial" w:eastAsia="Arial" w:hAnsi="Arial"/>
          <w:sz w:val="16"/>
          <w:szCs w:val="16"/>
          <w:u w:val="single" w:color="auto"/>
          <w:color w:val="0000EE"/>
        </w:rPr>
        <w:tab/>
      </w:r>
      <w:hyperlink w:anchor="page195">
        <w:r>
          <w:rPr>
            <w:rFonts w:ascii="Arial" w:cs="Arial" w:eastAsia="Arial" w:hAnsi="Arial"/>
            <w:sz w:val="15"/>
            <w:szCs w:val="15"/>
            <w:u w:val="single" w:color="auto"/>
            <w:color w:val="0000EE"/>
          </w:rPr>
          <w:t>Consent of Karen G. Mills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163195</wp:posOffset>
            </wp:positionV>
            <wp:extent cx="1118235"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5">
                      <a:extLst>
                        <a:ext uri="{28A0092B-C50C-407E-A947-70E740481C1C}"/>
                      </a:extLst>
                    </a:blip>
                    <a:srcRect/>
                    <a:stretch>
                      <a:fillRect/>
                    </a:stretch>
                  </pic:blipFill>
                  <pic:spPr bwMode="auto">
                    <a:xfrm>
                      <a:off x="0" y="0"/>
                      <a:ext cx="1118235" cy="76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460" w:hanging="321"/>
        <w:spacing w:after="0"/>
        <w:tabs>
          <w:tab w:leader="none" w:pos="1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146" w:lineRule="exact"/>
        <w:rPr>
          <w:sz w:val="20"/>
          <w:szCs w:val="20"/>
          <w:color w:val="auto"/>
        </w:rPr>
      </w:pPr>
    </w:p>
    <w:p>
      <w:pPr>
        <w:ind w:left="1460" w:hanging="321"/>
        <w:spacing w:after="0"/>
        <w:tabs>
          <w:tab w:leader="none" w:pos="1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Previously filed.</w:t>
      </w:r>
    </w:p>
    <w:p>
      <w:pPr>
        <w:spacing w:after="0" w:line="109" w:lineRule="exact"/>
        <w:rPr>
          <w:rFonts w:ascii="Arial" w:cs="Arial" w:eastAsia="Arial" w:hAnsi="Arial"/>
          <w:sz w:val="16"/>
          <w:szCs w:val="16"/>
          <w:color w:val="auto"/>
        </w:rPr>
      </w:pPr>
    </w:p>
    <w:p>
      <w:pPr>
        <w:ind w:left="1140" w:right="2119" w:firstLine="325"/>
        <w:spacing w:after="0" w:line="285" w:lineRule="auto"/>
        <w:tabs>
          <w:tab w:leader="none" w:pos="1798" w:val="left"/>
        </w:tabs>
        <w:numPr>
          <w:ilvl w:val="1"/>
          <w:numId w:val="90"/>
        </w:numPr>
        <w:rPr>
          <w:rFonts w:ascii="Arial" w:cs="Arial" w:eastAsia="Arial" w:hAnsi="Arial"/>
          <w:sz w:val="16"/>
          <w:szCs w:val="16"/>
          <w:color w:val="auto"/>
        </w:rPr>
      </w:pPr>
      <w:r>
        <w:rPr>
          <w:rFonts w:ascii="Arial" w:cs="Arial" w:eastAsia="Arial" w:hAnsi="Arial"/>
          <w:sz w:val="16"/>
          <w:szCs w:val="16"/>
          <w:i w:val="1"/>
          <w:iCs w:val="1"/>
          <w:color w:val="auto"/>
        </w:rPr>
        <w:t>Financial Statements</w:t>
      </w:r>
      <w:r>
        <w:rPr>
          <w:rFonts w:ascii="Arial" w:cs="Arial" w:eastAsia="Arial" w:hAnsi="Arial"/>
          <w:sz w:val="16"/>
          <w:szCs w:val="16"/>
          <w:color w:val="auto"/>
        </w:rPr>
        <w:t>. See page F-1 for an index to the financial statements and schedules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in the registration statement.</w:t>
      </w:r>
    </w:p>
    <w:p>
      <w:pPr>
        <w:spacing w:after="0" w:line="13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Item 17. Undertakings.</w:t>
      </w:r>
    </w:p>
    <w:p>
      <w:pPr>
        <w:spacing w:after="0" w:line="77" w:lineRule="exact"/>
        <w:rPr>
          <w:sz w:val="20"/>
          <w:szCs w:val="20"/>
          <w:color w:val="auto"/>
        </w:rPr>
      </w:pPr>
    </w:p>
    <w:p>
      <w:pPr>
        <w:jc w:val="both"/>
        <w:ind w:left="1140" w:right="1599" w:firstLine="325"/>
        <w:spacing w:after="0" w:line="254" w:lineRule="auto"/>
        <w:tabs>
          <w:tab w:leader="none" w:pos="1786"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39" w:lineRule="exact"/>
        <w:rPr>
          <w:rFonts w:ascii="Arial" w:cs="Arial" w:eastAsia="Arial" w:hAnsi="Arial"/>
          <w:sz w:val="16"/>
          <w:szCs w:val="16"/>
          <w:color w:val="auto"/>
        </w:rPr>
      </w:pPr>
    </w:p>
    <w:p>
      <w:pPr>
        <w:ind w:left="1140" w:right="1599" w:firstLine="325"/>
        <w:spacing w:after="0" w:line="242" w:lineRule="auto"/>
        <w:tabs>
          <w:tab w:leader="none" w:pos="1798"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50" w:lineRule="exact"/>
        <w:rPr>
          <w:rFonts w:ascii="Arial" w:cs="Arial" w:eastAsia="Arial" w:hAnsi="Arial"/>
          <w:sz w:val="16"/>
          <w:szCs w:val="16"/>
          <w:color w:val="auto"/>
        </w:rPr>
      </w:pPr>
    </w:p>
    <w:p>
      <w:pPr>
        <w:ind w:left="1780" w:hanging="315"/>
        <w:spacing w:after="0"/>
        <w:tabs>
          <w:tab w:leader="none" w:pos="17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undersigned registrant hereby undertakes that:</w:t>
      </w:r>
    </w:p>
    <w:p>
      <w:pPr>
        <w:spacing w:after="0" w:line="72" w:lineRule="exact"/>
        <w:rPr>
          <w:rFonts w:ascii="Arial" w:cs="Arial" w:eastAsia="Arial" w:hAnsi="Arial"/>
          <w:sz w:val="16"/>
          <w:szCs w:val="16"/>
          <w:color w:val="auto"/>
        </w:rPr>
      </w:pPr>
    </w:p>
    <w:p>
      <w:pPr>
        <w:ind w:left="2120" w:right="1799" w:hanging="328"/>
        <w:spacing w:after="0" w:line="246" w:lineRule="auto"/>
        <w:tabs>
          <w:tab w:leader="none" w:pos="2120" w:val="left"/>
        </w:tabs>
        <w:numPr>
          <w:ilvl w:val="1"/>
          <w:numId w:val="91"/>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47" w:lineRule="exact"/>
        <w:rPr>
          <w:rFonts w:ascii="Arial" w:cs="Arial" w:eastAsia="Arial" w:hAnsi="Arial"/>
          <w:sz w:val="16"/>
          <w:szCs w:val="16"/>
          <w:color w:val="auto"/>
        </w:rPr>
      </w:pPr>
    </w:p>
    <w:p>
      <w:pPr>
        <w:ind w:left="2120" w:right="1979" w:hanging="328"/>
        <w:spacing w:after="0" w:line="271" w:lineRule="auto"/>
        <w:tabs>
          <w:tab w:leader="none" w:pos="2120" w:val="left"/>
        </w:tabs>
        <w:numPr>
          <w:ilvl w:val="1"/>
          <w:numId w:val="91"/>
        </w:numPr>
        <w:rPr>
          <w:rFonts w:ascii="Arial" w:cs="Arial" w:eastAsia="Arial" w:hAnsi="Arial"/>
          <w:sz w:val="15"/>
          <w:szCs w:val="15"/>
          <w:color w:val="auto"/>
        </w:rPr>
      </w:pPr>
      <w:r>
        <w:rPr>
          <w:rFonts w:ascii="Arial" w:cs="Arial" w:eastAsia="Arial" w:hAnsi="Arial"/>
          <w:sz w:val="15"/>
          <w:szCs w:val="15"/>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8" w:lineRule="exact"/>
        <w:rPr>
          <w:rFonts w:ascii="Arial" w:cs="Arial" w:eastAsia="Arial" w:hAnsi="Arial"/>
          <w:sz w:val="15"/>
          <w:szCs w:val="15"/>
          <w:color w:val="auto"/>
        </w:rPr>
      </w:pPr>
    </w:p>
    <w:p>
      <w:pPr>
        <w:ind w:left="2120" w:right="1599" w:hanging="328"/>
        <w:spacing w:after="0" w:line="242" w:lineRule="auto"/>
        <w:tabs>
          <w:tab w:leader="none" w:pos="2120" w:val="left"/>
        </w:tabs>
        <w:numPr>
          <w:ilvl w:val="1"/>
          <w:numId w:val="91"/>
        </w:numPr>
        <w:rPr>
          <w:rFonts w:ascii="Arial" w:cs="Arial" w:eastAsia="Arial" w:hAnsi="Arial"/>
          <w:sz w:val="16"/>
          <w:szCs w:val="16"/>
          <w:color w:val="auto"/>
        </w:rPr>
      </w:pPr>
      <w:r>
        <w:rPr>
          <w:rFonts w:ascii="Arial" w:cs="Arial" w:eastAsia="Arial" w:hAnsi="Arial"/>
          <w:sz w:val="16"/>
          <w:szCs w:val="16"/>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48" w:lineRule="exact"/>
        <w:rPr>
          <w:rFonts w:ascii="Arial" w:cs="Arial" w:eastAsia="Arial" w:hAnsi="Arial"/>
          <w:sz w:val="16"/>
          <w:szCs w:val="16"/>
          <w:color w:val="auto"/>
        </w:rPr>
      </w:pPr>
    </w:p>
    <w:p>
      <w:pPr>
        <w:ind w:left="2120" w:right="1559" w:hanging="328"/>
        <w:spacing w:after="0" w:line="271" w:lineRule="auto"/>
        <w:tabs>
          <w:tab w:leader="none" w:pos="2120" w:val="left"/>
        </w:tabs>
        <w:numPr>
          <w:ilvl w:val="1"/>
          <w:numId w:val="91"/>
        </w:numPr>
        <w:rPr>
          <w:rFonts w:ascii="Arial" w:cs="Arial" w:eastAsia="Arial" w:hAnsi="Arial"/>
          <w:sz w:val="15"/>
          <w:szCs w:val="15"/>
          <w:color w:val="auto"/>
        </w:rPr>
      </w:pPr>
      <w:r>
        <w:rPr>
          <w:rFonts w:ascii="Arial" w:cs="Arial" w:eastAsia="Arial" w:hAnsi="Arial"/>
          <w:sz w:val="15"/>
          <w:szCs w:val="15"/>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6">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2" w:name="page183"/>
    <w:bookmarkEnd w:id="182"/>
    <w:p>
      <w:pPr>
        <w:spacing w:after="0"/>
        <w:rPr>
          <w:rFonts w:ascii="Arial" w:cs="Arial" w:eastAsia="Arial" w:hAnsi="Arial"/>
          <w:sz w:val="13"/>
          <w:szCs w:val="13"/>
          <w:color w:val="003366"/>
        </w:rPr>
      </w:pPr>
      <w:hyperlink w:anchor="page160">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2120" w:right="1819"/>
        <w:spacing w:after="0" w:line="254" w:lineRule="auto"/>
        <w:rPr>
          <w:sz w:val="20"/>
          <w:szCs w:val="20"/>
          <w:color w:val="auto"/>
        </w:rPr>
      </w:pPr>
      <w:r>
        <w:rPr>
          <w:rFonts w:ascii="Arial" w:cs="Arial" w:eastAsia="Arial" w:hAnsi="Arial"/>
          <w:sz w:val="16"/>
          <w:szCs w:val="16"/>
          <w:color w:val="auto"/>
        </w:rPr>
        <w:t>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9" w:lineRule="exact"/>
        <w:rPr>
          <w:sz w:val="20"/>
          <w:szCs w:val="20"/>
          <w:color w:val="auto"/>
        </w:rPr>
      </w:pPr>
    </w:p>
    <w:p>
      <w:pPr>
        <w:ind w:left="2440" w:right="1819" w:hanging="322"/>
        <w:spacing w:after="0" w:line="269" w:lineRule="auto"/>
        <w:tabs>
          <w:tab w:leader="none" w:pos="24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76" w:lineRule="exact"/>
        <w:rPr>
          <w:rFonts w:ascii="Arial" w:cs="Arial" w:eastAsia="Arial" w:hAnsi="Arial"/>
          <w:sz w:val="16"/>
          <w:szCs w:val="16"/>
          <w:color w:val="auto"/>
        </w:rPr>
      </w:pPr>
    </w:p>
    <w:p>
      <w:pPr>
        <w:ind w:left="2440" w:right="2039" w:hanging="322"/>
        <w:spacing w:after="0" w:line="269" w:lineRule="auto"/>
        <w:tabs>
          <w:tab w:leader="none" w:pos="24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Any free writing prospectus relating to the offering prepared by or on behalf of the undersigned registrant or used or referred to by an undersigned registrant;</w:t>
      </w:r>
    </w:p>
    <w:p>
      <w:pPr>
        <w:spacing w:after="0" w:line="76" w:lineRule="exact"/>
        <w:rPr>
          <w:rFonts w:ascii="Arial" w:cs="Arial" w:eastAsia="Arial" w:hAnsi="Arial"/>
          <w:sz w:val="16"/>
          <w:szCs w:val="16"/>
          <w:color w:val="auto"/>
        </w:rPr>
      </w:pPr>
    </w:p>
    <w:p>
      <w:pPr>
        <w:ind w:left="2440" w:right="1699" w:hanging="322"/>
        <w:spacing w:after="0" w:line="254" w:lineRule="auto"/>
        <w:tabs>
          <w:tab w:leader="none" w:pos="24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portion of any other free writing prospectus relating to the offering containing material information about the undersigned registrant or its securities provided by or on behalf of the undersigned registrant; and</w:t>
      </w:r>
    </w:p>
    <w:p>
      <w:pPr>
        <w:spacing w:after="0" w:line="88" w:lineRule="exact"/>
        <w:rPr>
          <w:rFonts w:ascii="Arial" w:cs="Arial" w:eastAsia="Arial" w:hAnsi="Arial"/>
          <w:sz w:val="16"/>
          <w:szCs w:val="16"/>
          <w:color w:val="auto"/>
        </w:rPr>
      </w:pPr>
    </w:p>
    <w:p>
      <w:pPr>
        <w:ind w:left="2440" w:right="2099" w:hanging="322"/>
        <w:spacing w:after="0" w:line="269" w:lineRule="auto"/>
        <w:tabs>
          <w:tab w:leader="none" w:pos="24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Any other communication that is an offer in the offering made by the undersigned registrant to the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7">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3" w:name="page184"/>
    <w:bookmarkEnd w:id="183"/>
    <w:p>
      <w:pPr>
        <w:spacing w:after="0"/>
        <w:rPr>
          <w:rFonts w:ascii="Arial" w:cs="Arial" w:eastAsia="Arial" w:hAnsi="Arial"/>
          <w:sz w:val="13"/>
          <w:szCs w:val="13"/>
          <w:color w:val="003366"/>
        </w:rPr>
      </w:pPr>
      <w:hyperlink w:anchor="page160">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SIGNATURES</w:t>
      </w:r>
    </w:p>
    <w:p>
      <w:pPr>
        <w:spacing w:after="0" w:line="101" w:lineRule="exact"/>
        <w:rPr>
          <w:sz w:val="20"/>
          <w:szCs w:val="20"/>
          <w:color w:val="auto"/>
        </w:rPr>
      </w:pPr>
    </w:p>
    <w:p>
      <w:pPr>
        <w:ind w:left="1140" w:right="1579" w:firstLine="326"/>
        <w:spacing w:after="0" w:line="270"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 the undersigned, thereunto duly authorized, in the City of New York, State of New York on the 27th of July, 2020.</w:t>
      </w:r>
    </w:p>
    <w:p>
      <w:pPr>
        <w:spacing w:after="0" w:line="182" w:lineRule="exact"/>
        <w:rPr>
          <w:sz w:val="20"/>
          <w:szCs w:val="20"/>
          <w:color w:val="auto"/>
        </w:rPr>
      </w:pPr>
    </w:p>
    <w:p>
      <w:pPr>
        <w:ind w:left="4700"/>
        <w:spacing w:after="0"/>
        <w:rPr>
          <w:sz w:val="20"/>
          <w:szCs w:val="20"/>
          <w:color w:val="auto"/>
        </w:rPr>
      </w:pPr>
      <w:r>
        <w:rPr>
          <w:rFonts w:ascii="Arial" w:cs="Arial" w:eastAsia="Arial" w:hAnsi="Arial"/>
          <w:sz w:val="16"/>
          <w:szCs w:val="16"/>
          <w:b w:val="1"/>
          <w:bCs w:val="1"/>
          <w:color w:val="auto"/>
        </w:rPr>
        <w:t>CHURCHILL CAPITAL CORP IV</w:t>
      </w:r>
    </w:p>
    <w:p>
      <w:pPr>
        <w:spacing w:after="0" w:line="224" w:lineRule="exact"/>
        <w:rPr>
          <w:sz w:val="20"/>
          <w:szCs w:val="20"/>
          <w:color w:val="auto"/>
        </w:rPr>
      </w:pPr>
    </w:p>
    <w:p>
      <w:pPr>
        <w:ind w:left="4700"/>
        <w:spacing w:after="0"/>
        <w:tabs>
          <w:tab w:leader="none" w:pos="5140" w:val="left"/>
        </w:tabs>
        <w:rPr>
          <w:sz w:val="20"/>
          <w:szCs w:val="20"/>
          <w:color w:val="auto"/>
        </w:rPr>
      </w:pPr>
      <w:r>
        <w:rPr>
          <w:rFonts w:ascii="Arial" w:cs="Arial" w:eastAsia="Arial" w:hAnsi="Arial"/>
          <w:sz w:val="16"/>
          <w:szCs w:val="16"/>
          <w:color w:val="auto"/>
        </w:rPr>
        <w:t>By:</w:t>
        <w:tab/>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3268345</wp:posOffset>
            </wp:positionH>
            <wp:positionV relativeFrom="paragraph">
              <wp:posOffset>46355</wp:posOffset>
            </wp:positionV>
            <wp:extent cx="2174875"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8">
                      <a:extLst>
                        <a:ext uri="{28A0092B-C50C-407E-A947-70E740481C1C}"/>
                      </a:extLst>
                    </a:blip>
                    <a:srcRect/>
                    <a:stretch>
                      <a:fillRect/>
                    </a:stretch>
                  </pic:blipFill>
                  <pic:spPr bwMode="auto">
                    <a:xfrm>
                      <a:off x="0" y="0"/>
                      <a:ext cx="2174875" cy="7620"/>
                    </a:xfrm>
                    <a:prstGeom prst="rect">
                      <a:avLst/>
                    </a:prstGeom>
                    <a:noFill/>
                  </pic:spPr>
                </pic:pic>
              </a:graphicData>
            </a:graphic>
          </wp:anchor>
        </w:drawing>
      </w:r>
    </w:p>
    <w:p>
      <w:pPr>
        <w:spacing w:after="0" w:line="77"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Name: Jay Taragin</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Title: Chief Financial Officer</w:t>
      </w:r>
    </w:p>
    <w:p>
      <w:pPr>
        <w:spacing w:after="0" w:line="241"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POWER OF ATTORNEY</w:t>
      </w:r>
    </w:p>
    <w:p>
      <w:pPr>
        <w:spacing w:after="0" w:line="101" w:lineRule="exact"/>
        <w:rPr>
          <w:sz w:val="20"/>
          <w:szCs w:val="20"/>
          <w:color w:val="auto"/>
        </w:rPr>
      </w:pPr>
    </w:p>
    <w:p>
      <w:pPr>
        <w:ind w:left="1140" w:right="1719" w:firstLine="326"/>
        <w:spacing w:after="0" w:line="285" w:lineRule="auto"/>
        <w:rPr>
          <w:sz w:val="20"/>
          <w:szCs w:val="20"/>
          <w:color w:val="auto"/>
        </w:rPr>
      </w:pPr>
      <w:r>
        <w:rPr>
          <w:rFonts w:ascii="Arial" w:cs="Arial" w:eastAsia="Arial" w:hAnsi="Arial"/>
          <w:sz w:val="16"/>
          <w:szCs w:val="16"/>
          <w:color w:val="auto"/>
        </w:rPr>
        <w:t>Pursuant to the requirements of the Securities Act of 1933, this registration statement has been signed by the following persons in the capacities and on the dates indicated.</w:t>
      </w:r>
    </w:p>
    <w:p>
      <w:pPr>
        <w:spacing w:after="0" w:line="69" w:lineRule="exact"/>
        <w:rPr>
          <w:sz w:val="20"/>
          <w:szCs w:val="20"/>
          <w:color w:val="auto"/>
        </w:rPr>
      </w:pPr>
    </w:p>
    <w:tbl>
      <w:tblPr>
        <w:tblLayout w:type="fixed"/>
        <w:tblInd w:w="1140" w:type="dxa"/>
        <w:tblCellMar>
          <w:top w:w="0" w:type="dxa"/>
          <w:left w:w="0" w:type="dxa"/>
          <w:bottom w:w="0" w:type="dxa"/>
          <w:right w:w="0" w:type="dxa"/>
        </w:tblCellMar>
      </w:tblPr>
      <w:tr>
        <w:trPr>
          <w:trHeight w:val="168"/>
        </w:trPr>
        <w:tc>
          <w:tcPr>
            <w:tcW w:w="2840" w:type="dxa"/>
            <w:vAlign w:val="bottom"/>
          </w:tcPr>
          <w:p>
            <w:pPr>
              <w:jc w:val="center"/>
              <w:spacing w:after="0"/>
              <w:rPr>
                <w:sz w:val="20"/>
                <w:szCs w:val="20"/>
                <w:color w:val="auto"/>
              </w:rPr>
            </w:pPr>
            <w:r>
              <w:rPr>
                <w:rFonts w:ascii="Arial" w:cs="Arial" w:eastAsia="Arial" w:hAnsi="Arial"/>
                <w:sz w:val="13"/>
                <w:szCs w:val="13"/>
                <w:b w:val="1"/>
                <w:bCs w:val="1"/>
                <w:color w:val="auto"/>
                <w:w w:val="86"/>
              </w:rPr>
              <w:t>Signature</w:t>
            </w:r>
          </w:p>
        </w:tc>
        <w:tc>
          <w:tcPr>
            <w:tcW w:w="180" w:type="dxa"/>
            <w:vAlign w:val="bottom"/>
          </w:tcPr>
          <w:p>
            <w:pPr>
              <w:spacing w:after="0"/>
              <w:rPr>
                <w:sz w:val="14"/>
                <w:szCs w:val="14"/>
                <w:color w:val="auto"/>
              </w:rPr>
            </w:pPr>
          </w:p>
        </w:tc>
        <w:tc>
          <w:tcPr>
            <w:tcW w:w="2740" w:type="dxa"/>
            <w:vAlign w:val="bottom"/>
            <w:gridSpan w:val="2"/>
          </w:tcPr>
          <w:p>
            <w:pPr>
              <w:ind w:left="1160"/>
              <w:spacing w:after="0"/>
              <w:rPr>
                <w:sz w:val="20"/>
                <w:szCs w:val="20"/>
                <w:color w:val="auto"/>
              </w:rPr>
            </w:pPr>
            <w:r>
              <w:rPr>
                <w:rFonts w:ascii="Arial" w:cs="Arial" w:eastAsia="Arial" w:hAnsi="Arial"/>
                <w:sz w:val="13"/>
                <w:szCs w:val="13"/>
                <w:b w:val="1"/>
                <w:bCs w:val="1"/>
                <w:color w:val="auto"/>
              </w:rPr>
              <w:t>Title</w:t>
            </w: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23"/>
        </w:trPr>
        <w:tc>
          <w:tcPr>
            <w:tcW w:w="2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6"/>
        </w:trPr>
        <w:tc>
          <w:tcPr>
            <w:tcW w:w="2840" w:type="dxa"/>
            <w:vAlign w:val="bottom"/>
          </w:tcPr>
          <w:p>
            <w:pPr>
              <w:jc w:val="center"/>
              <w:spacing w:after="0"/>
              <w:rPr>
                <w:sz w:val="20"/>
                <w:szCs w:val="20"/>
                <w:color w:val="auto"/>
              </w:rPr>
            </w:pPr>
            <w:r>
              <w:rPr>
                <w:rFonts w:ascii="Arial" w:cs="Arial" w:eastAsia="Arial" w:hAnsi="Arial"/>
                <w:sz w:val="16"/>
                <w:szCs w:val="16"/>
                <w:color w:val="auto"/>
              </w:rPr>
              <w:t>/s/ Michael Klein</w:t>
            </w:r>
          </w:p>
        </w:tc>
        <w:tc>
          <w:tcPr>
            <w:tcW w:w="180" w:type="dxa"/>
            <w:vAlign w:val="bottom"/>
          </w:tcPr>
          <w:p>
            <w:pPr>
              <w:spacing w:after="0"/>
              <w:rPr>
                <w:sz w:val="24"/>
                <w:szCs w:val="24"/>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Chief Executive Officer, Chairman</w:t>
            </w:r>
          </w:p>
        </w:tc>
        <w:tc>
          <w:tcPr>
            <w:tcW w:w="1680" w:type="dxa"/>
            <w:vAlign w:val="bottom"/>
          </w:tcPr>
          <w:p>
            <w:pPr>
              <w:jc w:val="center"/>
              <w:spacing w:after="0"/>
              <w:rPr>
                <w:sz w:val="20"/>
                <w:szCs w:val="20"/>
                <w:color w:val="auto"/>
              </w:rPr>
            </w:pPr>
            <w:r>
              <w:rPr>
                <w:rFonts w:ascii="Arial" w:cs="Arial" w:eastAsia="Arial" w:hAnsi="Arial"/>
                <w:sz w:val="16"/>
                <w:szCs w:val="16"/>
                <w:color w:val="auto"/>
                <w:w w:val="96"/>
              </w:rPr>
              <w:t>July 27, 2020</w:t>
            </w:r>
          </w:p>
        </w:tc>
        <w:tc>
          <w:tcPr>
            <w:tcW w:w="0" w:type="dxa"/>
            <w:vAlign w:val="bottom"/>
          </w:tcPr>
          <w:p>
            <w:pPr>
              <w:spacing w:after="0"/>
              <w:rPr>
                <w:sz w:val="1"/>
                <w:szCs w:val="1"/>
                <w:color w:val="auto"/>
              </w:rPr>
            </w:pPr>
          </w:p>
        </w:tc>
      </w:tr>
      <w:tr>
        <w:trPr>
          <w:trHeight w:val="49"/>
        </w:trPr>
        <w:tc>
          <w:tcPr>
            <w:tcW w:w="2840" w:type="dxa"/>
            <w:vAlign w:val="bottom"/>
            <w:tcBorders>
              <w:bottom w:val="single" w:sz="8" w:color="auto"/>
            </w:tcBorders>
          </w:tcPr>
          <w:p>
            <w:pPr>
              <w:spacing w:after="0"/>
              <w:rPr>
                <w:sz w:val="4"/>
                <w:szCs w:val="4"/>
                <w:color w:val="auto"/>
              </w:rPr>
            </w:pPr>
          </w:p>
        </w:tc>
        <w:tc>
          <w:tcPr>
            <w:tcW w:w="180" w:type="dxa"/>
            <w:vAlign w:val="bottom"/>
            <w:vMerge w:val="restart"/>
          </w:tcPr>
          <w:p>
            <w:pPr>
              <w:spacing w:after="0"/>
              <w:rPr>
                <w:sz w:val="4"/>
                <w:szCs w:val="4"/>
                <w:color w:val="auto"/>
              </w:rPr>
            </w:pPr>
          </w:p>
        </w:tc>
        <w:tc>
          <w:tcPr>
            <w:tcW w:w="2740" w:type="dxa"/>
            <w:vAlign w:val="bottom"/>
            <w:gridSpan w:val="2"/>
            <w:vMerge w:val="restart"/>
          </w:tcPr>
          <w:p>
            <w:pPr>
              <w:ind w:left="20"/>
              <w:spacing w:after="0"/>
              <w:rPr>
                <w:sz w:val="20"/>
                <w:szCs w:val="20"/>
                <w:color w:val="auto"/>
              </w:rPr>
            </w:pPr>
            <w:r>
              <w:rPr>
                <w:rFonts w:ascii="Arial" w:cs="Arial" w:eastAsia="Arial" w:hAnsi="Arial"/>
                <w:sz w:val="16"/>
                <w:szCs w:val="16"/>
                <w:color w:val="auto"/>
              </w:rPr>
              <w:t>of the Board of Directors and</w:t>
            </w: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840" w:type="dxa"/>
            <w:vAlign w:val="bottom"/>
            <w:vMerge w:val="restart"/>
          </w:tcPr>
          <w:p>
            <w:pPr>
              <w:jc w:val="center"/>
              <w:spacing w:after="0"/>
              <w:rPr>
                <w:sz w:val="20"/>
                <w:szCs w:val="20"/>
                <w:color w:val="auto"/>
              </w:rPr>
            </w:pPr>
            <w:r>
              <w:rPr>
                <w:rFonts w:ascii="Arial" w:cs="Arial" w:eastAsia="Arial" w:hAnsi="Arial"/>
                <w:sz w:val="16"/>
                <w:szCs w:val="16"/>
                <w:color w:val="auto"/>
              </w:rPr>
              <w:t>Michael Klein</w:t>
            </w:r>
          </w:p>
        </w:tc>
        <w:tc>
          <w:tcPr>
            <w:tcW w:w="180" w:type="dxa"/>
            <w:vAlign w:val="bottom"/>
            <w:vMerge w:val="continue"/>
          </w:tcPr>
          <w:p>
            <w:pPr>
              <w:spacing w:after="0"/>
              <w:rPr>
                <w:sz w:val="11"/>
                <w:szCs w:val="11"/>
                <w:color w:val="auto"/>
              </w:rPr>
            </w:pPr>
          </w:p>
        </w:tc>
        <w:tc>
          <w:tcPr>
            <w:tcW w:w="2740" w:type="dxa"/>
            <w:vAlign w:val="bottom"/>
            <w:gridSpan w:val="2"/>
            <w:vMerge w:val="continue"/>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8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740" w:type="dxa"/>
            <w:vAlign w:val="bottom"/>
            <w:gridSpan w:val="2"/>
            <w:vMerge w:val="restart"/>
          </w:tcPr>
          <w:p>
            <w:pPr>
              <w:ind w:left="20"/>
              <w:spacing w:after="0"/>
              <w:rPr>
                <w:sz w:val="20"/>
                <w:szCs w:val="20"/>
                <w:color w:val="auto"/>
              </w:rPr>
            </w:pPr>
            <w:r>
              <w:rPr>
                <w:rFonts w:ascii="Arial" w:cs="Arial" w:eastAsia="Arial" w:hAnsi="Arial"/>
                <w:sz w:val="16"/>
                <w:szCs w:val="16"/>
                <w:color w:val="auto"/>
              </w:rPr>
              <w:t>Director (Principal Executive</w:t>
            </w: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74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Officer)</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2840" w:type="dxa"/>
            <w:vAlign w:val="bottom"/>
          </w:tcPr>
          <w:p>
            <w:pPr>
              <w:jc w:val="center"/>
              <w:spacing w:after="0"/>
              <w:rPr>
                <w:sz w:val="20"/>
                <w:szCs w:val="20"/>
                <w:color w:val="auto"/>
              </w:rPr>
            </w:pPr>
            <w:r>
              <w:rPr>
                <w:rFonts w:ascii="Arial" w:cs="Arial" w:eastAsia="Arial" w:hAnsi="Arial"/>
                <w:sz w:val="16"/>
                <w:szCs w:val="16"/>
                <w:color w:val="auto"/>
                <w:w w:val="95"/>
              </w:rPr>
              <w:t>/s/ Jay Taragin</w:t>
            </w:r>
          </w:p>
        </w:tc>
        <w:tc>
          <w:tcPr>
            <w:tcW w:w="180" w:type="dxa"/>
            <w:vAlign w:val="bottom"/>
          </w:tcPr>
          <w:p>
            <w:pPr>
              <w:spacing w:after="0"/>
              <w:rPr>
                <w:sz w:val="24"/>
                <w:szCs w:val="24"/>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Chief Financial Officer (Principal</w:t>
            </w:r>
          </w:p>
        </w:tc>
        <w:tc>
          <w:tcPr>
            <w:tcW w:w="1680" w:type="dxa"/>
            <w:vAlign w:val="bottom"/>
          </w:tcPr>
          <w:p>
            <w:pPr>
              <w:jc w:val="center"/>
              <w:spacing w:after="0"/>
              <w:rPr>
                <w:sz w:val="20"/>
                <w:szCs w:val="20"/>
                <w:color w:val="auto"/>
              </w:rPr>
            </w:pPr>
            <w:r>
              <w:rPr>
                <w:rFonts w:ascii="Arial" w:cs="Arial" w:eastAsia="Arial" w:hAnsi="Arial"/>
                <w:sz w:val="16"/>
                <w:szCs w:val="16"/>
                <w:color w:val="auto"/>
                <w:w w:val="96"/>
              </w:rPr>
              <w:t>July 27, 2020</w:t>
            </w:r>
          </w:p>
        </w:tc>
        <w:tc>
          <w:tcPr>
            <w:tcW w:w="0" w:type="dxa"/>
            <w:vAlign w:val="bottom"/>
          </w:tcPr>
          <w:p>
            <w:pPr>
              <w:spacing w:after="0"/>
              <w:rPr>
                <w:sz w:val="1"/>
                <w:szCs w:val="1"/>
                <w:color w:val="auto"/>
              </w:rPr>
            </w:pPr>
          </w:p>
        </w:tc>
      </w:tr>
      <w:tr>
        <w:trPr>
          <w:trHeight w:val="49"/>
        </w:trPr>
        <w:tc>
          <w:tcPr>
            <w:tcW w:w="2840" w:type="dxa"/>
            <w:vAlign w:val="bottom"/>
            <w:tcBorders>
              <w:bottom w:val="single" w:sz="8" w:color="auto"/>
            </w:tcBorders>
          </w:tcPr>
          <w:p>
            <w:pPr>
              <w:spacing w:after="0"/>
              <w:rPr>
                <w:sz w:val="4"/>
                <w:szCs w:val="4"/>
                <w:color w:val="auto"/>
              </w:rPr>
            </w:pPr>
          </w:p>
        </w:tc>
        <w:tc>
          <w:tcPr>
            <w:tcW w:w="180" w:type="dxa"/>
            <w:vAlign w:val="bottom"/>
            <w:vMerge w:val="restart"/>
          </w:tcPr>
          <w:p>
            <w:pPr>
              <w:spacing w:after="0"/>
              <w:rPr>
                <w:sz w:val="4"/>
                <w:szCs w:val="4"/>
                <w:color w:val="auto"/>
              </w:rPr>
            </w:pPr>
          </w:p>
        </w:tc>
        <w:tc>
          <w:tcPr>
            <w:tcW w:w="2740" w:type="dxa"/>
            <w:vAlign w:val="bottom"/>
            <w:gridSpan w:val="2"/>
            <w:vMerge w:val="restart"/>
          </w:tcPr>
          <w:p>
            <w:pPr>
              <w:ind w:left="20"/>
              <w:spacing w:after="0"/>
              <w:rPr>
                <w:sz w:val="20"/>
                <w:szCs w:val="20"/>
                <w:color w:val="auto"/>
              </w:rPr>
            </w:pPr>
            <w:r>
              <w:rPr>
                <w:rFonts w:ascii="Arial" w:cs="Arial" w:eastAsia="Arial" w:hAnsi="Arial"/>
                <w:sz w:val="16"/>
                <w:szCs w:val="16"/>
                <w:color w:val="auto"/>
              </w:rPr>
              <w:t>Accounting Officer and Financial</w:t>
            </w: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840" w:type="dxa"/>
            <w:vAlign w:val="bottom"/>
            <w:vMerge w:val="restart"/>
          </w:tcPr>
          <w:p>
            <w:pPr>
              <w:jc w:val="center"/>
              <w:spacing w:after="0"/>
              <w:rPr>
                <w:sz w:val="20"/>
                <w:szCs w:val="20"/>
                <w:color w:val="auto"/>
              </w:rPr>
            </w:pPr>
            <w:r>
              <w:rPr>
                <w:rFonts w:ascii="Arial" w:cs="Arial" w:eastAsia="Arial" w:hAnsi="Arial"/>
                <w:sz w:val="16"/>
                <w:szCs w:val="16"/>
                <w:color w:val="auto"/>
                <w:w w:val="93"/>
              </w:rPr>
              <w:t>Jay Taragin</w:t>
            </w:r>
          </w:p>
        </w:tc>
        <w:tc>
          <w:tcPr>
            <w:tcW w:w="180" w:type="dxa"/>
            <w:vAlign w:val="bottom"/>
            <w:vMerge w:val="continue"/>
          </w:tcPr>
          <w:p>
            <w:pPr>
              <w:spacing w:after="0"/>
              <w:rPr>
                <w:sz w:val="11"/>
                <w:szCs w:val="11"/>
                <w:color w:val="auto"/>
              </w:rPr>
            </w:pPr>
          </w:p>
        </w:tc>
        <w:tc>
          <w:tcPr>
            <w:tcW w:w="2740" w:type="dxa"/>
            <w:vAlign w:val="bottom"/>
            <w:gridSpan w:val="2"/>
            <w:vMerge w:val="continue"/>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8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740" w:type="dxa"/>
            <w:vAlign w:val="bottom"/>
            <w:gridSpan w:val="2"/>
            <w:vMerge w:val="restart"/>
          </w:tcPr>
          <w:p>
            <w:pPr>
              <w:ind w:left="20"/>
              <w:spacing w:after="0"/>
              <w:rPr>
                <w:sz w:val="20"/>
                <w:szCs w:val="20"/>
                <w:color w:val="auto"/>
              </w:rPr>
            </w:pPr>
            <w:r>
              <w:rPr>
                <w:rFonts w:ascii="Arial" w:cs="Arial" w:eastAsia="Arial" w:hAnsi="Arial"/>
                <w:sz w:val="16"/>
                <w:szCs w:val="16"/>
                <w:color w:val="auto"/>
              </w:rPr>
              <w:t>Officer)</w:t>
            </w: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740" w:type="dxa"/>
            <w:vAlign w:val="bottom"/>
            <w:gridSpan w:val="2"/>
            <w:vMerge w:val="continue"/>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6166485" cy="152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9">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4" w:name="page185"/>
    <w:bookmarkEnd w:id="184"/>
    <w:p>
      <w:pPr>
        <w:jc w:val="right"/>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149860</wp:posOffset>
            </wp:positionV>
            <wp:extent cx="6089015" cy="43491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0">
                      <a:extLst>
                        <a:ext uri="{28A0092B-C50C-407E-A947-70E740481C1C}"/>
                      </a:extLst>
                    </a:blip>
                    <a:srcRect/>
                    <a:stretch>
                      <a:fillRect/>
                    </a:stretch>
                  </pic:blipFill>
                  <pic:spPr bwMode="auto">
                    <a:xfrm>
                      <a:off x="0" y="0"/>
                      <a:ext cx="6089015" cy="434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July 27, 2020</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Churchill Capital Corp IV</w:t>
      </w:r>
    </w:p>
    <w:p>
      <w:pPr>
        <w:spacing w:after="0" w:line="199" w:lineRule="auto"/>
        <w:rPr>
          <w:sz w:val="20"/>
          <w:szCs w:val="20"/>
          <w:color w:val="auto"/>
        </w:rPr>
      </w:pPr>
      <w:r>
        <w:rPr>
          <w:rFonts w:ascii="Arial" w:cs="Arial" w:eastAsia="Arial" w:hAnsi="Arial"/>
          <w:sz w:val="16"/>
          <w:szCs w:val="16"/>
          <w:color w:val="auto"/>
        </w:rPr>
        <w:t>640 Fifth Avenue, 12</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10019</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Registration Statement on Form S-1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CIK No. 0001811210</w:t>
      </w:r>
      <w:r>
        <w:rPr>
          <w:rFonts w:ascii="Arial" w:cs="Arial" w:eastAsia="Arial" w:hAnsi="Arial"/>
          <w:sz w:val="16"/>
          <w:szCs w:val="16"/>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207" w:lineRule="exact"/>
        <w:rPr>
          <w:sz w:val="20"/>
          <w:szCs w:val="20"/>
          <w:color w:val="auto"/>
        </w:rPr>
      </w:pPr>
    </w:p>
    <w:p>
      <w:pPr>
        <w:ind w:right="80" w:firstLine="1174"/>
        <w:spacing w:after="0" w:line="280" w:lineRule="auto"/>
        <w:rPr>
          <w:sz w:val="20"/>
          <w:szCs w:val="20"/>
          <w:color w:val="auto"/>
        </w:rPr>
      </w:pPr>
      <w:r>
        <w:rPr>
          <w:rFonts w:ascii="Arial" w:cs="Arial" w:eastAsia="Arial" w:hAnsi="Arial"/>
          <w:sz w:val="15"/>
          <w:szCs w:val="15"/>
          <w:color w:val="auto"/>
        </w:rPr>
        <w:t>We have acted as special counsel to Churchill Capital Corp IV,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in connection with the Registration Statement on Form S-1 (the “</w:t>
      </w:r>
      <w:r>
        <w:rPr>
          <w:rFonts w:ascii="Arial" w:cs="Arial" w:eastAsia="Arial" w:hAnsi="Arial"/>
          <w:sz w:val="15"/>
          <w:szCs w:val="15"/>
          <w:u w:val="single" w:color="auto"/>
          <w:color w:val="auto"/>
        </w:rPr>
        <w:t>Registration Statement</w:t>
      </w:r>
      <w:r>
        <w:rPr>
          <w:rFonts w:ascii="Arial" w:cs="Arial" w:eastAsia="Arial" w:hAnsi="Arial"/>
          <w:sz w:val="15"/>
          <w:szCs w:val="15"/>
          <w:color w:val="auto"/>
        </w:rPr>
        <w:t>”) of the Company, filed with the Securities and Exchange Commission pursuant to the Securities Act of 1933, as amended (the “</w:t>
      </w:r>
      <w:r>
        <w:rPr>
          <w:rFonts w:ascii="Arial" w:cs="Arial" w:eastAsia="Arial" w:hAnsi="Arial"/>
          <w:sz w:val="15"/>
          <w:szCs w:val="15"/>
          <w:u w:val="single" w:color="auto"/>
          <w:color w:val="auto"/>
        </w:rPr>
        <w:t>Act</w:t>
      </w:r>
      <w:r>
        <w:rPr>
          <w:rFonts w:ascii="Arial" w:cs="Arial" w:eastAsia="Arial" w:hAnsi="Arial"/>
          <w:sz w:val="15"/>
          <w:szCs w:val="15"/>
          <w:color w:val="auto"/>
        </w:rPr>
        <w:t>”), and the rules and regulations thereunder (the “</w:t>
      </w:r>
      <w:r>
        <w:rPr>
          <w:rFonts w:ascii="Arial" w:cs="Arial" w:eastAsia="Arial" w:hAnsi="Arial"/>
          <w:sz w:val="15"/>
          <w:szCs w:val="15"/>
          <w:u w:val="single" w:color="auto"/>
          <w:color w:val="auto"/>
        </w:rPr>
        <w:t>Rules</w:t>
      </w:r>
      <w:r>
        <w:rPr>
          <w:rFonts w:ascii="Arial" w:cs="Arial" w:eastAsia="Arial" w:hAnsi="Arial"/>
          <w:sz w:val="15"/>
          <w:szCs w:val="15"/>
          <w:color w:val="auto"/>
        </w:rPr>
        <w:t>”). You have asked us to furnish our opinion as to the legality of the securities being registered under the Registration Statement. The Registration Statement relates to the registration under the Act of (i) 172,500,000 units (the “</w:t>
      </w:r>
      <w:r>
        <w:rPr>
          <w:rFonts w:ascii="Arial" w:cs="Arial" w:eastAsia="Arial" w:hAnsi="Arial"/>
          <w:sz w:val="15"/>
          <w:szCs w:val="15"/>
          <w:u w:val="single" w:color="auto"/>
          <w:color w:val="auto"/>
        </w:rPr>
        <w:t>Units</w:t>
      </w:r>
      <w:r>
        <w:rPr>
          <w:rFonts w:ascii="Arial" w:cs="Arial" w:eastAsia="Arial" w:hAnsi="Arial"/>
          <w:sz w:val="15"/>
          <w:szCs w:val="15"/>
          <w:color w:val="auto"/>
        </w:rPr>
        <w:t>”) of the Company (including Units issuable by the Company upon exercise of the underwriters’ over-allotment option), each such unit consisting of one share of the Company’s Class A common stock, par value $0.0001 per share (the “</w:t>
      </w:r>
      <w:r>
        <w:rPr>
          <w:rFonts w:ascii="Arial" w:cs="Arial" w:eastAsia="Arial" w:hAnsi="Arial"/>
          <w:sz w:val="15"/>
          <w:szCs w:val="15"/>
          <w:u w:val="single" w:color="auto"/>
          <w:color w:val="auto"/>
        </w:rPr>
        <w:t>Common Stock</w:t>
      </w:r>
      <w:r>
        <w:rPr>
          <w:rFonts w:ascii="Arial" w:cs="Arial" w:eastAsia="Arial" w:hAnsi="Arial"/>
          <w:sz w:val="15"/>
          <w:szCs w:val="15"/>
          <w:color w:val="auto"/>
        </w:rPr>
        <w:t>”), and one-fifth of one warrant of the Company (each whole warrant, a “</w:t>
      </w:r>
      <w:r>
        <w:rPr>
          <w:rFonts w:ascii="Arial" w:cs="Arial" w:eastAsia="Arial" w:hAnsi="Arial"/>
          <w:sz w:val="15"/>
          <w:szCs w:val="15"/>
          <w:u w:val="single" w:color="auto"/>
          <w:color w:val="auto"/>
        </w:rPr>
        <w:t>Warrant</w:t>
      </w:r>
      <w:r>
        <w:rPr>
          <w:rFonts w:ascii="Arial" w:cs="Arial" w:eastAsia="Arial" w:hAnsi="Arial"/>
          <w:sz w:val="15"/>
          <w:szCs w:val="15"/>
          <w:color w:val="auto"/>
        </w:rPr>
        <w:t>”) to purchase a share of Common Stock and (ii) all shares of Common Stock (the “</w:t>
      </w:r>
      <w:r>
        <w:rPr>
          <w:rFonts w:ascii="Arial" w:cs="Arial" w:eastAsia="Arial" w:hAnsi="Arial"/>
          <w:sz w:val="15"/>
          <w:szCs w:val="15"/>
          <w:u w:val="single" w:color="auto"/>
          <w:color w:val="auto"/>
        </w:rPr>
        <w:t>Unit Shares</w:t>
      </w:r>
      <w:r>
        <w:rPr>
          <w:rFonts w:ascii="Arial" w:cs="Arial" w:eastAsia="Arial" w:hAnsi="Arial"/>
          <w:sz w:val="15"/>
          <w:szCs w:val="15"/>
          <w:color w:val="auto"/>
        </w:rPr>
        <w:t>”) and all Warrants issued as part of the Units, as specified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371475</wp:posOffset>
            </wp:positionV>
            <wp:extent cx="7145020"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1">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ectPr>
          <w:pgSz w:w="11900" w:h="16838" w:orient="portrait"/>
          <w:cols w:equalWidth="0" w:num="1">
            <w:col w:w="11260"/>
          </w:cols>
          <w:pgMar w:left="320" w:top="319" w:right="319" w:bottom="1440" w:gutter="0" w:footer="0" w:header="0"/>
        </w:sectPr>
      </w:pPr>
    </w:p>
    <w:bookmarkStart w:id="185" w:name="page186"/>
    <w:bookmarkEnd w:id="1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3063240</wp:posOffset>
            </wp:positionV>
            <wp:extent cx="7145020" cy="3105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2">
                      <a:clrChange>
                        <a:clrFrom>
                          <a:srgbClr val="FFFFFF"/>
                        </a:clrFrom>
                        <a:clrTo>
                          <a:srgbClr val="FFFFFF">
                            <a:alpha val="0"/>
                          </a:srgbClr>
                        </a:clrTo>
                      </a:clrChange>
                      <a:extLst>
                        <a:ext uri="{28A0092B-C50C-407E-A947-70E740481C1C}"/>
                      </a:extLst>
                    </a:blip>
                    <a:srcRect/>
                    <a:stretch>
                      <a:fillRect/>
                    </a:stretch>
                  </pic:blipFill>
                  <pic:spPr bwMode="auto">
                    <a:xfrm>
                      <a:off x="0" y="0"/>
                      <a:ext cx="7145020" cy="310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520" w:firstLine="1174"/>
        <w:spacing w:after="0" w:line="285" w:lineRule="auto"/>
        <w:rPr>
          <w:sz w:val="20"/>
          <w:szCs w:val="20"/>
          <w:color w:val="auto"/>
        </w:rPr>
      </w:pPr>
      <w:r>
        <w:rPr>
          <w:rFonts w:ascii="Arial" w:cs="Arial" w:eastAsia="Arial" w:hAnsi="Arial"/>
          <w:sz w:val="16"/>
          <w:szCs w:val="16"/>
          <w:color w:val="auto"/>
        </w:rPr>
        <w:t>In connection with the furnishing of this opinion, we have examined originals, or copies certified or otherwise identified to our satisfaction, of the following documents (collectively, the “</w:t>
      </w:r>
      <w:r>
        <w:rPr>
          <w:rFonts w:ascii="Arial" w:cs="Arial" w:eastAsia="Arial" w:hAnsi="Arial"/>
          <w:sz w:val="16"/>
          <w:szCs w:val="16"/>
          <w:u w:val="single" w:color="auto"/>
          <w:color w:val="auto"/>
        </w:rPr>
        <w:t>Documents</w:t>
      </w:r>
      <w:r>
        <w:rPr>
          <w:rFonts w:ascii="Arial" w:cs="Arial" w:eastAsia="Arial" w:hAnsi="Arial"/>
          <w:sz w:val="16"/>
          <w:szCs w:val="16"/>
          <w:color w:val="auto"/>
        </w:rPr>
        <w:t>”):</w:t>
      </w:r>
    </w:p>
    <w:p>
      <w:pPr>
        <w:spacing w:after="0" w:line="150" w:lineRule="exact"/>
        <w:rPr>
          <w:sz w:val="20"/>
          <w:szCs w:val="20"/>
          <w:color w:val="auto"/>
        </w:rPr>
      </w:pPr>
    </w:p>
    <w:p>
      <w:pPr>
        <w:ind w:left="1540" w:hanging="368"/>
        <w:spacing w:after="0"/>
        <w:tabs>
          <w:tab w:leader="none" w:pos="15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Registration Statement;</w:t>
      </w:r>
    </w:p>
    <w:p>
      <w:pPr>
        <w:spacing w:after="0" w:line="207" w:lineRule="exact"/>
        <w:rPr>
          <w:rFonts w:ascii="Arial" w:cs="Arial" w:eastAsia="Arial" w:hAnsi="Arial"/>
          <w:sz w:val="16"/>
          <w:szCs w:val="16"/>
          <w:color w:val="auto"/>
        </w:rPr>
      </w:pPr>
    </w:p>
    <w:p>
      <w:pPr>
        <w:ind w:right="180" w:firstLine="1172"/>
        <w:spacing w:after="0" w:line="285" w:lineRule="auto"/>
        <w:tabs>
          <w:tab w:leader="none" w:pos="1541"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form of the underwriting agreement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proposed to be entered into between the Company and the underwriters named in the Registration Statement;</w:t>
      </w:r>
    </w:p>
    <w:p>
      <w:pPr>
        <w:spacing w:after="0" w:line="150" w:lineRule="exact"/>
        <w:rPr>
          <w:rFonts w:ascii="Arial" w:cs="Arial" w:eastAsia="Arial" w:hAnsi="Arial"/>
          <w:sz w:val="16"/>
          <w:szCs w:val="16"/>
          <w:color w:val="auto"/>
        </w:rPr>
      </w:pPr>
    </w:p>
    <w:p>
      <w:pPr>
        <w:ind w:left="1540" w:hanging="368"/>
        <w:spacing w:after="0"/>
        <w:tabs>
          <w:tab w:leader="none" w:pos="15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Specimen Unit Certificate, included as Exhibit 4.1 to the Registration Statement;</w:t>
      </w:r>
    </w:p>
    <w:p>
      <w:pPr>
        <w:spacing w:after="0" w:line="207" w:lineRule="exact"/>
        <w:rPr>
          <w:rFonts w:ascii="Arial" w:cs="Arial" w:eastAsia="Arial" w:hAnsi="Arial"/>
          <w:sz w:val="16"/>
          <w:szCs w:val="16"/>
          <w:color w:val="auto"/>
        </w:rPr>
      </w:pPr>
    </w:p>
    <w:p>
      <w:pPr>
        <w:ind w:left="1540" w:hanging="368"/>
        <w:spacing w:after="0"/>
        <w:tabs>
          <w:tab w:leader="none" w:pos="15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Specimen Class A Common Stock Certificate, included as Exhibit 4.2 to the Registration Statement;</w:t>
      </w:r>
    </w:p>
    <w:p>
      <w:pPr>
        <w:spacing w:after="0" w:line="207" w:lineRule="exact"/>
        <w:rPr>
          <w:rFonts w:ascii="Arial" w:cs="Arial" w:eastAsia="Arial" w:hAnsi="Arial"/>
          <w:sz w:val="16"/>
          <w:szCs w:val="16"/>
          <w:color w:val="auto"/>
        </w:rPr>
      </w:pPr>
    </w:p>
    <w:p>
      <w:pPr>
        <w:ind w:left="1540" w:hanging="368"/>
        <w:spacing w:after="0"/>
        <w:tabs>
          <w:tab w:leader="none" w:pos="15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Specimen Warrant Certificate, included as Exhibit 4.3 to the Registration Statement; and</w:t>
      </w:r>
    </w:p>
    <w:p>
      <w:pPr>
        <w:spacing w:after="0" w:line="207" w:lineRule="exact"/>
        <w:rPr>
          <w:rFonts w:ascii="Arial" w:cs="Arial" w:eastAsia="Arial" w:hAnsi="Arial"/>
          <w:sz w:val="16"/>
          <w:szCs w:val="16"/>
          <w:color w:val="auto"/>
        </w:rPr>
      </w:pPr>
    </w:p>
    <w:p>
      <w:pPr>
        <w:ind w:firstLine="1172"/>
        <w:spacing w:after="0" w:line="285" w:lineRule="auto"/>
        <w:tabs>
          <w:tab w:leader="none" w:pos="1541"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form of warrant agreement proposed to be entered into by and between Continental Stock Transfer &amp; Trust Company (the “</w:t>
      </w:r>
      <w:r>
        <w:rPr>
          <w:rFonts w:ascii="Arial" w:cs="Arial" w:eastAsia="Arial" w:hAnsi="Arial"/>
          <w:sz w:val="16"/>
          <w:szCs w:val="16"/>
          <w:u w:val="single" w:color="auto"/>
          <w:color w:val="auto"/>
        </w:rPr>
        <w:t>Warrant Agent</w:t>
      </w:r>
      <w:r>
        <w:rPr>
          <w:rFonts w:ascii="Arial" w:cs="Arial" w:eastAsia="Arial" w:hAnsi="Arial"/>
          <w:sz w:val="16"/>
          <w:szCs w:val="16"/>
          <w:color w:val="auto"/>
        </w:rPr>
        <w:t>”) and the Company, included as Exhibit 4.4 to the Registration Statement (the “</w:t>
      </w:r>
      <w:r>
        <w:rPr>
          <w:rFonts w:ascii="Arial" w:cs="Arial" w:eastAsia="Arial" w:hAnsi="Arial"/>
          <w:sz w:val="16"/>
          <w:szCs w:val="16"/>
          <w:u w:val="single" w:color="auto"/>
          <w:color w:val="auto"/>
        </w:rPr>
        <w:t>Warrant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367030</wp:posOffset>
            </wp:positionV>
            <wp:extent cx="7145020"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3">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86" w:name="page187"/>
    <w:bookmarkEnd w:id="1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3063240</wp:posOffset>
            </wp:positionV>
            <wp:extent cx="7145020" cy="3105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4">
                      <a:clrChange>
                        <a:clrFrom>
                          <a:srgbClr val="FFFFFF"/>
                        </a:clrFrom>
                        <a:clrTo>
                          <a:srgbClr val="FFFFFF">
                            <a:alpha val="0"/>
                          </a:srgbClr>
                        </a:clrTo>
                      </a:clrChange>
                      <a:extLst>
                        <a:ext uri="{28A0092B-C50C-407E-A947-70E740481C1C}"/>
                      </a:extLst>
                    </a:blip>
                    <a:srcRect/>
                    <a:stretch>
                      <a:fillRect/>
                    </a:stretch>
                  </pic:blipFill>
                  <pic:spPr bwMode="auto">
                    <a:xfrm>
                      <a:off x="0" y="0"/>
                      <a:ext cx="7145020" cy="310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firstLine="1174"/>
        <w:spacing w:after="0" w:line="284" w:lineRule="auto"/>
        <w:rPr>
          <w:sz w:val="20"/>
          <w:szCs w:val="20"/>
          <w:color w:val="auto"/>
        </w:rPr>
      </w:pPr>
      <w:r>
        <w:rPr>
          <w:rFonts w:ascii="Arial" w:cs="Arial" w:eastAsia="Arial" w:hAnsi="Arial"/>
          <w:sz w:val="15"/>
          <w:szCs w:val="15"/>
          <w:color w:val="auto"/>
        </w:rPr>
        <w:t>In addition, we have examined (i) such corporate records of the Company that we have considered appropriate, including a copy of the certificate of incorporation, as amended, and by-laws, of the Company, certified by the Company as in effect on the date of this letter and copies of resolutions of the board of directors of the Company relating to the issuance of the Units, Unit Shares and the Warrants, certified by the Company and (ii) such other certificates, agreements and documents that we deemed relevant and necessary as a basis for the opinions expressed below. We have also relied upon the factual matters contained in the representations and warranties of the Company made in the Documents and upon certificates of public officials and the officers of the Company.</w:t>
      </w:r>
    </w:p>
    <w:p>
      <w:pPr>
        <w:spacing w:after="0" w:line="154" w:lineRule="exact"/>
        <w:rPr>
          <w:sz w:val="20"/>
          <w:szCs w:val="20"/>
          <w:color w:val="auto"/>
        </w:rPr>
      </w:pPr>
    </w:p>
    <w:p>
      <w:pPr>
        <w:ind w:right="100" w:firstLine="1174"/>
        <w:spacing w:after="0" w:line="262" w:lineRule="auto"/>
        <w:rPr>
          <w:sz w:val="20"/>
          <w:szCs w:val="20"/>
          <w:color w:val="auto"/>
        </w:rPr>
      </w:pPr>
      <w:r>
        <w:rPr>
          <w:rFonts w:ascii="Arial" w:cs="Arial" w:eastAsia="Arial" w:hAnsi="Arial"/>
          <w:sz w:val="16"/>
          <w:szCs w:val="16"/>
          <w:color w:val="auto"/>
        </w:rPr>
        <w:t>In our examination of the documents referred to above, we have assumed, without independent investigation, the genuineness of all signatures, the legal capacity of all individuals who have executed any of the documents reviewed by us, the authenticity of all documents submitted to us as originals, the conformity to the originals of all documents submitted to us as certified, photostatic, reproduced or conformed copies of valid existing agreements or other documents, the authenticity of all the latter documents and that the statements regarding matters of fact in the certificates, records, agreements, instruments and documents that we have examined are accurate and complete.</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Based upon the above, and subject to the stated assumptions, exceptions and qualifications, we are of the opinion that:</w:t>
      </w:r>
    </w:p>
    <w:p>
      <w:pPr>
        <w:spacing w:after="0" w:line="207" w:lineRule="exact"/>
        <w:rPr>
          <w:sz w:val="20"/>
          <w:szCs w:val="20"/>
          <w:color w:val="auto"/>
        </w:rPr>
      </w:pPr>
    </w:p>
    <w:p>
      <w:pPr>
        <w:ind w:right="280" w:firstLine="1172"/>
        <w:spacing w:after="0" w:line="288" w:lineRule="auto"/>
        <w:tabs>
          <w:tab w:leader="none" w:pos="162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Units, when duly issued, delivered and paid for as contemplated in the Registration Statement and in accordance with the terms of the Underwriting Agreement, and assuming the due authorization, execution and delivery thereof by Continental Stock Transfer &amp; Trust Company, as transfer agent, will constitute the legal, valid and binding obligations of the Company, enforceable against the Company in accordance with their terms, except that the enforceability of the Units may be subject to bankruptcy, insolvency, reorganization, fraudulent conveyance or transfer, moratorium or similar laws affecting creditors’ rights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367665</wp:posOffset>
            </wp:positionV>
            <wp:extent cx="7145020"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5">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3063240</wp:posOffset>
            </wp:positionV>
            <wp:extent cx="7145020" cy="3105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6">
                      <a:clrChange>
                        <a:clrFrom>
                          <a:srgbClr val="FFFFFF"/>
                        </a:clrFrom>
                        <a:clrTo>
                          <a:srgbClr val="FFFFFF">
                            <a:alpha val="0"/>
                          </a:srgbClr>
                        </a:clrTo>
                      </a:clrChange>
                      <a:extLst>
                        <a:ext uri="{28A0092B-C50C-407E-A947-70E740481C1C}"/>
                      </a:extLst>
                    </a:blip>
                    <a:srcRect/>
                    <a:stretch>
                      <a:fillRect/>
                    </a:stretch>
                  </pic:blipFill>
                  <pic:spPr bwMode="auto">
                    <a:xfrm>
                      <a:off x="0" y="0"/>
                      <a:ext cx="7145020" cy="310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120" w:right="320" w:firstLine="1172"/>
        <w:spacing w:after="0" w:line="270" w:lineRule="auto"/>
        <w:tabs>
          <w:tab w:leader="none" w:pos="459"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Unit Shares have been duly authorized by all necessary corporate action on the part of the Company and, when the Units are duly issued, delivered and paid for as contemplated in the Registration Statement and in accordance with the terms of the Underwriting Agreement, the Unit Shares will be validly issued, fully paid and non-assessable.</w:t>
      </w:r>
    </w:p>
    <w:p>
      <w:pPr>
        <w:spacing w:after="0" w:line="161" w:lineRule="exact"/>
        <w:rPr>
          <w:rFonts w:ascii="Arial" w:cs="Arial" w:eastAsia="Arial" w:hAnsi="Arial"/>
          <w:sz w:val="16"/>
          <w:szCs w:val="16"/>
          <w:color w:val="auto"/>
        </w:rPr>
      </w:pPr>
    </w:p>
    <w:p>
      <w:pPr>
        <w:ind w:left="-1120" w:firstLine="1172"/>
        <w:spacing w:after="0" w:line="279" w:lineRule="auto"/>
        <w:tabs>
          <w:tab w:leader="none" w:pos="459"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Warrants included in the Units, when the Units are duly issued, delivered and paid for as contemplated in the Registration Statement and in accordance with the terms of the Underwriting Agreement and the Warrant Agreement, and assuming the due authorization, execution and delivery of the Warrants by the Warrant Agent, will constitute the legal, valid and binding obligations of the Company, enforceable against the Company in accordance with their terms, except that (i) the enforceability of the Warrants may be subject to bankruptcy, insolvency, reorganization, fraudulent conveyance or transfer, moratorium or similar laws affecting creditors’ rights generally, possible judicial action and general principles of equity (regardless of whether enforceability is considered in a proceeding in equity or at law) and (ii) we express no opinion as to the validity, legally binding effect or enforceability of the second proviso in Section 4.4 of the Warrant Agreement or any related provision in the Warrants that requires or relates to adjustments to the conversion rate in an amount that a court would determine in the circumstances under applicable law to be commercially unreasonable or a penalty or forfeiture.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371475</wp:posOffset>
            </wp:positionV>
            <wp:extent cx="7145020"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7">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ectPr>
          <w:pgSz w:w="11900" w:h="16838" w:orient="portrait"/>
          <w:cols w:equalWidth="0" w:num="1">
            <w:col w:w="10020"/>
          </w:cols>
          <w:pgMar w:left="1440" w:top="1440" w:right="439" w:bottom="1440" w:gutter="0" w:footer="0" w:header="0"/>
        </w:sectPr>
      </w:pPr>
    </w:p>
    <w:bookmarkStart w:id="188" w:name="page189"/>
    <w:bookmarkEnd w:id="1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3048000</wp:posOffset>
            </wp:positionV>
            <wp:extent cx="7202170" cy="3416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8">
                      <a:clrChange>
                        <a:clrFrom>
                          <a:srgbClr val="FFFFFF"/>
                        </a:clrFrom>
                        <a:clrTo>
                          <a:srgbClr val="FFFFFF">
                            <a:alpha val="0"/>
                          </a:srgbClr>
                        </a:clrTo>
                      </a:clrChange>
                      <a:extLst>
                        <a:ext uri="{28A0092B-C50C-407E-A947-70E740481C1C}"/>
                      </a:extLst>
                    </a:blip>
                    <a:srcRect/>
                    <a:stretch>
                      <a:fillRect/>
                    </a:stretch>
                  </pic:blipFill>
                  <pic:spPr bwMode="auto">
                    <a:xfrm>
                      <a:off x="0" y="0"/>
                      <a:ext cx="7202170" cy="34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firstLine="1174"/>
        <w:spacing w:after="0" w:line="285" w:lineRule="auto"/>
        <w:rPr>
          <w:sz w:val="20"/>
          <w:szCs w:val="20"/>
          <w:color w:val="auto"/>
        </w:rPr>
      </w:pPr>
      <w:r>
        <w:rPr>
          <w:rFonts w:ascii="Arial" w:cs="Arial" w:eastAsia="Arial" w:hAnsi="Arial"/>
          <w:sz w:val="16"/>
          <w:szCs w:val="16"/>
          <w:color w:val="auto"/>
        </w:rPr>
        <w:t>The opinions expressed above are limited to the laws of the State of New York and the General Corporation Law of the State of Delaware. Our opinion is rendered only with respect to the laws, and the rules, regulations and orders under those laws, that are currently in effect.</w:t>
      </w:r>
    </w:p>
    <w:p>
      <w:pPr>
        <w:spacing w:after="0" w:line="150" w:lineRule="exact"/>
        <w:rPr>
          <w:sz w:val="20"/>
          <w:szCs w:val="20"/>
          <w:color w:val="auto"/>
        </w:rPr>
      </w:pPr>
    </w:p>
    <w:p>
      <w:pPr>
        <w:ind w:right="320" w:firstLine="1174"/>
        <w:spacing w:after="0" w:line="270" w:lineRule="auto"/>
        <w:rPr>
          <w:sz w:val="20"/>
          <w:szCs w:val="20"/>
          <w:color w:val="auto"/>
        </w:rPr>
      </w:pPr>
      <w:r>
        <w:rPr>
          <w:rFonts w:ascii="Arial" w:cs="Arial" w:eastAsia="Arial" w:hAnsi="Arial"/>
          <w:sz w:val="16"/>
          <w:szCs w:val="16"/>
          <w:color w:val="auto"/>
        </w:rPr>
        <w:t>We hereby consent to use of this opinion as an exhibit to the Registration Statement and to the use of our name under the heading “Legal Matters” contained in the prospectus included in the Registration Statement. In giving this consent, we do not thereby admit that we come within the category of persons whose consent is required by the Act or the Rules.</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Very truly yours,</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 PAUL, WEISS, RIFKIND, WHARTON &amp; GARRISON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15240</wp:posOffset>
            </wp:positionV>
            <wp:extent cx="3572510"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9">
                      <a:extLst>
                        <a:ext uri="{28A0092B-C50C-407E-A947-70E740481C1C}"/>
                      </a:extLst>
                    </a:blip>
                    <a:srcRect/>
                    <a:stretch>
                      <a:fillRect/>
                    </a:stretch>
                  </pic:blipFill>
                  <pic:spPr bwMode="auto">
                    <a:xfrm>
                      <a:off x="0" y="0"/>
                      <a:ext cx="357251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411480</wp:posOffset>
            </wp:positionV>
            <wp:extent cx="7145020"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0">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89" w:name="page190"/>
    <w:bookmarkEnd w:id="189"/>
    <w:p>
      <w:pPr>
        <w:jc w:val="right"/>
        <w:spacing w:after="0"/>
        <w:rPr>
          <w:sz w:val="20"/>
          <w:szCs w:val="20"/>
          <w:color w:val="auto"/>
        </w:rPr>
      </w:pPr>
      <w:r>
        <w:rPr>
          <w:rFonts w:ascii="Arial" w:cs="Arial" w:eastAsia="Arial" w:hAnsi="Arial"/>
          <w:sz w:val="20"/>
          <w:szCs w:val="20"/>
          <w:b w:val="1"/>
          <w:bCs w:val="1"/>
          <w:color w:val="auto"/>
        </w:rPr>
        <w:t>Exhibit 23.1</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INDEPENDENT REGISTERED PUBLIC ACCOUNTING FIRM’S CONSENT</w:t>
      </w:r>
    </w:p>
    <w:p>
      <w:pPr>
        <w:spacing w:after="0" w:line="207"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We consent to the inclusion in this Registration Statement of Churchill Capital Corp IV on Amendment No. 1 to Form S-1, File No. 333-239856, of our report dated July 27, 2020, which includes an explanatory paragraph as to the Company’s ability to continue as a going concern, with respect to our audit of the financial statements of Churchill Capital Corp IV (formerly known as Annetta Acquisition Corp) as of May 22, 2020 and for the period from April 30, 2020 (inception) through May 22, 2020, which report appears in the Prospectus, which is part of this Registration Statement. We also consent to the reference to our Firm under the heading “Experts” in such Prospectus.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Marcum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New York, NY</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July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396240</wp:posOffset>
            </wp:positionV>
            <wp:extent cx="714502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1">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ectPr>
          <w:pgSz w:w="11900" w:h="16838" w:orient="portrait"/>
          <w:cols w:equalWidth="0" w:num="1">
            <w:col w:w="11260"/>
          </w:cols>
          <w:pgMar w:left="320" w:top="335" w:right="319" w:bottom="1440" w:gutter="0" w:footer="0" w:header="0"/>
        </w:sectPr>
      </w:pPr>
    </w:p>
    <w:bookmarkStart w:id="190" w:name="page191"/>
    <w:bookmarkEnd w:id="190"/>
    <w:p>
      <w:pPr>
        <w:jc w:val="right"/>
        <w:spacing w:after="0"/>
        <w:rPr>
          <w:sz w:val="20"/>
          <w:szCs w:val="20"/>
          <w:color w:val="auto"/>
        </w:rPr>
      </w:pPr>
      <w:r>
        <w:rPr>
          <w:rFonts w:ascii="Arial" w:cs="Arial" w:eastAsia="Arial" w:hAnsi="Arial"/>
          <w:sz w:val="16"/>
          <w:szCs w:val="16"/>
          <w:b w:val="1"/>
          <w:bCs w:val="1"/>
          <w:color w:val="auto"/>
        </w:rPr>
        <w:t>Exhibit 99.2</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Consent to be Named as a Director Nominee</w:t>
      </w:r>
    </w:p>
    <w:p>
      <w:pPr>
        <w:spacing w:after="0" w:line="211"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In connection with the filing by Churchill Capital Corp IV of the Registration Statement on Form S-1 with the Securities and Exchange Commission under the Securities Act of 1933, as amended (the “Securities Act”), I hereby consent, pursuant to Rule 438 of the Securities Act, to being named as a nominee to the board of directors of Churchill Capital Corp IV in the Registration Statement and any and all amendments and supplements thereto. I also consent to the filing of this consent as an exhibit to such Registration Statement and any amendments thereto.</w:t>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Dated: July 24, 2020</w:t>
      </w:r>
    </w:p>
    <w:p>
      <w:pPr>
        <w:spacing w:after="0" w:line="200" w:lineRule="exact"/>
        <w:rPr>
          <w:sz w:val="20"/>
          <w:szCs w:val="20"/>
          <w:color w:val="auto"/>
        </w:rPr>
      </w:pPr>
    </w:p>
    <w:p>
      <w:pPr>
        <w:spacing w:after="0" w:line="20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 William J. Bynum</w:t>
      </w:r>
    </w:p>
    <w:p>
      <w:pPr>
        <w:spacing w:after="0" w:line="2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Name: William J. Bynum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-116205</wp:posOffset>
            </wp:positionV>
            <wp:extent cx="3572510"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2">
                      <a:extLst>
                        <a:ext uri="{28A0092B-C50C-407E-A947-70E740481C1C}"/>
                      </a:extLst>
                    </a:blip>
                    <a:srcRect/>
                    <a:stretch>
                      <a:fillRect/>
                    </a:stretch>
                  </pic:blipFill>
                  <pic:spPr bwMode="auto">
                    <a:xfrm>
                      <a:off x="0" y="0"/>
                      <a:ext cx="357251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652145</wp:posOffset>
            </wp:positionV>
            <wp:extent cx="7145020"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3">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91" w:name="page192"/>
    <w:bookmarkEnd w:id="191"/>
    <w:p>
      <w:pPr>
        <w:jc w:val="right"/>
        <w:spacing w:after="0"/>
        <w:rPr>
          <w:sz w:val="20"/>
          <w:szCs w:val="20"/>
          <w:color w:val="auto"/>
        </w:rPr>
      </w:pPr>
      <w:r>
        <w:rPr>
          <w:rFonts w:ascii="Arial" w:cs="Arial" w:eastAsia="Arial" w:hAnsi="Arial"/>
          <w:sz w:val="16"/>
          <w:szCs w:val="16"/>
          <w:b w:val="1"/>
          <w:bCs w:val="1"/>
          <w:color w:val="auto"/>
        </w:rPr>
        <w:t>Exhibit 99.3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to be Named as a Director Nominee</w:t>
      </w:r>
    </w:p>
    <w:p>
      <w:pPr>
        <w:spacing w:after="0" w:line="211"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In connection with the filing by Churchill Capital Corp IV of the Registration Statement on Form S-1 with the Securities and Exchange Commission under the Securities Act of 1933, as amended (the “Securities Act”), I hereby consent, pursuant to Rule 438 of the Securities Act, to being named as a nominee to the board of directors of Churchill Capital Corp IV in the Registration Statement and any and all amendments and supplements thereto. I also consent to the filing of this consent as an exhibit to such Registration Statement and any amendments thereto.</w:t>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Dated: July 24, 2020</w:t>
      </w:r>
    </w:p>
    <w:p>
      <w:pPr>
        <w:spacing w:after="0" w:line="200" w:lineRule="exact"/>
        <w:rPr>
          <w:sz w:val="20"/>
          <w:szCs w:val="20"/>
          <w:color w:val="auto"/>
        </w:rPr>
      </w:pPr>
    </w:p>
    <w:p>
      <w:pPr>
        <w:spacing w:after="0" w:line="20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 Bonnie Jonas</w:t>
      </w:r>
    </w:p>
    <w:p>
      <w:pPr>
        <w:spacing w:after="0" w:line="2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Name: Bonnie Jonas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-116205</wp:posOffset>
            </wp:positionV>
            <wp:extent cx="3572510"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4">
                      <a:extLst>
                        <a:ext uri="{28A0092B-C50C-407E-A947-70E740481C1C}"/>
                      </a:extLst>
                    </a:blip>
                    <a:srcRect/>
                    <a:stretch>
                      <a:fillRect/>
                    </a:stretch>
                  </pic:blipFill>
                  <pic:spPr bwMode="auto">
                    <a:xfrm>
                      <a:off x="0" y="0"/>
                      <a:ext cx="357251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1024890</wp:posOffset>
            </wp:positionV>
            <wp:extent cx="7145020"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5">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92" w:name="page193"/>
    <w:bookmarkEnd w:id="192"/>
    <w:p>
      <w:pPr>
        <w:jc w:val="right"/>
        <w:spacing w:after="0"/>
        <w:rPr>
          <w:sz w:val="20"/>
          <w:szCs w:val="20"/>
          <w:color w:val="auto"/>
        </w:rPr>
      </w:pPr>
      <w:r>
        <w:rPr>
          <w:rFonts w:ascii="Arial" w:cs="Arial" w:eastAsia="Arial" w:hAnsi="Arial"/>
          <w:sz w:val="16"/>
          <w:szCs w:val="16"/>
          <w:b w:val="1"/>
          <w:bCs w:val="1"/>
          <w:color w:val="auto"/>
        </w:rPr>
        <w:t>Exhibit 99.4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to be Named as a Director Nominee</w:t>
      </w:r>
    </w:p>
    <w:p>
      <w:pPr>
        <w:spacing w:after="0" w:line="211"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In connection with the filing by Churchill Capital Corp IV of the Registration Statement on Form S-1 with the Securities and Exchange Commission under the Securities Act of 1933, as amended (the “Securities Act”), I hereby consent, pursuant to Rule 438 of the Securities Act, to being named as a nominee to the board of directors of Churchill Capital Corp IV in the Registration Statement and any and all amendments and supplements thereto. I also consent to the filing of this consent as an exhibit to such Registration Statement and any amendments thereto.</w:t>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Dated: July 24, 2020</w:t>
      </w:r>
    </w:p>
    <w:p>
      <w:pPr>
        <w:spacing w:after="0" w:line="200" w:lineRule="exact"/>
        <w:rPr>
          <w:sz w:val="20"/>
          <w:szCs w:val="20"/>
          <w:color w:val="auto"/>
        </w:rPr>
      </w:pPr>
    </w:p>
    <w:p>
      <w:pPr>
        <w:spacing w:after="0" w:line="20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 Mark Klein</w:t>
      </w:r>
    </w:p>
    <w:p>
      <w:pPr>
        <w:spacing w:after="0" w:line="2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Name: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-116205</wp:posOffset>
            </wp:positionV>
            <wp:extent cx="3572510"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6">
                      <a:extLst>
                        <a:ext uri="{28A0092B-C50C-407E-A947-70E740481C1C}"/>
                      </a:extLst>
                    </a:blip>
                    <a:srcRect/>
                    <a:stretch>
                      <a:fillRect/>
                    </a:stretch>
                  </pic:blipFill>
                  <pic:spPr bwMode="auto">
                    <a:xfrm>
                      <a:off x="0" y="0"/>
                      <a:ext cx="357251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776605</wp:posOffset>
            </wp:positionV>
            <wp:extent cx="7145020"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7">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93" w:name="page194"/>
    <w:bookmarkEnd w:id="193"/>
    <w:p>
      <w:pPr>
        <w:jc w:val="right"/>
        <w:spacing w:after="0"/>
        <w:rPr>
          <w:sz w:val="20"/>
          <w:szCs w:val="20"/>
          <w:color w:val="auto"/>
        </w:rPr>
      </w:pPr>
      <w:r>
        <w:rPr>
          <w:rFonts w:ascii="Arial" w:cs="Arial" w:eastAsia="Arial" w:hAnsi="Arial"/>
          <w:sz w:val="16"/>
          <w:szCs w:val="16"/>
          <w:b w:val="1"/>
          <w:bCs w:val="1"/>
          <w:color w:val="auto"/>
        </w:rPr>
        <w:t>Exhibit 99.5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to be Named as a Director Nominee</w:t>
      </w:r>
    </w:p>
    <w:p>
      <w:pPr>
        <w:spacing w:after="0" w:line="211"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In connection with the filing by Churchill Capital Corp IV of the Registration Statement on Form S-1 with the Securities and Exchange Commission under the Securities Act of 1933, as amended (the “Securities Act”), I hereby consent, pursuant to Rule 438 of the Securities Act, to being named as a nominee to the board of directors of Churchill Capital Corp IV in the Registration Statement and any and all amendments and supplements thereto. I also consent to the filing of this consent as an exhibit to such Registration Statement and any amendments thereto.</w:t>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Dated: July 27, 2020</w:t>
      </w:r>
    </w:p>
    <w:p>
      <w:pPr>
        <w:spacing w:after="0" w:line="200" w:lineRule="exact"/>
        <w:rPr>
          <w:sz w:val="20"/>
          <w:szCs w:val="20"/>
          <w:color w:val="auto"/>
        </w:rPr>
      </w:pPr>
    </w:p>
    <w:p>
      <w:pPr>
        <w:spacing w:after="0" w:line="20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 Malcolm S. McDermid</w:t>
      </w:r>
    </w:p>
    <w:p>
      <w:pPr>
        <w:spacing w:after="0" w:line="2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Name: Malcolm S. McDermid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-116205</wp:posOffset>
            </wp:positionV>
            <wp:extent cx="3572510"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8">
                      <a:extLst>
                        <a:ext uri="{28A0092B-C50C-407E-A947-70E740481C1C}"/>
                      </a:extLst>
                    </a:blip>
                    <a:srcRect/>
                    <a:stretch>
                      <a:fillRect/>
                    </a:stretch>
                  </pic:blipFill>
                  <pic:spPr bwMode="auto">
                    <a:xfrm>
                      <a:off x="0" y="0"/>
                      <a:ext cx="357251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776605</wp:posOffset>
            </wp:positionV>
            <wp:extent cx="7145020"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9">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94" w:name="page195"/>
    <w:bookmarkEnd w:id="194"/>
    <w:p>
      <w:pPr>
        <w:jc w:val="right"/>
        <w:spacing w:after="0"/>
        <w:rPr>
          <w:sz w:val="20"/>
          <w:szCs w:val="20"/>
          <w:color w:val="auto"/>
        </w:rPr>
      </w:pPr>
      <w:r>
        <w:rPr>
          <w:rFonts w:ascii="Arial" w:cs="Arial" w:eastAsia="Arial" w:hAnsi="Arial"/>
          <w:sz w:val="16"/>
          <w:szCs w:val="16"/>
          <w:b w:val="1"/>
          <w:bCs w:val="1"/>
          <w:color w:val="auto"/>
        </w:rPr>
        <w:t>Exhibit 99.6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to be Named as a Director Nominee</w:t>
      </w:r>
    </w:p>
    <w:p>
      <w:pPr>
        <w:spacing w:after="0" w:line="211"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In connection with the filing by Churchill Capital Corp IV of the Registration Statement on Form S-1 with the Securities and Exchange Commission under the Securities Act of 1933, as amended (the “Securities Act”), I hereby consent, pursuant to Rule 438 of the Securities Act, to being named as a nominee to the board of directors of Churchill Capital Corp IV in the Registration Statement and any and all amendments and supplements thereto. I also consent to the filing of this consent as an exhibit to such Registration Statement and any amendments thereto.</w:t>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Dated: July 24, 2020</w:t>
      </w:r>
    </w:p>
    <w:p>
      <w:pPr>
        <w:spacing w:after="0" w:line="200" w:lineRule="exact"/>
        <w:rPr>
          <w:sz w:val="20"/>
          <w:szCs w:val="20"/>
          <w:color w:val="auto"/>
        </w:rPr>
      </w:pPr>
    </w:p>
    <w:p>
      <w:pPr>
        <w:spacing w:after="0" w:line="20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 Karen G. Mills</w:t>
      </w:r>
    </w:p>
    <w:p>
      <w:pPr>
        <w:spacing w:after="0" w:line="2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Name: Karen G.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-116205</wp:posOffset>
            </wp:positionV>
            <wp:extent cx="3572510"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0">
                      <a:extLst>
                        <a:ext uri="{28A0092B-C50C-407E-A947-70E740481C1C}"/>
                      </a:extLst>
                    </a:blip>
                    <a:srcRect/>
                    <a:stretch>
                      <a:fillRect/>
                    </a:stretch>
                  </pic:blipFill>
                  <pic:spPr bwMode="auto">
                    <a:xfrm>
                      <a:off x="0" y="0"/>
                      <a:ext cx="357251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776605</wp:posOffset>
            </wp:positionV>
            <wp:extent cx="7145020"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1">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sectPr>
      <w:pgSz w:w="11900" w:h="16838" w:orient="portrait"/>
      <w:cols w:equalWidth="0" w:num="1">
        <w:col w:w="11260"/>
      </w:cols>
      <w:pgMar w:left="320" w:top="31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1)"/>
      <w:numFmt w:val="decimal"/>
      <w:start w:val="1"/>
    </w:lvl>
  </w:abstractNum>
  <w:abstractNum w:abstractNumId="1">
    <w:nsid w:val="32FFF902"/>
    <w:multiLevelType w:val="hybridMultilevel"/>
    <w:lvl w:ilvl="0">
      <w:lvlJc w:val="left"/>
      <w:lvlText w:val="(%1)"/>
      <w:numFmt w:val="decimal"/>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1)"/>
      <w:numFmt w:val="lowerLetter"/>
      <w:start w:val="1"/>
    </w:lvl>
  </w:abstractNum>
  <w:abstractNum w:abstractNumId="11">
    <w:nsid w:val="520EEDD1"/>
    <w:multiLevelType w:val="hybridMultilevel"/>
    <w:lvl w:ilvl="0">
      <w:lvlJc w:val="left"/>
      <w:lvlText w:val="(%1)"/>
      <w:numFmt w:val="decimal"/>
      <w:start w:val="1"/>
    </w:lvl>
  </w:abstractNum>
  <w:abstractNum w:abstractNumId="12">
    <w:nsid w:val="374A3FE6"/>
    <w:multiLevelType w:val="hybridMultilevel"/>
    <w:lvl w:ilvl="0">
      <w:lvlJc w:val="left"/>
      <w:lvlText w:val="\emdash "/>
      <w:numFmt w:val="bullet"/>
      <w:start w:val="1"/>
    </w:lvl>
  </w:abstractNum>
  <w:abstractNum w:abstractNumId="13">
    <w:nsid w:val="4F4EF005"/>
    <w:multiLevelType w:val="hybridMultilevel"/>
    <w:lvl w:ilvl="0">
      <w:lvlJc w:val="left"/>
      <w:lvlText w:val="(%1)"/>
      <w:numFmt w:val="decimal"/>
      <w:start w:val="1"/>
    </w:lvl>
  </w:abstractNum>
  <w:abstractNum w:abstractNumId="14">
    <w:nsid w:val="23F9C13C"/>
    <w:multiLevelType w:val="hybridMultilevel"/>
    <w:lvl w:ilvl="0">
      <w:lvlJc w:val="left"/>
      <w:lvlText w:val="(%1)"/>
      <w:numFmt w:val="decimal"/>
      <w:start w:val="2"/>
    </w:lvl>
  </w:abstractNum>
  <w:abstractNum w:abstractNumId="15">
    <w:nsid w:val="649BB77C"/>
    <w:multiLevelType w:val="hybridMultilevel"/>
    <w:lvl w:ilvl="0">
      <w:lvlJc w:val="left"/>
      <w:lvlText w:val="(%1)"/>
      <w:numFmt w:val="decimal"/>
      <w:start w:val="2"/>
    </w:lvl>
  </w:abstractNum>
  <w:abstractNum w:abstractNumId="16">
    <w:nsid w:val="275AC794"/>
    <w:multiLevelType w:val="hybridMultilevel"/>
    <w:lvl w:ilvl="0">
      <w:lvlJc w:val="left"/>
      <w:lvlText w:val="(%1)"/>
      <w:numFmt w:val="decimal"/>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1)"/>
      <w:numFmt w:val="decimal"/>
      <w:start w:val="1"/>
    </w:lvl>
  </w:abstractNum>
  <w:abstractNum w:abstractNumId="28">
    <w:nsid w:val="61574095"/>
    <w:multiLevelType w:val="hybridMultilevel"/>
    <w:lvl w:ilvl="0">
      <w:lvlJc w:val="left"/>
      <w:lvlText w:val="(%1)"/>
      <w:numFmt w:val="decimal"/>
      <w:start w:val="1"/>
    </w:lvl>
  </w:abstractNum>
  <w:abstractNum w:abstractNumId="29">
    <w:nsid w:val="7E0C57B1"/>
    <w:multiLevelType w:val="hybridMultilevel"/>
    <w:lvl w:ilvl="0">
      <w:lvlJc w:val="left"/>
      <w:lvlText w:val="(%1)"/>
      <w:numFmt w:val="decimal"/>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emdash "/>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1)"/>
      <w:numFmt w:val="lowerLetter"/>
      <w:start w:val="1"/>
    </w:lvl>
  </w:abstractNum>
  <w:abstractNum w:abstractNumId="39">
    <w:nsid w:val="1381823A"/>
    <w:multiLevelType w:val="hybridMultilevel"/>
    <w:lvl w:ilvl="0">
      <w:lvlJc w:val="left"/>
      <w:lvlText w:val="(%1)"/>
      <w:numFmt w:val="lowerLetter"/>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1)"/>
      <w:numFmt w:val="decimal"/>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1)"/>
      <w:numFmt w:val="decimal"/>
      <w:start w:val="2"/>
    </w:lvl>
  </w:abstractNum>
  <w:abstractNum w:abstractNumId="47">
    <w:nsid w:val="6B94764"/>
    <w:multiLevelType w:val="hybridMultilevel"/>
    <w:lvl w:ilvl="0">
      <w:lvlJc w:val="left"/>
      <w:lvlText w:val="(%1)"/>
      <w:numFmt w:val="decimal"/>
      <w:start w:val="2"/>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1)"/>
      <w:numFmt w:val="lowerLetter"/>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1)"/>
      <w:numFmt w:val="decimal"/>
      <w:start w:val="1"/>
    </w:lvl>
  </w:abstractNum>
  <w:abstractNum w:abstractNumId="59">
    <w:nsid w:val="42963E5A"/>
    <w:multiLevelType w:val="hybridMultilevel"/>
    <w:lvl w:ilvl="0">
      <w:lvlJc w:val="left"/>
      <w:lvlText w:val="(%1)"/>
      <w:numFmt w:val="upperLetter"/>
      <w:start w:val="1"/>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1)"/>
      <w:numFmt w:val="decimal"/>
      <w:start w:val="9"/>
    </w:lvl>
  </w:abstractNum>
  <w:abstractNum w:abstractNumId="63">
    <w:nsid w:val="3B0FD379"/>
    <w:multiLevelType w:val="hybridMultilevel"/>
    <w:lvl w:ilvl="0">
      <w:lvlJc w:val="left"/>
      <w:lvlText w:val="•"/>
      <w:numFmt w:val="bullet"/>
      <w:start w:val="1"/>
    </w:lvl>
  </w:abstractNum>
  <w:abstractNum w:abstractNumId="64">
    <w:nsid w:val="68EB2F63"/>
    <w:multiLevelType w:val="hybridMultilevel"/>
    <w:lvl w:ilvl="0">
      <w:lvlJc w:val="left"/>
      <w:lvlText w:val="(%1)"/>
      <w:numFmt w:val="decimal"/>
      <w:start w:val="1"/>
    </w:lvl>
  </w:abstractNum>
  <w:abstractNum w:abstractNumId="65">
    <w:nsid w:val="4962813B"/>
    <w:multiLevelType w:val="hybridMultilevel"/>
    <w:lvl w:ilvl="0">
      <w:lvlJc w:val="left"/>
      <w:lvlText w:val="•"/>
      <w:numFmt w:val="bullet"/>
      <w:start w:val="1"/>
    </w:lvl>
  </w:abstractNum>
  <w:abstractNum w:abstractNumId="66">
    <w:nsid w:val="60B6DF70"/>
    <w:multiLevelType w:val="hybridMultilevel"/>
    <w:lvl w:ilvl="0">
      <w:lvlJc w:val="left"/>
      <w:lvlText w:val="•"/>
      <w:numFmt w:val="bullet"/>
      <w:start w:val="1"/>
    </w:lvl>
  </w:abstractNum>
  <w:abstractNum w:abstractNumId="67">
    <w:nsid w:val="6A5EE64"/>
    <w:multiLevelType w:val="hybridMultilevel"/>
    <w:lvl w:ilvl="0">
      <w:lvlJc w:val="left"/>
      <w:lvlText w:val="•"/>
      <w:numFmt w:val="bullet"/>
      <w:start w:val="1"/>
    </w:lvl>
  </w:abstractNum>
  <w:abstractNum w:abstractNumId="68">
    <w:nsid w:val="14330624"/>
    <w:multiLevelType w:val="hybridMultilevel"/>
    <w:lvl w:ilvl="0">
      <w:lvlJc w:val="left"/>
      <w:lvlText w:val="(%1)"/>
      <w:numFmt w:val="lowerRoman"/>
      <w:start w:val="3"/>
    </w:lvl>
  </w:abstractNum>
  <w:abstractNum w:abstractNumId="69">
    <w:nsid w:val="7FFFCA11"/>
    <w:multiLevelType w:val="hybridMultilevel"/>
    <w:lvl w:ilvl="0">
      <w:lvlJc w:val="left"/>
      <w:lvlText w:val="•"/>
      <w:numFmt w:val="bullet"/>
      <w:start w:val="1"/>
    </w:lvl>
  </w:abstractNum>
  <w:abstractNum w:abstractNumId="70">
    <w:nsid w:val="1A27709E"/>
    <w:multiLevelType w:val="hybridMultilevel"/>
    <w:lvl w:ilvl="0">
      <w:lvlJc w:val="left"/>
      <w:lvlText w:val="•"/>
      <w:numFmt w:val="bullet"/>
      <w:start w:val="1"/>
    </w:lvl>
  </w:abstractNum>
  <w:abstractNum w:abstractNumId="71">
    <w:nsid w:val="71EA1109"/>
    <w:multiLevelType w:val="hybridMultilevel"/>
    <w:lvl w:ilvl="0">
      <w:lvlJc w:val="left"/>
      <w:lvlText w:val="•"/>
      <w:numFmt w:val="bullet"/>
      <w:start w:val="1"/>
    </w:lvl>
  </w:abstractNum>
  <w:abstractNum w:abstractNumId="72">
    <w:nsid w:val="100F59DC"/>
    <w:multiLevelType w:val="hybridMultilevel"/>
    <w:lvl w:ilvl="0">
      <w:lvlJc w:val="left"/>
      <w:lvlText w:val="(%1)"/>
      <w:numFmt w:val="decimal"/>
      <w:start w:val="2"/>
    </w:lvl>
  </w:abstractNum>
  <w:abstractNum w:abstractNumId="73">
    <w:nsid w:val="7FB7E0AA"/>
    <w:multiLevelType w:val="hybridMultilevel"/>
    <w:lvl w:ilvl="0">
      <w:lvlJc w:val="left"/>
      <w:lvlText w:val="•"/>
      <w:numFmt w:val="bullet"/>
      <w:start w:val="1"/>
    </w:lvl>
  </w:abstractNum>
  <w:abstractNum w:abstractNumId="74">
    <w:nsid w:val="6EB5BD4"/>
    <w:multiLevelType w:val="hybridMultilevel"/>
    <w:lvl w:ilvl="0">
      <w:lvlJc w:val="left"/>
      <w:lvlText w:val="(%1)"/>
      <w:numFmt w:val="decimal"/>
      <w:start w:val="1"/>
    </w:lvl>
  </w:abstractNum>
  <w:abstractNum w:abstractNumId="75">
    <w:nsid w:val="6F6DD9AC"/>
    <w:multiLevelType w:val="hybridMultilevel"/>
    <w:lvl w:ilvl="0">
      <w:lvlJc w:val="left"/>
      <w:lvlText w:val="•"/>
      <w:numFmt w:val="bullet"/>
      <w:start w:val="1"/>
    </w:lvl>
  </w:abstractNum>
  <w:abstractNum w:abstractNumId="76">
    <w:nsid w:val="94211F2"/>
    <w:multiLevelType w:val="hybridMultilevel"/>
    <w:lvl w:ilvl="0">
      <w:lvlJc w:val="left"/>
      <w:lvlText w:val="•"/>
      <w:numFmt w:val="bullet"/>
      <w:start w:val="1"/>
    </w:lvl>
  </w:abstractNum>
  <w:abstractNum w:abstractNumId="77">
    <w:nsid w:val="885E1B"/>
    <w:multiLevelType w:val="hybridMultilevel"/>
    <w:lvl w:ilvl="0">
      <w:lvlJc w:val="left"/>
      <w:lvlText w:val="%1."/>
      <w:numFmt w:val="lowerLetter"/>
      <w:start w:val="1"/>
    </w:lvl>
  </w:abstractNum>
  <w:abstractNum w:abstractNumId="78">
    <w:nsid w:val="76272110"/>
    <w:multiLevelType w:val="hybridMultilevel"/>
    <w:lvl w:ilvl="0">
      <w:lvlJc w:val="left"/>
      <w:lvlText w:val="•"/>
      <w:numFmt w:val="bullet"/>
      <w:start w:val="1"/>
    </w:lvl>
  </w:abstractNum>
  <w:abstractNum w:abstractNumId="79">
    <w:nsid w:val="4C04A8AF"/>
    <w:multiLevelType w:val="hybridMultilevel"/>
    <w:lvl w:ilvl="0">
      <w:lvlJc w:val="left"/>
      <w:lvlText w:val="•"/>
      <w:numFmt w:val="bullet"/>
      <w:start w:val="1"/>
    </w:lvl>
  </w:abstractNum>
  <w:abstractNum w:abstractNumId="80">
    <w:nsid w:val="1716703B"/>
    <w:multiLevelType w:val="hybridMultilevel"/>
    <w:lvl w:ilvl="0">
      <w:lvlJc w:val="left"/>
      <w:lvlText w:val="(%1)"/>
      <w:numFmt w:val="decimal"/>
      <w:start w:val="1"/>
    </w:lvl>
  </w:abstractNum>
  <w:abstractNum w:abstractNumId="81">
    <w:nsid w:val="14E17E33"/>
    <w:multiLevelType w:val="hybridMultilevel"/>
    <w:lvl w:ilvl="0">
      <w:lvlJc w:val="left"/>
      <w:lvlText w:val="(%1)"/>
      <w:numFmt w:val="decimal"/>
      <w:start w:val="1"/>
    </w:lvl>
  </w:abstractNum>
  <w:abstractNum w:abstractNumId="82">
    <w:nsid w:val="3222E7CD"/>
    <w:multiLevelType w:val="hybridMultilevel"/>
    <w:lvl w:ilvl="0">
      <w:lvlJc w:val="left"/>
      <w:lvlText w:val="(%1)"/>
      <w:numFmt w:val="decimal"/>
      <w:start w:val="1"/>
    </w:lvl>
  </w:abstractNum>
  <w:abstractNum w:abstractNumId="83">
    <w:nsid w:val="74DE0EE3"/>
    <w:multiLevelType w:val="hybridMultilevel"/>
    <w:lvl w:ilvl="0">
      <w:lvlJc w:val="left"/>
      <w:lvlText w:val="•"/>
      <w:numFmt w:val="bullet"/>
      <w:start w:val="1"/>
    </w:lvl>
  </w:abstractNum>
  <w:abstractNum w:abstractNumId="84">
    <w:nsid w:val="68EBC550"/>
    <w:multiLevelType w:val="hybridMultilevel"/>
    <w:lvl w:ilvl="0">
      <w:lvlJc w:val="left"/>
      <w:lvlText w:val="(%1)"/>
      <w:numFmt w:val="decimal"/>
      <w:start w:val="1"/>
    </w:lvl>
  </w:abstractNum>
  <w:abstractNum w:abstractNumId="85">
    <w:nsid w:val="2DF6D648"/>
    <w:multiLevelType w:val="hybridMultilevel"/>
    <w:lvl w:ilvl="0">
      <w:lvlJc w:val="left"/>
      <w:lvlText w:val="(%1)"/>
      <w:numFmt w:val="lowerLetter"/>
      <w:start w:val="1"/>
    </w:lvl>
  </w:abstractNum>
  <w:abstractNum w:abstractNumId="86">
    <w:nsid w:val="46B7D447"/>
    <w:multiLevelType w:val="hybridMultilevel"/>
    <w:lvl w:ilvl="0">
      <w:lvlJc w:val="left"/>
      <w:lvlText w:val="(%1)"/>
      <w:numFmt w:val="lowerLetter"/>
      <w:start w:val="3"/>
    </w:lvl>
  </w:abstractNum>
  <w:abstractNum w:abstractNumId="87">
    <w:nsid w:val="4A2AC315"/>
    <w:multiLevelType w:val="hybridMultilevel"/>
    <w:lvl w:ilvl="0">
      <w:lvlJc w:val="left"/>
      <w:lvlText w:val="(%1)"/>
      <w:numFmt w:val="lowerLetter"/>
      <w:start w:val="9"/>
    </w:lvl>
  </w:abstractNum>
  <w:abstractNum w:abstractNumId="88">
    <w:nsid w:val="39EE015C"/>
    <w:multiLevelType w:val="hybridMultilevel"/>
    <w:lvl w:ilvl="0">
      <w:lvlJc w:val="left"/>
      <w:lvlText w:val="*"/>
      <w:numFmt w:val="bullet"/>
      <w:start w:val="1"/>
    </w:lvl>
  </w:abstractNum>
  <w:abstractNum w:abstractNumId="89">
    <w:nsid w:val="57FC4FBB"/>
    <w:multiLevelType w:val="hybridMultilevel"/>
    <w:lvl w:ilvl="0">
      <w:lvlJc w:val="left"/>
      <w:lvlText w:val="**"/>
      <w:numFmt w:val="bullet"/>
      <w:start w:val="1"/>
    </w:lvl>
    <w:lvl w:ilvl="1">
      <w:lvlJc w:val="left"/>
      <w:lvlText w:val="(%2)"/>
      <w:numFmt w:val="lowerLetter"/>
      <w:start w:val="2"/>
    </w:lvl>
  </w:abstractNum>
  <w:abstractNum w:abstractNumId="90">
    <w:nsid w:val="CC1016F"/>
    <w:multiLevelType w:val="hybridMultilevel"/>
    <w:lvl w:ilvl="0">
      <w:lvlJc w:val="left"/>
      <w:lvlText w:val="(%1)"/>
      <w:numFmt w:val="lowerLetter"/>
      <w:start w:val="1"/>
    </w:lvl>
    <w:lvl w:ilvl="1">
      <w:lvlJc w:val="left"/>
      <w:lvlText w:val="(%2)"/>
      <w:numFmt w:val="decimal"/>
      <w:start w:val="1"/>
    </w:lvl>
  </w:abstractNum>
  <w:abstractNum w:abstractNumId="91">
    <w:nsid w:val="43F18422"/>
    <w:multiLevelType w:val="hybridMultilevel"/>
    <w:lvl w:ilvl="0">
      <w:lvlJc w:val="left"/>
      <w:lvlText w:val="(%1)"/>
      <w:numFmt w:val="lowerRoman"/>
      <w:start w:val="1"/>
    </w:lvl>
  </w:abstractNum>
  <w:abstractNum w:abstractNumId="92">
    <w:nsid w:val="60EF0119"/>
    <w:multiLevelType w:val="hybridMultilevel"/>
    <w:lvl w:ilvl="0">
      <w:lvlJc w:val="left"/>
      <w:lvlText w:val="%1."/>
      <w:numFmt w:val="decimal"/>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303" Type="http://schemas.openxmlformats.org/officeDocument/2006/relationships/image" Target="media/image279.png"/><Relationship Id="rId304" Type="http://schemas.openxmlformats.org/officeDocument/2006/relationships/image" Target="media/image280.png"/><Relationship Id="rId305" Type="http://schemas.openxmlformats.org/officeDocument/2006/relationships/image" Target="media/image281.png"/><Relationship Id="rId306" Type="http://schemas.openxmlformats.org/officeDocument/2006/relationships/image" Target="media/image282.png"/><Relationship Id="rId307" Type="http://schemas.openxmlformats.org/officeDocument/2006/relationships/image" Target="media/image283.png"/><Relationship Id="rId308" Type="http://schemas.openxmlformats.org/officeDocument/2006/relationships/image" Target="media/image284.png"/><Relationship Id="rId309" Type="http://schemas.openxmlformats.org/officeDocument/2006/relationships/image" Target="media/image285.png"/><Relationship Id="rId310" Type="http://schemas.openxmlformats.org/officeDocument/2006/relationships/image" Target="media/image286.jpeg"/><Relationship Id="rId311" Type="http://schemas.openxmlformats.org/officeDocument/2006/relationships/image" Target="media/image287.png"/><Relationship Id="rId312" Type="http://schemas.openxmlformats.org/officeDocument/2006/relationships/image" Target="media/image288.jpeg"/><Relationship Id="rId313" Type="http://schemas.openxmlformats.org/officeDocument/2006/relationships/image" Target="media/image289.png"/><Relationship Id="rId314" Type="http://schemas.openxmlformats.org/officeDocument/2006/relationships/image" Target="media/image290.jpeg"/><Relationship Id="rId315" Type="http://schemas.openxmlformats.org/officeDocument/2006/relationships/image" Target="media/image291.png"/><Relationship Id="rId316" Type="http://schemas.openxmlformats.org/officeDocument/2006/relationships/image" Target="media/image292.jpeg"/><Relationship Id="rId317" Type="http://schemas.openxmlformats.org/officeDocument/2006/relationships/image" Target="media/image293.png"/><Relationship Id="rId318" Type="http://schemas.openxmlformats.org/officeDocument/2006/relationships/image" Target="media/image294.jpeg"/><Relationship Id="rId319" Type="http://schemas.openxmlformats.org/officeDocument/2006/relationships/image" Target="media/image295.png"/><Relationship Id="rId320" Type="http://schemas.openxmlformats.org/officeDocument/2006/relationships/image" Target="media/image296.png"/><Relationship Id="rId321" Type="http://schemas.openxmlformats.org/officeDocument/2006/relationships/image" Target="media/image297.png"/><Relationship Id="rId322" Type="http://schemas.openxmlformats.org/officeDocument/2006/relationships/image" Target="media/image298.png"/><Relationship Id="rId323" Type="http://schemas.openxmlformats.org/officeDocument/2006/relationships/image" Target="media/image299.png"/><Relationship Id="rId324" Type="http://schemas.openxmlformats.org/officeDocument/2006/relationships/image" Target="media/image300.png"/><Relationship Id="rId325" Type="http://schemas.openxmlformats.org/officeDocument/2006/relationships/image" Target="media/image301.png"/><Relationship Id="rId326" Type="http://schemas.openxmlformats.org/officeDocument/2006/relationships/image" Target="media/image302.png"/><Relationship Id="rId327" Type="http://schemas.openxmlformats.org/officeDocument/2006/relationships/image" Target="media/image303.png"/><Relationship Id="rId328" Type="http://schemas.openxmlformats.org/officeDocument/2006/relationships/image" Target="media/image304.png"/><Relationship Id="rId329" Type="http://schemas.openxmlformats.org/officeDocument/2006/relationships/image" Target="media/image305.png"/><Relationship Id="rId330" Type="http://schemas.openxmlformats.org/officeDocument/2006/relationships/image" Target="media/image306.png"/><Relationship Id="rId331" Type="http://schemas.openxmlformats.org/officeDocument/2006/relationships/image" Target="media/image307.png"/><Relationship Id="rId286" Type="http://schemas.openxmlformats.org/officeDocument/2006/relationships/hyperlink" Target="http://www.sec.gov/Archives/edgar/data/1811210/000110465920083464/tm2020647d7_ex1-1.htm" TargetMode="External"/><Relationship Id="rId287" Type="http://schemas.openxmlformats.org/officeDocument/2006/relationships/hyperlink" Target="http://www.sec.gov/Archives/edgar/data/1811210/000110465920083464/tm2020647d7_ex3-1.htm" TargetMode="External"/><Relationship Id="rId288" Type="http://schemas.openxmlformats.org/officeDocument/2006/relationships/hyperlink" Target="http://www.sec.gov/Archives/edgar/data/1811210/000110465920083464/tm2020647d7_ex3-2.htm" TargetMode="External"/><Relationship Id="rId289" Type="http://schemas.openxmlformats.org/officeDocument/2006/relationships/hyperlink" Target="http://www.sec.gov/Archives/edgar/data/1811210/000110465920083464/tm2020647d7_ex3-3.htm" TargetMode="External"/><Relationship Id="rId290" Type="http://schemas.openxmlformats.org/officeDocument/2006/relationships/hyperlink" Target="http://www.sec.gov/Archives/edgar/data/1811210/000110465920083464/tm2020647d7_ex4-1.htm" TargetMode="External"/><Relationship Id="rId291" Type="http://schemas.openxmlformats.org/officeDocument/2006/relationships/hyperlink" Target="http://www.sec.gov/Archives/edgar/data/1811210/000110465920083464/tm2020647d7_ex4-2.htm" TargetMode="External"/><Relationship Id="rId292" Type="http://schemas.openxmlformats.org/officeDocument/2006/relationships/hyperlink" Target="http://www.sec.gov/Archives/edgar/data/1811210/000110465920083464/tm2020647d7_ex4-4.htm" TargetMode="External"/><Relationship Id="rId293" Type="http://schemas.openxmlformats.org/officeDocument/2006/relationships/hyperlink" Target="http://www.sec.gov/Archives/edgar/data/1811210/000110465920083464/tm2020647d7_ex10-1.htm" TargetMode="External"/><Relationship Id="rId294" Type="http://schemas.openxmlformats.org/officeDocument/2006/relationships/hyperlink" Target="http://www.sec.gov/Archives/edgar/data/1811210/000110465920083464/tm2020647d7_ex10-2.htm" TargetMode="External"/><Relationship Id="rId295" Type="http://schemas.openxmlformats.org/officeDocument/2006/relationships/hyperlink" Target="http://www.sec.gov/Archives/edgar/data/1811210/000110465920083464/tm2020647d7_ex10-3.htm" TargetMode="External"/><Relationship Id="rId296" Type="http://schemas.openxmlformats.org/officeDocument/2006/relationships/hyperlink" Target="http://www.sec.gov/Archives/edgar/data/1811210/000110465920083464/tm2020647d7_ex10-4.htm" TargetMode="External"/><Relationship Id="rId297" Type="http://schemas.openxmlformats.org/officeDocument/2006/relationships/hyperlink" Target="http://www.sec.gov/Archives/edgar/data/1811210/000110465920083464/tm2020647d7_ex10-5.htm" TargetMode="External"/><Relationship Id="rId298" Type="http://schemas.openxmlformats.org/officeDocument/2006/relationships/hyperlink" Target="http://www.sec.gov/Archives/edgar/data/1811210/000110465920083464/tm2020647d7_ex10-6.htm" TargetMode="External"/><Relationship Id="rId299" Type="http://schemas.openxmlformats.org/officeDocument/2006/relationships/hyperlink" Target="http://www.sec.gov/Archives/edgar/data/1811210/000110465920083464/tm2020647d7_ex10-7.htm" TargetMode="External"/><Relationship Id="rId300" Type="http://schemas.openxmlformats.org/officeDocument/2006/relationships/hyperlink" Target="http://www.sec.gov/Archives/edgar/data/1811210/000110465920083464/tm2020647d7_ex10-8.htm" TargetMode="External"/><Relationship Id="rId301" Type="http://schemas.openxmlformats.org/officeDocument/2006/relationships/hyperlink" Target="http://www.sec.gov/Archives/edgar/data/1811210/000110465920083464/tm2020647-6_s1.htm#POA" TargetMode="External"/><Relationship Id="rId302" Type="http://schemas.openxmlformats.org/officeDocument/2006/relationships/hyperlink" Target="http://www.sec.gov/Archives/edgar/data/1811210/000110465920083464/tm2020647d7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2020-07-27T11:00:53Z</dcterms:created>
  <dcterms:modified xsi:type="dcterms:W3CDTF">2020-07-27T11:00:53Z</dcterms:modified>
</cp:coreProperties>
</file>