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31,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7"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3">
            <w:col w:w="4320" w:space="720"/>
            <w:col w:w="2280" w:space="720"/>
            <w:col w:w="3200"/>
          </w:cols>
          <w:pgMar w:left="320" w:top="697" w:right="339" w:bottom="1440" w:gutter="0" w:footer="0" w:header="0"/>
          <w:type w:val="continuous"/>
        </w:sectPr>
      </w:pPr>
    </w:p>
    <w:p>
      <w:pPr>
        <w:jc w:val="center"/>
        <w:ind w:right="1660"/>
        <w:spacing w:after="0"/>
        <w:rPr>
          <w:sz w:val="20"/>
          <w:szCs w:val="20"/>
          <w:color w:val="auto"/>
        </w:rPr>
      </w:pPr>
      <w:r>
        <w:rPr>
          <w:rFonts w:ascii="Arial" w:cs="Arial" w:eastAsia="Arial" w:hAnsi="Arial"/>
          <w:sz w:val="18"/>
          <w:szCs w:val="18"/>
          <w:b w:val="1"/>
          <w:bCs w:val="1"/>
          <w:color w:val="auto"/>
        </w:rPr>
        <w:t>7373 Gateway Boulevard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4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06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22 and 23, 2021, Churchill Capital Corp. IV (“CCIV”), the predecessor to Lucid Group, Inc. (the “Company”), held a special meeting of stockholders (the “CCIV Special Meeting”) to approve certain matters relating to the business combination between CCIV and Atieva, Inc., d/b/a Lucid Motors. One of these matters was a proposal to increase the total number of authorized shares of CCIV’s Class A common stock, par value $0.0001 per share (the “Class A common stock”), from 400,000,000 shares to 15,000,000,000 shares (the “Share Authorization Proposal”). The Share Authorization Proposal was approved by a majority of the shares of Class A and Class B common stock of CCIV, voting together as a single class, that were outstanding as of the record date for the CCIV Special Meeting. After the CCIV Special Meeting, CCIV and Atieva, Inc. closed the business combination, and CCIV changed its name to Lucid Group, Inc.</w:t>
      </w:r>
    </w:p>
    <w:p>
      <w:pPr>
        <w:spacing w:after="0" w:line="19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of September 30, 2022, and giving effect to shares issued pursuant to equity financings in the fourth quarter of 2022, the Company had 1,822,063,351 shares of Class A common stock issued and outstanding, as well as a significant number of additional shares of Class A common stock issuable upon conversion, exercise, or settlement of outstanding convertible notes, private placement warrants, stock options, and restricted stock units.</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recent ruling by the Court of Chancery introduces uncertainty as to whether Section 242(b)(2) of the Delaware General Corporation Law (the “DGCL”) would have required the Share Authorization Proposal to be approved by a separate vote of the majority of CCIV’s then-outstanding shares of Class A common stock.</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date, no stockholder has given the Company notice of any allegations that the Company’s shares are unauthorized. However, to resolve potential uncertainty with respect to the Company’s capital structure, the Company has filed a petition in the Court of Chancery under Section 205 of the DGCL to seek validation of the Share Authorization Proposal and the shares issued thereunder. Section 205 of the DGCL permits the Court of Chancery, in its discretion, to ratify and validate potentially defective corporate acts.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Company is not successful in the Section 205 proceeding, the uncertainty with respect to the Company’s capitalization resulting from the Court of Chancery’s ruling referenced above could have a material adverse impact on the Company, including on the Company’s ability to complete equity financing transactions or issue stock-based compensation to its employees, directors and officers until the underlying issues are definitively resolved. This uncertainty could impair the Company’s ability to execute its business plan, attract and retain employees, management and directors and adversely affect its commercial relationships.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w:t>
      </w:r>
    </w:p>
    <w:p>
      <w:pPr>
        <w:spacing w:after="0" w:line="17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particular, no assurances can be made regarding the outcome or the timing of the Section 205 proceeding. If the Company is unsuccessful in the Section 205 proceeding, the uncertainty with respect to the Company’s capitalization could limit its ability to complete equity financing transactions or issue stock-based compensation to its employees, directors and officers until the underlying issues are definitively resolved. As described above, this uncertainty could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January 31, 2023</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2023-02-01T05:23:57Z</dcterms:created>
  <dcterms:modified xsi:type="dcterms:W3CDTF">2023-02-01T05:23:57Z</dcterms:modified>
</cp:coreProperties>
</file>