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82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82841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LIVERIS ANDREW N</w:t>
              </w:r>
            </w:hyperlink>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Borders>
              <w:bottom w:val="single" w:sz="8" w:color="0000EE"/>
            </w:tcBorders>
            <w:gridSpan w:val="2"/>
            <w:vMerge w:val="continue"/>
          </w:tcPr>
          <w:p>
            <w:pPr>
              <w:spacing w:after="0"/>
              <w:rPr>
                <w:sz w:val="4"/>
                <w:szCs w:val="4"/>
                <w:color w:val="auto"/>
              </w:rPr>
            </w:pPr>
          </w:p>
        </w:tc>
        <w:tc>
          <w:tcPr>
            <w:tcW w:w="2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06/04/2026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7"/>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7"/>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93"/>
              <w:spacing w:after="0"/>
              <w:rPr>
                <w:sz w:val="20"/>
                <w:szCs w:val="20"/>
                <w:color w:val="auto"/>
              </w:rPr>
            </w:pPr>
            <w:r>
              <w:rPr>
                <w:rFonts w:ascii="Times New Roman" w:cs="Times New Roman" w:eastAsia="Times New Roman" w:hAnsi="Times New Roman"/>
                <w:sz w:val="13"/>
                <w:szCs w:val="13"/>
                <w:color w:val="0000FF"/>
              </w:rPr>
              <w:t>43,870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90"/>
                <w:vertAlign w:val="subscript"/>
              </w:rPr>
              <w:t>$</w:t>
            </w:r>
            <w:r>
              <w:rPr>
                <w:rFonts w:ascii="Times New Roman" w:cs="Times New Roman" w:eastAsia="Times New Roman" w:hAnsi="Times New Roman"/>
                <w:sz w:val="26"/>
                <w:szCs w:val="26"/>
                <w:color w:val="0000FF"/>
                <w:w w:val="90"/>
                <w:vertAlign w:val="subscript"/>
              </w:rPr>
              <w:t>0</w:t>
            </w:r>
            <w:r>
              <w:rPr>
                <w:rFonts w:ascii="Times New Roman" w:cs="Times New Roman" w:eastAsia="Times New Roman" w:hAnsi="Times New Roman"/>
                <w:sz w:val="9"/>
                <w:szCs w:val="9"/>
                <w:color w:val="008000"/>
                <w:w w:val="90"/>
              </w:rPr>
              <w:t>(2)</w:t>
            </w:r>
          </w:p>
        </w:tc>
        <w:tc>
          <w:tcPr>
            <w:tcW w:w="82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3"/>
                <w:szCs w:val="13"/>
                <w:color w:val="0000FF"/>
              </w:rPr>
              <w:t>123,765</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133"/>
              <w:spacing w:after="0"/>
              <w:rPr>
                <w:sz w:val="20"/>
                <w:szCs w:val="20"/>
                <w:color w:val="auto"/>
              </w:rPr>
            </w:pPr>
            <w:r>
              <w:rPr>
                <w:rFonts w:ascii="Times New Roman" w:cs="Times New Roman" w:eastAsia="Times New Roman" w:hAnsi="Times New Roman"/>
                <w:sz w:val="13"/>
                <w:szCs w:val="13"/>
                <w:color w:val="0000FF"/>
              </w:rPr>
              <w:t>2,599</w:t>
            </w:r>
            <w:r>
              <w:rPr>
                <w:rFonts w:ascii="Times New Roman" w:cs="Times New Roman" w:eastAsia="Times New Roman" w:hAnsi="Times New Roman"/>
                <w:sz w:val="17"/>
                <w:szCs w:val="17"/>
                <w:color w:val="008000"/>
                <w:vertAlign w:val="superscript"/>
              </w:rPr>
              <w:t>(3)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90"/>
                <w:vertAlign w:val="subscript"/>
              </w:rPr>
              <w:t>$</w:t>
            </w:r>
            <w:r>
              <w:rPr>
                <w:rFonts w:ascii="Times New Roman" w:cs="Times New Roman" w:eastAsia="Times New Roman" w:hAnsi="Times New Roman"/>
                <w:sz w:val="26"/>
                <w:szCs w:val="26"/>
                <w:color w:val="0000FF"/>
                <w:w w:val="90"/>
                <w:vertAlign w:val="subscript"/>
              </w:rPr>
              <w:t>0</w:t>
            </w:r>
            <w:r>
              <w:rPr>
                <w:rFonts w:ascii="Times New Roman" w:cs="Times New Roman" w:eastAsia="Times New Roman" w:hAnsi="Times New Roman"/>
                <w:sz w:val="9"/>
                <w:szCs w:val="9"/>
                <w:color w:val="008000"/>
                <w:w w:val="90"/>
              </w:rPr>
              <w:t>(2)</w:t>
            </w:r>
          </w:p>
        </w:tc>
        <w:tc>
          <w:tcPr>
            <w:tcW w:w="820" w:type="dxa"/>
            <w:vAlign w:val="bottom"/>
            <w:tcBorders>
              <w:bottom w:val="single" w:sz="8" w:color="2C2C2C"/>
            </w:tcBorders>
            <w:gridSpan w:val="2"/>
          </w:tcPr>
          <w:p>
            <w:pPr>
              <w:jc w:val="center"/>
              <w:ind w:left="326"/>
              <w:spacing w:after="0"/>
              <w:rPr>
                <w:sz w:val="20"/>
                <w:szCs w:val="20"/>
                <w:color w:val="auto"/>
              </w:rPr>
            </w:pPr>
            <w:r>
              <w:rPr>
                <w:rFonts w:ascii="Times New Roman" w:cs="Times New Roman" w:eastAsia="Times New Roman" w:hAnsi="Times New Roman"/>
                <w:sz w:val="13"/>
                <w:szCs w:val="13"/>
                <w:color w:val="0000FF"/>
              </w:rPr>
              <w:t>126,364</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Liveris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vMerge w:val="restart"/>
          </w:tcPr>
          <w:p>
            <w:pPr>
              <w:jc w:val="center"/>
              <w:ind w:left="306"/>
              <w:spacing w:after="0"/>
              <w:rPr>
                <w:sz w:val="20"/>
                <w:szCs w:val="20"/>
                <w:color w:val="auto"/>
              </w:rPr>
            </w:pPr>
            <w:r>
              <w:rPr>
                <w:rFonts w:ascii="Times New Roman" w:cs="Times New Roman" w:eastAsia="Times New Roman" w:hAnsi="Times New Roman"/>
                <w:sz w:val="13"/>
                <w:szCs w:val="13"/>
                <w:color w:val="0000FF"/>
              </w:rPr>
              <w:t>40,000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7"/>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(4)</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2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2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Interests shown consist of 40,000 shares of Class A Common Stock (the "Liveris Capital Shares") beneficially owned by Liveris Capital Partners LLC ("Liveris Capital"). The reporting person has investment control over Liveris Capital and disclaims beneficial ownership of the Liveris Capital Shares. The Liveris Capital Shares were received as part of a distribution from Churchill Sponsor IV LLC applying equally to all securities of a class in January 2023.</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Andrew N. Liveris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6438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389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69971"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2026-06-08T15:28:39Z</dcterms:created>
  <dcterms:modified xsi:type="dcterms:W3CDTF">2026-06-08T15:28:39Z</dcterms:modified>
</cp:coreProperties>
</file>