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80"/>
        <w:spacing w:after="0"/>
        <w:rPr>
          <w:sz w:val="20"/>
          <w:szCs w:val="20"/>
          <w:color w:val="auto"/>
        </w:rPr>
      </w:pPr>
      <w:r>
        <w:rPr>
          <w:rFonts w:ascii="Arial" w:cs="Arial" w:eastAsia="Arial" w:hAnsi="Arial"/>
          <w:sz w:val="18"/>
          <w:szCs w:val="18"/>
          <w:color w:val="1A171C"/>
        </w:rPr>
        <w:drawing>
          <wp:anchor simplePos="0" relativeHeight="251657728" behindDoc="1" locked="0" layoutInCell="0" allowOverlap="1">
            <wp:simplePos x="0" y="0"/>
            <wp:positionH relativeFrom="page">
              <wp:posOffset>5480050</wp:posOffset>
            </wp:positionH>
            <wp:positionV relativeFrom="page">
              <wp:posOffset>157480</wp:posOffset>
            </wp:positionV>
            <wp:extent cx="1859915"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9915" cy="814705"/>
                    </a:xfrm>
                    <a:prstGeom prst="rect">
                      <a:avLst/>
                    </a:prstGeom>
                    <a:noFill/>
                  </pic:spPr>
                </pic:pic>
              </a:graphicData>
            </a:graphic>
          </wp:anchor>
        </w:drawing>
        <w:t>OMB APPROVAL</w:t>
      </w:r>
    </w:p>
    <w:p>
      <w:pPr>
        <w:spacing w:after="0" w:line="63" w:lineRule="exact"/>
        <w:rPr>
          <w:sz w:val="24"/>
          <w:szCs w:val="24"/>
          <w:color w:val="auto"/>
        </w:rPr>
      </w:pPr>
    </w:p>
    <w:p>
      <w:pPr>
        <w:ind w:left="8480"/>
        <w:spacing w:after="0"/>
        <w:rPr>
          <w:sz w:val="20"/>
          <w:szCs w:val="20"/>
          <w:color w:val="auto"/>
        </w:rPr>
      </w:pPr>
      <w:r>
        <w:rPr>
          <w:rFonts w:ascii="Arial" w:cs="Arial" w:eastAsia="Arial" w:hAnsi="Arial"/>
          <w:sz w:val="18"/>
          <w:szCs w:val="18"/>
          <w:color w:val="1A171C"/>
        </w:rPr>
        <w:t>Number: 3235-0058</w:t>
      </w:r>
    </w:p>
    <w:p>
      <w:pPr>
        <w:spacing w:after="0" w:line="63" w:lineRule="exact"/>
        <w:rPr>
          <w:sz w:val="24"/>
          <w:szCs w:val="24"/>
          <w:color w:val="auto"/>
        </w:rPr>
      </w:pPr>
    </w:p>
    <w:p>
      <w:pPr>
        <w:ind w:left="8480"/>
        <w:spacing w:after="0"/>
        <w:rPr>
          <w:sz w:val="20"/>
          <w:szCs w:val="20"/>
          <w:color w:val="auto"/>
        </w:rPr>
      </w:pPr>
      <w:r>
        <w:rPr>
          <w:rFonts w:ascii="Arial" w:cs="Arial" w:eastAsia="Arial" w:hAnsi="Arial"/>
          <w:sz w:val="18"/>
          <w:szCs w:val="18"/>
          <w:color w:val="1A171C"/>
        </w:rPr>
        <w:t>Expires: February 28, 2022</w:t>
      </w:r>
    </w:p>
    <w:p>
      <w:pPr>
        <w:spacing w:after="0" w:line="36" w:lineRule="exact"/>
        <w:rPr>
          <w:sz w:val="24"/>
          <w:szCs w:val="24"/>
          <w:color w:val="auto"/>
        </w:rPr>
      </w:pPr>
    </w:p>
    <w:p>
      <w:pPr>
        <w:ind w:left="8480"/>
        <w:spacing w:after="0"/>
        <w:rPr>
          <w:sz w:val="20"/>
          <w:szCs w:val="20"/>
          <w:color w:val="auto"/>
        </w:rPr>
      </w:pPr>
      <w:r>
        <w:rPr>
          <w:rFonts w:ascii="Arial" w:cs="Arial" w:eastAsia="Arial" w:hAnsi="Arial"/>
          <w:sz w:val="16"/>
          <w:szCs w:val="16"/>
          <w:color w:val="1A171C"/>
        </w:rPr>
        <w:t>Estimated average burden hours per</w:t>
      </w:r>
    </w:p>
    <w:p>
      <w:pPr>
        <w:spacing w:after="0" w:line="46" w:lineRule="exact"/>
        <w:rPr>
          <w:sz w:val="24"/>
          <w:szCs w:val="24"/>
          <w:color w:val="auto"/>
        </w:rPr>
      </w:pPr>
    </w:p>
    <w:p>
      <w:pPr>
        <w:ind w:left="8480"/>
        <w:spacing w:after="0"/>
        <w:tabs>
          <w:tab w:leader="none" w:pos="10540" w:val="left"/>
        </w:tabs>
        <w:rPr>
          <w:sz w:val="20"/>
          <w:szCs w:val="20"/>
          <w:color w:val="auto"/>
        </w:rPr>
      </w:pPr>
      <w:r>
        <w:rPr>
          <w:rFonts w:ascii="Arial" w:cs="Arial" w:eastAsia="Arial" w:hAnsi="Arial"/>
          <w:sz w:val="18"/>
          <w:szCs w:val="18"/>
          <w:color w:val="1A171C"/>
        </w:rPr>
        <w:t>response</w:t>
      </w:r>
      <w:r>
        <w:rPr>
          <w:sz w:val="20"/>
          <w:szCs w:val="20"/>
          <w:color w:val="auto"/>
        </w:rPr>
        <w:tab/>
      </w:r>
      <w:r>
        <w:rPr>
          <w:rFonts w:ascii="Arial" w:cs="Arial" w:eastAsia="Arial" w:hAnsi="Arial"/>
          <w:sz w:val="18"/>
          <w:szCs w:val="18"/>
          <w:color w:val="1A171C"/>
        </w:rPr>
        <w:t>2.50</w:t>
      </w:r>
    </w:p>
    <w:p>
      <w:pPr>
        <w:spacing w:after="0" w:line="278" w:lineRule="exact"/>
        <w:rPr>
          <w:sz w:val="24"/>
          <w:szCs w:val="24"/>
          <w:color w:val="auto"/>
        </w:rPr>
      </w:pPr>
    </w:p>
    <w:p>
      <w:pPr>
        <w:ind w:left="9100"/>
        <w:spacing w:after="0"/>
        <w:rPr>
          <w:sz w:val="20"/>
          <w:szCs w:val="20"/>
          <w:color w:val="auto"/>
        </w:rPr>
      </w:pPr>
      <w:r>
        <w:rPr>
          <w:rFonts w:ascii="Arial" w:cs="Arial" w:eastAsia="Arial" w:hAnsi="Arial"/>
          <w:sz w:val="18"/>
          <w:szCs w:val="18"/>
          <w:color w:val="1A171C"/>
        </w:rPr>
        <w:t>SEC File Number:</w:t>
      </w:r>
    </w:p>
    <w:p>
      <w:pPr>
        <w:spacing w:after="0" w:line="36" w:lineRule="exact"/>
        <w:rPr>
          <w:sz w:val="24"/>
          <w:szCs w:val="24"/>
          <w:color w:val="auto"/>
        </w:rPr>
      </w:pPr>
    </w:p>
    <w:p>
      <w:pPr>
        <w:ind w:left="8640"/>
        <w:spacing w:after="0"/>
        <w:rPr>
          <w:sz w:val="20"/>
          <w:szCs w:val="20"/>
          <w:color w:val="auto"/>
        </w:rPr>
      </w:pPr>
      <w:r>
        <w:rPr>
          <w:rFonts w:ascii="Arial" w:cs="Arial" w:eastAsia="Arial" w:hAnsi="Arial"/>
          <w:sz w:val="18"/>
          <w:szCs w:val="18"/>
          <w:color w:val="1A171C"/>
        </w:rPr>
        <w:t>001-39408</w:t>
      </w:r>
    </w:p>
    <w:p>
      <w:pPr>
        <w:spacing w:after="0" w:line="36" w:lineRule="exact"/>
        <w:rPr>
          <w:sz w:val="24"/>
          <w:szCs w:val="24"/>
          <w:color w:val="auto"/>
        </w:rPr>
      </w:pPr>
    </w:p>
    <w:p>
      <w:pPr>
        <w:ind w:left="9180"/>
        <w:spacing w:after="0"/>
        <w:rPr>
          <w:sz w:val="20"/>
          <w:szCs w:val="20"/>
          <w:color w:val="auto"/>
        </w:rPr>
      </w:pPr>
      <w:r>
        <w:rPr>
          <w:rFonts w:ascii="Arial" w:cs="Arial" w:eastAsia="Arial" w:hAnsi="Arial"/>
          <w:sz w:val="18"/>
          <w:szCs w:val="18"/>
          <w:color w:val="1A171C"/>
        </w:rPr>
        <w:t>CUSIP Number:</w:t>
      </w:r>
    </w:p>
    <w:p>
      <w:pPr>
        <w:spacing w:after="0" w:line="36" w:lineRule="exact"/>
        <w:rPr>
          <w:sz w:val="24"/>
          <w:szCs w:val="24"/>
          <w:color w:val="auto"/>
        </w:rPr>
      </w:pPr>
    </w:p>
    <w:p>
      <w:pPr>
        <w:ind w:left="8640"/>
        <w:spacing w:after="0"/>
        <w:rPr>
          <w:sz w:val="20"/>
          <w:szCs w:val="20"/>
          <w:color w:val="auto"/>
        </w:rPr>
      </w:pPr>
      <w:r>
        <w:rPr>
          <w:rFonts w:ascii="Arial" w:cs="Arial" w:eastAsia="Arial" w:hAnsi="Arial"/>
          <w:sz w:val="18"/>
          <w:szCs w:val="18"/>
          <w:color w:val="1A171C"/>
        </w:rPr>
        <w:t>171439201</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12b-25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NOTIFICATION OF LATE FILING</w:t>
      </w:r>
    </w:p>
    <w:p>
      <w:pPr>
        <w:spacing w:after="0" w:line="196" w:lineRule="exact"/>
        <w:rPr>
          <w:sz w:val="24"/>
          <w:szCs w:val="24"/>
          <w:color w:val="auto"/>
        </w:rPr>
      </w:pPr>
    </w:p>
    <w:p>
      <w:pPr>
        <w:spacing w:after="0" w:line="207" w:lineRule="exact"/>
        <w:tabs>
          <w:tab w:leader="none" w:pos="3220" w:val="left"/>
          <w:tab w:leader="none" w:pos="4960" w:val="left"/>
          <w:tab w:leader="none" w:pos="6640" w:val="left"/>
          <w:tab w:leader="none" w:pos="8320" w:val="left"/>
          <w:tab w:leader="none" w:pos="9840" w:val="left"/>
        </w:tabs>
        <w:rPr>
          <w:sz w:val="20"/>
          <w:szCs w:val="20"/>
          <w:color w:val="auto"/>
        </w:rPr>
      </w:pPr>
      <w:r>
        <w:rPr>
          <w:rFonts w:ascii="Arial" w:cs="Arial" w:eastAsia="Arial" w:hAnsi="Arial"/>
          <w:sz w:val="18"/>
          <w:szCs w:val="18"/>
          <w:i w:val="1"/>
          <w:iCs w:val="1"/>
          <w:color w:val="auto"/>
        </w:rPr>
        <w:t xml:space="preserve">(Check one):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11-K</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10-Q</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10-D</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N-CEN</w:t>
      </w:r>
    </w:p>
    <w:p>
      <w:pPr>
        <w:spacing w:after="0" w:line="51" w:lineRule="exact"/>
        <w:rPr>
          <w:sz w:val="24"/>
          <w:szCs w:val="24"/>
          <w:color w:val="auto"/>
        </w:rPr>
      </w:pPr>
    </w:p>
    <w:p>
      <w:pPr>
        <w:ind w:left="1220" w:hanging="200"/>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Form N-CSR</w:t>
      </w:r>
    </w:p>
    <w:p>
      <w:pPr>
        <w:spacing w:after="0" w:line="216" w:lineRule="exact"/>
        <w:rPr>
          <w:sz w:val="24"/>
          <w:szCs w:val="24"/>
          <w:color w:val="auto"/>
        </w:rPr>
      </w:pPr>
    </w:p>
    <w:p>
      <w:pPr>
        <w:ind w:left="1020"/>
        <w:spacing w:after="0"/>
        <w:tabs>
          <w:tab w:leader="none" w:pos="6560"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6"/>
          <w:szCs w:val="16"/>
          <w:color w:val="auto"/>
        </w:rPr>
        <w:t>March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14605</wp:posOffset>
            </wp:positionV>
            <wp:extent cx="52031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219" w:lineRule="exact"/>
        <w:rPr>
          <w:sz w:val="24"/>
          <w:szCs w:val="24"/>
          <w:color w:val="auto"/>
        </w:rPr>
      </w:pPr>
    </w:p>
    <w:p>
      <w:pPr>
        <w:ind w:left="1260" w:hanging="240"/>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1260" w:hanging="240"/>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260" w:hanging="240"/>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020" w:right="7640"/>
        <w:spacing w:after="0" w:line="321" w:lineRule="auto"/>
        <w:tabs>
          <w:tab w:leader="none" w:pos="125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-38735</wp:posOffset>
            </wp:positionV>
            <wp:extent cx="4705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235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35585"/>
                    </a:xfrm>
                    <a:prstGeom prst="rect">
                      <a:avLst/>
                    </a:prstGeom>
                    <a:noFill/>
                  </pic:spPr>
                </pic:pic>
              </a:graphicData>
            </a:graphic>
          </wp:anchor>
        </w:drawing>
      </w:r>
    </w:p>
    <w:p>
      <w:pPr>
        <w:spacing w:after="0" w:line="19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Churchill Capital Corp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640 Fifth Avenue, 12th Floor</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820" w:hanging="313"/>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3" w:lineRule="exact"/>
        <w:rPr>
          <w:rFonts w:ascii="Arial" w:cs="Arial" w:eastAsia="Arial" w:hAnsi="Arial"/>
          <w:sz w:val="18"/>
          <w:szCs w:val="18"/>
          <w:color w:val="auto"/>
        </w:rPr>
      </w:pPr>
    </w:p>
    <w:p>
      <w:pPr>
        <w:ind w:left="820" w:hanging="313"/>
        <w:spacing w:after="0"/>
        <w:tabs>
          <w:tab w:leader="none" w:pos="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 portion</w:t>
      </w:r>
    </w:p>
    <w:p>
      <w:pPr>
        <w:spacing w:after="0" w:line="32" w:lineRule="exact"/>
        <w:rPr>
          <w:rFonts w:ascii="Arial" w:cs="Arial" w:eastAsia="Arial" w:hAnsi="Arial"/>
          <w:sz w:val="16"/>
          <w:szCs w:val="16"/>
          <w:color w:val="auto"/>
        </w:rPr>
      </w:pPr>
    </w:p>
    <w:p>
      <w:pPr>
        <w:ind w:left="820" w:right="60" w:hanging="670"/>
        <w:spacing w:after="0" w:line="200" w:lineRule="auto"/>
        <w:tabs>
          <w:tab w:leader="none" w:pos="820" w:val="left"/>
        </w:tabs>
        <w:numPr>
          <w:ilvl w:val="0"/>
          <w:numId w:val="3"/>
        </w:numPr>
        <w:rPr>
          <w:rFonts w:ascii="MS PGothic" w:cs="MS PGothic" w:eastAsia="MS PGothic" w:hAnsi="MS PGothic"/>
          <w:sz w:val="36"/>
          <w:szCs w:val="36"/>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820" w:hanging="313"/>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-816610</wp:posOffset>
            </wp:positionV>
            <wp:extent cx="8255"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 (Attach extra Sheets if Needed)</w:t>
      </w:r>
    </w:p>
    <w:p>
      <w:pPr>
        <w:spacing w:after="0" w:line="1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Churchill Capital Corp IV (the “Company”) has determined that it is unable, without unreasonable effort or expense, to file its Quarterly Report on Form 10-Q for the fiscal quarter ended March 31, 2021 (the “Form 10-Q”) by the prescribed due date for the reasons described below.</w:t>
      </w:r>
    </w:p>
    <w:p>
      <w:pPr>
        <w:spacing w:after="0" w:line="14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Securities and Exchange Commission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w:t>
      </w:r>
    </w:p>
    <w:p>
      <w:pPr>
        <w:spacing w:after="0" w:line="16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Company previously classified its public warrants and private placement warrants issued in connection with the Company’s initial public offering (the “Warrants”) as equity instruments. Upon further consideration of the rules and guidance, management of the Company concluded that the Warrants are precluded from equity classification. As a result, the Warrants should be recorded as liabilities on the balance sheet and measured at fair value at inception and on a recurring basis with changes in fair value recognized in the statement of operations in accordance with applicable accounting standards.</w:t>
      </w:r>
    </w:p>
    <w:p>
      <w:pPr>
        <w:spacing w:after="0" w:line="15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May 14, 2021, the Company’s management and the Audit Committee of the Company’s Board of Directors, after consultation with management and a discussion with Marcum LLP, the Company’s independent registered public accounting firm, concluded that its financial statements as of December 31, 2020; as of August 3, 2020; for the period from April 30, 2020 (inception) through December 31, 2020; and as of and for the period ended September 30, 2020 (collectively, the “Non-Reliance Periods”) should no longer be relied upon and are to be restated due to the error described above.</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May 14, 2021, the Company filed a Form 8-K announcing that its financial statements for the Non-Reliance Periods should no longer be relied upon. On May 14, 2021, the Company also filed a Form 10-K/A to amend the Company’s Annual Report on Form 10-K for the year ended December 31, 2020 to restate the financial statements for the Non-Reliance Periods. The Company is reviewing the impacts of the corrections on the Company’s unaudited financial statements for the quarterly period ended March 31, 2021. As a result of the foregoing, as well as the time and dedication of resources needed to prepare the Form 10-Q, the Company was unable to provide complete financial results for the quarterly period ended March 31, 2021 and file the Form 10-Q by the required due date of May 17, 2021 without unreasonable effort and expense. The Company is working diligently and currently expects to file its Form 10-Q within five calendar days, but ultimately may not be able to do so.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Jay Taragin</w:t>
            </w:r>
          </w:p>
        </w:tc>
        <w:tc>
          <w:tcPr>
            <w:tcW w:w="2240" w:type="dxa"/>
            <w:vAlign w:val="bottom"/>
          </w:tcPr>
          <w:p>
            <w:pPr>
              <w:jc w:val="right"/>
              <w:ind w:right="890"/>
              <w:spacing w:after="0"/>
              <w:rPr>
                <w:sz w:val="20"/>
                <w:szCs w:val="20"/>
                <w:color w:val="auto"/>
              </w:rPr>
            </w:pPr>
            <w:r>
              <w:rPr>
                <w:rFonts w:ascii="Arial" w:cs="Arial" w:eastAsia="Arial" w:hAnsi="Arial"/>
                <w:sz w:val="18"/>
                <w:szCs w:val="18"/>
                <w:color w:val="auto"/>
              </w:rPr>
              <w:t>212</w:t>
            </w:r>
          </w:p>
        </w:tc>
        <w:tc>
          <w:tcPr>
            <w:tcW w:w="460" w:type="dxa"/>
            <w:vAlign w:val="bottom"/>
          </w:tcPr>
          <w:p>
            <w:pPr>
              <w:spacing w:after="0"/>
              <w:rPr>
                <w:sz w:val="20"/>
                <w:szCs w:val="20"/>
                <w:color w:val="auto"/>
              </w:rPr>
            </w:pPr>
          </w:p>
        </w:tc>
        <w:tc>
          <w:tcPr>
            <w:tcW w:w="3460" w:type="dxa"/>
            <w:vAlign w:val="bottom"/>
          </w:tcPr>
          <w:p>
            <w:pPr>
              <w:jc w:val="right"/>
              <w:ind w:right="1290"/>
              <w:spacing w:after="0"/>
              <w:rPr>
                <w:sz w:val="20"/>
                <w:szCs w:val="20"/>
                <w:color w:val="auto"/>
              </w:rPr>
            </w:pPr>
            <w:r>
              <w:rPr>
                <w:rFonts w:ascii="Arial" w:cs="Arial" w:eastAsia="Arial" w:hAnsi="Arial"/>
                <w:sz w:val="18"/>
                <w:szCs w:val="18"/>
                <w:color w:val="auto"/>
              </w:rPr>
              <w:t>632-3764</w:t>
            </w:r>
          </w:p>
        </w:tc>
      </w:tr>
      <w:tr>
        <w:trPr>
          <w:trHeight w:val="224"/>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46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46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340" w:hanging="332"/>
        <w:spacing w:after="0" w:line="28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 If answer is no,</w:t>
      </w:r>
    </w:p>
    <w:p>
      <w:pPr>
        <w:spacing w:after="0" w:line="1" w:lineRule="exact"/>
        <w:rPr>
          <w:sz w:val="20"/>
          <w:szCs w:val="20"/>
          <w:color w:val="auto"/>
        </w:rPr>
      </w:pPr>
    </w:p>
    <w:p>
      <w:pPr>
        <w:ind w:left="340"/>
        <w:spacing w:after="0" w:line="207" w:lineRule="exact"/>
        <w:tabs>
          <w:tab w:leader="none" w:pos="2620" w:val="left"/>
        </w:tabs>
        <w:rPr>
          <w:sz w:val="20"/>
          <w:szCs w:val="20"/>
          <w:color w:val="auto"/>
        </w:rPr>
      </w:pPr>
      <w:r>
        <w:rPr>
          <w:rFonts w:ascii="Arial" w:cs="Arial" w:eastAsia="Arial" w:hAnsi="Arial"/>
          <w:sz w:val="18"/>
          <w:szCs w:val="18"/>
          <w:color w:val="auto"/>
        </w:rPr>
        <w:t>identify report(s).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ectPr>
          <w:pgSz w:w="11900" w:h="16838" w:orient="portrait"/>
          <w:cols w:equalWidth="0" w:num="1">
            <w:col w:w="11240"/>
          </w:cols>
          <w:pgMar w:left="320" w:top="904" w:right="339" w:bottom="1440" w:gutter="0" w:footer="0" w:header="0"/>
        </w:sectPr>
      </w:pPr>
    </w:p>
    <w:p>
      <w:pPr>
        <w:spacing w:after="0" w:line="243" w:lineRule="exact"/>
        <w:rPr>
          <w:sz w:val="20"/>
          <w:szCs w:val="20"/>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Is it anticipated that any significant change in results of operations from the earnings statements to be included in the subject report or portion thereof?</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hanging="640"/>
        <w:spacing w:after="0" w:line="233" w:lineRule="exact"/>
        <w:rPr>
          <w:sz w:val="20"/>
          <w:szCs w:val="20"/>
          <w:color w:val="auto"/>
        </w:rPr>
      </w:pPr>
      <w:r>
        <w:rPr>
          <w:rFonts w:ascii="Arial" w:cs="Arial" w:eastAsia="Arial" w:hAnsi="Arial"/>
          <w:sz w:val="18"/>
          <w:szCs w:val="18"/>
          <w:color w:val="auto"/>
        </w:rPr>
        <w:t xml:space="preserve">corresponding period for the last fiscal year will be reflected by the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sectPr>
          <w:pgSz w:w="11900" w:h="16838" w:orient="portrait"/>
          <w:cols w:equalWidth="0" w:num="2">
            <w:col w:w="6060" w:space="700"/>
            <w:col w:w="4480"/>
          </w:cols>
          <w:pgMar w:left="320" w:top="904" w:right="339" w:bottom="1440" w:gutter="0" w:footer="0" w:header="0"/>
          <w:type w:val="continuous"/>
        </w:sectPr>
      </w:pPr>
    </w:p>
    <w:p>
      <w:pPr>
        <w:ind w:left="340" w:right="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ind w:right="60"/>
        <w:spacing w:after="0" w:line="263" w:lineRule="auto"/>
        <w:rPr>
          <w:sz w:val="20"/>
          <w:szCs w:val="20"/>
          <w:color w:val="auto"/>
        </w:rPr>
      </w:pPr>
      <w:r>
        <w:rPr>
          <w:rFonts w:ascii="Arial" w:cs="Arial" w:eastAsia="Arial" w:hAnsi="Arial"/>
          <w:sz w:val="18"/>
          <w:szCs w:val="18"/>
          <w:color w:val="auto"/>
        </w:rPr>
        <w:t>The Company is a blank check company formed for the purposes of effecting a business combination with one or more businesses. The Company was incorporated under the laws of Delaware on April 30, 2020, and, as a result there is no corresponding quarterly information for the period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Form 12b-25 includes “forward-looking statements” within the meaning of the “safe harbor” provisions of the Private Securities Litigation Reform Act of 1995. The Company’s actual results may differ from their expectations, estimates and projections and consequently, you should not rely on these forward-looking statements as predictions of future events. Words such as “expect,” “estimate,” “anticipate,” “intend,” “plan,” “may,” “will,” “could,” “should,” “believes,” “continue,” and similar expressions are intended to identify such forward-looking statements. These forward-looking statements include, without limitation, the completion of the Company’s quarterly review procedures, many of which are outside the Company’s control, the Company’s expectations with respect to the timing of the filing of its Quarterly Report on Form 10-Q for the fiscal quarter ended March 31, 2021 and the restatement. These forward-looking statements involve significant risks and uncertainties that could cause the actual results to differ materially from the expected results, including those under “Risk Factors” in our Annual Report on Form 10-K/A filed with the SEC on May 14, 2021 and in subsequent reports filed with the SEC. Most of these factors are outside the Company’s control and are difficult to predict.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Churchill Capital Corp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17, 2021</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Jay Taragin</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Jay Taragin</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2" w:lineRule="exact"/>
        <w:rPr>
          <w:sz w:val="20"/>
          <w:szCs w:val="20"/>
          <w:color w:val="auto"/>
        </w:rPr>
      </w:pPr>
    </w:p>
    <w:p>
      <w:pPr>
        <w:jc w:val="both"/>
        <w:ind w:left="20" w:right="40"/>
        <w:spacing w:after="0" w:line="311" w:lineRule="auto"/>
        <w:rPr>
          <w:sz w:val="20"/>
          <w:szCs w:val="20"/>
          <w:color w:val="auto"/>
        </w:rPr>
      </w:pPr>
      <w:r>
        <w:rPr>
          <w:rFonts w:ascii="Arial" w:cs="Arial" w:eastAsia="Arial" w:hAnsi="Arial"/>
          <w:sz w:val="16"/>
          <w:szCs w:val="16"/>
          <w:color w:val="1A171C"/>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3"/>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2021-05-17T23:24:18Z</dcterms:created>
  <dcterms:modified xsi:type="dcterms:W3CDTF">2021-05-17T23:24:18Z</dcterms:modified>
</cp:coreProperties>
</file>