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8-K/A</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171450</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22, 2021</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-232410</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280"/>
        <w:spacing w:after="0"/>
        <w:rPr>
          <w:sz w:val="20"/>
          <w:szCs w:val="20"/>
          <w:color w:val="auto"/>
        </w:rPr>
      </w:pPr>
      <w:r>
        <w:rPr>
          <w:rFonts w:ascii="Arial" w:cs="Arial" w:eastAsia="Arial" w:hAnsi="Arial"/>
          <w:sz w:val="16"/>
          <w:szCs w:val="16"/>
          <w:color w:val="auto"/>
        </w:rPr>
        <w:t>(State or other</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7"/>
          <w:szCs w:val="17"/>
          <w:color w:val="auto"/>
        </w:rPr>
        <w:t>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172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40"/>
        <w:spacing w:after="0"/>
        <w:rPr>
          <w:sz w:val="20"/>
          <w:szCs w:val="20"/>
          <w:color w:val="auto"/>
        </w:rPr>
      </w:pPr>
      <w:r>
        <w:rPr>
          <w:rFonts w:ascii="Arial" w:cs="Arial" w:eastAsia="Arial" w:hAnsi="Arial"/>
          <w:sz w:val="17"/>
          <w:szCs w:val="17"/>
          <w:color w:val="auto"/>
        </w:rPr>
        <w:t>Identification No.)</w:t>
      </w:r>
    </w:p>
    <w:p>
      <w:pPr>
        <w:spacing w:after="0" w:line="20" w:lineRule="exact"/>
        <w:rPr>
          <w:sz w:val="24"/>
          <w:szCs w:val="24"/>
          <w:color w:val="auto"/>
        </w:rPr>
      </w:pPr>
    </w:p>
    <w:p>
      <w:pPr>
        <w:sectPr>
          <w:pgSz w:w="11900" w:h="16838" w:orient="portrait"/>
          <w:cols w:equalWidth="0" w:num="3">
            <w:col w:w="4220" w:space="720"/>
            <w:col w:w="3000" w:space="720"/>
            <w:col w:w="2580"/>
          </w:cols>
          <w:pgMar w:left="320" w:top="441" w:right="339" w:bottom="1440" w:gutter="0" w:footer="0" w:header="0"/>
          <w:type w:val="continuous"/>
        </w:sectPr>
      </w:pPr>
    </w:p>
    <w:p>
      <w:pPr>
        <w:ind w:left="130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240"/>
          </w:cols>
          <w:pgMar w:left="320" w:top="441" w:right="339" w:bottom="1440" w:gutter="0" w:footer="0" w:header="0"/>
          <w:type w:val="continuous"/>
        </w:sectPr>
      </w:pPr>
    </w:p>
    <w:p>
      <w:pPr>
        <w:spacing w:after="0" w:line="230"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7373 Gateway Blvd</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46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4"/>
          <w:szCs w:val="24"/>
          <w:color w:val="auto"/>
        </w:rPr>
      </w:pPr>
    </w:p>
    <w:p>
      <w:pPr>
        <w:jc w:val="center"/>
        <w:ind w:right="2460"/>
        <w:spacing w:after="0"/>
        <w:rPr>
          <w:sz w:val="20"/>
          <w:szCs w:val="20"/>
          <w:color w:val="auto"/>
        </w:rPr>
      </w:pPr>
      <w:r>
        <w:rPr>
          <w:rFonts w:ascii="Arial" w:cs="Arial" w:eastAsia="Arial" w:hAnsi="Arial"/>
          <w:sz w:val="16"/>
          <w:szCs w:val="16"/>
          <w:color w:val="auto"/>
        </w:rPr>
        <w:t>(Zip Code)</w:t>
      </w:r>
    </w:p>
    <w:p>
      <w:pPr>
        <w:spacing w:after="0" w:line="415" w:lineRule="exact"/>
        <w:rPr>
          <w:sz w:val="24"/>
          <w:szCs w:val="24"/>
          <w:color w:val="auto"/>
        </w:rPr>
      </w:pPr>
    </w:p>
    <w:p>
      <w:pPr>
        <w:sectPr>
          <w:pgSz w:w="11900" w:h="16838" w:orient="portrait"/>
          <w:cols w:equalWidth="0" w:num="2">
            <w:col w:w="7260" w:space="720"/>
            <w:col w:w="3260"/>
          </w:cols>
          <w:pgMar w:left="320" w:top="441" w:right="339" w:bottom="1440" w:gutter="0" w:footer="0" w:header="0"/>
          <w:type w:val="continuous"/>
        </w:sectPr>
      </w:pPr>
    </w:p>
    <w:p>
      <w:pPr>
        <w:spacing w:after="0" w:line="34"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Registrant’s telephone number, including area code: (510) 648-3553</w:t>
      </w:r>
    </w:p>
    <w:p>
      <w:pPr>
        <w:spacing w:after="0" w:line="181"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Churchill Capital Corp IV</w:t>
      </w:r>
    </w:p>
    <w:p>
      <w:pPr>
        <w:jc w:val="center"/>
        <w:ind w:right="100"/>
        <w:spacing w:after="0" w:line="205" w:lineRule="auto"/>
        <w:rPr>
          <w:sz w:val="20"/>
          <w:szCs w:val="20"/>
          <w:color w:val="auto"/>
        </w:rPr>
      </w:pPr>
      <w:r>
        <w:rPr>
          <w:rFonts w:ascii="Arial" w:cs="Arial" w:eastAsia="Arial" w:hAnsi="Arial"/>
          <w:sz w:val="18"/>
          <w:szCs w:val="18"/>
          <w:b w:val="1"/>
          <w:bCs w:val="1"/>
          <w:color w:val="auto"/>
        </w:rPr>
        <w:t>640 Fifth Avenue, 12</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New York, NY 10019</w:t>
      </w:r>
    </w:p>
    <w:p>
      <w:pPr>
        <w:spacing w:after="0" w:line="7"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211455</wp:posOffset>
            </wp:positionV>
            <wp:extent cx="2194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Trading</w:t>
            </w:r>
          </w:p>
        </w:tc>
        <w:tc>
          <w:tcPr>
            <w:tcW w:w="3460" w:type="dxa"/>
            <w:vAlign w:val="bottom"/>
          </w:tcPr>
          <w:p>
            <w:pPr>
              <w:spacing w:after="0"/>
              <w:rPr>
                <w:sz w:val="18"/>
                <w:szCs w:val="18"/>
                <w:color w:val="auto"/>
              </w:rPr>
            </w:pPr>
          </w:p>
        </w:tc>
      </w:tr>
      <w:tr>
        <w:trPr>
          <w:trHeight w:val="234"/>
        </w:trPr>
        <w:tc>
          <w:tcPr>
            <w:tcW w:w="3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4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Symbol</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5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w:t>
            </w:r>
          </w:p>
        </w:tc>
        <w:tc>
          <w:tcPr>
            <w:tcW w:w="220" w:type="dxa"/>
            <w:vAlign w:val="bottom"/>
          </w:tcPr>
          <w:p>
            <w:pPr>
              <w:spacing w:after="0"/>
              <w:rPr>
                <w:sz w:val="16"/>
                <w:szCs w:val="16"/>
                <w:color w:val="auto"/>
              </w:rPr>
            </w:pPr>
          </w:p>
        </w:tc>
        <w:tc>
          <w:tcPr>
            <w:tcW w:w="38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460" w:type="dxa"/>
            <w:vAlign w:val="bottom"/>
            <w:tcBorders>
              <w:top w:val="single" w:sz="8" w:color="auto"/>
            </w:tcBorders>
          </w:tcPr>
          <w:p>
            <w:pPr>
              <w:spacing w:after="0"/>
              <w:rPr>
                <w:sz w:val="16"/>
                <w:szCs w:val="16"/>
                <w:color w:val="auto"/>
              </w:rPr>
            </w:pPr>
          </w:p>
        </w:tc>
      </w:tr>
      <w:tr>
        <w:trPr>
          <w:trHeight w:val="230"/>
        </w:trPr>
        <w:tc>
          <w:tcPr>
            <w:tcW w:w="37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per share</w:t>
            </w:r>
          </w:p>
        </w:tc>
        <w:tc>
          <w:tcPr>
            <w:tcW w:w="4060" w:type="dxa"/>
            <w:vAlign w:val="bottom"/>
            <w:gridSpan w:val="2"/>
          </w:tcPr>
          <w:p>
            <w:pPr>
              <w:jc w:val="center"/>
              <w:ind w:right="240"/>
              <w:spacing w:after="0"/>
              <w:rPr>
                <w:sz w:val="20"/>
                <w:szCs w:val="20"/>
                <w:color w:val="auto"/>
              </w:rPr>
            </w:pPr>
            <w:r>
              <w:rPr>
                <w:rFonts w:ascii="Arial" w:cs="Arial" w:eastAsia="Arial" w:hAnsi="Arial"/>
                <w:sz w:val="18"/>
                <w:szCs w:val="18"/>
                <w:color w:val="auto"/>
              </w:rPr>
              <w:t>LCID</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83"/>
        </w:trPr>
        <w:tc>
          <w:tcPr>
            <w:tcW w:w="37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Warrants, each exercisable for one share of</w:t>
            </w:r>
          </w:p>
        </w:tc>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16"/>
        </w:trPr>
        <w:tc>
          <w:tcPr>
            <w:tcW w:w="37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Class A Common Stock at an exercise price of</w:t>
            </w:r>
          </w:p>
        </w:tc>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30"/>
        </w:trPr>
        <w:tc>
          <w:tcPr>
            <w:tcW w:w="37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$11.50 per share</w:t>
            </w:r>
          </w:p>
        </w:tc>
        <w:tc>
          <w:tcPr>
            <w:tcW w:w="40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LCIDW</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On July 26, 2021, Lucid Group, Inc., a Delaware corporation (the “</w:t>
      </w:r>
      <w:r>
        <w:rPr>
          <w:rFonts w:ascii="Arial" w:cs="Arial" w:eastAsia="Arial" w:hAnsi="Arial"/>
          <w:sz w:val="17"/>
          <w:szCs w:val="17"/>
          <w:i w:val="1"/>
          <w:iCs w:val="1"/>
          <w:color w:val="auto"/>
        </w:rPr>
        <w:t>Company</w:t>
      </w:r>
      <w:r>
        <w:rPr>
          <w:rFonts w:ascii="Arial" w:cs="Arial" w:eastAsia="Arial" w:hAnsi="Arial"/>
          <w:sz w:val="17"/>
          <w:szCs w:val="17"/>
          <w:color w:val="auto"/>
        </w:rPr>
        <w:t>”), filed a Current Report on Form 8-K (the “</w:t>
      </w:r>
      <w:r>
        <w:rPr>
          <w:rFonts w:ascii="Arial" w:cs="Arial" w:eastAsia="Arial" w:hAnsi="Arial"/>
          <w:sz w:val="17"/>
          <w:szCs w:val="17"/>
          <w:i w:val="1"/>
          <w:iCs w:val="1"/>
          <w:color w:val="auto"/>
        </w:rPr>
        <w:t>Original Report</w:t>
      </w:r>
      <w:r>
        <w:rPr>
          <w:rFonts w:ascii="Arial" w:cs="Arial" w:eastAsia="Arial" w:hAnsi="Arial"/>
          <w:sz w:val="17"/>
          <w:szCs w:val="17"/>
          <w:color w:val="auto"/>
        </w:rPr>
        <w:t>”) to report the Closing and related matters under Items 1.01, 2.01, 3.02, 4.01, 5.01, 5.02, 5.07, 8.01 and 9.01 of Form 8-K. Due to the large number of events to be reported under the specified items of Form 8-K, this Amendment No. 1 to the Original Report (this “</w:t>
      </w:r>
      <w:r>
        <w:rPr>
          <w:rFonts w:ascii="Arial" w:cs="Arial" w:eastAsia="Arial" w:hAnsi="Arial"/>
          <w:sz w:val="17"/>
          <w:szCs w:val="17"/>
          <w:i w:val="1"/>
          <w:iCs w:val="1"/>
          <w:color w:val="auto"/>
        </w:rPr>
        <w:t>Amendment No. 1</w:t>
      </w:r>
      <w:r>
        <w:rPr>
          <w:rFonts w:ascii="Arial" w:cs="Arial" w:eastAsia="Arial" w:hAnsi="Arial"/>
          <w:sz w:val="17"/>
          <w:szCs w:val="17"/>
          <w:color w:val="auto"/>
        </w:rPr>
        <w:t>”) is being filed to amend the Original Report to include additional matters related to the Transactions under Items 3.03, 5.03, 5.05 and 5.06 of Form 8-K.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but not defined herein have the meanings given to such terms in the Original Report.</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consummation of the Transactions, the Company changed its name to Lucid Group, Inc. and adopted the Second Amended and Restated Certificate of Incorporation and Amended and Restated Bylaws, each effective as of the Closing Date.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in Item 2.01 of the Original Report, Common Stock and Company’s public warrants commenced trading on Nasdaq under the symbols “LCID” and “LCIDW,” respectively, on July 26, 2021, subject to ongoing review of the Company’s satisfaction of all listing criteria following the business combination, in lieu of Churchill’s public shares and public warrants. Churchill’s public shares, public warrants and units ceased trading separately on the New York Stock Exchange on July 23,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Amended and Restated Certificate of Incorporation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Churchill’s stockholders approved the Second Amended and Restated Certificate of Incorporation (the “</w:t>
      </w:r>
      <w:r>
        <w:rPr>
          <w:rFonts w:ascii="Arial" w:cs="Arial" w:eastAsia="Arial" w:hAnsi="Arial"/>
          <w:sz w:val="18"/>
          <w:szCs w:val="18"/>
          <w:i w:val="1"/>
          <w:iCs w:val="1"/>
          <w:color w:val="auto"/>
        </w:rPr>
        <w:t>Second Amended and Restated Certificate of</w:t>
      </w:r>
      <w:r>
        <w:rPr>
          <w:rFonts w:ascii="Arial" w:cs="Arial" w:eastAsia="Arial" w:hAnsi="Arial"/>
          <w:sz w:val="18"/>
          <w:szCs w:val="18"/>
          <w:color w:val="auto"/>
        </w:rPr>
        <w:t xml:space="preserve"> </w:t>
      </w:r>
      <w:r>
        <w:rPr>
          <w:rFonts w:ascii="Arial" w:cs="Arial" w:eastAsia="Arial" w:hAnsi="Arial"/>
          <w:sz w:val="18"/>
          <w:szCs w:val="18"/>
          <w:i w:val="1"/>
          <w:iCs w:val="1"/>
          <w:color w:val="auto"/>
        </w:rPr>
        <w:t>Incorporation</w:t>
      </w:r>
      <w:r>
        <w:rPr>
          <w:rFonts w:ascii="Arial" w:cs="Arial" w:eastAsia="Arial" w:hAnsi="Arial"/>
          <w:sz w:val="18"/>
          <w:szCs w:val="18"/>
          <w:color w:val="auto"/>
        </w:rPr>
        <w:t>”) at the Special Meeting, and the Second Amended and Restated Certificate of Incorporation became the effective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of the Company upon the Closing.</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material terms of the Second Amended and Restated Certificate of Incorporation and the general effect upon the rights of holders of the Company’s capital stock are contained in the Proxy Statement/Prospectus in the Sections entitled “</w:t>
      </w:r>
      <w:r>
        <w:rPr>
          <w:rFonts w:ascii="Arial" w:cs="Arial" w:eastAsia="Arial" w:hAnsi="Arial"/>
          <w:sz w:val="17"/>
          <w:szCs w:val="17"/>
          <w:i w:val="1"/>
          <w:iCs w:val="1"/>
          <w:color w:val="auto"/>
        </w:rPr>
        <w:t>Proposal No. 2—The Charter Proposal</w:t>
      </w:r>
      <w:r>
        <w:rPr>
          <w:rFonts w:ascii="Arial" w:cs="Arial" w:eastAsia="Arial" w:hAnsi="Arial"/>
          <w:sz w:val="17"/>
          <w:szCs w:val="17"/>
          <w:color w:val="auto"/>
        </w:rPr>
        <w:t>,” “</w:t>
      </w:r>
      <w:r>
        <w:rPr>
          <w:rFonts w:ascii="Arial" w:cs="Arial" w:eastAsia="Arial" w:hAnsi="Arial"/>
          <w:sz w:val="17"/>
          <w:szCs w:val="17"/>
          <w:i w:val="1"/>
          <w:iCs w:val="1"/>
          <w:color w:val="auto"/>
        </w:rPr>
        <w:t>Proposal No. 3—The</w:t>
      </w:r>
      <w:r>
        <w:rPr>
          <w:rFonts w:ascii="Arial" w:cs="Arial" w:eastAsia="Arial" w:hAnsi="Arial"/>
          <w:sz w:val="17"/>
          <w:szCs w:val="17"/>
          <w:color w:val="auto"/>
        </w:rPr>
        <w:t xml:space="preserve"> </w:t>
      </w:r>
      <w:r>
        <w:rPr>
          <w:rFonts w:ascii="Arial" w:cs="Arial" w:eastAsia="Arial" w:hAnsi="Arial"/>
          <w:sz w:val="17"/>
          <w:szCs w:val="17"/>
          <w:i w:val="1"/>
          <w:iCs w:val="1"/>
          <w:color w:val="auto"/>
        </w:rPr>
        <w:t>Governance Proposal—Proposal No. 3A: Change in Authorized Shares</w:t>
      </w:r>
      <w:r>
        <w:rPr>
          <w:rFonts w:ascii="Arial" w:cs="Arial" w:eastAsia="Arial" w:hAnsi="Arial"/>
          <w:sz w:val="17"/>
          <w:szCs w:val="17"/>
          <w:color w:val="auto"/>
        </w:rPr>
        <w:t>,” “</w:t>
      </w:r>
      <w:r>
        <w:rPr>
          <w:rFonts w:ascii="Arial" w:cs="Arial" w:eastAsia="Arial" w:hAnsi="Arial"/>
          <w:sz w:val="17"/>
          <w:szCs w:val="17"/>
          <w:i w:val="1"/>
          <w:iCs w:val="1"/>
          <w:color w:val="auto"/>
        </w:rPr>
        <w:t>Proposal No. 3—The Governance Proposal—Proposal No. 3B: Action by Written Consent</w:t>
      </w:r>
      <w:r>
        <w:rPr>
          <w:rFonts w:ascii="Arial" w:cs="Arial" w:eastAsia="Arial" w:hAnsi="Arial"/>
          <w:sz w:val="17"/>
          <w:szCs w:val="17"/>
          <w:color w:val="auto"/>
        </w:rPr>
        <w:t>, “</w:t>
      </w:r>
      <w:r>
        <w:rPr>
          <w:rFonts w:ascii="Arial" w:cs="Arial" w:eastAsia="Arial" w:hAnsi="Arial"/>
          <w:sz w:val="17"/>
          <w:szCs w:val="17"/>
          <w:i w:val="1"/>
          <w:iCs w:val="1"/>
          <w:color w:val="auto"/>
        </w:rPr>
        <w:t>Proposal No. 3—The Governance Proposal—Proposal No. 3C: Declassification of Churchill Board</w:t>
      </w:r>
      <w:r>
        <w:rPr>
          <w:rFonts w:ascii="Arial" w:cs="Arial" w:eastAsia="Arial" w:hAnsi="Arial"/>
          <w:sz w:val="17"/>
          <w:szCs w:val="17"/>
          <w:color w:val="auto"/>
        </w:rPr>
        <w:t>,” “</w:t>
      </w:r>
      <w:r>
        <w:rPr>
          <w:rFonts w:ascii="Arial" w:cs="Arial" w:eastAsia="Arial" w:hAnsi="Arial"/>
          <w:sz w:val="17"/>
          <w:szCs w:val="17"/>
          <w:i w:val="1"/>
          <w:iCs w:val="1"/>
          <w:color w:val="auto"/>
        </w:rPr>
        <w:t>Description of Securities</w:t>
      </w:r>
      <w:r>
        <w:rPr>
          <w:rFonts w:ascii="Arial" w:cs="Arial" w:eastAsia="Arial" w:hAnsi="Arial"/>
          <w:sz w:val="17"/>
          <w:szCs w:val="17"/>
          <w:color w:val="auto"/>
        </w:rPr>
        <w:t>” and</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Comparison of Stockholder Rights</w:t>
      </w:r>
      <w:r>
        <w:rPr>
          <w:rFonts w:ascii="Arial" w:cs="Arial" w:eastAsia="Arial" w:hAnsi="Arial"/>
          <w:sz w:val="17"/>
          <w:szCs w:val="17"/>
          <w:color w:val="auto"/>
        </w:rPr>
        <w:t>” beginning on pages 176, 178, 278 and 287 thereof, respectively, each of which is incorporated herein by reference. The information set forth in Item 2.01 of the Original Report relating to the description of the registrant’s securities is also incorporated herein by reference. The descriptions incorporated herein by reference are qualified in their entirety by reference to the text of the Second Amended and Restated Certificate of Incorporation, which is included as Exhibit 3.1 hereto and incorporated herein by reference.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Bylaws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Closing, the Company’s bylaws were amended and restated to be consistent with the Second Amended and Restated Certificate of Incorporation and to make certain other changes that Churchill’s board of directors deemed appropriate for a public company.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summary is qualified in its entirety by reference to the text of the Amended and Restated Bylaws, which is filed as Exhibit 3.2 hereto and incorporated herein by reference.</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material terms of the Amended and Restated Bylaws and the general effect upon the rights of holders of the Company’s capital stock are contained in the Proxy Statement/Prospectus in the Sections entitled “Description of Securities” and Comparison of Stockholder Rights” beginning on pages 278 and 287 thereof, respectively, each of which is incorporated herein by reference. The information set forth in Item 2.01 of the Original Report relating to the description of the registrant’s securities is also incorporated herein by reference. The descriptions incorporated herein by reference are qualified in their entirety by reference to the text of the Amended and Restated Bylaws, which is included as Exhibit 3.2 hereto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line="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3.03 of this Amendment No. 1 is incorporated in this Item 5.03 by reference.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5.05.</w:t>
      </w:r>
      <w:r>
        <w:rPr>
          <w:sz w:val="20"/>
          <w:szCs w:val="20"/>
          <w:color w:val="auto"/>
        </w:rPr>
        <w:tab/>
      </w:r>
      <w:r>
        <w:rPr>
          <w:rFonts w:ascii="Arial" w:cs="Arial" w:eastAsia="Arial" w:hAnsi="Arial"/>
          <w:sz w:val="16"/>
          <w:szCs w:val="16"/>
          <w:b w:val="1"/>
          <w:bCs w:val="1"/>
          <w:color w:val="auto"/>
        </w:rPr>
        <w:t>Amendments to the Registrant’s Code of Ethics, or Waiver of a Provision of the Code of Ethics.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July 23, 2021, the Board adopted a new Code of Business Conduct and Ethics (the “</w:t>
      </w:r>
      <w:r>
        <w:rPr>
          <w:rFonts w:ascii="Arial" w:cs="Arial" w:eastAsia="Arial" w:hAnsi="Arial"/>
          <w:sz w:val="18"/>
          <w:szCs w:val="18"/>
          <w:i w:val="1"/>
          <w:iCs w:val="1"/>
          <w:color w:val="auto"/>
        </w:rPr>
        <w:t>Revised Code</w:t>
      </w:r>
      <w:r>
        <w:rPr>
          <w:rFonts w:ascii="Arial" w:cs="Arial" w:eastAsia="Arial" w:hAnsi="Arial"/>
          <w:sz w:val="18"/>
          <w:szCs w:val="18"/>
          <w:color w:val="auto"/>
        </w:rPr>
        <w:t>”). The Revised Code applies to all employees, officers and directors of the Company, as well as to the Company’s independent contractors. The Revised Code was adopted to reflect what the Company considers to be current best practices and policies for an operating company and to make certain technical, administrative, non-substantive amendments to the prior Code of Business Conduct and Ethics. The adoption of the Revised Code did not relate to or result in any waiver, explicit or implicit, of any provision of the prior Code of Business Conduct and Ethics.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above description of the Revised Code does not purport to be complete and is qualified in its entirety by reference to the full text of the Revised Code, a copy of which is filed as Exhibit 14.1 hereto and incorporated herein by reference. The Revised Code is also available on the Company’s investor relations website (ir.LucidMotors.com) under the link “ir.LucidMotors.com/governance/documents-and-charters.” The contents of the Company’s website are not incorporated by reference in this Amendment No. 1 or made a part hereof for any purpose.</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5.06.</w:t>
      </w:r>
      <w:r>
        <w:rPr>
          <w:sz w:val="20"/>
          <w:szCs w:val="20"/>
          <w:color w:val="auto"/>
        </w:rPr>
        <w:tab/>
      </w:r>
      <w:r>
        <w:rPr>
          <w:rFonts w:ascii="Arial" w:cs="Arial" w:eastAsia="Arial" w:hAnsi="Arial"/>
          <w:sz w:val="16"/>
          <w:szCs w:val="16"/>
          <w:b w:val="1"/>
          <w:bCs w:val="1"/>
          <w:color w:val="auto"/>
        </w:rPr>
        <w:t>Change in Shell Company Status.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Merger, the Company ceased being a shell company. The information in the Proxy Statement/Prospectus in the Section entitled “</w:t>
      </w:r>
      <w:r>
        <w:rPr>
          <w:rFonts w:ascii="Arial" w:cs="Arial" w:eastAsia="Arial" w:hAnsi="Arial"/>
          <w:sz w:val="18"/>
          <w:szCs w:val="18"/>
          <w:i w:val="1"/>
          <w:iCs w:val="1"/>
          <w:color w:val="auto"/>
        </w:rPr>
        <w:t>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No. 1—The Business Combination Proposal</w:t>
      </w:r>
      <w:r>
        <w:rPr>
          <w:rFonts w:ascii="Arial" w:cs="Arial" w:eastAsia="Arial" w:hAnsi="Arial"/>
          <w:sz w:val="18"/>
          <w:szCs w:val="18"/>
          <w:color w:val="auto"/>
        </w:rPr>
        <w:t>” beginning on page 122 thereof and the information contained in Item 2.01 and Item 5.07 of the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is incorporated herein by reference.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6"/>
          </w:tcPr>
          <w:p>
            <w:pPr>
              <w:spacing w:after="0"/>
              <w:rPr>
                <w:sz w:val="20"/>
                <w:szCs w:val="20"/>
                <w:color w:val="auto"/>
              </w:rPr>
            </w:pPr>
            <w:r>
              <w:rPr>
                <w:rFonts w:ascii="Arial" w:cs="Arial" w:eastAsia="Arial" w:hAnsi="Arial"/>
                <w:sz w:val="18"/>
                <w:szCs w:val="18"/>
                <w:b w:val="1"/>
                <w:bCs w:val="1"/>
                <w:color w:val="auto"/>
              </w:rPr>
              <w:t>Exhibit</w:t>
            </w:r>
          </w:p>
        </w:tc>
        <w:tc>
          <w:tcPr>
            <w:tcW w:w="10000" w:type="dxa"/>
            <w:vAlign w:val="bottom"/>
            <w:gridSpan w:val="29"/>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34"/>
        </w:trPr>
        <w:tc>
          <w:tcPr>
            <w:tcW w:w="1240" w:type="dxa"/>
            <w:vAlign w:val="bottom"/>
            <w:gridSpan w:val="6"/>
          </w:tcPr>
          <w:p>
            <w:pPr>
              <w:spacing w:after="0"/>
              <w:rPr>
                <w:sz w:val="20"/>
                <w:szCs w:val="20"/>
                <w:color w:val="auto"/>
              </w:rPr>
            </w:pPr>
            <w:r>
              <w:rPr>
                <w:rFonts w:ascii="Arial" w:cs="Arial" w:eastAsia="Arial" w:hAnsi="Arial"/>
                <w:sz w:val="18"/>
                <w:szCs w:val="18"/>
                <w:b w:val="1"/>
                <w:bCs w:val="1"/>
                <w:color w:val="auto"/>
              </w:rPr>
              <w:t>Number</w:t>
            </w: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69"/>
        </w:trPr>
        <w:tc>
          <w:tcPr>
            <w:tcW w:w="240" w:type="dxa"/>
            <w:vAlign w:val="bottom"/>
            <w:tcBorders>
              <w:top w:val="single" w:sz="8" w:color="auto"/>
              <w:bottom w:val="single" w:sz="8" w:color="0000EE"/>
            </w:tcBorders>
            <w:shd w:val="clear" w:color="auto" w:fill="CCEEFF"/>
          </w:tcPr>
          <w:p>
            <w:pPr>
              <w:spacing w:after="0" w:line="169" w:lineRule="exact"/>
              <w:rPr>
                <w:rFonts w:ascii="Arial" w:cs="Arial" w:eastAsia="Arial" w:hAnsi="Arial"/>
                <w:sz w:val="18"/>
                <w:szCs w:val="18"/>
                <w:color w:val="0000EE"/>
                <w:w w:val="87"/>
              </w:rPr>
            </w:pPr>
            <w:hyperlink r:id="rId19">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440" w:type="dxa"/>
            <w:vAlign w:val="bottom"/>
            <w:tcBorders>
              <w:top w:val="single" w:sz="8" w:color="auto"/>
              <w:bottom w:val="single" w:sz="8" w:color="0000EE"/>
            </w:tcBorders>
            <w:gridSpan w:val="21"/>
            <w:shd w:val="clear" w:color="auto" w:fill="CCEEFF"/>
          </w:tcPr>
          <w:p>
            <w:pPr>
              <w:ind w:left="20"/>
              <w:spacing w:after="0" w:line="169" w:lineRule="exact"/>
              <w:rPr>
                <w:rFonts w:ascii="Arial" w:cs="Arial" w:eastAsia="Arial" w:hAnsi="Arial"/>
                <w:sz w:val="18"/>
                <w:szCs w:val="18"/>
                <w:color w:val="0000EE"/>
                <w:w w:val="90"/>
              </w:rPr>
            </w:pPr>
            <w:hyperlink r:id="rId19">
              <w:r>
                <w:rPr>
                  <w:rFonts w:ascii="Arial" w:cs="Arial" w:eastAsia="Arial" w:hAnsi="Arial"/>
                  <w:sz w:val="18"/>
                  <w:szCs w:val="18"/>
                  <w:color w:val="0000EE"/>
                  <w:w w:val="90"/>
                </w:rPr>
                <w:t>Agreement and Plan of Merger, dated as of February 22, 2021, by and among Churchill Capital Corp IV, Air Merger Sub, Inc., and</w:t>
              </w:r>
            </w:hyperlink>
          </w:p>
        </w:tc>
        <w:tc>
          <w:tcPr>
            <w:tcW w:w="560" w:type="dxa"/>
            <w:vAlign w:val="bottom"/>
            <w:tcBorders>
              <w:top w:val="single" w:sz="8" w:color="auto"/>
              <w:bottom w:val="single" w:sz="8" w:color="CCEEFF"/>
              <w:right w:val="single" w:sz="8" w:color="CCEEFF"/>
            </w:tcBorders>
            <w:gridSpan w:val="8"/>
            <w:shd w:val="clear" w:color="auto" w:fill="CCEEFF"/>
          </w:tcPr>
          <w:p>
            <w:pPr>
              <w:spacing w:after="0"/>
              <w:rPr>
                <w:sz w:val="14"/>
                <w:szCs w:val="14"/>
                <w:color w:val="auto"/>
              </w:rPr>
            </w:pPr>
          </w:p>
        </w:tc>
      </w:tr>
      <w:tr>
        <w:trPr>
          <w:trHeight w:val="221"/>
        </w:trPr>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0" w:type="dxa"/>
            <w:vAlign w:val="bottom"/>
            <w:tcBorders>
              <w:bottom w:val="single" w:sz="8" w:color="0000EE"/>
              <w:right w:val="single" w:sz="8" w:color="CCEEFF"/>
            </w:tcBorders>
            <w:gridSpan w:val="29"/>
            <w:shd w:val="clear" w:color="auto" w:fill="CCEEFF"/>
          </w:tcPr>
          <w:p>
            <w:pPr>
              <w:ind w:left="20"/>
              <w:spacing w:after="0" w:line="196" w:lineRule="exact"/>
              <w:rPr>
                <w:rFonts w:ascii="Arial" w:cs="Arial" w:eastAsia="Arial" w:hAnsi="Arial"/>
                <w:sz w:val="18"/>
                <w:szCs w:val="18"/>
                <w:color w:val="0000EE"/>
                <w:w w:val="92"/>
              </w:rPr>
            </w:pPr>
            <w:hyperlink r:id="rId19">
              <w:r>
                <w:rPr>
                  <w:rFonts w:ascii="Arial" w:cs="Arial" w:eastAsia="Arial" w:hAnsi="Arial"/>
                  <w:sz w:val="18"/>
                  <w:szCs w:val="18"/>
                  <w:color w:val="0000EE"/>
                  <w:w w:val="92"/>
                </w:rPr>
                <w:t>Atieva, Inc. (incorporated by reference to Exhibit 2.1 to Churchill Capital Corp IV’s Current Report on Form 8-K filed February 22, 2021)</w:t>
              </w:r>
            </w:hyperlink>
          </w:p>
        </w:tc>
      </w:tr>
      <w:tr>
        <w:trPr>
          <w:trHeight w:val="176"/>
        </w:trPr>
        <w:tc>
          <w:tcPr>
            <w:tcW w:w="320" w:type="dxa"/>
            <w:vAlign w:val="bottom"/>
            <w:tcBorders>
              <w:top w:val="single" w:sz="8" w:color="CCEEFF"/>
            </w:tcBorders>
            <w:gridSpan w:val="2"/>
          </w:tcPr>
          <w:p>
            <w:pPr>
              <w:spacing w:after="0" w:line="176" w:lineRule="exact"/>
              <w:rPr>
                <w:rFonts w:ascii="Arial" w:cs="Arial" w:eastAsia="Arial" w:hAnsi="Arial"/>
                <w:sz w:val="18"/>
                <w:szCs w:val="18"/>
                <w:color w:val="0000EE"/>
              </w:rPr>
            </w:pPr>
            <w:hyperlink r:id="rId20">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00" w:type="dxa"/>
            <w:vAlign w:val="bottom"/>
            <w:tcBorders>
              <w:top w:val="single" w:sz="8" w:color="CCEEFF"/>
            </w:tcBorders>
            <w:gridSpan w:val="29"/>
          </w:tcPr>
          <w:p>
            <w:pPr>
              <w:ind w:left="20"/>
              <w:spacing w:after="0" w:line="176" w:lineRule="exact"/>
              <w:rPr>
                <w:rFonts w:ascii="Arial" w:cs="Arial" w:eastAsia="Arial" w:hAnsi="Arial"/>
                <w:sz w:val="18"/>
                <w:szCs w:val="18"/>
                <w:color w:val="0000EE"/>
              </w:rPr>
            </w:pPr>
            <w:hyperlink r:id="rId20">
              <w:r>
                <w:rPr>
                  <w:rFonts w:ascii="Arial" w:cs="Arial" w:eastAsia="Arial" w:hAnsi="Arial"/>
                  <w:sz w:val="18"/>
                  <w:szCs w:val="18"/>
                  <w:color w:val="0000EE"/>
                </w:rPr>
                <w:t>Second Amended and Restated Certificate of Incorporation (incorporated by reference to Exhibit 3.1 to the Original Report)</w:t>
              </w:r>
            </w:hyperlink>
          </w:p>
        </w:tc>
      </w:tr>
      <w:tr>
        <w:trPr>
          <w:trHeight w:val="20"/>
        </w:trPr>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r:id="rId2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940" w:type="dxa"/>
            <w:vAlign w:val="bottom"/>
            <w:tcBorders>
              <w:bottom w:val="single" w:sz="8" w:color="0000EE"/>
            </w:tcBorders>
            <w:gridSpan w:val="13"/>
            <w:shd w:val="clear" w:color="auto" w:fill="CCEEFF"/>
          </w:tcPr>
          <w:p>
            <w:pPr>
              <w:ind w:left="20"/>
              <w:spacing w:after="0" w:line="176" w:lineRule="exact"/>
              <w:rPr>
                <w:rFonts w:ascii="Arial" w:cs="Arial" w:eastAsia="Arial" w:hAnsi="Arial"/>
                <w:sz w:val="18"/>
                <w:szCs w:val="18"/>
                <w:color w:val="0000EE"/>
                <w:w w:val="90"/>
              </w:rPr>
            </w:pPr>
            <w:hyperlink r:id="rId21">
              <w:r>
                <w:rPr>
                  <w:rFonts w:ascii="Arial" w:cs="Arial" w:eastAsia="Arial" w:hAnsi="Arial"/>
                  <w:sz w:val="18"/>
                  <w:szCs w:val="18"/>
                  <w:color w:val="0000EE"/>
                  <w:w w:val="90"/>
                </w:rPr>
                <w:t>Amended and Restated Bylaws (incorporated by reference to Exhibit 3.2 to the Original Report)</w:t>
              </w:r>
            </w:hyperlink>
          </w:p>
        </w:tc>
        <w:tc>
          <w:tcPr>
            <w:tcW w:w="3060" w:type="dxa"/>
            <w:vAlign w:val="bottom"/>
            <w:tcBorders>
              <w:bottom w:val="single" w:sz="8" w:color="CCEEFF"/>
              <w:right w:val="single" w:sz="8" w:color="CCEEFF"/>
            </w:tcBorders>
            <w:gridSpan w:val="16"/>
            <w:shd w:val="clear" w:color="auto" w:fill="CCEEFF"/>
          </w:tcPr>
          <w:p>
            <w:pPr>
              <w:spacing w:after="0"/>
              <w:rPr>
                <w:sz w:val="17"/>
                <w:szCs w:val="17"/>
                <w:color w:val="auto"/>
              </w:rPr>
            </w:pPr>
          </w:p>
        </w:tc>
      </w:tr>
      <w:tr>
        <w:trPr>
          <w:trHeight w:val="175"/>
        </w:trPr>
        <w:tc>
          <w:tcPr>
            <w:tcW w:w="320" w:type="dxa"/>
            <w:vAlign w:val="bottom"/>
            <w:gridSpan w:val="2"/>
          </w:tcPr>
          <w:p>
            <w:pPr>
              <w:spacing w:after="0" w:line="176" w:lineRule="exact"/>
              <w:rPr>
                <w:rFonts w:ascii="Arial" w:cs="Arial" w:eastAsia="Arial" w:hAnsi="Arial"/>
                <w:sz w:val="18"/>
                <w:szCs w:val="18"/>
                <w:color w:val="0000EE"/>
              </w:rPr>
            </w:pPr>
            <w:hyperlink r:id="rId22">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29"/>
          </w:tcPr>
          <w:p>
            <w:pPr>
              <w:ind w:left="20"/>
              <w:spacing w:after="0" w:line="176" w:lineRule="exact"/>
              <w:rPr>
                <w:rFonts w:ascii="Arial" w:cs="Arial" w:eastAsia="Arial" w:hAnsi="Arial"/>
                <w:sz w:val="18"/>
                <w:szCs w:val="18"/>
                <w:color w:val="0000EE"/>
                <w:w w:val="96"/>
              </w:rPr>
            </w:pPr>
            <w:hyperlink r:id="rId22">
              <w:r>
                <w:rPr>
                  <w:rFonts w:ascii="Arial" w:cs="Arial" w:eastAsia="Arial" w:hAnsi="Arial"/>
                  <w:sz w:val="18"/>
                  <w:szCs w:val="18"/>
                  <w:color w:val="0000EE"/>
                  <w:w w:val="96"/>
                </w:rPr>
                <w:t>Specimen Class A Common Stock Certificate of Lucid Group, Inc. (incorporated by reference to Exhibit 4.1 to the Original Report)</w:t>
              </w:r>
            </w:hyperlink>
          </w:p>
        </w:tc>
      </w:tr>
      <w:tr>
        <w:trPr>
          <w:trHeight w:val="21"/>
        </w:trPr>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r:id="rId2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960" w:type="dxa"/>
            <w:vAlign w:val="bottom"/>
            <w:tcBorders>
              <w:bottom w:val="single" w:sz="8" w:color="0000EE"/>
            </w:tcBorders>
            <w:gridSpan w:val="8"/>
            <w:shd w:val="clear" w:color="auto" w:fill="CCEEFF"/>
          </w:tcPr>
          <w:p>
            <w:pPr>
              <w:ind w:left="20"/>
              <w:spacing w:after="0" w:line="176" w:lineRule="exact"/>
              <w:rPr>
                <w:rFonts w:ascii="Arial" w:cs="Arial" w:eastAsia="Arial" w:hAnsi="Arial"/>
                <w:sz w:val="18"/>
                <w:szCs w:val="18"/>
                <w:color w:val="0000EE"/>
                <w:w w:val="91"/>
              </w:rPr>
            </w:pPr>
            <w:hyperlink r:id="rId23">
              <w:r>
                <w:rPr>
                  <w:rFonts w:ascii="Arial" w:cs="Arial" w:eastAsia="Arial" w:hAnsi="Arial"/>
                  <w:sz w:val="18"/>
                  <w:szCs w:val="18"/>
                  <w:color w:val="0000EE"/>
                  <w:w w:val="91"/>
                </w:rPr>
                <w:t>Specimen Warrant Certificate (included in Exhibit 4.3)</w:t>
              </w:r>
            </w:hyperlink>
          </w:p>
        </w:tc>
        <w:tc>
          <w:tcPr>
            <w:tcW w:w="6040" w:type="dxa"/>
            <w:vAlign w:val="bottom"/>
            <w:tcBorders>
              <w:bottom w:val="single" w:sz="8" w:color="CCEEFF"/>
              <w:right w:val="single" w:sz="8" w:color="CCEEFF"/>
            </w:tcBorders>
            <w:gridSpan w:val="21"/>
            <w:shd w:val="clear" w:color="auto" w:fill="CCEEFF"/>
          </w:tcPr>
          <w:p>
            <w:pPr>
              <w:spacing w:after="0"/>
              <w:rPr>
                <w:sz w:val="17"/>
                <w:szCs w:val="17"/>
                <w:color w:val="auto"/>
              </w:rPr>
            </w:pPr>
          </w:p>
        </w:tc>
      </w:tr>
      <w:tr>
        <w:trPr>
          <w:trHeight w:val="175"/>
        </w:trPr>
        <w:tc>
          <w:tcPr>
            <w:tcW w:w="240" w:type="dxa"/>
            <w:vAlign w:val="bottom"/>
          </w:tcPr>
          <w:p>
            <w:pPr>
              <w:spacing w:after="0" w:line="176" w:lineRule="exact"/>
              <w:rPr>
                <w:rFonts w:ascii="Arial" w:cs="Arial" w:eastAsia="Arial" w:hAnsi="Arial"/>
                <w:sz w:val="18"/>
                <w:szCs w:val="18"/>
                <w:color w:val="0000EE"/>
                <w:w w:val="87"/>
              </w:rPr>
            </w:pPr>
            <w:hyperlink r:id="rId2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29"/>
          </w:tcPr>
          <w:p>
            <w:pPr>
              <w:ind w:left="20"/>
              <w:spacing w:after="0" w:line="176" w:lineRule="exact"/>
              <w:rPr>
                <w:rFonts w:ascii="Arial" w:cs="Arial" w:eastAsia="Arial" w:hAnsi="Arial"/>
                <w:sz w:val="18"/>
                <w:szCs w:val="18"/>
                <w:color w:val="0000EE"/>
                <w:w w:val="99"/>
              </w:rPr>
            </w:pPr>
            <w:hyperlink r:id="rId23">
              <w:r>
                <w:rPr>
                  <w:rFonts w:ascii="Arial" w:cs="Arial" w:eastAsia="Arial" w:hAnsi="Arial"/>
                  <w:sz w:val="18"/>
                  <w:szCs w:val="18"/>
                  <w:color w:val="0000EE"/>
                  <w:w w:val="99"/>
                </w:rPr>
                <w:t>Warrant Agreement, dated July 29, 2020, between Continental Stock Transfer &amp; Trust Company and Churchill Capital Corp IV</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Borders>
              <w:top w:val="single" w:sz="8" w:color="0000EE"/>
            </w:tcBorders>
            <w:gridSpan w:val="19"/>
          </w:tcPr>
          <w:p>
            <w:pPr>
              <w:ind w:left="20"/>
              <w:spacing w:after="0" w:line="196" w:lineRule="exact"/>
              <w:rPr>
                <w:rFonts w:ascii="Arial" w:cs="Arial" w:eastAsia="Arial" w:hAnsi="Arial"/>
                <w:sz w:val="18"/>
                <w:szCs w:val="18"/>
                <w:color w:val="0000EE"/>
                <w:w w:val="96"/>
              </w:rPr>
            </w:pPr>
            <w:hyperlink r:id="rId23">
              <w:r>
                <w:rPr>
                  <w:rFonts w:ascii="Arial" w:cs="Arial" w:eastAsia="Arial" w:hAnsi="Arial"/>
                  <w:sz w:val="18"/>
                  <w:szCs w:val="18"/>
                  <w:color w:val="0000EE"/>
                  <w:w w:val="96"/>
                </w:rPr>
                <w:t>(incorporated by reference to Exhibit 4.1 to Churchill Capital Corp IV’s Current Report on Form 8-K filed August 3, 2020)</w:t>
              </w:r>
            </w:hyperlink>
          </w:p>
        </w:tc>
        <w:tc>
          <w:tcPr>
            <w:tcW w:w="760" w:type="dxa"/>
            <w:vAlign w:val="bottom"/>
            <w:gridSpan w:val="10"/>
          </w:tcPr>
          <w:p>
            <w:pPr>
              <w:spacing w:after="0"/>
              <w:rPr>
                <w:sz w:val="17"/>
                <w:szCs w:val="17"/>
                <w:color w:val="auto"/>
              </w:rPr>
            </w:pPr>
          </w:p>
        </w:tc>
      </w:tr>
      <w:tr>
        <w:trPr>
          <w:trHeight w:val="21"/>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400" w:type="dxa"/>
            <w:vAlign w:val="bottom"/>
            <w:gridSpan w:val="3"/>
            <w:shd w:val="clear" w:color="auto" w:fill="CCEEFF"/>
          </w:tcPr>
          <w:p>
            <w:pPr>
              <w:spacing w:after="0" w:line="176" w:lineRule="exact"/>
              <w:rPr>
                <w:rFonts w:ascii="Arial" w:cs="Arial" w:eastAsia="Arial" w:hAnsi="Arial"/>
                <w:sz w:val="18"/>
                <w:szCs w:val="18"/>
                <w:color w:val="0000EE"/>
              </w:rPr>
            </w:pPr>
            <w:hyperlink r:id="rId2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tcBorders>
              <w:right w:val="single" w:sz="8" w:color="CCEEFF"/>
            </w:tcBorders>
            <w:gridSpan w:val="29"/>
            <w:shd w:val="clear" w:color="auto" w:fill="CCEEFF"/>
          </w:tcPr>
          <w:p>
            <w:pPr>
              <w:ind w:left="20"/>
              <w:spacing w:after="0" w:line="176" w:lineRule="exact"/>
              <w:rPr>
                <w:rFonts w:ascii="Arial" w:cs="Arial" w:eastAsia="Arial" w:hAnsi="Arial"/>
                <w:sz w:val="18"/>
                <w:szCs w:val="18"/>
                <w:color w:val="0000EE"/>
                <w:w w:val="93"/>
              </w:rPr>
            </w:pPr>
            <w:hyperlink r:id="rId24">
              <w:r>
                <w:rPr>
                  <w:rFonts w:ascii="Arial" w:cs="Arial" w:eastAsia="Arial" w:hAnsi="Arial"/>
                  <w:sz w:val="18"/>
                  <w:szCs w:val="18"/>
                  <w:color w:val="0000EE"/>
                  <w:w w:val="93"/>
                </w:rPr>
                <w:t>Investor Rights Agreement, dated as of February 22, 2021, by and among Churchill Capital Corp IV, Ayar Third Investment Company,</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40" w:type="dxa"/>
            <w:vAlign w:val="bottom"/>
            <w:tcBorders>
              <w:bottom w:val="single" w:sz="8" w:color="0000EE"/>
            </w:tcBorders>
            <w:gridSpan w:val="28"/>
            <w:shd w:val="clear" w:color="auto" w:fill="CCEEFF"/>
          </w:tcPr>
          <w:p>
            <w:pPr>
              <w:ind w:left="20"/>
              <w:spacing w:after="0" w:line="196" w:lineRule="exact"/>
              <w:rPr>
                <w:rFonts w:ascii="Arial" w:cs="Arial" w:eastAsia="Arial" w:hAnsi="Arial"/>
                <w:sz w:val="18"/>
                <w:szCs w:val="18"/>
                <w:color w:val="0000EE"/>
                <w:w w:val="92"/>
              </w:rPr>
            </w:pPr>
            <w:hyperlink r:id="rId24">
              <w:r>
                <w:rPr>
                  <w:rFonts w:ascii="Arial" w:cs="Arial" w:eastAsia="Arial" w:hAnsi="Arial"/>
                  <w:sz w:val="18"/>
                  <w:szCs w:val="18"/>
                  <w:color w:val="0000EE"/>
                  <w:w w:val="92"/>
                </w:rPr>
                <w:t>Churchill Sponsor IV LLC and the other parties named therein (incorporated by reference to Exhibit 10.1 to Churchill Capital Corp IV’s</w:t>
              </w:r>
            </w:hyperlink>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r>
      <w:tr>
        <w:trPr>
          <w:trHeight w:val="196"/>
        </w:trPr>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9"/>
            <w:shd w:val="clear" w:color="auto" w:fill="CCEEFF"/>
          </w:tcPr>
          <w:p>
            <w:pPr>
              <w:ind w:left="20"/>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Current Report on Form 8-K filed February 22, 2021)</w:t>
              </w:r>
            </w:hyperlink>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400" w:type="dxa"/>
            <w:vAlign w:val="bottom"/>
            <w:gridSpan w:val="3"/>
          </w:tcPr>
          <w:p>
            <w:pPr>
              <w:spacing w:after="0" w:line="176" w:lineRule="exact"/>
              <w:rPr>
                <w:rFonts w:ascii="Arial" w:cs="Arial" w:eastAsia="Arial" w:hAnsi="Arial"/>
                <w:sz w:val="18"/>
                <w:szCs w:val="18"/>
                <w:color w:val="0000EE"/>
              </w:rPr>
            </w:pPr>
            <w:hyperlink r:id="rId25">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29"/>
          </w:tcPr>
          <w:p>
            <w:pPr>
              <w:ind w:left="20"/>
              <w:spacing w:after="0" w:line="176" w:lineRule="exact"/>
              <w:rPr>
                <w:rFonts w:ascii="Arial" w:cs="Arial" w:eastAsia="Arial" w:hAnsi="Arial"/>
                <w:sz w:val="18"/>
                <w:szCs w:val="18"/>
                <w:color w:val="0000EE"/>
                <w:w w:val="93"/>
              </w:rPr>
            </w:pPr>
            <w:hyperlink r:id="rId25">
              <w:r>
                <w:rPr>
                  <w:rFonts w:ascii="Arial" w:cs="Arial" w:eastAsia="Arial" w:hAnsi="Arial"/>
                  <w:sz w:val="18"/>
                  <w:szCs w:val="18"/>
                  <w:color w:val="0000EE"/>
                  <w:w w:val="93"/>
                </w:rPr>
                <w:t>Form of Subscription Agreement (incorporated by reference to Exhibit 10.2 to Churchill Capital Corp IV’s Current Report on Form 8-K</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top w:val="single" w:sz="8" w:color="0000EE"/>
            </w:tcBorders>
            <w:gridSpan w:val="27"/>
          </w:tcPr>
          <w:p>
            <w:pPr>
              <w:ind w:left="20"/>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filed February 22, 2021)</w:t>
              </w:r>
            </w:hyperlink>
          </w:p>
        </w:tc>
        <w:tc>
          <w:tcPr>
            <w:tcW w:w="180" w:type="dxa"/>
            <w:vAlign w:val="bottom"/>
            <w:gridSpan w:val="2"/>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400" w:type="dxa"/>
            <w:vAlign w:val="bottom"/>
            <w:gridSpan w:val="3"/>
            <w:shd w:val="clear" w:color="auto" w:fill="CCEEFF"/>
          </w:tcPr>
          <w:p>
            <w:pPr>
              <w:spacing w:after="0" w:line="176" w:lineRule="exact"/>
              <w:rPr>
                <w:rFonts w:ascii="Arial" w:cs="Arial" w:eastAsia="Arial" w:hAnsi="Arial"/>
                <w:sz w:val="18"/>
                <w:szCs w:val="18"/>
                <w:color w:val="0000EE"/>
              </w:rPr>
            </w:pPr>
            <w:hyperlink r:id="rId26">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tcBorders>
              <w:right w:val="single" w:sz="8" w:color="CCEEFF"/>
            </w:tcBorders>
            <w:gridSpan w:val="29"/>
            <w:shd w:val="clear" w:color="auto" w:fill="CCEEFF"/>
          </w:tcPr>
          <w:p>
            <w:pPr>
              <w:ind w:left="20"/>
              <w:spacing w:after="0" w:line="176" w:lineRule="exact"/>
              <w:rPr>
                <w:rFonts w:ascii="Arial" w:cs="Arial" w:eastAsia="Arial" w:hAnsi="Arial"/>
                <w:sz w:val="18"/>
                <w:szCs w:val="18"/>
                <w:color w:val="0000EE"/>
                <w:w w:val="97"/>
              </w:rPr>
            </w:pPr>
            <w:hyperlink r:id="rId26">
              <w:r>
                <w:rPr>
                  <w:rFonts w:ascii="Arial" w:cs="Arial" w:eastAsia="Arial" w:hAnsi="Arial"/>
                  <w:sz w:val="18"/>
                  <w:szCs w:val="18"/>
                  <w:color w:val="0000EE"/>
                  <w:w w:val="97"/>
                </w:rPr>
                <w:t>Private Placement Warrant Purchase Agreement, dated as of July 29, 2020, between Churchill Capital Corp IV and the Sponsor</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r>
      <w:tr>
        <w:trPr>
          <w:trHeight w:val="196"/>
        </w:trPr>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9"/>
            <w:shd w:val="clear" w:color="auto" w:fill="CCEEFF"/>
          </w:tcPr>
          <w:p>
            <w:pPr>
              <w:ind w:left="20"/>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(incorporated by reference to Exhibit 10.4 to Churchill Capital Corp IV’s Current Report on Form 8-K filed February 22, 2021)</w:t>
              </w:r>
            </w:hyperlink>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400" w:type="dxa"/>
            <w:vAlign w:val="bottom"/>
            <w:gridSpan w:val="3"/>
          </w:tcPr>
          <w:p>
            <w:pPr>
              <w:spacing w:after="0" w:line="176" w:lineRule="exact"/>
              <w:rPr>
                <w:rFonts w:ascii="Arial" w:cs="Arial" w:eastAsia="Arial" w:hAnsi="Arial"/>
                <w:sz w:val="18"/>
                <w:szCs w:val="18"/>
                <w:color w:val="0000EE"/>
              </w:rPr>
            </w:pPr>
            <w:hyperlink r:id="rId27">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29"/>
          </w:tcPr>
          <w:p>
            <w:pPr>
              <w:ind w:left="20"/>
              <w:spacing w:after="0" w:line="176"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Amended and Restated Sponsor Agreement, dated as of February 22, 2021, by and among Churchill Capital Corp IV, Churchill Sponsor</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29"/>
          </w:tcPr>
          <w:p>
            <w:pPr>
              <w:ind w:left="20"/>
              <w:spacing w:after="0" w:line="196" w:lineRule="exact"/>
              <w:rPr>
                <w:rFonts w:ascii="Arial" w:cs="Arial" w:eastAsia="Arial" w:hAnsi="Arial"/>
                <w:sz w:val="18"/>
                <w:szCs w:val="18"/>
                <w:color w:val="0000EE"/>
                <w:w w:val="93"/>
              </w:rPr>
            </w:pPr>
            <w:hyperlink r:id="rId27">
              <w:r>
                <w:rPr>
                  <w:rFonts w:ascii="Arial" w:cs="Arial" w:eastAsia="Arial" w:hAnsi="Arial"/>
                  <w:sz w:val="18"/>
                  <w:szCs w:val="18"/>
                  <w:color w:val="0000EE"/>
                  <w:w w:val="93"/>
                </w:rPr>
                <w:t>IV LLC, and Michael Klein, Lee Jay Taragin, Glenn R. August, William J. Bynum, Bonnie Jonas, Mark Klein, Malcom S. McDermid and</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9"/>
          </w:tcPr>
          <w:p>
            <w:pPr>
              <w:ind w:left="20"/>
              <w:spacing w:after="0" w:line="196" w:lineRule="exact"/>
              <w:rPr>
                <w:rFonts w:ascii="Arial" w:cs="Arial" w:eastAsia="Arial" w:hAnsi="Arial"/>
                <w:sz w:val="18"/>
                <w:szCs w:val="18"/>
                <w:color w:val="0000EE"/>
                <w:w w:val="94"/>
              </w:rPr>
            </w:pPr>
            <w:hyperlink r:id="rId27">
              <w:r>
                <w:rPr>
                  <w:rFonts w:ascii="Arial" w:cs="Arial" w:eastAsia="Arial" w:hAnsi="Arial"/>
                  <w:sz w:val="18"/>
                  <w:szCs w:val="18"/>
                  <w:color w:val="0000EE"/>
                  <w:w w:val="94"/>
                </w:rPr>
                <w:t>Karen G. Mills (incorporated by reference to Exhibit 10.3 to Churchill Capital Corp IV’s Current Report on Form 8-K filed February 22,</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top w:val="single" w:sz="8" w:color="0000EE"/>
            </w:tcBorders>
            <w:gridSpan w:val="2"/>
          </w:tcPr>
          <w:p>
            <w:pPr>
              <w:ind w:left="20"/>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2021)</w:t>
              </w:r>
            </w:hyperlink>
          </w:p>
        </w:tc>
        <w:tc>
          <w:tcPr>
            <w:tcW w:w="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r>
      <w:tr>
        <w:trPr>
          <w:trHeight w:val="21"/>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400" w:type="dxa"/>
            <w:vAlign w:val="bottom"/>
            <w:gridSpan w:val="3"/>
            <w:shd w:val="clear" w:color="auto" w:fill="CCEEFF"/>
          </w:tcPr>
          <w:p>
            <w:pPr>
              <w:spacing w:after="0" w:line="176" w:lineRule="exact"/>
              <w:rPr>
                <w:rFonts w:ascii="Arial" w:cs="Arial" w:eastAsia="Arial" w:hAnsi="Arial"/>
                <w:sz w:val="18"/>
                <w:szCs w:val="18"/>
                <w:color w:val="0000EE"/>
              </w:rPr>
            </w:pPr>
            <w:hyperlink r:id="rId26">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tcBorders>
              <w:right w:val="single" w:sz="8" w:color="CCEEFF"/>
            </w:tcBorders>
            <w:gridSpan w:val="29"/>
            <w:shd w:val="clear" w:color="auto" w:fill="CCEEFF"/>
          </w:tcPr>
          <w:p>
            <w:pPr>
              <w:ind w:left="20"/>
              <w:spacing w:after="0" w:line="176" w:lineRule="exact"/>
              <w:rPr>
                <w:rFonts w:ascii="Arial" w:cs="Arial" w:eastAsia="Arial" w:hAnsi="Arial"/>
                <w:sz w:val="18"/>
                <w:szCs w:val="18"/>
                <w:color w:val="0000EE"/>
                <w:w w:val="92"/>
              </w:rPr>
            </w:pPr>
            <w:hyperlink r:id="rId26">
              <w:r>
                <w:rPr>
                  <w:rFonts w:ascii="Arial" w:cs="Arial" w:eastAsia="Arial" w:hAnsi="Arial"/>
                  <w:sz w:val="18"/>
                  <w:szCs w:val="18"/>
                  <w:color w:val="0000EE"/>
                  <w:w w:val="92"/>
                </w:rPr>
                <w:t>Promissory Note, dated as of February 22, 2021, by and between Churchill Capital Corp IV and Churchill Sponsor IV LLC (incorporated</w:t>
              </w:r>
            </w:hyperlink>
          </w:p>
        </w:tc>
      </w:tr>
      <w:tr>
        <w:trPr>
          <w:trHeight w:val="216"/>
        </w:trPr>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180" w:type="dxa"/>
            <w:vAlign w:val="bottom"/>
            <w:tcBorders>
              <w:top w:val="single" w:sz="8" w:color="0000EE"/>
              <w:bottom w:val="single" w:sz="8" w:color="0000EE"/>
            </w:tcBorders>
            <w:gridSpan w:val="14"/>
            <w:shd w:val="clear" w:color="auto" w:fill="CCEEFF"/>
          </w:tcPr>
          <w:p>
            <w:pPr>
              <w:ind w:left="20"/>
              <w:spacing w:after="0" w:line="196" w:lineRule="exact"/>
              <w:rPr>
                <w:rFonts w:ascii="Arial" w:cs="Arial" w:eastAsia="Arial" w:hAnsi="Arial"/>
                <w:sz w:val="18"/>
                <w:szCs w:val="18"/>
                <w:color w:val="0000EE"/>
                <w:w w:val="92"/>
              </w:rPr>
            </w:pPr>
            <w:hyperlink r:id="rId26">
              <w:r>
                <w:rPr>
                  <w:rFonts w:ascii="Arial" w:cs="Arial" w:eastAsia="Arial" w:hAnsi="Arial"/>
                  <w:sz w:val="18"/>
                  <w:szCs w:val="18"/>
                  <w:color w:val="0000EE"/>
                  <w:w w:val="92"/>
                </w:rPr>
                <w:t>by reference to Exhibit 10.4 to Churchill Capital Corp IV’s Current Report on Form 8-K filed February 22, 2021)</w:t>
              </w:r>
            </w:hyperlink>
          </w:p>
        </w:tc>
        <w:tc>
          <w:tcPr>
            <w:tcW w:w="1820" w:type="dxa"/>
            <w:vAlign w:val="bottom"/>
            <w:tcBorders>
              <w:top w:val="single" w:sz="8" w:color="0000EE"/>
              <w:bottom w:val="single" w:sz="8" w:color="CCEEFF"/>
              <w:right w:val="single" w:sz="8" w:color="CCEEFF"/>
            </w:tcBorders>
            <w:gridSpan w:val="15"/>
            <w:shd w:val="clear" w:color="auto" w:fill="CCEEFF"/>
          </w:tcPr>
          <w:p>
            <w:pPr>
              <w:spacing w:after="0"/>
              <w:rPr>
                <w:sz w:val="18"/>
                <w:szCs w:val="18"/>
                <w:color w:val="auto"/>
              </w:rPr>
            </w:pPr>
          </w:p>
        </w:tc>
      </w:tr>
      <w:tr>
        <w:trPr>
          <w:trHeight w:val="175"/>
        </w:trPr>
        <w:tc>
          <w:tcPr>
            <w:tcW w:w="400" w:type="dxa"/>
            <w:vAlign w:val="bottom"/>
            <w:gridSpan w:val="3"/>
          </w:tcPr>
          <w:p>
            <w:pPr>
              <w:spacing w:after="0" w:line="176" w:lineRule="exact"/>
              <w:rPr>
                <w:rFonts w:ascii="Arial" w:cs="Arial" w:eastAsia="Arial" w:hAnsi="Arial"/>
                <w:sz w:val="18"/>
                <w:szCs w:val="18"/>
                <w:color w:val="0000EE"/>
                <w:w w:val="87"/>
              </w:rPr>
            </w:pPr>
            <w:hyperlink r:id="rId28">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6^</w:t>
              </w:r>
            </w:hyperlink>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29"/>
          </w:tcPr>
          <w:p>
            <w:pPr>
              <w:ind w:left="20"/>
              <w:spacing w:after="0" w:line="176" w:lineRule="exact"/>
              <w:rPr>
                <w:rFonts w:ascii="Arial" w:cs="Arial" w:eastAsia="Arial" w:hAnsi="Arial"/>
                <w:sz w:val="18"/>
                <w:szCs w:val="18"/>
                <w:color w:val="0000EE"/>
                <w:w w:val="94"/>
              </w:rPr>
            </w:pPr>
            <w:hyperlink r:id="rId28">
              <w:r>
                <w:rPr>
                  <w:rFonts w:ascii="Arial" w:cs="Arial" w:eastAsia="Arial" w:hAnsi="Arial"/>
                  <w:sz w:val="18"/>
                  <w:szCs w:val="18"/>
                  <w:color w:val="0000EE"/>
                  <w:w w:val="94"/>
                </w:rPr>
                <w:t>Lucid Group, Inc. 2021 Stock Incentive Plan (including the Lucid Group, Inc. 2021 Employee Stock Purchase Plan, attached thereto)</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1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bottom w:val="single" w:sz="8" w:color="0000EE"/>
            </w:tcBorders>
            <w:gridSpan w:val="27"/>
          </w:tcPr>
          <w:p>
            <w:pPr>
              <w:ind w:left="20"/>
              <w:spacing w:after="0" w:line="196" w:lineRule="exact"/>
              <w:rPr>
                <w:rFonts w:ascii="Arial" w:cs="Arial" w:eastAsia="Arial" w:hAnsi="Arial"/>
                <w:sz w:val="18"/>
                <w:szCs w:val="18"/>
                <w:color w:val="0000EE"/>
                <w:w w:val="90"/>
              </w:rPr>
            </w:pPr>
            <w:hyperlink r:id="rId28">
              <w:r>
                <w:rPr>
                  <w:rFonts w:ascii="Arial" w:cs="Arial" w:eastAsia="Arial" w:hAnsi="Arial"/>
                  <w:sz w:val="18"/>
                  <w:szCs w:val="18"/>
                  <w:color w:val="0000EE"/>
                  <w:w w:val="90"/>
                </w:rPr>
                <w:t>(incorporated by reference to Exhibit 10.5 to the Registration Statement on Form S-4, as amended (File No. 333-254543), filed June 11,</w:t>
              </w:r>
            </w:hyperlink>
          </w:p>
        </w:tc>
        <w:tc>
          <w:tcPr>
            <w:tcW w:w="180" w:type="dxa"/>
            <w:vAlign w:val="bottom"/>
            <w:gridSpan w:val="2"/>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9"/>
          </w:tcPr>
          <w:p>
            <w:pPr>
              <w:ind w:left="20"/>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2021 (“</w:t>
              </w:r>
              <w:r>
                <w:rPr>
                  <w:rFonts w:ascii="Arial" w:cs="Arial" w:eastAsia="Arial" w:hAnsi="Arial"/>
                  <w:sz w:val="18"/>
                  <w:szCs w:val="18"/>
                  <w:i w:val="1"/>
                  <w:iCs w:val="1"/>
                  <w:color w:val="0000EE"/>
                </w:rPr>
                <w:t>Amendment No. 2 to the Registration Statement</w:t>
              </w:r>
              <w:r>
                <w:rPr>
                  <w:rFonts w:ascii="Arial" w:cs="Arial" w:eastAsia="Arial" w:hAnsi="Arial"/>
                  <w:sz w:val="18"/>
                  <w:szCs w:val="18"/>
                  <w:color w:val="0000EE"/>
                </w:rPr>
                <w:t>”)</w:t>
              </w:r>
            </w:hyperlink>
          </w:p>
        </w:tc>
      </w:tr>
      <w:tr>
        <w:trPr>
          <w:trHeight w:val="21"/>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4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7"/>
              </w:rPr>
            </w:pPr>
            <w:hyperlink r:id="rId29">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7^</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40" w:type="dxa"/>
            <w:vAlign w:val="bottom"/>
            <w:tcBorders>
              <w:bottom w:val="single" w:sz="8" w:color="0000EE"/>
              <w:right w:val="single" w:sz="8" w:color="CCEEFF"/>
            </w:tcBorders>
            <w:gridSpan w:val="19"/>
            <w:shd w:val="clear" w:color="auto" w:fill="CCEEFF"/>
          </w:tcPr>
          <w:p>
            <w:pPr>
              <w:ind w:left="20"/>
              <w:spacing w:after="0" w:line="176" w:lineRule="exact"/>
              <w:rPr>
                <w:rFonts w:ascii="Arial" w:cs="Arial" w:eastAsia="Arial" w:hAnsi="Arial"/>
                <w:sz w:val="18"/>
                <w:szCs w:val="18"/>
                <w:color w:val="0000EE"/>
                <w:w w:val="91"/>
              </w:rPr>
            </w:pPr>
            <w:hyperlink r:id="rId29">
              <w:r>
                <w:rPr>
                  <w:rFonts w:ascii="Arial" w:cs="Arial" w:eastAsia="Arial" w:hAnsi="Arial"/>
                  <w:sz w:val="18"/>
                  <w:szCs w:val="18"/>
                  <w:color w:val="0000EE"/>
                  <w:w w:val="91"/>
                </w:rPr>
                <w:t>Form of Option Agreement under the Lucid Group, Inc. 2021 Stock Incentive Plan (incorporated by reference to Exhibit 10.6 to</w:t>
              </w:r>
            </w:hyperlink>
          </w:p>
        </w:tc>
        <w:tc>
          <w:tcPr>
            <w:tcW w:w="760" w:type="dxa"/>
            <w:vAlign w:val="bottom"/>
            <w:tcBorders>
              <w:bottom w:val="single" w:sz="8" w:color="CCEEFF"/>
              <w:right w:val="single" w:sz="8" w:color="CCEEFF"/>
            </w:tcBorders>
            <w:gridSpan w:val="10"/>
            <w:shd w:val="clear" w:color="auto" w:fill="CCEEFF"/>
          </w:tcPr>
          <w:p>
            <w:pPr>
              <w:spacing w:after="0"/>
              <w:rPr>
                <w:sz w:val="15"/>
                <w:szCs w:val="15"/>
                <w:color w:val="auto"/>
              </w:rPr>
            </w:pPr>
          </w:p>
        </w:tc>
      </w:tr>
      <w:tr>
        <w:trPr>
          <w:trHeight w:val="196"/>
        </w:trPr>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9"/>
            <w:shd w:val="clear" w:color="auto" w:fill="CCEEFF"/>
          </w:tcPr>
          <w:p>
            <w:pPr>
              <w:ind w:left="20"/>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Amendment No. 2 to the Registration Statement)</w:t>
              </w:r>
            </w:hyperlink>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6"/>
        </w:trPr>
        <w:tc>
          <w:tcPr>
            <w:tcW w:w="400" w:type="dxa"/>
            <w:vAlign w:val="bottom"/>
            <w:gridSpan w:val="3"/>
          </w:tcPr>
          <w:p>
            <w:pPr>
              <w:spacing w:after="0" w:line="176" w:lineRule="exact"/>
              <w:rPr>
                <w:rFonts w:ascii="Arial" w:cs="Arial" w:eastAsia="Arial" w:hAnsi="Arial"/>
                <w:sz w:val="18"/>
                <w:szCs w:val="18"/>
                <w:color w:val="0000EE"/>
                <w:w w:val="87"/>
              </w:rPr>
            </w:pPr>
            <w:hyperlink r:id="rId30">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8^</w:t>
              </w:r>
            </w:hyperlink>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29"/>
          </w:tcPr>
          <w:p>
            <w:pPr>
              <w:ind w:left="20"/>
              <w:spacing w:after="0" w:line="176" w:lineRule="exact"/>
              <w:rPr>
                <w:rFonts w:ascii="Arial" w:cs="Arial" w:eastAsia="Arial" w:hAnsi="Arial"/>
                <w:sz w:val="18"/>
                <w:szCs w:val="18"/>
                <w:color w:val="0000EE"/>
              </w:rPr>
            </w:pPr>
            <w:hyperlink r:id="rId30">
              <w:r>
                <w:rPr>
                  <w:rFonts w:ascii="Arial" w:cs="Arial" w:eastAsia="Arial" w:hAnsi="Arial"/>
                  <w:sz w:val="18"/>
                  <w:szCs w:val="18"/>
                  <w:color w:val="0000EE"/>
                </w:rPr>
                <w:t>Form of RSU Agreement under the Lucid Group, Inc. 2021 Stock Incentive Plan (incorporated by reference to Exhibit 10.7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80" w:type="dxa"/>
            <w:vAlign w:val="bottom"/>
            <w:tcBorders>
              <w:top w:val="single" w:sz="8" w:color="0000EE"/>
            </w:tcBorders>
            <w:gridSpan w:val="18"/>
          </w:tcPr>
          <w:p>
            <w:pPr>
              <w:ind w:left="20"/>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Amendment No. 2 to the Registration Statement)</w:t>
              </w:r>
            </w:hyperlink>
          </w:p>
        </w:tc>
        <w:tc>
          <w:tcPr>
            <w:tcW w:w="920" w:type="dxa"/>
            <w:vAlign w:val="bottom"/>
            <w:gridSpan w:val="11"/>
          </w:tcPr>
          <w:p>
            <w:pPr>
              <w:spacing w:after="0"/>
              <w:rPr>
                <w:sz w:val="17"/>
                <w:szCs w:val="17"/>
                <w:color w:val="auto"/>
              </w:rPr>
            </w:pPr>
          </w:p>
        </w:tc>
      </w:tr>
      <w:tr>
        <w:trPr>
          <w:trHeight w:val="21"/>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7"/>
              </w:rPr>
            </w:pPr>
            <w:hyperlink r:id="rId31">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9^</w:t>
              </w:r>
            </w:hyperlink>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920" w:type="dxa"/>
            <w:vAlign w:val="bottom"/>
            <w:tcBorders>
              <w:bottom w:val="single" w:sz="8" w:color="0000EE"/>
            </w:tcBorders>
            <w:gridSpan w:val="16"/>
            <w:shd w:val="clear" w:color="auto" w:fill="CCEEFF"/>
          </w:tcPr>
          <w:p>
            <w:pPr>
              <w:ind w:left="20"/>
              <w:spacing w:after="0" w:line="176" w:lineRule="exact"/>
              <w:rPr>
                <w:rFonts w:ascii="Arial" w:cs="Arial" w:eastAsia="Arial" w:hAnsi="Arial"/>
                <w:sz w:val="18"/>
                <w:szCs w:val="18"/>
                <w:color w:val="0000EE"/>
                <w:w w:val="90"/>
              </w:rPr>
            </w:pPr>
            <w:hyperlink r:id="rId31">
              <w:r>
                <w:rPr>
                  <w:rFonts w:ascii="Arial" w:cs="Arial" w:eastAsia="Arial" w:hAnsi="Arial"/>
                  <w:sz w:val="18"/>
                  <w:szCs w:val="18"/>
                  <w:color w:val="0000EE"/>
                  <w:w w:val="90"/>
                </w:rPr>
                <w:t>Atieva, Inc. 2009 Share Plan (incorporated by reference to Exhibit 10.8 to Amendment No. 2 to the Registration Statement)</w:t>
              </w:r>
            </w:hyperlink>
          </w:p>
        </w:tc>
        <w:tc>
          <w:tcPr>
            <w:tcW w:w="1080" w:type="dxa"/>
            <w:vAlign w:val="bottom"/>
            <w:tcBorders>
              <w:bottom w:val="single" w:sz="8" w:color="CCEEFF"/>
              <w:right w:val="single" w:sz="8" w:color="CCEEFF"/>
            </w:tcBorders>
            <w:gridSpan w:val="13"/>
            <w:shd w:val="clear" w:color="auto" w:fill="CCEEFF"/>
          </w:tcPr>
          <w:p>
            <w:pPr>
              <w:spacing w:after="0"/>
              <w:rPr>
                <w:sz w:val="17"/>
                <w:szCs w:val="17"/>
                <w:color w:val="auto"/>
              </w:rPr>
            </w:pPr>
          </w:p>
        </w:tc>
      </w:tr>
      <w:tr>
        <w:trPr>
          <w:trHeight w:val="176"/>
        </w:trPr>
        <w:tc>
          <w:tcPr>
            <w:tcW w:w="500" w:type="dxa"/>
            <w:vAlign w:val="bottom"/>
            <w:tcBorders>
              <w:bottom w:val="single" w:sz="8" w:color="0000EE"/>
            </w:tcBorders>
            <w:gridSpan w:val="4"/>
          </w:tcPr>
          <w:p>
            <w:pPr>
              <w:spacing w:after="0" w:line="176" w:lineRule="exact"/>
              <w:rPr>
                <w:rFonts w:ascii="Arial" w:cs="Arial" w:eastAsia="Arial" w:hAnsi="Arial"/>
                <w:sz w:val="18"/>
                <w:szCs w:val="18"/>
                <w:color w:val="0000EE"/>
                <w:w w:val="89"/>
              </w:rPr>
            </w:pPr>
            <w:hyperlink r:id="rId32">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10^</w:t>
              </w:r>
            </w:hyperlink>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60" w:type="dxa"/>
            <w:vAlign w:val="bottom"/>
            <w:tcBorders>
              <w:bottom w:val="single" w:sz="8" w:color="0000EE"/>
            </w:tcBorders>
            <w:gridSpan w:val="22"/>
          </w:tcPr>
          <w:p>
            <w:pPr>
              <w:ind w:left="20"/>
              <w:spacing w:after="0" w:line="176" w:lineRule="exact"/>
              <w:rPr>
                <w:rFonts w:ascii="Arial" w:cs="Arial" w:eastAsia="Arial" w:hAnsi="Arial"/>
                <w:sz w:val="18"/>
                <w:szCs w:val="18"/>
                <w:color w:val="0000EE"/>
                <w:w w:val="90"/>
              </w:rPr>
            </w:pPr>
            <w:hyperlink r:id="rId32">
              <w:r>
                <w:rPr>
                  <w:rFonts w:ascii="Arial" w:cs="Arial" w:eastAsia="Arial" w:hAnsi="Arial"/>
                  <w:sz w:val="18"/>
                  <w:szCs w:val="18"/>
                  <w:color w:val="0000EE"/>
                  <w:w w:val="90"/>
                </w:rPr>
                <w:t>Form of Amended and Restated Notice of Share Option Grant under the Atieva, Inc. 2009 Share Plan (incorporated by reference to</w:t>
              </w:r>
            </w:hyperlink>
          </w:p>
        </w:tc>
        <w:tc>
          <w:tcPr>
            <w:tcW w:w="540" w:type="dxa"/>
            <w:vAlign w:val="bottom"/>
            <w:gridSpan w:val="7"/>
          </w:tcPr>
          <w:p>
            <w:pPr>
              <w:spacing w:after="0"/>
              <w:rPr>
                <w:sz w:val="15"/>
                <w:szCs w:val="15"/>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9"/>
          </w:tcPr>
          <w:p>
            <w:pPr>
              <w:ind w:left="20"/>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Exhibit 10.9 to Amendment No. 2 to the Registration Statement)</w:t>
              </w:r>
            </w:hyperlink>
          </w:p>
        </w:tc>
      </w:tr>
      <w:tr>
        <w:trPr>
          <w:trHeight w:val="21"/>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5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9"/>
              </w:rPr>
            </w:pPr>
            <w:hyperlink r:id="rId33">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11^</w:t>
              </w:r>
            </w:hyperlink>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80" w:type="dxa"/>
            <w:vAlign w:val="bottom"/>
            <w:tcBorders>
              <w:bottom w:val="single" w:sz="8" w:color="0000EE"/>
            </w:tcBorders>
            <w:gridSpan w:val="23"/>
            <w:shd w:val="clear" w:color="auto" w:fill="CCEEFF"/>
          </w:tcPr>
          <w:p>
            <w:pPr>
              <w:ind w:left="20"/>
              <w:spacing w:after="0" w:line="176" w:lineRule="exact"/>
              <w:rPr>
                <w:rFonts w:ascii="Arial" w:cs="Arial" w:eastAsia="Arial" w:hAnsi="Arial"/>
                <w:sz w:val="18"/>
                <w:szCs w:val="18"/>
                <w:color w:val="0000EE"/>
                <w:w w:val="90"/>
              </w:rPr>
            </w:pPr>
            <w:hyperlink r:id="rId33">
              <w:r>
                <w:rPr>
                  <w:rFonts w:ascii="Arial" w:cs="Arial" w:eastAsia="Arial" w:hAnsi="Arial"/>
                  <w:sz w:val="18"/>
                  <w:szCs w:val="18"/>
                  <w:color w:val="0000EE"/>
                  <w:w w:val="90"/>
                </w:rPr>
                <w:t>Atieva, Inc. 2014 Share Plan, as amended January 11, 2021 (incorporated by reference to Exhibit 10.10 to Amendment No. 2 to the</w:t>
              </w:r>
            </w:hyperlink>
          </w:p>
        </w:tc>
        <w:tc>
          <w:tcPr>
            <w:tcW w:w="520" w:type="dxa"/>
            <w:vAlign w:val="bottom"/>
            <w:tcBorders>
              <w:bottom w:val="single" w:sz="8" w:color="CCEEFF"/>
              <w:right w:val="single" w:sz="8" w:color="CCEEFF"/>
            </w:tcBorders>
            <w:gridSpan w:val="6"/>
            <w:shd w:val="clear" w:color="auto" w:fill="CCEEFF"/>
          </w:tcPr>
          <w:p>
            <w:pPr>
              <w:spacing w:after="0"/>
              <w:rPr>
                <w:sz w:val="15"/>
                <w:szCs w:val="15"/>
                <w:color w:val="auto"/>
              </w:rPr>
            </w:pPr>
          </w:p>
        </w:tc>
      </w:tr>
      <w:tr>
        <w:trPr>
          <w:trHeight w:val="216"/>
        </w:trPr>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0000EE"/>
            </w:tcBorders>
            <w:gridSpan w:val="2"/>
            <w:shd w:val="clear" w:color="auto" w:fill="CCEEFF"/>
          </w:tcPr>
          <w:p>
            <w:pPr>
              <w:ind w:left="20"/>
              <w:spacing w:after="0" w:line="196" w:lineRule="exact"/>
              <w:rPr>
                <w:rFonts w:ascii="Arial" w:cs="Arial" w:eastAsia="Arial" w:hAnsi="Arial"/>
                <w:sz w:val="18"/>
                <w:szCs w:val="18"/>
                <w:color w:val="0000EE"/>
                <w:w w:val="88"/>
              </w:rPr>
            </w:pPr>
            <w:hyperlink r:id="rId33">
              <w:r>
                <w:rPr>
                  <w:rFonts w:ascii="Arial" w:cs="Arial" w:eastAsia="Arial" w:hAnsi="Arial"/>
                  <w:sz w:val="18"/>
                  <w:szCs w:val="18"/>
                  <w:color w:val="0000EE"/>
                  <w:w w:val="88"/>
                </w:rPr>
                <w:t>Registration Statement)</w:t>
              </w:r>
            </w:hyperlink>
          </w:p>
        </w:tc>
        <w:tc>
          <w:tcPr>
            <w:tcW w:w="8280" w:type="dxa"/>
            <w:vAlign w:val="bottom"/>
            <w:tcBorders>
              <w:bottom w:val="single" w:sz="8" w:color="CCEEFF"/>
              <w:right w:val="single" w:sz="8" w:color="CCEEFF"/>
            </w:tcBorders>
            <w:gridSpan w:val="27"/>
            <w:shd w:val="clear" w:color="auto" w:fill="CCEEFF"/>
          </w:tcPr>
          <w:p>
            <w:pPr>
              <w:spacing w:after="0"/>
              <w:rPr>
                <w:sz w:val="18"/>
                <w:szCs w:val="18"/>
                <w:color w:val="auto"/>
              </w:rPr>
            </w:pPr>
          </w:p>
        </w:tc>
      </w:tr>
      <w:tr>
        <w:trPr>
          <w:trHeight w:val="176"/>
        </w:trPr>
        <w:tc>
          <w:tcPr>
            <w:tcW w:w="500" w:type="dxa"/>
            <w:vAlign w:val="bottom"/>
            <w:tcBorders>
              <w:bottom w:val="single" w:sz="8" w:color="0000EE"/>
            </w:tcBorders>
            <w:gridSpan w:val="4"/>
          </w:tcPr>
          <w:p>
            <w:pPr>
              <w:spacing w:after="0" w:line="176" w:lineRule="exact"/>
              <w:rPr>
                <w:rFonts w:ascii="Arial" w:cs="Arial" w:eastAsia="Arial" w:hAnsi="Arial"/>
                <w:sz w:val="18"/>
                <w:szCs w:val="18"/>
                <w:color w:val="0000EE"/>
                <w:w w:val="89"/>
              </w:rPr>
            </w:pPr>
            <w:hyperlink r:id="rId34">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12^</w:t>
              </w:r>
            </w:hyperlink>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60" w:type="dxa"/>
            <w:vAlign w:val="bottom"/>
            <w:tcBorders>
              <w:bottom w:val="single" w:sz="8" w:color="0000EE"/>
            </w:tcBorders>
            <w:gridSpan w:val="22"/>
          </w:tcPr>
          <w:p>
            <w:pPr>
              <w:ind w:left="20"/>
              <w:spacing w:after="0" w:line="176" w:lineRule="exact"/>
              <w:rPr>
                <w:rFonts w:ascii="Arial" w:cs="Arial" w:eastAsia="Arial" w:hAnsi="Arial"/>
                <w:sz w:val="18"/>
                <w:szCs w:val="18"/>
                <w:color w:val="0000EE"/>
                <w:w w:val="90"/>
              </w:rPr>
            </w:pPr>
            <w:hyperlink r:id="rId34">
              <w:r>
                <w:rPr>
                  <w:rFonts w:ascii="Arial" w:cs="Arial" w:eastAsia="Arial" w:hAnsi="Arial"/>
                  <w:sz w:val="18"/>
                  <w:szCs w:val="18"/>
                  <w:color w:val="0000EE"/>
                  <w:w w:val="90"/>
                </w:rPr>
                <w:t>Form of Amended and Restated Notice of Share Option Grant under the Atieva, Inc. 2014 Share Plan (incorporated by reference to</w:t>
              </w:r>
            </w:hyperlink>
          </w:p>
        </w:tc>
        <w:tc>
          <w:tcPr>
            <w:tcW w:w="540" w:type="dxa"/>
            <w:vAlign w:val="bottom"/>
            <w:gridSpan w:val="7"/>
          </w:tcPr>
          <w:p>
            <w:pPr>
              <w:spacing w:after="0"/>
              <w:rPr>
                <w:sz w:val="15"/>
                <w:szCs w:val="15"/>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9"/>
          </w:tcPr>
          <w:p>
            <w:pPr>
              <w:ind w:left="20"/>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Exhibit 10.11 to Amendment No. 2 to the Registration Statement)</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500" w:type="dxa"/>
            <w:vAlign w:val="bottom"/>
            <w:gridSpan w:val="4"/>
            <w:shd w:val="clear" w:color="auto" w:fill="CCEEFF"/>
          </w:tcPr>
          <w:p>
            <w:pPr>
              <w:spacing w:after="0" w:line="176" w:lineRule="exact"/>
              <w:rPr>
                <w:rFonts w:ascii="Arial" w:cs="Arial" w:eastAsia="Arial" w:hAnsi="Arial"/>
                <w:sz w:val="18"/>
                <w:szCs w:val="18"/>
                <w:color w:val="0000EE"/>
                <w:w w:val="89"/>
              </w:rPr>
            </w:pPr>
            <w:hyperlink r:id="rId35">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13^</w:t>
              </w:r>
            </w:hyperlink>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tcBorders>
              <w:right w:val="single" w:sz="8" w:color="CCEEFF"/>
            </w:tcBorders>
            <w:gridSpan w:val="29"/>
            <w:shd w:val="clear" w:color="auto" w:fill="CCEEFF"/>
          </w:tcPr>
          <w:p>
            <w:pPr>
              <w:ind w:left="20"/>
              <w:spacing w:after="0" w:line="176" w:lineRule="exact"/>
              <w:rPr>
                <w:rFonts w:ascii="Arial" w:cs="Arial" w:eastAsia="Arial" w:hAnsi="Arial"/>
                <w:sz w:val="18"/>
                <w:szCs w:val="18"/>
                <w:color w:val="0000EE"/>
                <w:w w:val="92"/>
              </w:rPr>
            </w:pPr>
            <w:hyperlink r:id="rId35">
              <w:r>
                <w:rPr>
                  <w:rFonts w:ascii="Arial" w:cs="Arial" w:eastAsia="Arial" w:hAnsi="Arial"/>
                  <w:sz w:val="18"/>
                  <w:szCs w:val="18"/>
                  <w:color w:val="0000EE"/>
                  <w:w w:val="92"/>
                </w:rPr>
                <w:t>Atieva, Inc. 2021 Stock Incentive Plan, as amended February 22, 2021 (incorporated by reference to Exhibit 10.12 to Amendment No. 2</w:t>
              </w:r>
            </w:hyperlink>
          </w:p>
        </w:tc>
      </w:tr>
      <w:tr>
        <w:trPr>
          <w:trHeight w:val="196"/>
        </w:trPr>
        <w:tc>
          <w:tcPr>
            <w:tcW w:w="2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20" w:type="dxa"/>
            <w:vAlign w:val="bottom"/>
            <w:tcBorders>
              <w:top w:val="single" w:sz="8" w:color="0000EE"/>
              <w:right w:val="single" w:sz="8" w:color="CCEEFF"/>
            </w:tcBorders>
            <w:gridSpan w:val="27"/>
            <w:shd w:val="clear" w:color="auto" w:fill="CCEEFF"/>
          </w:tcPr>
          <w:p>
            <w:pPr>
              <w:ind w:left="20"/>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to the Registration Statement)</w:t>
              </w:r>
            </w:hyperlink>
          </w:p>
        </w:tc>
        <w:tc>
          <w:tcPr>
            <w:tcW w:w="180" w:type="dxa"/>
            <w:vAlign w:val="bottom"/>
            <w:tcBorders>
              <w:top w:val="single" w:sz="8" w:color="CCEEFF"/>
              <w:right w:val="single" w:sz="8" w:color="CCEEFF"/>
            </w:tcBorders>
            <w:gridSpan w:val="2"/>
            <w:shd w:val="clear" w:color="auto" w:fill="CCEEFF"/>
          </w:tcPr>
          <w:p>
            <w:pPr>
              <w:spacing w:after="0"/>
              <w:rPr>
                <w:sz w:val="17"/>
                <w:szCs w:val="17"/>
                <w:color w:val="auto"/>
              </w:rPr>
            </w:pPr>
          </w:p>
        </w:tc>
      </w:tr>
      <w:tr>
        <w:trPr>
          <w:trHeight w:val="21"/>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6"/>
        </w:trPr>
        <w:tc>
          <w:tcPr>
            <w:tcW w:w="500" w:type="dxa"/>
            <w:vAlign w:val="bottom"/>
            <w:tcBorders>
              <w:bottom w:val="single" w:sz="8" w:color="0000EE"/>
            </w:tcBorders>
            <w:gridSpan w:val="4"/>
          </w:tcPr>
          <w:p>
            <w:pPr>
              <w:spacing w:after="0" w:line="176" w:lineRule="exact"/>
              <w:rPr>
                <w:rFonts w:ascii="Arial" w:cs="Arial" w:eastAsia="Arial" w:hAnsi="Arial"/>
                <w:sz w:val="18"/>
                <w:szCs w:val="18"/>
                <w:color w:val="0000EE"/>
                <w:w w:val="89"/>
              </w:rPr>
            </w:pPr>
            <w:hyperlink r:id="rId36">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14^</w:t>
              </w:r>
            </w:hyperlink>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340" w:type="dxa"/>
            <w:vAlign w:val="bottom"/>
            <w:tcBorders>
              <w:bottom w:val="single" w:sz="8" w:color="0000EE"/>
            </w:tcBorders>
            <w:gridSpan w:val="20"/>
          </w:tcPr>
          <w:p>
            <w:pPr>
              <w:ind w:left="20"/>
              <w:spacing w:after="0" w:line="176" w:lineRule="exact"/>
              <w:rPr>
                <w:rFonts w:ascii="Arial" w:cs="Arial" w:eastAsia="Arial" w:hAnsi="Arial"/>
                <w:sz w:val="18"/>
                <w:szCs w:val="18"/>
                <w:color w:val="0000EE"/>
                <w:w w:val="91"/>
              </w:rPr>
            </w:pPr>
            <w:hyperlink r:id="rId36">
              <w:r>
                <w:rPr>
                  <w:rFonts w:ascii="Arial" w:cs="Arial" w:eastAsia="Arial" w:hAnsi="Arial"/>
                  <w:sz w:val="18"/>
                  <w:szCs w:val="18"/>
                  <w:color w:val="0000EE"/>
                  <w:w w:val="91"/>
                </w:rPr>
                <w:t>Form of Stock Option Agreement under the Atieva, Inc. 2021 Stock Incentive Plan (incorporated by reference to Exhibit 10.13 to</w:t>
              </w:r>
            </w:hyperlink>
          </w:p>
        </w:tc>
        <w:tc>
          <w:tcPr>
            <w:tcW w:w="660" w:type="dxa"/>
            <w:vAlign w:val="bottom"/>
            <w:gridSpan w:val="9"/>
          </w:tcPr>
          <w:p>
            <w:pPr>
              <w:spacing w:after="0"/>
              <w:rPr>
                <w:sz w:val="15"/>
                <w:szCs w:val="15"/>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9"/>
          </w:tcPr>
          <w:p>
            <w:pPr>
              <w:ind w:left="20"/>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Amendment No. 2 to the Registration Statement)</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5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9"/>
              </w:rPr>
            </w:pPr>
            <w:hyperlink r:id="rId37">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15^</w:t>
              </w:r>
            </w:hyperlink>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40" w:type="dxa"/>
            <w:vAlign w:val="bottom"/>
            <w:tcBorders>
              <w:bottom w:val="single" w:sz="8" w:color="0000EE"/>
            </w:tcBorders>
            <w:gridSpan w:val="28"/>
            <w:shd w:val="clear" w:color="auto" w:fill="CCEEFF"/>
          </w:tcPr>
          <w:p>
            <w:pPr>
              <w:ind w:left="20"/>
              <w:spacing w:after="0" w:line="176" w:lineRule="exact"/>
              <w:rPr>
                <w:rFonts w:ascii="Arial" w:cs="Arial" w:eastAsia="Arial" w:hAnsi="Arial"/>
                <w:sz w:val="18"/>
                <w:szCs w:val="18"/>
                <w:color w:val="0000EE"/>
                <w:w w:val="91"/>
              </w:rPr>
            </w:pPr>
            <w:hyperlink r:id="rId37">
              <w:r>
                <w:rPr>
                  <w:rFonts w:ascii="Arial" w:cs="Arial" w:eastAsia="Arial" w:hAnsi="Arial"/>
                  <w:sz w:val="18"/>
                  <w:szCs w:val="18"/>
                  <w:color w:val="0000EE"/>
                  <w:w w:val="91"/>
                </w:rPr>
                <w:t>Form of RSU Agreement under the Atieva, Inc. 2021 Stock Incentive Plan (for Rule 144 affiliates) (incorporated by reference to Exhibit</w:t>
              </w:r>
            </w:hyperlink>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r>
      <w:tr>
        <w:trPr>
          <w:trHeight w:val="216"/>
        </w:trPr>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0000EE"/>
            </w:tcBorders>
            <w:gridSpan w:val="10"/>
            <w:shd w:val="clear" w:color="auto" w:fill="CCEEFF"/>
          </w:tcPr>
          <w:p>
            <w:pPr>
              <w:ind w:left="20"/>
              <w:spacing w:after="0" w:line="196" w:lineRule="exact"/>
              <w:rPr>
                <w:rFonts w:ascii="Arial" w:cs="Arial" w:eastAsia="Arial" w:hAnsi="Arial"/>
                <w:sz w:val="18"/>
                <w:szCs w:val="18"/>
                <w:color w:val="0000EE"/>
                <w:w w:val="90"/>
              </w:rPr>
            </w:pPr>
            <w:hyperlink r:id="rId37">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14</w:t>
              </w:r>
              <w:r>
                <w:rPr>
                  <w:rFonts w:ascii="Arial" w:cs="Arial" w:eastAsia="Arial" w:hAnsi="Arial"/>
                  <w:sz w:val="18"/>
                  <w:szCs w:val="18"/>
                  <w:color w:val="0000EE"/>
                  <w:w w:val="90"/>
                </w:rPr>
                <w:t xml:space="preserve"> to Amendment No. 2 to the Registration Statement)</w:t>
              </w:r>
            </w:hyperlink>
          </w:p>
        </w:tc>
        <w:tc>
          <w:tcPr>
            <w:tcW w:w="5820" w:type="dxa"/>
            <w:vAlign w:val="bottom"/>
            <w:tcBorders>
              <w:bottom w:val="single" w:sz="8" w:color="CCEEFF"/>
              <w:right w:val="single" w:sz="8" w:color="CCEEFF"/>
            </w:tcBorders>
            <w:gridSpan w:val="19"/>
            <w:shd w:val="clear" w:color="auto" w:fill="CCEEFF"/>
          </w:tcPr>
          <w:p>
            <w:pPr>
              <w:spacing w:after="0"/>
              <w:rPr>
                <w:sz w:val="18"/>
                <w:szCs w:val="18"/>
                <w:color w:val="auto"/>
              </w:rPr>
            </w:pPr>
          </w:p>
        </w:tc>
      </w:tr>
      <w:tr>
        <w:trPr>
          <w:trHeight w:val="176"/>
        </w:trPr>
        <w:tc>
          <w:tcPr>
            <w:tcW w:w="500" w:type="dxa"/>
            <w:vAlign w:val="bottom"/>
            <w:tcBorders>
              <w:bottom w:val="single" w:sz="8" w:color="0000EE"/>
            </w:tcBorders>
            <w:gridSpan w:val="4"/>
          </w:tcPr>
          <w:p>
            <w:pPr>
              <w:spacing w:after="0" w:line="176" w:lineRule="exact"/>
              <w:rPr>
                <w:rFonts w:ascii="Arial" w:cs="Arial" w:eastAsia="Arial" w:hAnsi="Arial"/>
                <w:sz w:val="18"/>
                <w:szCs w:val="18"/>
                <w:color w:val="0000EE"/>
                <w:w w:val="89"/>
              </w:rPr>
            </w:pPr>
            <w:hyperlink r:id="rId38">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16^</w:t>
              </w:r>
            </w:hyperlink>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tcBorders>
              <w:bottom w:val="single" w:sz="8" w:color="0000EE"/>
            </w:tcBorders>
            <w:gridSpan w:val="29"/>
          </w:tcPr>
          <w:p>
            <w:pPr>
              <w:ind w:left="20"/>
              <w:spacing w:after="0" w:line="176" w:lineRule="exact"/>
              <w:rPr>
                <w:rFonts w:ascii="Arial" w:cs="Arial" w:eastAsia="Arial" w:hAnsi="Arial"/>
                <w:sz w:val="18"/>
                <w:szCs w:val="18"/>
                <w:color w:val="0000EE"/>
                <w:w w:val="91"/>
              </w:rPr>
            </w:pPr>
            <w:hyperlink r:id="rId38">
              <w:r>
                <w:rPr>
                  <w:rFonts w:ascii="Arial" w:cs="Arial" w:eastAsia="Arial" w:hAnsi="Arial"/>
                  <w:sz w:val="18"/>
                  <w:szCs w:val="18"/>
                  <w:color w:val="0000EE"/>
                  <w:w w:val="91"/>
                </w:rPr>
                <w:t>Form of RSU Agreement under the Atieva, Inc. 2021 Stock Incentive Plan (incorporated by reference to Exhibit 10.15 to Amendment No.</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9"/>
          </w:tcPr>
          <w:p>
            <w:pPr>
              <w:ind w:left="20"/>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2 to the Registration Statement)</w:t>
              </w:r>
            </w:hyperlink>
          </w:p>
        </w:tc>
      </w:tr>
      <w:tr>
        <w:trPr>
          <w:trHeight w:val="21"/>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500" w:type="dxa"/>
            <w:vAlign w:val="bottom"/>
            <w:gridSpan w:val="4"/>
            <w:shd w:val="clear" w:color="auto" w:fill="CCEEFF"/>
          </w:tcPr>
          <w:p>
            <w:pPr>
              <w:spacing w:after="0" w:line="176" w:lineRule="exact"/>
              <w:rPr>
                <w:rFonts w:ascii="Arial" w:cs="Arial" w:eastAsia="Arial" w:hAnsi="Arial"/>
                <w:sz w:val="18"/>
                <w:szCs w:val="18"/>
                <w:color w:val="0000EE"/>
                <w:w w:val="89"/>
              </w:rPr>
            </w:pPr>
            <w:hyperlink r:id="rId39">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17^</w:t>
              </w:r>
            </w:hyperlink>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tcBorders>
              <w:right w:val="single" w:sz="8" w:color="CCEEFF"/>
            </w:tcBorders>
            <w:gridSpan w:val="29"/>
            <w:shd w:val="clear" w:color="auto" w:fill="CCEEFF"/>
          </w:tcPr>
          <w:p>
            <w:pPr>
              <w:ind w:left="20"/>
              <w:spacing w:after="0" w:line="17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Atieva USA, Inc. Severance Benefit Plan (incorporated by reference to Exhibit 10.16 to Amendment No. 2 to the Registration Statement)</w:t>
              </w:r>
            </w:hyperlink>
          </w:p>
        </w:tc>
      </w:tr>
      <w:tr>
        <w:trPr>
          <w:trHeight w:val="36"/>
        </w:trPr>
        <w:tc>
          <w:tcPr>
            <w:tcW w:w="2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3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4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0" w:type="dxa"/>
            <w:vAlign w:val="bottom"/>
            <w:shd w:val="clear" w:color="auto" w:fill="0000EE"/>
          </w:tcPr>
          <w:p>
            <w:pPr>
              <w:spacing w:after="0"/>
              <w:rPr>
                <w:sz w:val="3"/>
                <w:szCs w:val="3"/>
                <w:color w:val="auto"/>
              </w:rPr>
            </w:pPr>
          </w:p>
        </w:tc>
        <w:tc>
          <w:tcPr>
            <w:tcW w:w="124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r>
    </w:tbl>
    <w:p>
      <w:pPr>
        <w:sectPr>
          <w:pgSz w:w="11900" w:h="16900" w:orient="portrait"/>
          <w:cols w:equalWidth="0" w:num="1">
            <w:col w:w="11240"/>
          </w:cols>
          <w:pgMar w:left="320" w:top="904" w:right="3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gridSpan w:val="3"/>
          </w:tcPr>
          <w:p>
            <w:pPr>
              <w:spacing w:after="0"/>
              <w:rPr>
                <w:rFonts w:ascii="Arial" w:cs="Arial" w:eastAsia="Arial" w:hAnsi="Arial"/>
                <w:sz w:val="18"/>
                <w:szCs w:val="18"/>
                <w:color w:val="0000EE"/>
                <w:w w:val="89"/>
              </w:rPr>
            </w:pPr>
            <w:hyperlink r:id="rId40">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18^</w:t>
              </w:r>
            </w:hyperlink>
          </w:p>
        </w:tc>
        <w:tc>
          <w:tcPr>
            <w:tcW w:w="740" w:type="dxa"/>
            <w:vAlign w:val="bottom"/>
          </w:tcPr>
          <w:p>
            <w:pPr>
              <w:spacing w:after="0"/>
              <w:rPr>
                <w:sz w:val="17"/>
                <w:szCs w:val="17"/>
                <w:color w:val="auto"/>
              </w:rPr>
            </w:pPr>
          </w:p>
        </w:tc>
        <w:tc>
          <w:tcPr>
            <w:tcW w:w="10000" w:type="dxa"/>
            <w:vAlign w:val="bottom"/>
            <w:gridSpan w:val="21"/>
          </w:tcPr>
          <w:p>
            <w:pPr>
              <w:ind w:left="20"/>
              <w:spacing w:after="0"/>
              <w:rPr>
                <w:rFonts w:ascii="Arial" w:cs="Arial" w:eastAsia="Arial" w:hAnsi="Arial"/>
                <w:sz w:val="18"/>
                <w:szCs w:val="18"/>
                <w:color w:val="0000EE"/>
                <w:w w:val="95"/>
              </w:rPr>
            </w:pPr>
            <w:hyperlink r:id="rId40">
              <w:r>
                <w:rPr>
                  <w:rFonts w:ascii="Arial" w:cs="Arial" w:eastAsia="Arial" w:hAnsi="Arial"/>
                  <w:sz w:val="18"/>
                  <w:szCs w:val="18"/>
                  <w:color w:val="0000EE"/>
                  <w:w w:val="95"/>
                </w:rPr>
                <w:t>Offer letter with Michael Smuts, dated as of January 2, 2020 (incorporated by reference to Exhibit 10.17 to Amendment No. 2 to the</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9540" w:type="dxa"/>
            <w:vAlign w:val="bottom"/>
            <w:tcBorders>
              <w:top w:val="single" w:sz="8" w:color="0000EE"/>
            </w:tcBorders>
            <w:gridSpan w:val="13"/>
          </w:tcPr>
          <w:p>
            <w:pPr>
              <w:ind w:left="20"/>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Registration Statement)</w:t>
              </w:r>
            </w:hyperlink>
          </w:p>
        </w:tc>
        <w:tc>
          <w:tcPr>
            <w:tcW w:w="460" w:type="dxa"/>
            <w:vAlign w:val="bottom"/>
            <w:gridSpan w:val="8"/>
          </w:tcPr>
          <w:p>
            <w:pPr>
              <w:spacing w:after="0"/>
              <w:rPr>
                <w:sz w:val="17"/>
                <w:szCs w:val="17"/>
                <w:color w:val="auto"/>
              </w:rPr>
            </w:pPr>
          </w:p>
        </w:tc>
      </w:tr>
      <w:tr>
        <w:trPr>
          <w:trHeight w:val="21"/>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420" w:type="dxa"/>
            <w:vAlign w:val="bottom"/>
            <w:gridSpan w:val="2"/>
            <w:shd w:val="clear" w:color="auto" w:fill="CCEEFF"/>
          </w:tcPr>
          <w:p>
            <w:pPr>
              <w:spacing w:after="0" w:line="176" w:lineRule="exact"/>
              <w:rPr>
                <w:rFonts w:ascii="Arial" w:cs="Arial" w:eastAsia="Arial" w:hAnsi="Arial"/>
                <w:sz w:val="18"/>
                <w:szCs w:val="18"/>
                <w:color w:val="0000EE"/>
                <w:w w:val="88"/>
              </w:rPr>
            </w:pPr>
            <w:hyperlink r:id="rId4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19</w:t>
              </w:r>
            </w:hyperlink>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00" w:type="dxa"/>
            <w:vAlign w:val="bottom"/>
            <w:gridSpan w:val="21"/>
            <w:shd w:val="clear" w:color="auto" w:fill="CCEEFF"/>
          </w:tcPr>
          <w:p>
            <w:pPr>
              <w:ind w:left="20"/>
              <w:spacing w:after="0" w:line="176" w:lineRule="exact"/>
              <w:rPr>
                <w:rFonts w:ascii="Arial" w:cs="Arial" w:eastAsia="Arial" w:hAnsi="Arial"/>
                <w:sz w:val="18"/>
                <w:szCs w:val="18"/>
                <w:color w:val="0000EE"/>
                <w:w w:val="89"/>
              </w:rPr>
            </w:pPr>
            <w:hyperlink r:id="rId41">
              <w:r>
                <w:rPr>
                  <w:rFonts w:ascii="Arial" w:cs="Arial" w:eastAsia="Arial" w:hAnsi="Arial"/>
                  <w:sz w:val="18"/>
                  <w:szCs w:val="18"/>
                  <w:color w:val="0000EE"/>
                  <w:w w:val="89"/>
                </w:rPr>
                <w:t>Lease and Option to Purchase between Pinal County, as landlord, and Atieva USA, Inc., as tenant, dated December 20, 2018 (incorporated</w:t>
              </w:r>
            </w:hyperlink>
          </w:p>
        </w:tc>
      </w:tr>
      <w:tr>
        <w:trPr>
          <w:trHeight w:val="217"/>
        </w:trPr>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5880" w:type="dxa"/>
            <w:vAlign w:val="bottom"/>
            <w:tcBorders>
              <w:top w:val="single" w:sz="8" w:color="0000EE"/>
              <w:bottom w:val="single" w:sz="8" w:color="0000EE"/>
            </w:tcBorders>
            <w:gridSpan w:val="5"/>
            <w:shd w:val="clear" w:color="auto" w:fill="CCEEFF"/>
          </w:tcPr>
          <w:p>
            <w:pPr>
              <w:ind w:left="20"/>
              <w:spacing w:after="0" w:line="196" w:lineRule="exact"/>
              <w:rPr>
                <w:rFonts w:ascii="Arial" w:cs="Arial" w:eastAsia="Arial" w:hAnsi="Arial"/>
                <w:sz w:val="18"/>
                <w:szCs w:val="18"/>
                <w:color w:val="0000EE"/>
                <w:w w:val="90"/>
              </w:rPr>
            </w:pPr>
            <w:hyperlink r:id="rId41">
              <w:r>
                <w:rPr>
                  <w:rFonts w:ascii="Arial" w:cs="Arial" w:eastAsia="Arial" w:hAnsi="Arial"/>
                  <w:sz w:val="18"/>
                  <w:szCs w:val="18"/>
                  <w:color w:val="0000EE"/>
                  <w:w w:val="90"/>
                </w:rPr>
                <w:t>by reference to Exhibit 10.18 to Amendment No. 2 to the Registration Statement)</w:t>
              </w:r>
            </w:hyperlink>
          </w:p>
        </w:tc>
        <w:tc>
          <w:tcPr>
            <w:tcW w:w="4100" w:type="dxa"/>
            <w:vAlign w:val="bottom"/>
            <w:tcBorders>
              <w:top w:val="single" w:sz="8" w:color="0000EE"/>
              <w:bottom w:val="single" w:sz="8" w:color="CCEEFF"/>
            </w:tcBorders>
            <w:gridSpan w:val="1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420" w:type="dxa"/>
            <w:vAlign w:val="bottom"/>
            <w:tcBorders>
              <w:bottom w:val="single" w:sz="8" w:color="0000EE"/>
            </w:tcBorders>
            <w:gridSpan w:val="2"/>
          </w:tcPr>
          <w:p>
            <w:pPr>
              <w:spacing w:after="0" w:line="176" w:lineRule="exact"/>
              <w:rPr>
                <w:rFonts w:ascii="Arial" w:cs="Arial" w:eastAsia="Arial" w:hAnsi="Arial"/>
                <w:sz w:val="18"/>
                <w:szCs w:val="18"/>
                <w:color w:val="0000EE"/>
                <w:w w:val="88"/>
              </w:rPr>
            </w:pPr>
            <w:hyperlink r:id="rId4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20</w:t>
              </w:r>
            </w:hyperlink>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920" w:type="dxa"/>
            <w:vAlign w:val="bottom"/>
            <w:tcBorders>
              <w:bottom w:val="single" w:sz="8" w:color="0000EE"/>
            </w:tcBorders>
            <w:gridSpan w:val="19"/>
          </w:tcPr>
          <w:p>
            <w:pPr>
              <w:ind w:left="20"/>
              <w:spacing w:after="0" w:line="176" w:lineRule="exact"/>
              <w:rPr>
                <w:rFonts w:ascii="Arial" w:cs="Arial" w:eastAsia="Arial" w:hAnsi="Arial"/>
                <w:sz w:val="18"/>
                <w:szCs w:val="18"/>
                <w:color w:val="0000EE"/>
                <w:w w:val="90"/>
              </w:rPr>
            </w:pPr>
            <w:hyperlink r:id="rId42">
              <w:r>
                <w:rPr>
                  <w:rFonts w:ascii="Arial" w:cs="Arial" w:eastAsia="Arial" w:hAnsi="Arial"/>
                  <w:sz w:val="18"/>
                  <w:szCs w:val="18"/>
                  <w:color w:val="0000EE"/>
                  <w:w w:val="90"/>
                </w:rPr>
                <w:t>Lease by and between CADC Partners, LLC and Atieva USA, Inc., dated January 17, 2020 (incorporated by reference to Exhibit 10.19 to</w:t>
              </w:r>
            </w:hyperlink>
          </w:p>
        </w:tc>
        <w:tc>
          <w:tcPr>
            <w:tcW w:w="80" w:type="dxa"/>
            <w:vAlign w:val="bottom"/>
            <w:gridSpan w:val="2"/>
          </w:tcPr>
          <w:p>
            <w:pPr>
              <w:spacing w:after="0"/>
              <w:rPr>
                <w:sz w:val="15"/>
                <w:szCs w:val="15"/>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0" w:type="dxa"/>
            <w:vAlign w:val="bottom"/>
            <w:gridSpan w:val="21"/>
          </w:tcPr>
          <w:p>
            <w:pPr>
              <w:ind w:left="20"/>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Amendment No. 2 to the Registration Statement)</w:t>
              </w:r>
            </w:hyperlink>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r:id="rId43">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21^</w:t>
              </w:r>
            </w:hyperlink>
          </w:p>
        </w:tc>
        <w:tc>
          <w:tcPr>
            <w:tcW w:w="740" w:type="dxa"/>
            <w:vAlign w:val="bottom"/>
            <w:tcBorders>
              <w:bottom w:val="single" w:sz="8" w:color="CCEEFF"/>
            </w:tcBorders>
            <w:shd w:val="clear" w:color="auto" w:fill="CCEEFF"/>
          </w:tcPr>
          <w:p>
            <w:pPr>
              <w:spacing w:after="0"/>
              <w:rPr>
                <w:sz w:val="17"/>
                <w:szCs w:val="17"/>
                <w:color w:val="auto"/>
              </w:rPr>
            </w:pPr>
          </w:p>
        </w:tc>
        <w:tc>
          <w:tcPr>
            <w:tcW w:w="9560" w:type="dxa"/>
            <w:vAlign w:val="bottom"/>
            <w:tcBorders>
              <w:bottom w:val="single" w:sz="8" w:color="0000EE"/>
            </w:tcBorders>
            <w:gridSpan w:val="14"/>
            <w:shd w:val="clear" w:color="auto" w:fill="CCEEFF"/>
          </w:tcPr>
          <w:p>
            <w:pPr>
              <w:ind w:left="20"/>
              <w:spacing w:after="0" w:line="176" w:lineRule="exact"/>
              <w:rPr>
                <w:rFonts w:ascii="Arial" w:cs="Arial" w:eastAsia="Arial" w:hAnsi="Arial"/>
                <w:sz w:val="18"/>
                <w:szCs w:val="18"/>
                <w:color w:val="0000EE"/>
                <w:w w:val="91"/>
              </w:rPr>
            </w:pPr>
            <w:hyperlink r:id="rId43">
              <w:r>
                <w:rPr>
                  <w:rFonts w:ascii="Arial" w:cs="Arial" w:eastAsia="Arial" w:hAnsi="Arial"/>
                  <w:sz w:val="18"/>
                  <w:szCs w:val="18"/>
                  <w:color w:val="0000EE"/>
                  <w:w w:val="91"/>
                </w:rPr>
                <w:t>Form of Indemnification Agreement (incorporated by reference to Exhibit 10.22 to Amendment No. 2 to the Registration Statement)</w:t>
              </w:r>
            </w:hyperlink>
          </w:p>
        </w:tc>
        <w:tc>
          <w:tcPr>
            <w:tcW w:w="440" w:type="dxa"/>
            <w:vAlign w:val="bottom"/>
            <w:tcBorders>
              <w:bottom w:val="single" w:sz="8" w:color="CCEEFF"/>
            </w:tcBorders>
            <w:gridSpan w:val="7"/>
            <w:shd w:val="clear" w:color="auto" w:fill="CCEEFF"/>
          </w:tcPr>
          <w:p>
            <w:pPr>
              <w:spacing w:after="0"/>
              <w:rPr>
                <w:sz w:val="17"/>
                <w:szCs w:val="17"/>
                <w:color w:val="auto"/>
              </w:rPr>
            </w:pPr>
          </w:p>
        </w:tc>
      </w:tr>
      <w:tr>
        <w:trPr>
          <w:trHeight w:val="175"/>
        </w:trPr>
        <w:tc>
          <w:tcPr>
            <w:tcW w:w="500" w:type="dxa"/>
            <w:vAlign w:val="bottom"/>
            <w:gridSpan w:val="3"/>
          </w:tcPr>
          <w:p>
            <w:pPr>
              <w:spacing w:after="0" w:line="176" w:lineRule="exact"/>
              <w:rPr>
                <w:rFonts w:ascii="Arial" w:cs="Arial" w:eastAsia="Arial" w:hAnsi="Arial"/>
                <w:sz w:val="18"/>
                <w:szCs w:val="18"/>
                <w:color w:val="0000EE"/>
                <w:w w:val="89"/>
              </w:rPr>
            </w:pPr>
            <w:hyperlink r:id="rId44">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22^</w:t>
              </w:r>
            </w:hyperlink>
          </w:p>
        </w:tc>
        <w:tc>
          <w:tcPr>
            <w:tcW w:w="740" w:type="dxa"/>
            <w:vAlign w:val="bottom"/>
          </w:tcPr>
          <w:p>
            <w:pPr>
              <w:spacing w:after="0"/>
              <w:rPr>
                <w:sz w:val="15"/>
                <w:szCs w:val="15"/>
                <w:color w:val="auto"/>
              </w:rPr>
            </w:pPr>
          </w:p>
        </w:tc>
        <w:tc>
          <w:tcPr>
            <w:tcW w:w="10000" w:type="dxa"/>
            <w:vAlign w:val="bottom"/>
            <w:gridSpan w:val="21"/>
          </w:tcPr>
          <w:p>
            <w:pPr>
              <w:ind w:left="20"/>
              <w:spacing w:after="0" w:line="176" w:lineRule="exact"/>
              <w:rPr>
                <w:rFonts w:ascii="Arial" w:cs="Arial" w:eastAsia="Arial" w:hAnsi="Arial"/>
                <w:sz w:val="18"/>
                <w:szCs w:val="18"/>
                <w:color w:val="0000EE"/>
                <w:w w:val="95"/>
              </w:rPr>
            </w:pPr>
            <w:hyperlink r:id="rId44">
              <w:r>
                <w:rPr>
                  <w:rFonts w:ascii="Arial" w:cs="Arial" w:eastAsia="Arial" w:hAnsi="Arial"/>
                  <w:sz w:val="18"/>
                  <w:szCs w:val="18"/>
                  <w:color w:val="0000EE"/>
                  <w:w w:val="95"/>
                </w:rPr>
                <w:t>Transaction Bonus Letter Agreement, dated March 29, 2021 (incorporated by reference to Exhibit 10.23 to Amendment No. 2 to the</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tcBorders>
              <w:top w:val="single" w:sz="8" w:color="0000EE"/>
            </w:tcBorders>
            <w:gridSpan w:val="12"/>
          </w:tcPr>
          <w:p>
            <w:pPr>
              <w:ind w:left="20"/>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Registration Statement)</w:t>
              </w:r>
            </w:hyperlink>
          </w:p>
        </w:tc>
        <w:tc>
          <w:tcPr>
            <w:tcW w:w="480" w:type="dxa"/>
            <w:vAlign w:val="bottom"/>
            <w:gridSpan w:val="9"/>
          </w:tcPr>
          <w:p>
            <w:pPr>
              <w:spacing w:after="0"/>
              <w:rPr>
                <w:sz w:val="17"/>
                <w:szCs w:val="17"/>
                <w:color w:val="auto"/>
              </w:rPr>
            </w:pPr>
          </w:p>
        </w:tc>
      </w:tr>
      <w:tr>
        <w:trPr>
          <w:trHeight w:val="21"/>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5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r:id="rId45">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23^</w:t>
              </w:r>
            </w:hyperlink>
          </w:p>
        </w:tc>
        <w:tc>
          <w:tcPr>
            <w:tcW w:w="740" w:type="dxa"/>
            <w:vAlign w:val="bottom"/>
            <w:tcBorders>
              <w:bottom w:val="single" w:sz="8" w:color="CCEEFF"/>
            </w:tcBorders>
            <w:shd w:val="clear" w:color="auto" w:fill="CCEEFF"/>
          </w:tcPr>
          <w:p>
            <w:pPr>
              <w:spacing w:after="0"/>
              <w:rPr>
                <w:sz w:val="15"/>
                <w:szCs w:val="15"/>
                <w:color w:val="auto"/>
              </w:rPr>
            </w:pPr>
          </w:p>
        </w:tc>
        <w:tc>
          <w:tcPr>
            <w:tcW w:w="9580" w:type="dxa"/>
            <w:vAlign w:val="bottom"/>
            <w:tcBorders>
              <w:bottom w:val="single" w:sz="8" w:color="0000EE"/>
            </w:tcBorders>
            <w:gridSpan w:val="15"/>
            <w:shd w:val="clear" w:color="auto" w:fill="CCEEFF"/>
          </w:tcPr>
          <w:p>
            <w:pPr>
              <w:ind w:left="20"/>
              <w:spacing w:after="0" w:line="176" w:lineRule="exact"/>
              <w:rPr>
                <w:rFonts w:ascii="Arial" w:cs="Arial" w:eastAsia="Arial" w:hAnsi="Arial"/>
                <w:sz w:val="18"/>
                <w:szCs w:val="18"/>
                <w:color w:val="0000EE"/>
                <w:w w:val="91"/>
              </w:rPr>
            </w:pPr>
            <w:hyperlink r:id="rId45">
              <w:r>
                <w:rPr>
                  <w:rFonts w:ascii="Arial" w:cs="Arial" w:eastAsia="Arial" w:hAnsi="Arial"/>
                  <w:sz w:val="18"/>
                  <w:szCs w:val="18"/>
                  <w:color w:val="0000EE"/>
                  <w:w w:val="91"/>
                </w:rPr>
                <w:t>Notice of Restricted Stock Unit Grant, dated March 27, 2021 (incorporated by reference to Exhibit 10.24 to Amendment No. 2 to the</w:t>
              </w:r>
            </w:hyperlink>
          </w:p>
        </w:tc>
        <w:tc>
          <w:tcPr>
            <w:tcW w:w="420" w:type="dxa"/>
            <w:vAlign w:val="bottom"/>
            <w:tcBorders>
              <w:bottom w:val="single" w:sz="8" w:color="CCEEFF"/>
            </w:tcBorders>
            <w:gridSpan w:val="6"/>
            <w:shd w:val="clear" w:color="auto" w:fill="CCEEFF"/>
          </w:tcPr>
          <w:p>
            <w:pPr>
              <w:spacing w:after="0"/>
              <w:rPr>
                <w:sz w:val="15"/>
                <w:szCs w:val="15"/>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0000EE"/>
            </w:tcBorders>
            <w:gridSpan w:val="2"/>
            <w:shd w:val="clear" w:color="auto" w:fill="CCEEFF"/>
          </w:tcPr>
          <w:p>
            <w:pPr>
              <w:ind w:left="20"/>
              <w:spacing w:after="0" w:line="196" w:lineRule="exact"/>
              <w:rPr>
                <w:rFonts w:ascii="Arial" w:cs="Arial" w:eastAsia="Arial" w:hAnsi="Arial"/>
                <w:sz w:val="18"/>
                <w:szCs w:val="18"/>
                <w:color w:val="0000EE"/>
                <w:w w:val="88"/>
              </w:rPr>
            </w:pPr>
            <w:hyperlink r:id="rId45">
              <w:r>
                <w:rPr>
                  <w:rFonts w:ascii="Arial" w:cs="Arial" w:eastAsia="Arial" w:hAnsi="Arial"/>
                  <w:sz w:val="18"/>
                  <w:szCs w:val="18"/>
                  <w:color w:val="0000EE"/>
                  <w:w w:val="88"/>
                </w:rPr>
                <w:t>Registration Statement)</w:t>
              </w:r>
            </w:hyperlink>
          </w:p>
        </w:tc>
        <w:tc>
          <w:tcPr>
            <w:tcW w:w="8280" w:type="dxa"/>
            <w:vAlign w:val="bottom"/>
            <w:tcBorders>
              <w:bottom w:val="single" w:sz="8" w:color="CCEEFF"/>
            </w:tcBorders>
            <w:gridSpan w:val="19"/>
            <w:shd w:val="clear" w:color="auto" w:fill="CCEEFF"/>
          </w:tcPr>
          <w:p>
            <w:pPr>
              <w:spacing w:after="0"/>
              <w:rPr>
                <w:sz w:val="18"/>
                <w:szCs w:val="18"/>
                <w:color w:val="auto"/>
              </w:rPr>
            </w:pPr>
          </w:p>
        </w:tc>
      </w:tr>
      <w:tr>
        <w:trPr>
          <w:trHeight w:val="176"/>
        </w:trPr>
        <w:tc>
          <w:tcPr>
            <w:tcW w:w="500" w:type="dxa"/>
            <w:vAlign w:val="bottom"/>
            <w:gridSpan w:val="3"/>
          </w:tcPr>
          <w:p>
            <w:pPr>
              <w:spacing w:after="0" w:line="176" w:lineRule="exact"/>
              <w:rPr>
                <w:rFonts w:ascii="Arial" w:cs="Arial" w:eastAsia="Arial" w:hAnsi="Arial"/>
                <w:sz w:val="18"/>
                <w:szCs w:val="18"/>
                <w:color w:val="0000EE"/>
                <w:w w:val="89"/>
              </w:rPr>
            </w:pPr>
            <w:hyperlink r:id="rId46">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24^</w:t>
              </w:r>
            </w:hyperlink>
          </w:p>
        </w:tc>
        <w:tc>
          <w:tcPr>
            <w:tcW w:w="740" w:type="dxa"/>
            <w:vAlign w:val="bottom"/>
          </w:tcPr>
          <w:p>
            <w:pPr>
              <w:spacing w:after="0"/>
              <w:rPr>
                <w:sz w:val="15"/>
                <w:szCs w:val="15"/>
                <w:color w:val="auto"/>
              </w:rPr>
            </w:pPr>
          </w:p>
        </w:tc>
        <w:tc>
          <w:tcPr>
            <w:tcW w:w="10000" w:type="dxa"/>
            <w:vAlign w:val="bottom"/>
            <w:gridSpan w:val="21"/>
          </w:tcPr>
          <w:p>
            <w:pPr>
              <w:ind w:left="20"/>
              <w:spacing w:after="0" w:line="176" w:lineRule="exact"/>
              <w:rPr>
                <w:rFonts w:ascii="Arial" w:cs="Arial" w:eastAsia="Arial" w:hAnsi="Arial"/>
                <w:sz w:val="18"/>
                <w:szCs w:val="18"/>
                <w:color w:val="0000EE"/>
                <w:w w:val="97"/>
              </w:rPr>
            </w:pPr>
            <w:hyperlink r:id="rId46">
              <w:r>
                <w:rPr>
                  <w:rFonts w:ascii="Arial" w:cs="Arial" w:eastAsia="Arial" w:hAnsi="Arial"/>
                  <w:sz w:val="18"/>
                  <w:szCs w:val="18"/>
                  <w:color w:val="0000EE"/>
                  <w:w w:val="97"/>
                </w:rPr>
                <w:t>Offer of Employment to Sherry House, dated April 1, 2021 (incorporated by reference to Exhibit 10.25 to Amendment No. 2 to the</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9440" w:type="dxa"/>
            <w:vAlign w:val="bottom"/>
            <w:tcBorders>
              <w:top w:val="single" w:sz="8" w:color="0000EE"/>
            </w:tcBorders>
            <w:gridSpan w:val="10"/>
          </w:tcPr>
          <w:p>
            <w:pPr>
              <w:ind w:left="20"/>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Registration Statement)</w:t>
              </w:r>
            </w:hyperlink>
          </w:p>
        </w:tc>
        <w:tc>
          <w:tcPr>
            <w:tcW w:w="560" w:type="dxa"/>
            <w:vAlign w:val="bottom"/>
            <w:gridSpan w:val="11"/>
          </w:tcPr>
          <w:p>
            <w:pPr>
              <w:spacing w:after="0"/>
              <w:rPr>
                <w:sz w:val="17"/>
                <w:szCs w:val="17"/>
                <w:color w:val="auto"/>
              </w:rPr>
            </w:pPr>
          </w:p>
        </w:tc>
      </w:tr>
      <w:tr>
        <w:trPr>
          <w:trHeight w:val="21"/>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500" w:type="dxa"/>
            <w:vAlign w:val="bottom"/>
            <w:gridSpan w:val="3"/>
            <w:shd w:val="clear" w:color="auto" w:fill="CCEEFF"/>
          </w:tcPr>
          <w:p>
            <w:pPr>
              <w:spacing w:after="0" w:line="176" w:lineRule="exact"/>
              <w:rPr>
                <w:rFonts w:ascii="Arial" w:cs="Arial" w:eastAsia="Arial" w:hAnsi="Arial"/>
                <w:sz w:val="18"/>
                <w:szCs w:val="18"/>
                <w:color w:val="0000EE"/>
                <w:w w:val="89"/>
              </w:rPr>
            </w:pPr>
            <w:hyperlink r:id="rId47">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25^</w:t>
              </w:r>
            </w:hyperlink>
          </w:p>
        </w:tc>
        <w:tc>
          <w:tcPr>
            <w:tcW w:w="740" w:type="dxa"/>
            <w:vAlign w:val="bottom"/>
            <w:shd w:val="clear" w:color="auto" w:fill="CCEEFF"/>
          </w:tcPr>
          <w:p>
            <w:pPr>
              <w:spacing w:after="0"/>
              <w:rPr>
                <w:sz w:val="15"/>
                <w:szCs w:val="15"/>
                <w:color w:val="auto"/>
              </w:rPr>
            </w:pPr>
          </w:p>
        </w:tc>
        <w:tc>
          <w:tcPr>
            <w:tcW w:w="10000" w:type="dxa"/>
            <w:vAlign w:val="bottom"/>
            <w:gridSpan w:val="21"/>
            <w:shd w:val="clear" w:color="auto" w:fill="CCEEFF"/>
          </w:tcPr>
          <w:p>
            <w:pPr>
              <w:ind w:left="20"/>
              <w:spacing w:after="0" w:line="176" w:lineRule="exact"/>
              <w:rPr>
                <w:rFonts w:ascii="Arial" w:cs="Arial" w:eastAsia="Arial" w:hAnsi="Arial"/>
                <w:sz w:val="18"/>
                <w:szCs w:val="18"/>
                <w:color w:val="0000EE"/>
              </w:rPr>
            </w:pPr>
            <w:hyperlink r:id="rId47">
              <w:r>
                <w:rPr>
                  <w:rFonts w:ascii="Arial" w:cs="Arial" w:eastAsia="Arial" w:hAnsi="Arial"/>
                  <w:sz w:val="18"/>
                  <w:szCs w:val="18"/>
                  <w:color w:val="0000EE"/>
                </w:rPr>
                <w:t>Lucid Group, Inc. 2021 Performance Bonus Plan (incorporated by reference to Exhibit 10.25 to the Original Report)</w:t>
              </w:r>
            </w:hyperlink>
          </w:p>
        </w:tc>
      </w:tr>
      <w:tr>
        <w:trPr>
          <w:trHeight w:val="21"/>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34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00" w:type="dxa"/>
            <w:vAlign w:val="bottom"/>
            <w:tcBorders>
              <w:bottom w:val="single" w:sz="8" w:color="0000EE"/>
            </w:tcBorders>
            <w:gridSpan w:val="3"/>
          </w:tcPr>
          <w:p>
            <w:pPr>
              <w:spacing w:after="0" w:line="176" w:lineRule="exact"/>
              <w:rPr>
                <w:rFonts w:ascii="Arial" w:cs="Arial" w:eastAsia="Arial" w:hAnsi="Arial"/>
                <w:sz w:val="18"/>
                <w:szCs w:val="18"/>
                <w:color w:val="0000EE"/>
                <w:w w:val="89"/>
              </w:rPr>
            </w:pPr>
            <w:hyperlink r:id="rId48">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26^</w:t>
              </w:r>
            </w:hyperlink>
          </w:p>
        </w:tc>
        <w:tc>
          <w:tcPr>
            <w:tcW w:w="740" w:type="dxa"/>
            <w:vAlign w:val="bottom"/>
          </w:tcPr>
          <w:p>
            <w:pPr>
              <w:spacing w:after="0"/>
              <w:rPr>
                <w:sz w:val="15"/>
                <w:szCs w:val="15"/>
                <w:color w:val="auto"/>
              </w:rPr>
            </w:pPr>
          </w:p>
        </w:tc>
        <w:tc>
          <w:tcPr>
            <w:tcW w:w="9840" w:type="dxa"/>
            <w:vAlign w:val="bottom"/>
            <w:tcBorders>
              <w:bottom w:val="single" w:sz="8" w:color="0000EE"/>
            </w:tcBorders>
            <w:gridSpan w:val="18"/>
          </w:tcPr>
          <w:p>
            <w:pPr>
              <w:ind w:left="20"/>
              <w:spacing w:after="0" w:line="17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Lucid Group, Inc. 2021 Executive Severance Benefit Plan and Summary Plan Description (incorporated by reference to Exhibit 10.26 to</w:t>
              </w:r>
            </w:hyperlink>
          </w:p>
        </w:tc>
        <w:tc>
          <w:tcPr>
            <w:tcW w:w="160" w:type="dxa"/>
            <w:vAlign w:val="bottom"/>
            <w:gridSpan w:val="3"/>
          </w:tcPr>
          <w:p>
            <w:pPr>
              <w:spacing w:after="0"/>
              <w:rPr>
                <w:sz w:val="15"/>
                <w:szCs w:val="15"/>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0" w:type="dxa"/>
            <w:vAlign w:val="bottom"/>
            <w:gridSpan w:val="21"/>
          </w:tcPr>
          <w:p>
            <w:pPr>
              <w:ind w:left="20"/>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the Original Report)</w:t>
              </w:r>
            </w:hyperlink>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500" w:type="dxa"/>
            <w:vAlign w:val="bottom"/>
            <w:gridSpan w:val="3"/>
            <w:shd w:val="clear" w:color="auto" w:fill="CCEEFF"/>
          </w:tcPr>
          <w:p>
            <w:pPr>
              <w:spacing w:after="0" w:line="176" w:lineRule="exact"/>
              <w:rPr>
                <w:rFonts w:ascii="Arial" w:cs="Arial" w:eastAsia="Arial" w:hAnsi="Arial"/>
                <w:sz w:val="18"/>
                <w:szCs w:val="18"/>
                <w:color w:val="0000EE"/>
                <w:w w:val="89"/>
              </w:rPr>
            </w:pPr>
            <w:hyperlink r:id="rId49">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27^</w:t>
              </w:r>
            </w:hyperlink>
          </w:p>
        </w:tc>
        <w:tc>
          <w:tcPr>
            <w:tcW w:w="740" w:type="dxa"/>
            <w:vAlign w:val="bottom"/>
            <w:shd w:val="clear" w:color="auto" w:fill="CCEEFF"/>
          </w:tcPr>
          <w:p>
            <w:pPr>
              <w:spacing w:after="0"/>
              <w:rPr>
                <w:sz w:val="15"/>
                <w:szCs w:val="15"/>
                <w:color w:val="auto"/>
              </w:rPr>
            </w:pPr>
          </w:p>
        </w:tc>
        <w:tc>
          <w:tcPr>
            <w:tcW w:w="10000" w:type="dxa"/>
            <w:vAlign w:val="bottom"/>
            <w:gridSpan w:val="21"/>
            <w:shd w:val="clear" w:color="auto" w:fill="CCEEFF"/>
          </w:tcPr>
          <w:p>
            <w:pPr>
              <w:ind w:left="20"/>
              <w:spacing w:after="0" w:line="176" w:lineRule="exact"/>
              <w:rPr>
                <w:rFonts w:ascii="Arial" w:cs="Arial" w:eastAsia="Arial" w:hAnsi="Arial"/>
                <w:sz w:val="18"/>
                <w:szCs w:val="18"/>
                <w:color w:val="0000EE"/>
                <w:w w:val="95"/>
              </w:rPr>
            </w:pPr>
            <w:hyperlink r:id="rId49">
              <w:r>
                <w:rPr>
                  <w:rFonts w:ascii="Arial" w:cs="Arial" w:eastAsia="Arial" w:hAnsi="Arial"/>
                  <w:sz w:val="18"/>
                  <w:szCs w:val="18"/>
                  <w:color w:val="0000EE"/>
                  <w:w w:val="95"/>
                </w:rPr>
                <w:t>Form of Participation Agreement under the Lucid Group, Inc. 2021 Executive Severance Benefit Plan (incorporated by reference to</w:t>
              </w:r>
            </w:hyperlink>
          </w:p>
        </w:tc>
      </w:tr>
      <w:tr>
        <w:trPr>
          <w:trHeight w:val="217"/>
        </w:trPr>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2680" w:type="dxa"/>
            <w:vAlign w:val="bottom"/>
            <w:tcBorders>
              <w:top w:val="single" w:sz="8" w:color="0000EE"/>
              <w:bottom w:val="single" w:sz="8" w:color="0000EE"/>
            </w:tcBorders>
            <w:gridSpan w:val="3"/>
            <w:shd w:val="clear" w:color="auto" w:fill="CCEEFF"/>
          </w:tcPr>
          <w:p>
            <w:pPr>
              <w:ind w:left="20"/>
              <w:spacing w:after="0" w:line="19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Exhibit 10.27 to the Original Report)</w:t>
              </w:r>
            </w:hyperlink>
          </w:p>
        </w:tc>
        <w:tc>
          <w:tcPr>
            <w:tcW w:w="6800" w:type="dxa"/>
            <w:vAlign w:val="bottom"/>
            <w:tcBorders>
              <w:top w:val="single" w:sz="8" w:color="0000EE"/>
              <w:bottom w:val="single" w:sz="8" w:color="CCEEFF"/>
            </w:tcBorders>
            <w:gridSpan w:val="8"/>
            <w:shd w:val="clear" w:color="auto" w:fill="CCEEFF"/>
          </w:tcPr>
          <w:p>
            <w:pPr>
              <w:spacing w:after="0"/>
              <w:rPr>
                <w:sz w:val="18"/>
                <w:szCs w:val="18"/>
                <w:color w:val="auto"/>
              </w:rPr>
            </w:pPr>
          </w:p>
        </w:tc>
        <w:tc>
          <w:tcPr>
            <w:tcW w:w="520" w:type="dxa"/>
            <w:vAlign w:val="bottom"/>
            <w:tcBorders>
              <w:top w:val="single" w:sz="8" w:color="CCEEFF"/>
              <w:bottom w:val="single" w:sz="8" w:color="CCEEFF"/>
            </w:tcBorders>
            <w:gridSpan w:val="10"/>
            <w:shd w:val="clear" w:color="auto" w:fill="CCEEFF"/>
          </w:tcPr>
          <w:p>
            <w:pPr>
              <w:spacing w:after="0"/>
              <w:rPr>
                <w:sz w:val="18"/>
                <w:szCs w:val="18"/>
                <w:color w:val="auto"/>
              </w:rPr>
            </w:pPr>
          </w:p>
        </w:tc>
      </w:tr>
      <w:tr>
        <w:trPr>
          <w:trHeight w:val="175"/>
        </w:trPr>
        <w:tc>
          <w:tcPr>
            <w:tcW w:w="420" w:type="dxa"/>
            <w:vAlign w:val="bottom"/>
            <w:gridSpan w:val="2"/>
          </w:tcPr>
          <w:p>
            <w:pPr>
              <w:spacing w:after="0" w:line="176" w:lineRule="exact"/>
              <w:rPr>
                <w:rFonts w:ascii="Arial" w:cs="Arial" w:eastAsia="Arial" w:hAnsi="Arial"/>
                <w:sz w:val="18"/>
                <w:szCs w:val="18"/>
                <w:color w:val="0000EE"/>
              </w:rPr>
            </w:pPr>
            <w:hyperlink r:id="rId50">
              <w:r>
                <w:rPr>
                  <w:rFonts w:ascii="Arial" w:cs="Arial" w:eastAsia="Arial" w:hAnsi="Arial"/>
                  <w:sz w:val="18"/>
                  <w:szCs w:val="18"/>
                  <w:color w:val="0000EE"/>
                </w:rPr>
                <w:t>14.</w:t>
              </w:r>
              <w:r>
                <w:rPr>
                  <w:rFonts w:ascii="Arial" w:cs="Arial" w:eastAsia="Arial" w:hAnsi="Arial"/>
                  <w:sz w:val="18"/>
                  <w:szCs w:val="18"/>
                  <w:u w:val="single" w:color="auto"/>
                  <w:color w:val="0000EE"/>
                </w:rPr>
                <w:t>1</w:t>
              </w:r>
            </w:hyperlink>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0" w:type="dxa"/>
            <w:vAlign w:val="bottom"/>
            <w:gridSpan w:val="21"/>
          </w:tcPr>
          <w:p>
            <w:pPr>
              <w:ind w:left="20"/>
              <w:spacing w:after="0" w:line="176" w:lineRule="exact"/>
              <w:rPr>
                <w:rFonts w:ascii="Arial" w:cs="Arial" w:eastAsia="Arial" w:hAnsi="Arial"/>
                <w:sz w:val="18"/>
                <w:szCs w:val="18"/>
                <w:color w:val="0000EE"/>
              </w:rPr>
            </w:pPr>
            <w:hyperlink r:id="rId50">
              <w:r>
                <w:rPr>
                  <w:rFonts w:ascii="Arial" w:cs="Arial" w:eastAsia="Arial" w:hAnsi="Arial"/>
                  <w:sz w:val="18"/>
                  <w:szCs w:val="18"/>
                  <w:color w:val="0000EE"/>
                </w:rPr>
                <w:t>Code of Business Conduct and Ethics of Lucid Group, Inc. (incorporated by reference to Exhibit 14.1 to the Original Report)</w:t>
              </w:r>
            </w:hyperlink>
          </w:p>
        </w:tc>
      </w:tr>
      <w:tr>
        <w:trPr>
          <w:trHeight w:val="21"/>
        </w:trPr>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34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r:id="rId51">
              <w:r>
                <w:rPr>
                  <w:rFonts w:ascii="Arial" w:cs="Arial" w:eastAsia="Arial" w:hAnsi="Arial"/>
                  <w:sz w:val="18"/>
                  <w:szCs w:val="18"/>
                  <w:color w:val="0000EE"/>
                </w:rPr>
                <w:t>16.</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00" w:type="dxa"/>
            <w:vAlign w:val="bottom"/>
            <w:gridSpan w:val="21"/>
            <w:shd w:val="clear" w:color="auto" w:fill="CCEEFF"/>
          </w:tcPr>
          <w:p>
            <w:pPr>
              <w:ind w:left="20"/>
              <w:spacing w:after="0" w:line="176" w:lineRule="exact"/>
              <w:rPr>
                <w:rFonts w:ascii="Arial" w:cs="Arial" w:eastAsia="Arial" w:hAnsi="Arial"/>
                <w:sz w:val="18"/>
                <w:szCs w:val="18"/>
                <w:color w:val="0000EE"/>
                <w:w w:val="92"/>
              </w:rPr>
            </w:pPr>
            <w:hyperlink r:id="rId51">
              <w:r>
                <w:rPr>
                  <w:rFonts w:ascii="Arial" w:cs="Arial" w:eastAsia="Arial" w:hAnsi="Arial"/>
                  <w:sz w:val="18"/>
                  <w:szCs w:val="18"/>
                  <w:color w:val="0000EE"/>
                  <w:w w:val="92"/>
                </w:rPr>
                <w:t>Letter from Marcum LLP to the Securities and Exchange Commission, dated July 26, 2021 (incorporated by reference to Exhibit 16.1 to</w:t>
              </w:r>
            </w:hyperlink>
          </w:p>
        </w:tc>
      </w:tr>
      <w:tr>
        <w:trPr>
          <w:trHeight w:val="196"/>
        </w:trPr>
        <w:tc>
          <w:tcPr>
            <w:tcW w:w="3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9820" w:type="dxa"/>
            <w:vAlign w:val="bottom"/>
            <w:tcBorders>
              <w:top w:val="single" w:sz="8" w:color="0000EE"/>
            </w:tcBorders>
            <w:gridSpan w:val="17"/>
            <w:shd w:val="clear" w:color="auto" w:fill="CCEEFF"/>
          </w:tcPr>
          <w:p>
            <w:pPr>
              <w:ind w:left="20"/>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the Original Report)</w:t>
              </w:r>
            </w:hyperlink>
          </w:p>
        </w:tc>
        <w:tc>
          <w:tcPr>
            <w:tcW w:w="180" w:type="dxa"/>
            <w:vAlign w:val="bottom"/>
            <w:tcBorders>
              <w:top w:val="single" w:sz="8" w:color="CCEEFF"/>
            </w:tcBorders>
            <w:gridSpan w:val="4"/>
            <w:shd w:val="clear" w:color="auto" w:fill="CCEEFF"/>
          </w:tcPr>
          <w:p>
            <w:pPr>
              <w:spacing w:after="0"/>
              <w:rPr>
                <w:sz w:val="17"/>
                <w:szCs w:val="17"/>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20" w:type="dxa"/>
            <w:vAlign w:val="bottom"/>
            <w:gridSpan w:val="2"/>
          </w:tcPr>
          <w:p>
            <w:pPr>
              <w:spacing w:after="0" w:line="176" w:lineRule="exact"/>
              <w:rPr>
                <w:rFonts w:ascii="Arial" w:cs="Arial" w:eastAsia="Arial" w:hAnsi="Arial"/>
                <w:sz w:val="18"/>
                <w:szCs w:val="18"/>
                <w:color w:val="0000EE"/>
              </w:rPr>
            </w:pPr>
            <w:hyperlink r:id="rId52">
              <w:r>
                <w:rPr>
                  <w:rFonts w:ascii="Arial" w:cs="Arial" w:eastAsia="Arial" w:hAnsi="Arial"/>
                  <w:sz w:val="18"/>
                  <w:szCs w:val="18"/>
                  <w:color w:val="0000EE"/>
                </w:rPr>
                <w:t>21.</w:t>
              </w:r>
              <w:r>
                <w:rPr>
                  <w:rFonts w:ascii="Arial" w:cs="Arial" w:eastAsia="Arial" w:hAnsi="Arial"/>
                  <w:sz w:val="18"/>
                  <w:szCs w:val="18"/>
                  <w:u w:val="single" w:color="auto"/>
                  <w:color w:val="0000EE"/>
                </w:rPr>
                <w:t>1</w:t>
              </w:r>
            </w:hyperlink>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0" w:type="dxa"/>
            <w:vAlign w:val="bottom"/>
            <w:gridSpan w:val="21"/>
          </w:tcPr>
          <w:p>
            <w:pPr>
              <w:ind w:left="20"/>
              <w:spacing w:after="0" w:line="176" w:lineRule="exact"/>
              <w:rPr>
                <w:rFonts w:ascii="Arial" w:cs="Arial" w:eastAsia="Arial" w:hAnsi="Arial"/>
                <w:sz w:val="18"/>
                <w:szCs w:val="18"/>
                <w:color w:val="0000EE"/>
              </w:rPr>
            </w:pPr>
            <w:hyperlink r:id="rId52">
              <w:r>
                <w:rPr>
                  <w:rFonts w:ascii="Arial" w:cs="Arial" w:eastAsia="Arial" w:hAnsi="Arial"/>
                  <w:sz w:val="18"/>
                  <w:szCs w:val="18"/>
                  <w:color w:val="0000EE"/>
                </w:rPr>
                <w:t>List of Subsidiaries of Lucid Group, Inc. (incorporated by reference to Exhibit 21.1 to the Original Report)</w:t>
              </w:r>
            </w:hyperlink>
          </w:p>
        </w:tc>
      </w:tr>
      <w:tr>
        <w:trPr>
          <w:trHeight w:val="20"/>
        </w:trPr>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34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r:id="rId53">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00" w:type="dxa"/>
            <w:vAlign w:val="bottom"/>
            <w:gridSpan w:val="21"/>
            <w:shd w:val="clear" w:color="auto" w:fill="CCEEFF"/>
          </w:tcPr>
          <w:p>
            <w:pPr>
              <w:ind w:left="20"/>
              <w:spacing w:after="0" w:line="176" w:lineRule="exact"/>
              <w:rPr>
                <w:rFonts w:ascii="Arial" w:cs="Arial" w:eastAsia="Arial" w:hAnsi="Arial"/>
                <w:sz w:val="18"/>
                <w:szCs w:val="18"/>
                <w:color w:val="0000EE"/>
                <w:w w:val="94"/>
              </w:rPr>
            </w:pPr>
            <w:hyperlink r:id="rId53">
              <w:r>
                <w:rPr>
                  <w:rFonts w:ascii="Arial" w:cs="Arial" w:eastAsia="Arial" w:hAnsi="Arial"/>
                  <w:sz w:val="18"/>
                  <w:szCs w:val="18"/>
                  <w:color w:val="0000EE"/>
                  <w:w w:val="94"/>
                </w:rPr>
                <w:t>Unaudited Pro Forma Condensed Combined Financial Information of Lucid Group, Inc., as of March 31, 2021 and for the year ended</w:t>
              </w:r>
            </w:hyperlink>
          </w:p>
        </w:tc>
      </w:tr>
      <w:tr>
        <w:trPr>
          <w:trHeight w:val="196"/>
        </w:trPr>
        <w:tc>
          <w:tcPr>
            <w:tcW w:w="3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9640" w:type="dxa"/>
            <w:vAlign w:val="bottom"/>
            <w:tcBorders>
              <w:top w:val="single" w:sz="8" w:color="0000EE"/>
            </w:tcBorders>
            <w:gridSpan w:val="16"/>
            <w:shd w:val="clear" w:color="auto" w:fill="CCEEFF"/>
          </w:tcPr>
          <w:p>
            <w:pPr>
              <w:ind w:left="20"/>
              <w:spacing w:after="0" w:line="196" w:lineRule="exact"/>
              <w:rPr>
                <w:rFonts w:ascii="Arial" w:cs="Arial" w:eastAsia="Arial" w:hAnsi="Arial"/>
                <w:sz w:val="18"/>
                <w:szCs w:val="18"/>
                <w:color w:val="0000EE"/>
                <w:w w:val="92"/>
              </w:rPr>
            </w:pPr>
            <w:hyperlink r:id="rId53">
              <w:r>
                <w:rPr>
                  <w:rFonts w:ascii="Arial" w:cs="Arial" w:eastAsia="Arial" w:hAnsi="Arial"/>
                  <w:sz w:val="18"/>
                  <w:szCs w:val="18"/>
                  <w:color w:val="0000EE"/>
                  <w:w w:val="92"/>
                </w:rPr>
                <w:t>December 31, 2020 and the three months ended March 31, 2021 (incorporated by reference to Exhibit 99.1 to the Original Report)</w:t>
              </w:r>
            </w:hyperlink>
          </w:p>
        </w:tc>
        <w:tc>
          <w:tcPr>
            <w:tcW w:w="360" w:type="dxa"/>
            <w:vAlign w:val="bottom"/>
            <w:tcBorders>
              <w:top w:val="single" w:sz="8" w:color="CCEEFF"/>
            </w:tcBorders>
            <w:gridSpan w:val="5"/>
            <w:shd w:val="clear" w:color="auto" w:fill="CCEEFF"/>
          </w:tcPr>
          <w:p>
            <w:pPr>
              <w:spacing w:after="0"/>
              <w:rPr>
                <w:sz w:val="17"/>
                <w:szCs w:val="17"/>
                <w:color w:val="auto"/>
              </w:rPr>
            </w:pPr>
          </w:p>
        </w:tc>
      </w:tr>
      <w:tr>
        <w:trPr>
          <w:trHeight w:val="21"/>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34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26, 2021</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LUCID GROUP, INC.</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ind w:left="594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Sherry House</w:t>
            </w:r>
          </w:p>
        </w:tc>
      </w:tr>
      <w:tr>
        <w:trPr>
          <w:trHeight w:val="195"/>
        </w:trPr>
        <w:tc>
          <w:tcPr>
            <w:tcW w:w="6520" w:type="dxa"/>
            <w:vAlign w:val="bottom"/>
          </w:tcPr>
          <w:p>
            <w:pPr>
              <w:ind w:left="5940"/>
              <w:spacing w:after="0" w:line="195" w:lineRule="exact"/>
              <w:rPr>
                <w:sz w:val="20"/>
                <w:szCs w:val="20"/>
                <w:color w:val="auto"/>
              </w:rPr>
            </w:pPr>
            <w:r>
              <w:rPr>
                <w:rFonts w:ascii="Arial" w:cs="Arial" w:eastAsia="Arial" w:hAnsi="Arial"/>
                <w:sz w:val="18"/>
                <w:szCs w:val="18"/>
                <w:color w:val="auto"/>
              </w:rPr>
              <w:t>Name:</w:t>
            </w: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Sherry House</w:t>
            </w:r>
          </w:p>
        </w:tc>
      </w:tr>
      <w:tr>
        <w:trPr>
          <w:trHeight w:val="230"/>
        </w:trPr>
        <w:tc>
          <w:tcPr>
            <w:tcW w:w="6520" w:type="dxa"/>
            <w:vAlign w:val="bottom"/>
          </w:tcPr>
          <w:p>
            <w:pPr>
              <w:ind w:left="5940"/>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65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54" Type="http://schemas.openxmlformats.org/officeDocument/2006/relationships/image" Target="media/image12.png"/><Relationship Id="rId19" Type="http://schemas.openxmlformats.org/officeDocument/2006/relationships/hyperlink" Target="https://www.sec.gov/Archives/edgar/data/1811210/000110465921026357/tm217491d2_ex2-1.htm" TargetMode="External"/><Relationship Id="rId20" Type="http://schemas.openxmlformats.org/officeDocument/2006/relationships/hyperlink" Target="https://www.sec.gov/Archives/edgar/data/0001811210/000110465921095842/tm2120294d5_ex3-1.htm" TargetMode="External"/><Relationship Id="rId21" Type="http://schemas.openxmlformats.org/officeDocument/2006/relationships/hyperlink" Target="https://www.sec.gov/Archives/edgar/data/0001811210/000110465921095842/tm2120294d5_ex3-2.htm" TargetMode="External"/><Relationship Id="rId22" Type="http://schemas.openxmlformats.org/officeDocument/2006/relationships/hyperlink" Target="https://www.sec.gov/Archives/edgar/data/0001811210/000110465921095842/tm2120294d5_ex4-1.htm" TargetMode="External"/><Relationship Id="rId23" Type="http://schemas.openxmlformats.org/officeDocument/2006/relationships/hyperlink" Target="https://www.sec.gov/Archives/edgar/data/1811210/000110465920090379/tm2026266d1_ex4-1.htm" TargetMode="External"/><Relationship Id="rId24" Type="http://schemas.openxmlformats.org/officeDocument/2006/relationships/hyperlink" Target="https://www.sec.gov/Archives/edgar/data/1811210/000110465921026357/tm217491d2_ex10-1.htm" TargetMode="External"/><Relationship Id="rId25" Type="http://schemas.openxmlformats.org/officeDocument/2006/relationships/hyperlink" Target="https://www.sec.gov/Archives/edgar/data/1811210/000110465921026357/tm217491d2_ex10-2.htm" TargetMode="External"/><Relationship Id="rId26" Type="http://schemas.openxmlformats.org/officeDocument/2006/relationships/hyperlink" Target="https://www.sec.gov/Archives/edgar/data/1811210/000110465921026357/tm217491d2_ex10-4.htm" TargetMode="External"/><Relationship Id="rId27" Type="http://schemas.openxmlformats.org/officeDocument/2006/relationships/hyperlink" Target="https://www.sec.gov/Archives/edgar/data/1811210/000110465921026357/tm217491d2_ex10-3.htm" TargetMode="External"/><Relationship Id="rId28" Type="http://schemas.openxmlformats.org/officeDocument/2006/relationships/hyperlink" Target="https://www.sec.gov/Archives/edgar/data/1811210/000110465921080354/tm219359-8_s4a.htm#tANNH" TargetMode="External"/><Relationship Id="rId29" Type="http://schemas.openxmlformats.org/officeDocument/2006/relationships/hyperlink" Target="https://www.sec.gov/Archives/edgar/data/1811210/000110465921039318/tm219359d2_ex10-6.htm" TargetMode="External"/><Relationship Id="rId30" Type="http://schemas.openxmlformats.org/officeDocument/2006/relationships/hyperlink" Target="https://www.sec.gov/Archives/edgar/data/1811210/000110465921039318/tm219359d2_ex10-7.htm" TargetMode="External"/><Relationship Id="rId31" Type="http://schemas.openxmlformats.org/officeDocument/2006/relationships/hyperlink" Target="https://www.sec.gov/Archives/edgar/data/1811210/000110465921039318/tm219359d2_ex10-8.htm" TargetMode="External"/><Relationship Id="rId32" Type="http://schemas.openxmlformats.org/officeDocument/2006/relationships/hyperlink" Target="https://www.sec.gov/Archives/edgar/data/1811210/000110465921039318/tm219359d2_ex10-9.htm" TargetMode="External"/><Relationship Id="rId33" Type="http://schemas.openxmlformats.org/officeDocument/2006/relationships/hyperlink" Target="https://www.sec.gov/Archives/edgar/data/1811210/000110465921039318/tm219359d2_ex10-10.htm" TargetMode="External"/><Relationship Id="rId34" Type="http://schemas.openxmlformats.org/officeDocument/2006/relationships/hyperlink" Target="https://www.sec.gov/Archives/edgar/data/1811210/000110465921039318/tm219359d2_ex10-11.htm" TargetMode="External"/><Relationship Id="rId35" Type="http://schemas.openxmlformats.org/officeDocument/2006/relationships/hyperlink" Target="https://www.sec.gov/Archives/edgar/data/1811210/000110465921039318/tm219359d2_ex10-12.htm" TargetMode="External"/><Relationship Id="rId36" Type="http://schemas.openxmlformats.org/officeDocument/2006/relationships/hyperlink" Target="https://www.sec.gov/Archives/edgar/data/1811210/000110465921039318/tm219359d2_ex10-13.htm" TargetMode="External"/><Relationship Id="rId37" Type="http://schemas.openxmlformats.org/officeDocument/2006/relationships/hyperlink" Target="https://www.sec.gov/Archives/edgar/data/1811210/000110465921039318/tm219359d2_ex10-14.htm" TargetMode="External"/><Relationship Id="rId38" Type="http://schemas.openxmlformats.org/officeDocument/2006/relationships/hyperlink" Target="https://www.sec.gov/Archives/edgar/data/1811210/000110465921039318/tm219359d2_ex10-15.htm" TargetMode="External"/><Relationship Id="rId39" Type="http://schemas.openxmlformats.org/officeDocument/2006/relationships/hyperlink" Target="https://www.sec.gov/Archives/edgar/data/1811210/000110465921039318/tm219359d2_ex10-16.htm" TargetMode="External"/><Relationship Id="rId40" Type="http://schemas.openxmlformats.org/officeDocument/2006/relationships/hyperlink" Target="https://www.sec.gov/Archives/edgar/data/1811210/000110465921039318/tm219359d2_ex10-17.htm" TargetMode="External"/><Relationship Id="rId41" Type="http://schemas.openxmlformats.org/officeDocument/2006/relationships/hyperlink" Target="https://www.sec.gov/Archives/edgar/data/1811210/000110465921039318/tm219359d2_ex10-18.htm" TargetMode="External"/><Relationship Id="rId42" Type="http://schemas.openxmlformats.org/officeDocument/2006/relationships/hyperlink" Target="https://www.sec.gov/Archives/edgar/data/1811210/000110465921039318/tm219359d2_ex10-19.htm" TargetMode="External"/><Relationship Id="rId43" Type="http://schemas.openxmlformats.org/officeDocument/2006/relationships/hyperlink" Target="https://www.sec.gov/Archives/edgar/data/1811210/000110465921067006/tm219359d5_ex10-22.htm" TargetMode="External"/><Relationship Id="rId44" Type="http://schemas.openxmlformats.org/officeDocument/2006/relationships/hyperlink" Target="https://www.sec.gov/Archives/edgar/data/1811210/000110465921067006/tm219359d5_ex10-23.htm" TargetMode="External"/><Relationship Id="rId45" Type="http://schemas.openxmlformats.org/officeDocument/2006/relationships/hyperlink" Target="https://www.sec.gov/Archives/edgar/data/1811210/000110465921067006/tm219359d5_ex10-24.htm" TargetMode="External"/><Relationship Id="rId46" Type="http://schemas.openxmlformats.org/officeDocument/2006/relationships/hyperlink" Target="https://www.sec.gov/Archives/edgar/data/1811210/000110465921067006/tm219359d5_ex10-25.htm" TargetMode="External"/><Relationship Id="rId47" Type="http://schemas.openxmlformats.org/officeDocument/2006/relationships/hyperlink" Target="https://www.sec.gov/Archives/edgar/data/0001811210/000110465921095842/tm2120294d5_ex10-25.htm" TargetMode="External"/><Relationship Id="rId48" Type="http://schemas.openxmlformats.org/officeDocument/2006/relationships/hyperlink" Target="https://www.sec.gov/Archives/edgar/data/0001811210/000110465921095842/tm2120294d5_ex10-26.htm" TargetMode="External"/><Relationship Id="rId49" Type="http://schemas.openxmlformats.org/officeDocument/2006/relationships/hyperlink" Target="https://www.sec.gov/Archives/edgar/data/0001811210/000110465921095842/tm2120294d5_ex10-27.htm" TargetMode="External"/><Relationship Id="rId50" Type="http://schemas.openxmlformats.org/officeDocument/2006/relationships/hyperlink" Target="https://www.sec.gov/Archives/edgar/data/0001811210/000110465921095842/tm2120294d5_ex14-1.htm" TargetMode="External"/><Relationship Id="rId51" Type="http://schemas.openxmlformats.org/officeDocument/2006/relationships/hyperlink" Target="https://www.sec.gov/Archives/edgar/data/0001811210/000110465921095842/tm2120294d5_ex16-1.htm" TargetMode="External"/><Relationship Id="rId52" Type="http://schemas.openxmlformats.org/officeDocument/2006/relationships/hyperlink" Target="https://www.sec.gov/Archives/edgar/data/0001811210/000110465921095842/tm2120294d5_ex21-1.htm" TargetMode="External"/><Relationship Id="rId53" Type="http://schemas.openxmlformats.org/officeDocument/2006/relationships/hyperlink" Target="https://www.sec.gov/Archives/edgar/data/0001811210/000110465921095842/tm2120294d5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2021-07-26T15:27:22Z</dcterms:created>
  <dcterms:modified xsi:type="dcterms:W3CDTF">2021-07-26T15:27:22Z</dcterms:modified>
</cp:coreProperties>
</file>