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98" w:lineRule="exact"/>
        <w:rPr>
          <w:sz w:val="24"/>
          <w:szCs w:val="24"/>
          <w:color w:val="auto"/>
        </w:rPr>
      </w:pPr>
    </w:p>
    <w:p>
      <w:pPr>
        <w:jc w:val="center"/>
        <w:ind w:left="820" w:right="1440"/>
        <w:spacing w:after="0" w:line="263" w:lineRule="auto"/>
        <w:rPr>
          <w:sz w:val="20"/>
          <w:szCs w:val="20"/>
          <w:color w:val="auto"/>
        </w:rPr>
      </w:pPr>
      <w:r>
        <w:rPr>
          <w:rFonts w:ascii="Arial" w:cs="Arial" w:eastAsia="Arial" w:hAnsi="Arial"/>
          <w:sz w:val="16"/>
          <w:szCs w:val="16"/>
          <w:b w:val="1"/>
          <w:bCs w:val="1"/>
          <w:color w:val="auto"/>
        </w:rPr>
        <w:t>As submitted confidentially to the U.S. Securities and Exchange Commission on May 27, 2020. This draft registration statement has not been publicly filed with the U.S. Securities and Exchange Commission and all information herein remains strictly confidential.</w:t>
      </w:r>
    </w:p>
    <w:p>
      <w:pPr>
        <w:spacing w:after="0" w:line="2" w:lineRule="exact"/>
        <w:rPr>
          <w:sz w:val="24"/>
          <w:szCs w:val="24"/>
          <w:color w:val="auto"/>
        </w:rPr>
      </w:pPr>
    </w:p>
    <w:p>
      <w:pPr>
        <w:ind w:left="86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40640</wp:posOffset>
            </wp:positionV>
            <wp:extent cx="61804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2540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100965</wp:posOffset>
            </wp:positionV>
            <wp:extent cx="6180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188"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UNITED STATES</w:t>
      </w:r>
    </w:p>
    <w:p>
      <w:pPr>
        <w:jc w:val="center"/>
        <w:ind w:right="-45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55880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8"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FORM S-1</w:t>
      </w:r>
    </w:p>
    <w:p>
      <w:pPr>
        <w:jc w:val="center"/>
        <w:ind w:right="-459"/>
        <w:spacing w:after="0" w:line="221" w:lineRule="auto"/>
        <w:rPr>
          <w:sz w:val="20"/>
          <w:szCs w:val="20"/>
          <w:color w:val="auto"/>
        </w:rPr>
      </w:pPr>
      <w:r>
        <w:rPr>
          <w:rFonts w:ascii="Arial" w:cs="Arial" w:eastAsia="Arial" w:hAnsi="Arial"/>
          <w:sz w:val="18"/>
          <w:szCs w:val="18"/>
          <w:b w:val="1"/>
          <w:bCs w:val="1"/>
          <w:color w:val="auto"/>
        </w:rPr>
        <w:t>REGISTRATION STATEMENT</w:t>
      </w:r>
    </w:p>
    <w:p>
      <w:pPr>
        <w:jc w:val="center"/>
        <w:ind w:right="-459"/>
        <w:spacing w:after="0" w:line="219" w:lineRule="auto"/>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47625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77" w:lineRule="exact"/>
        <w:rPr>
          <w:sz w:val="24"/>
          <w:szCs w:val="24"/>
          <w:color w:val="auto"/>
        </w:rPr>
      </w:pPr>
    </w:p>
    <w:p>
      <w:pPr>
        <w:ind w:left="3840"/>
        <w:spacing w:after="0"/>
        <w:rPr>
          <w:sz w:val="20"/>
          <w:szCs w:val="20"/>
          <w:color w:val="auto"/>
        </w:rPr>
      </w:pPr>
      <w:r>
        <w:rPr>
          <w:rFonts w:ascii="Arial" w:cs="Arial" w:eastAsia="Arial" w:hAnsi="Arial"/>
          <w:sz w:val="29"/>
          <w:szCs w:val="29"/>
          <w:b w:val="1"/>
          <w:bCs w:val="1"/>
          <w:color w:val="auto"/>
        </w:rPr>
        <w:t>Annetta Acquisition Corp</w:t>
      </w:r>
    </w:p>
    <w:p>
      <w:pPr>
        <w:spacing w:after="0" w:line="16" w:lineRule="exact"/>
        <w:rPr>
          <w:sz w:val="24"/>
          <w:szCs w:val="24"/>
          <w:color w:val="auto"/>
        </w:rPr>
      </w:pPr>
    </w:p>
    <w:p>
      <w:pPr>
        <w:ind w:left="380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73660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9"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560" w:type="dxa"/>
            <w:vAlign w:val="bottom"/>
          </w:tcPr>
          <w:p>
            <w:pPr>
              <w:ind w:left="620"/>
              <w:spacing w:after="0"/>
              <w:rPr>
                <w:sz w:val="20"/>
                <w:szCs w:val="20"/>
                <w:color w:val="auto"/>
              </w:rPr>
            </w:pPr>
            <w:r>
              <w:rPr>
                <w:rFonts w:ascii="Arial" w:cs="Arial" w:eastAsia="Arial" w:hAnsi="Arial"/>
                <w:sz w:val="14"/>
                <w:szCs w:val="14"/>
                <w:b w:val="1"/>
                <w:bCs w:val="1"/>
                <w:color w:val="auto"/>
              </w:rPr>
              <w:t>Delaware</w:t>
            </w:r>
          </w:p>
        </w:tc>
        <w:tc>
          <w:tcPr>
            <w:tcW w:w="3380" w:type="dxa"/>
            <w:vAlign w:val="bottom"/>
          </w:tcPr>
          <w:p>
            <w:pPr>
              <w:jc w:val="right"/>
              <w:ind w:right="1528"/>
              <w:spacing w:after="0"/>
              <w:rPr>
                <w:sz w:val="20"/>
                <w:szCs w:val="20"/>
                <w:color w:val="auto"/>
              </w:rPr>
            </w:pPr>
            <w:r>
              <w:rPr>
                <w:rFonts w:ascii="Arial" w:cs="Arial" w:eastAsia="Arial" w:hAnsi="Arial"/>
                <w:sz w:val="14"/>
                <w:szCs w:val="14"/>
                <w:b w:val="1"/>
                <w:bCs w:val="1"/>
                <w:color w:val="auto"/>
              </w:rPr>
              <w:t>6770</w:t>
            </w:r>
          </w:p>
        </w:tc>
        <w:tc>
          <w:tcPr>
            <w:tcW w:w="2240" w:type="dxa"/>
            <w:vAlign w:val="bottom"/>
          </w:tcPr>
          <w:p>
            <w:pPr>
              <w:jc w:val="right"/>
              <w:ind w:right="288"/>
              <w:spacing w:after="0"/>
              <w:rPr>
                <w:sz w:val="20"/>
                <w:szCs w:val="20"/>
                <w:color w:val="auto"/>
              </w:rPr>
            </w:pPr>
            <w:r>
              <w:rPr>
                <w:rFonts w:ascii="Arial" w:cs="Arial" w:eastAsia="Arial" w:hAnsi="Arial"/>
                <w:sz w:val="14"/>
                <w:szCs w:val="14"/>
                <w:b w:val="1"/>
                <w:bCs w:val="1"/>
                <w:color w:val="auto"/>
              </w:rPr>
              <w:t>85-0891392</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(State or other jurisdiction of</w:t>
            </w:r>
          </w:p>
        </w:tc>
        <w:tc>
          <w:tcPr>
            <w:tcW w:w="33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8"/>
              </w:rPr>
              <w:t>(Primary Standard Industrial</w:t>
            </w:r>
          </w:p>
        </w:tc>
        <w:tc>
          <w:tcPr>
            <w:tcW w:w="2240" w:type="dxa"/>
            <w:vAlign w:val="bottom"/>
          </w:tcPr>
          <w:p>
            <w:pPr>
              <w:jc w:val="center"/>
              <w:ind w:left="748"/>
              <w:spacing w:after="0" w:line="149" w:lineRule="exact"/>
              <w:rPr>
                <w:sz w:val="20"/>
                <w:szCs w:val="20"/>
                <w:color w:val="auto"/>
              </w:rPr>
            </w:pPr>
            <w:r>
              <w:rPr>
                <w:rFonts w:ascii="Arial" w:cs="Arial" w:eastAsia="Arial" w:hAnsi="Arial"/>
                <w:sz w:val="14"/>
                <w:szCs w:val="14"/>
                <w:color w:val="auto"/>
                <w:w w:val="99"/>
              </w:rPr>
              <w:t>(I.R.S. Employer</w:t>
            </w:r>
          </w:p>
        </w:tc>
      </w:tr>
      <w:tr>
        <w:trPr>
          <w:trHeight w:val="182"/>
        </w:trPr>
        <w:tc>
          <w:tcPr>
            <w:tcW w:w="2560" w:type="dxa"/>
            <w:vAlign w:val="bottom"/>
          </w:tcPr>
          <w:p>
            <w:pPr>
              <w:spacing w:after="0"/>
              <w:rPr>
                <w:sz w:val="20"/>
                <w:szCs w:val="20"/>
                <w:color w:val="auto"/>
              </w:rPr>
            </w:pPr>
            <w:r>
              <w:rPr>
                <w:rFonts w:ascii="Arial" w:cs="Arial" w:eastAsia="Arial" w:hAnsi="Arial"/>
                <w:sz w:val="14"/>
                <w:szCs w:val="14"/>
                <w:color w:val="auto"/>
              </w:rPr>
              <w:t>incorporation or organization)</w:t>
            </w:r>
          </w:p>
        </w:tc>
        <w:tc>
          <w:tcPr>
            <w:tcW w:w="3380" w:type="dxa"/>
            <w:vAlign w:val="bottom"/>
          </w:tcPr>
          <w:p>
            <w:pPr>
              <w:jc w:val="center"/>
              <w:ind w:right="28"/>
              <w:spacing w:after="0"/>
              <w:rPr>
                <w:sz w:val="20"/>
                <w:szCs w:val="20"/>
                <w:color w:val="auto"/>
              </w:rPr>
            </w:pPr>
            <w:r>
              <w:rPr>
                <w:rFonts w:ascii="Arial" w:cs="Arial" w:eastAsia="Arial" w:hAnsi="Arial"/>
                <w:sz w:val="14"/>
                <w:szCs w:val="14"/>
                <w:color w:val="auto"/>
                <w:w w:val="98"/>
              </w:rPr>
              <w:t>Classification Code Number)</w:t>
            </w:r>
          </w:p>
        </w:tc>
        <w:tc>
          <w:tcPr>
            <w:tcW w:w="2240" w:type="dxa"/>
            <w:vAlign w:val="bottom"/>
          </w:tcPr>
          <w:p>
            <w:pPr>
              <w:jc w:val="center"/>
              <w:ind w:left="788"/>
              <w:spacing w:after="0"/>
              <w:rPr>
                <w:sz w:val="20"/>
                <w:szCs w:val="20"/>
                <w:color w:val="auto"/>
              </w:rPr>
            </w:pPr>
            <w:r>
              <w:rPr>
                <w:rFonts w:ascii="Arial" w:cs="Arial" w:eastAsia="Arial" w:hAnsi="Arial"/>
                <w:sz w:val="14"/>
                <w:szCs w:val="14"/>
                <w:color w:val="auto"/>
              </w:rPr>
              <w:t>Identification Number)</w:t>
            </w:r>
          </w:p>
        </w:tc>
      </w:tr>
      <w:tr>
        <w:trPr>
          <w:trHeight w:val="205"/>
        </w:trPr>
        <w:tc>
          <w:tcPr>
            <w:tcW w:w="2560" w:type="dxa"/>
            <w:vAlign w:val="bottom"/>
          </w:tcPr>
          <w:p>
            <w:pPr>
              <w:spacing w:after="0"/>
              <w:rPr>
                <w:sz w:val="17"/>
                <w:szCs w:val="17"/>
                <w:color w:val="auto"/>
              </w:rPr>
            </w:pPr>
          </w:p>
        </w:tc>
        <w:tc>
          <w:tcPr>
            <w:tcW w:w="3380" w:type="dxa"/>
            <w:vAlign w:val="bottom"/>
          </w:tcPr>
          <w:p>
            <w:pPr>
              <w:jc w:val="center"/>
              <w:ind w:right="48"/>
              <w:spacing w:after="0" w:line="206" w:lineRule="exact"/>
              <w:rPr>
                <w:sz w:val="20"/>
                <w:szCs w:val="20"/>
                <w:color w:val="auto"/>
              </w:rPr>
            </w:pPr>
            <w:r>
              <w:rPr>
                <w:rFonts w:ascii="Arial" w:cs="Arial" w:eastAsia="Arial" w:hAnsi="Arial"/>
                <w:sz w:val="14"/>
                <w:szCs w:val="14"/>
                <w:b w:val="1"/>
                <w:bCs w:val="1"/>
                <w:color w:val="auto"/>
                <w:w w:val="88"/>
              </w:rPr>
              <w:t>640 Fifth Avenue, 12</w:t>
            </w:r>
            <w:r>
              <w:rPr>
                <w:rFonts w:ascii="Arial" w:cs="Arial" w:eastAsia="Arial" w:hAnsi="Arial"/>
                <w:sz w:val="21"/>
                <w:szCs w:val="21"/>
                <w:b w:val="1"/>
                <w:bCs w:val="1"/>
                <w:color w:val="auto"/>
                <w:w w:val="88"/>
                <w:vertAlign w:val="superscript"/>
              </w:rPr>
              <w:t>th</w:t>
            </w:r>
            <w:r>
              <w:rPr>
                <w:rFonts w:ascii="Arial" w:cs="Arial" w:eastAsia="Arial" w:hAnsi="Arial"/>
                <w:sz w:val="14"/>
                <w:szCs w:val="14"/>
                <w:b w:val="1"/>
                <w:bCs w:val="1"/>
                <w:color w:val="auto"/>
                <w:w w:val="88"/>
              </w:rPr>
              <w:t xml:space="preserve"> Floor</w:t>
            </w:r>
          </w:p>
        </w:tc>
        <w:tc>
          <w:tcPr>
            <w:tcW w:w="2240" w:type="dxa"/>
            <w:vAlign w:val="bottom"/>
          </w:tcPr>
          <w:p>
            <w:pPr>
              <w:spacing w:after="0"/>
              <w:rPr>
                <w:sz w:val="17"/>
                <w:szCs w:val="17"/>
                <w:color w:val="auto"/>
              </w:rPr>
            </w:pPr>
          </w:p>
        </w:tc>
      </w:tr>
      <w:tr>
        <w:trPr>
          <w:trHeight w:val="148"/>
        </w:trPr>
        <w:tc>
          <w:tcPr>
            <w:tcW w:w="2560" w:type="dxa"/>
            <w:vAlign w:val="bottom"/>
          </w:tcPr>
          <w:p>
            <w:pPr>
              <w:spacing w:after="0"/>
              <w:rPr>
                <w:sz w:val="12"/>
                <w:szCs w:val="12"/>
                <w:color w:val="auto"/>
              </w:rPr>
            </w:pPr>
          </w:p>
        </w:tc>
        <w:tc>
          <w:tcPr>
            <w:tcW w:w="33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New York, NY 10019</w:t>
            </w:r>
          </w:p>
        </w:tc>
        <w:tc>
          <w:tcPr>
            <w:tcW w:w="2240" w:type="dxa"/>
            <w:vAlign w:val="bottom"/>
          </w:tcPr>
          <w:p>
            <w:pPr>
              <w:spacing w:after="0"/>
              <w:rPr>
                <w:sz w:val="12"/>
                <w:szCs w:val="12"/>
                <w:color w:val="auto"/>
              </w:rPr>
            </w:pPr>
          </w:p>
        </w:tc>
      </w:tr>
      <w:tr>
        <w:trPr>
          <w:trHeight w:val="165"/>
        </w:trPr>
        <w:tc>
          <w:tcPr>
            <w:tcW w:w="2560" w:type="dxa"/>
            <w:vAlign w:val="bottom"/>
          </w:tcPr>
          <w:p>
            <w:pPr>
              <w:spacing w:after="0"/>
              <w:rPr>
                <w:sz w:val="14"/>
                <w:szCs w:val="14"/>
                <w:color w:val="auto"/>
              </w:rPr>
            </w:pPr>
          </w:p>
        </w:tc>
        <w:tc>
          <w:tcPr>
            <w:tcW w:w="338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Telephone: (212) 380-7500</w:t>
            </w:r>
          </w:p>
        </w:tc>
        <w:tc>
          <w:tcPr>
            <w:tcW w:w="2240" w:type="dxa"/>
            <w:vAlign w:val="bottom"/>
          </w:tcPr>
          <w:p>
            <w:pPr>
              <w:spacing w:after="0"/>
              <w:rPr>
                <w:sz w:val="14"/>
                <w:szCs w:val="14"/>
                <w:color w:val="auto"/>
              </w:rPr>
            </w:pPr>
          </w:p>
        </w:tc>
      </w:tr>
    </w:tbl>
    <w:p>
      <w:pPr>
        <w:jc w:val="center"/>
        <w:ind w:right="-4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39"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Jay Taragin</w:t>
      </w:r>
    </w:p>
    <w:p>
      <w:pPr>
        <w:jc w:val="center"/>
        <w:ind w:right="-479"/>
        <w:spacing w:after="0" w:line="226" w:lineRule="auto"/>
        <w:rPr>
          <w:sz w:val="20"/>
          <w:szCs w:val="20"/>
          <w:color w:val="auto"/>
        </w:rPr>
      </w:pPr>
      <w:r>
        <w:rPr>
          <w:rFonts w:ascii="Arial" w:cs="Arial" w:eastAsia="Arial" w:hAnsi="Arial"/>
          <w:sz w:val="14"/>
          <w:szCs w:val="14"/>
          <w:b w:val="1"/>
          <w:bCs w:val="1"/>
          <w:color w:val="auto"/>
        </w:rPr>
        <w:t>c/o Annetta Acquisition Corp</w:t>
      </w:r>
    </w:p>
    <w:p>
      <w:pPr>
        <w:jc w:val="center"/>
        <w:ind w:right="-479"/>
        <w:spacing w:after="0" w:line="188" w:lineRule="auto"/>
        <w:rPr>
          <w:sz w:val="20"/>
          <w:szCs w:val="20"/>
          <w:color w:val="auto"/>
        </w:rPr>
      </w:pPr>
      <w:r>
        <w:rPr>
          <w:rFonts w:ascii="Arial" w:cs="Arial" w:eastAsia="Arial" w:hAnsi="Arial"/>
          <w:sz w:val="13"/>
          <w:szCs w:val="13"/>
          <w:b w:val="1"/>
          <w:bCs w:val="1"/>
          <w:color w:val="auto"/>
        </w:rPr>
        <w:t>640 Fifth Avenue, 12</w:t>
      </w:r>
      <w:r>
        <w:rPr>
          <w:rFonts w:ascii="Arial" w:cs="Arial" w:eastAsia="Arial" w:hAnsi="Arial"/>
          <w:sz w:val="18"/>
          <w:szCs w:val="18"/>
          <w:b w:val="1"/>
          <w:bCs w:val="1"/>
          <w:color w:val="auto"/>
          <w:vertAlign w:val="superscript"/>
        </w:rPr>
        <w:t>th</w:t>
      </w:r>
      <w:r>
        <w:rPr>
          <w:rFonts w:ascii="Arial" w:cs="Arial" w:eastAsia="Arial" w:hAnsi="Arial"/>
          <w:sz w:val="13"/>
          <w:szCs w:val="13"/>
          <w:b w:val="1"/>
          <w:bCs w:val="1"/>
          <w:color w:val="auto"/>
        </w:rPr>
        <w:t xml:space="preserve"> Floor</w:t>
      </w:r>
    </w:p>
    <w:p>
      <w:pPr>
        <w:jc w:val="center"/>
        <w:ind w:right="-479"/>
        <w:spacing w:after="0" w:line="221" w:lineRule="auto"/>
        <w:rPr>
          <w:sz w:val="20"/>
          <w:szCs w:val="20"/>
          <w:color w:val="auto"/>
        </w:rPr>
      </w:pPr>
      <w:r>
        <w:rPr>
          <w:rFonts w:ascii="Arial" w:cs="Arial" w:eastAsia="Arial" w:hAnsi="Arial"/>
          <w:sz w:val="14"/>
          <w:szCs w:val="14"/>
          <w:b w:val="1"/>
          <w:bCs w:val="1"/>
          <w:color w:val="auto"/>
        </w:rPr>
        <w:t>New York, NY 10019</w:t>
      </w:r>
    </w:p>
    <w:p>
      <w:pPr>
        <w:jc w:val="center"/>
        <w:ind w:right="-479"/>
        <w:spacing w:after="0" w:line="222" w:lineRule="auto"/>
        <w:rPr>
          <w:sz w:val="20"/>
          <w:szCs w:val="20"/>
          <w:color w:val="auto"/>
        </w:rPr>
      </w:pPr>
      <w:r>
        <w:rPr>
          <w:rFonts w:ascii="Arial" w:cs="Arial" w:eastAsia="Arial" w:hAnsi="Arial"/>
          <w:sz w:val="14"/>
          <w:szCs w:val="14"/>
          <w:b w:val="1"/>
          <w:bCs w:val="1"/>
          <w:color w:val="auto"/>
        </w:rPr>
        <w:t>Telephone: (212) 380-7500</w:t>
      </w:r>
    </w:p>
    <w:p>
      <w:pPr>
        <w:ind w:left="232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47625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18" w:lineRule="exact"/>
        <w:rPr>
          <w:sz w:val="24"/>
          <w:szCs w:val="24"/>
          <w:color w:val="auto"/>
        </w:rPr>
      </w:pPr>
    </w:p>
    <w:tbl>
      <w:tblPr>
        <w:tblLayout w:type="fixed"/>
        <w:tblInd w:w="1440" w:type="dxa"/>
        <w:tblCellMar>
          <w:top w:w="0" w:type="dxa"/>
          <w:left w:w="0" w:type="dxa"/>
          <w:bottom w:w="0" w:type="dxa"/>
          <w:right w:w="0" w:type="dxa"/>
        </w:tblCellMar>
      </w:tblPr>
      <w:tr>
        <w:trPr>
          <w:trHeight w:val="182"/>
        </w:trPr>
        <w:tc>
          <w:tcPr>
            <w:tcW w:w="2960" w:type="dxa"/>
            <w:vAlign w:val="bottom"/>
          </w:tcPr>
          <w:p>
            <w:pPr>
              <w:spacing w:after="0"/>
              <w:rPr>
                <w:sz w:val="15"/>
                <w:szCs w:val="15"/>
                <w:color w:val="auto"/>
              </w:rPr>
            </w:pPr>
          </w:p>
        </w:tc>
        <w:tc>
          <w:tcPr>
            <w:tcW w:w="4140" w:type="dxa"/>
            <w:vAlign w:val="bottom"/>
            <w:gridSpan w:val="2"/>
          </w:tcPr>
          <w:p>
            <w:pPr>
              <w:ind w:left="680"/>
              <w:spacing w:after="0"/>
              <w:rPr>
                <w:sz w:val="20"/>
                <w:szCs w:val="20"/>
                <w:color w:val="auto"/>
              </w:rPr>
            </w:pPr>
            <w:r>
              <w:rPr>
                <w:rFonts w:ascii="Arial" w:cs="Arial" w:eastAsia="Arial" w:hAnsi="Arial"/>
                <w:sz w:val="14"/>
                <w:szCs w:val="14"/>
                <w:b w:val="1"/>
                <w:bCs w:val="1"/>
                <w:i w:val="1"/>
                <w:iCs w:val="1"/>
                <w:color w:val="auto"/>
              </w:rPr>
              <w:t>Copies to:</w:t>
            </w:r>
          </w:p>
        </w:tc>
      </w:tr>
      <w:tr>
        <w:trPr>
          <w:trHeight w:val="246"/>
        </w:trPr>
        <w:tc>
          <w:tcPr>
            <w:tcW w:w="296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Raphael M. Russo, Esq.</w:t>
            </w:r>
          </w:p>
        </w:tc>
        <w:tc>
          <w:tcPr>
            <w:tcW w:w="1940" w:type="dxa"/>
            <w:vAlign w:val="bottom"/>
          </w:tcPr>
          <w:p>
            <w:pPr>
              <w:spacing w:after="0"/>
              <w:rPr>
                <w:sz w:val="21"/>
                <w:szCs w:val="21"/>
                <w:color w:val="auto"/>
              </w:rPr>
            </w:pPr>
          </w:p>
        </w:tc>
        <w:tc>
          <w:tcPr>
            <w:tcW w:w="2200" w:type="dxa"/>
            <w:vAlign w:val="bottom"/>
          </w:tcPr>
          <w:p>
            <w:pPr>
              <w:jc w:val="center"/>
              <w:ind w:left="688"/>
              <w:spacing w:after="0"/>
              <w:rPr>
                <w:sz w:val="20"/>
                <w:szCs w:val="20"/>
                <w:color w:val="auto"/>
              </w:rPr>
            </w:pPr>
            <w:r>
              <w:rPr>
                <w:rFonts w:ascii="Arial" w:cs="Arial" w:eastAsia="Arial" w:hAnsi="Arial"/>
                <w:sz w:val="14"/>
                <w:szCs w:val="14"/>
                <w:b w:val="1"/>
                <w:bCs w:val="1"/>
                <w:color w:val="auto"/>
                <w:w w:val="88"/>
              </w:rPr>
              <w:t>Joel L. Rubinstein, Esq.</w:t>
            </w:r>
          </w:p>
        </w:tc>
      </w:tr>
      <w:tr>
        <w:trPr>
          <w:trHeight w:val="148"/>
        </w:trPr>
        <w:tc>
          <w:tcPr>
            <w:tcW w:w="2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Paul, Weiss, Rifkind, Wharton &amp; Garrison LLP</w:t>
            </w:r>
          </w:p>
        </w:tc>
        <w:tc>
          <w:tcPr>
            <w:tcW w:w="1940" w:type="dxa"/>
            <w:vAlign w:val="bottom"/>
          </w:tcPr>
          <w:p>
            <w:pPr>
              <w:spacing w:after="0"/>
              <w:rPr>
                <w:sz w:val="12"/>
                <w:szCs w:val="12"/>
                <w:color w:val="auto"/>
              </w:rPr>
            </w:pPr>
          </w:p>
        </w:tc>
        <w:tc>
          <w:tcPr>
            <w:tcW w:w="2200" w:type="dxa"/>
            <w:vAlign w:val="bottom"/>
          </w:tcPr>
          <w:p>
            <w:pPr>
              <w:jc w:val="center"/>
              <w:ind w:left="688"/>
              <w:spacing w:after="0" w:line="149" w:lineRule="exact"/>
              <w:rPr>
                <w:sz w:val="20"/>
                <w:szCs w:val="20"/>
                <w:color w:val="auto"/>
              </w:rPr>
            </w:pPr>
            <w:r>
              <w:rPr>
                <w:rFonts w:ascii="Arial" w:cs="Arial" w:eastAsia="Arial" w:hAnsi="Arial"/>
                <w:sz w:val="14"/>
                <w:szCs w:val="14"/>
                <w:b w:val="1"/>
                <w:bCs w:val="1"/>
                <w:color w:val="auto"/>
                <w:w w:val="87"/>
              </w:rPr>
              <w:t>Daniel E. Nussen, Esq.</w:t>
            </w:r>
          </w:p>
        </w:tc>
      </w:tr>
      <w:tr>
        <w:trPr>
          <w:trHeight w:val="149"/>
        </w:trPr>
        <w:tc>
          <w:tcPr>
            <w:tcW w:w="2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7"/>
              </w:rPr>
              <w:t>1285 Avenue of the Americas</w:t>
            </w:r>
          </w:p>
        </w:tc>
        <w:tc>
          <w:tcPr>
            <w:tcW w:w="1940" w:type="dxa"/>
            <w:vAlign w:val="bottom"/>
          </w:tcPr>
          <w:p>
            <w:pPr>
              <w:spacing w:after="0"/>
              <w:rPr>
                <w:sz w:val="12"/>
                <w:szCs w:val="12"/>
                <w:color w:val="auto"/>
              </w:rPr>
            </w:pPr>
          </w:p>
        </w:tc>
        <w:tc>
          <w:tcPr>
            <w:tcW w:w="220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w w:val="94"/>
              </w:rPr>
              <w:t>Winston &amp; Strawn LLP</w:t>
            </w:r>
          </w:p>
        </w:tc>
      </w:tr>
      <w:tr>
        <w:trPr>
          <w:trHeight w:val="148"/>
        </w:trPr>
        <w:tc>
          <w:tcPr>
            <w:tcW w:w="29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New York, NY 10019</w:t>
            </w:r>
          </w:p>
        </w:tc>
        <w:tc>
          <w:tcPr>
            <w:tcW w:w="1940" w:type="dxa"/>
            <w:vAlign w:val="bottom"/>
          </w:tcPr>
          <w:p>
            <w:pPr>
              <w:spacing w:after="0"/>
              <w:rPr>
                <w:sz w:val="12"/>
                <w:szCs w:val="12"/>
                <w:color w:val="auto"/>
              </w:rPr>
            </w:pPr>
          </w:p>
        </w:tc>
        <w:tc>
          <w:tcPr>
            <w:tcW w:w="2200" w:type="dxa"/>
            <w:vAlign w:val="bottom"/>
          </w:tcPr>
          <w:p>
            <w:pPr>
              <w:jc w:val="center"/>
              <w:ind w:left="688"/>
              <w:spacing w:after="0" w:line="149" w:lineRule="exact"/>
              <w:rPr>
                <w:sz w:val="20"/>
                <w:szCs w:val="20"/>
                <w:color w:val="auto"/>
              </w:rPr>
            </w:pPr>
            <w:r>
              <w:rPr>
                <w:rFonts w:ascii="Arial" w:cs="Arial" w:eastAsia="Arial" w:hAnsi="Arial"/>
                <w:sz w:val="14"/>
                <w:szCs w:val="14"/>
                <w:b w:val="1"/>
                <w:bCs w:val="1"/>
                <w:color w:val="auto"/>
                <w:w w:val="89"/>
              </w:rPr>
              <w:t>200 Park Avenue</w:t>
            </w:r>
          </w:p>
        </w:tc>
      </w:tr>
      <w:tr>
        <w:trPr>
          <w:trHeight w:val="148"/>
        </w:trPr>
        <w:tc>
          <w:tcPr>
            <w:tcW w:w="29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(212) 373-3000</w:t>
            </w:r>
          </w:p>
        </w:tc>
        <w:tc>
          <w:tcPr>
            <w:tcW w:w="1940" w:type="dxa"/>
            <w:vAlign w:val="bottom"/>
          </w:tcPr>
          <w:p>
            <w:pPr>
              <w:spacing w:after="0"/>
              <w:rPr>
                <w:sz w:val="12"/>
                <w:szCs w:val="12"/>
                <w:color w:val="auto"/>
              </w:rPr>
            </w:pPr>
          </w:p>
        </w:tc>
        <w:tc>
          <w:tcPr>
            <w:tcW w:w="2200" w:type="dxa"/>
            <w:vAlign w:val="bottom"/>
          </w:tcPr>
          <w:p>
            <w:pPr>
              <w:jc w:val="center"/>
              <w:ind w:left="688"/>
              <w:spacing w:after="0" w:line="149" w:lineRule="exact"/>
              <w:rPr>
                <w:sz w:val="20"/>
                <w:szCs w:val="20"/>
                <w:color w:val="auto"/>
              </w:rPr>
            </w:pPr>
            <w:r>
              <w:rPr>
                <w:rFonts w:ascii="Arial" w:cs="Arial" w:eastAsia="Arial" w:hAnsi="Arial"/>
                <w:sz w:val="14"/>
                <w:szCs w:val="14"/>
                <w:b w:val="1"/>
                <w:bCs w:val="1"/>
                <w:color w:val="auto"/>
                <w:w w:val="92"/>
              </w:rPr>
              <w:t>New York, NY 10166</w:t>
            </w:r>
          </w:p>
        </w:tc>
      </w:tr>
      <w:tr>
        <w:trPr>
          <w:trHeight w:val="185"/>
        </w:trPr>
        <w:tc>
          <w:tcPr>
            <w:tcW w:w="296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2200" w:type="dxa"/>
            <w:vAlign w:val="bottom"/>
          </w:tcPr>
          <w:p>
            <w:pPr>
              <w:jc w:val="center"/>
              <w:ind w:left="728"/>
              <w:spacing w:after="0"/>
              <w:rPr>
                <w:sz w:val="20"/>
                <w:szCs w:val="20"/>
                <w:color w:val="auto"/>
              </w:rPr>
            </w:pPr>
            <w:r>
              <w:rPr>
                <w:rFonts w:ascii="Arial" w:cs="Arial" w:eastAsia="Arial" w:hAnsi="Arial"/>
                <w:sz w:val="14"/>
                <w:szCs w:val="14"/>
                <w:b w:val="1"/>
                <w:bCs w:val="1"/>
                <w:color w:val="auto"/>
                <w:w w:val="91"/>
              </w:rPr>
              <w:t>(212) 294-6700</w:t>
            </w:r>
          </w:p>
        </w:tc>
      </w:tr>
    </w:tbl>
    <w:p>
      <w:pPr>
        <w:spacing w:after="0" w:line="58" w:lineRule="exact"/>
        <w:rPr>
          <w:sz w:val="24"/>
          <w:szCs w:val="24"/>
          <w:color w:val="auto"/>
        </w:rPr>
      </w:pPr>
    </w:p>
    <w:p>
      <w:pPr>
        <w:ind w:left="118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ind w:left="860"/>
        <w:spacing w:after="0" w:line="232" w:lineRule="auto"/>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w:t>
      </w:r>
    </w:p>
    <w:p>
      <w:pPr>
        <w:ind w:left="500"/>
        <w:spacing w:after="0" w:line="161" w:lineRule="exact"/>
        <w:rPr>
          <w:sz w:val="20"/>
          <w:szCs w:val="20"/>
          <w:color w:val="auto"/>
        </w:rPr>
      </w:pPr>
      <w:r>
        <w:rPr>
          <w:rFonts w:ascii="Arial" w:cs="Arial" w:eastAsia="Arial" w:hAnsi="Arial"/>
          <w:sz w:val="14"/>
          <w:szCs w:val="14"/>
          <w:color w:val="auto"/>
        </w:rPr>
        <w:t xml:space="preserve">1933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500" w:right="180" w:firstLine="360"/>
        <w:spacing w:after="0" w:line="14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500" w:right="380" w:firstLine="360"/>
        <w:spacing w:after="0" w:line="14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500" w:right="380" w:firstLine="36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80" w:firstLine="360"/>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12b- 2 of the Exchange Act.</w:t>
      </w:r>
    </w:p>
    <w:p>
      <w:pPr>
        <w:spacing w:after="0" w:line="2" w:lineRule="exact"/>
        <w:rPr>
          <w:sz w:val="24"/>
          <w:szCs w:val="24"/>
          <w:color w:val="auto"/>
        </w:rPr>
      </w:pPr>
    </w:p>
    <w:tbl>
      <w:tblPr>
        <w:tblLayout w:type="fixed"/>
        <w:tblInd w:w="860" w:type="dxa"/>
        <w:tblCellMar>
          <w:top w:w="0" w:type="dxa"/>
          <w:left w:w="0" w:type="dxa"/>
          <w:bottom w:w="0" w:type="dxa"/>
          <w:right w:w="0" w:type="dxa"/>
        </w:tblCellMar>
      </w:tblPr>
      <w:tr>
        <w:trPr>
          <w:trHeight w:val="168"/>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2280" w:type="dxa"/>
            <w:vAlign w:val="bottom"/>
          </w:tcPr>
          <w:p>
            <w:pPr>
              <w:ind w:left="16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8"/>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7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2280" w:type="dxa"/>
            <w:vAlign w:val="bottom"/>
          </w:tcPr>
          <w:p>
            <w:pPr>
              <w:ind w:left="16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3"/>
        </w:trPr>
        <w:tc>
          <w:tcPr>
            <w:tcW w:w="1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ind w:left="500" w:right="80" w:firstLine="360"/>
        <w:spacing w:after="0" w:line="16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40640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16"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4320" w:type="dxa"/>
            <w:vAlign w:val="bottom"/>
            <w:tcBorders>
              <w:top w:val="single" w:sz="8" w:color="auto"/>
              <w:bottom w:val="single" w:sz="8" w:color="auto"/>
              <w:right w:val="single" w:sz="8" w:color="auto"/>
            </w:tcBorders>
          </w:tcPr>
          <w:p>
            <w:pPr>
              <w:spacing w:after="0"/>
              <w:rPr>
                <w:sz w:val="3"/>
                <w:szCs w:val="3"/>
                <w:color w:val="auto"/>
              </w:rPr>
            </w:pPr>
          </w:p>
        </w:tc>
        <w:tc>
          <w:tcPr>
            <w:tcW w:w="1460" w:type="dxa"/>
            <w:vAlign w:val="bottom"/>
            <w:tcBorders>
              <w:top w:val="single" w:sz="8" w:color="auto"/>
              <w:bottom w:val="single" w:sz="8" w:color="auto"/>
              <w:right w:val="single" w:sz="8" w:color="auto"/>
            </w:tcBorders>
          </w:tcPr>
          <w:p>
            <w:pPr>
              <w:spacing w:after="0"/>
              <w:rPr>
                <w:sz w:val="3"/>
                <w:szCs w:val="3"/>
                <w:color w:val="auto"/>
              </w:rPr>
            </w:pPr>
          </w:p>
        </w:tc>
        <w:tc>
          <w:tcPr>
            <w:tcW w:w="1440" w:type="dxa"/>
            <w:vAlign w:val="bottom"/>
            <w:tcBorders>
              <w:top w:val="single" w:sz="8" w:color="auto"/>
              <w:bottom w:val="single" w:sz="8" w:color="auto"/>
              <w:right w:val="single" w:sz="8" w:color="auto"/>
            </w:tcBorders>
          </w:tcPr>
          <w:p>
            <w:pPr>
              <w:spacing w:after="0"/>
              <w:rPr>
                <w:sz w:val="3"/>
                <w:szCs w:val="3"/>
                <w:color w:val="auto"/>
              </w:rPr>
            </w:pPr>
          </w:p>
        </w:tc>
        <w:tc>
          <w:tcPr>
            <w:tcW w:w="1440" w:type="dxa"/>
            <w:vAlign w:val="bottom"/>
            <w:tcBorders>
              <w:top w:val="single" w:sz="8" w:color="auto"/>
              <w:bottom w:val="single" w:sz="8" w:color="auto"/>
              <w:right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432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4"/>
                <w:szCs w:val="14"/>
                <w:b w:val="1"/>
                <w:bCs w:val="1"/>
                <w:color w:val="auto"/>
                <w:w w:val="87"/>
              </w:rPr>
              <w:t>Title of Each Class of Security</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Amount Being</w:t>
            </w:r>
          </w:p>
        </w:tc>
        <w:tc>
          <w:tcPr>
            <w:tcW w:w="14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Proposed Maximum</w:t>
            </w:r>
          </w:p>
        </w:tc>
        <w:tc>
          <w:tcPr>
            <w:tcW w:w="14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Proposed Maximum</w:t>
            </w:r>
          </w:p>
        </w:tc>
        <w:tc>
          <w:tcPr>
            <w:tcW w:w="10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432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Offering Price</w:t>
            </w: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2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86"/>
              </w:rPr>
              <w:t>Being Registered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4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86"/>
              </w:rPr>
              <w:t>per Security</w:t>
            </w:r>
            <w:r>
              <w:rPr>
                <w:rFonts w:ascii="Arial" w:cs="Arial" w:eastAsia="Arial" w:hAnsi="Arial"/>
                <w:sz w:val="20"/>
                <w:szCs w:val="20"/>
                <w:b w:val="1"/>
                <w:bCs w:val="1"/>
                <w:color w:val="auto"/>
                <w:w w:val="86"/>
                <w:vertAlign w:val="superscript"/>
              </w:rPr>
              <w:t>(1)</w:t>
            </w:r>
          </w:p>
        </w:tc>
        <w:tc>
          <w:tcPr>
            <w:tcW w:w="14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88"/>
              </w:rPr>
              <w:t>Offering Price</w:t>
            </w:r>
            <w:r>
              <w:rPr>
                <w:rFonts w:ascii="Arial" w:cs="Arial" w:eastAsia="Arial" w:hAnsi="Arial"/>
                <w:sz w:val="20"/>
                <w:szCs w:val="20"/>
                <w:b w:val="1"/>
                <w:bCs w:val="1"/>
                <w:color w:val="auto"/>
                <w:w w:val="88"/>
                <w:vertAlign w:val="superscript"/>
              </w:rPr>
              <w:t>(1)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Registration Fee</w:t>
            </w:r>
          </w:p>
        </w:tc>
        <w:tc>
          <w:tcPr>
            <w:tcW w:w="0" w:type="dxa"/>
            <w:vAlign w:val="bottom"/>
          </w:tcPr>
          <w:p>
            <w:pPr>
              <w:spacing w:after="0"/>
              <w:rPr>
                <w:sz w:val="1"/>
                <w:szCs w:val="1"/>
                <w:color w:val="auto"/>
              </w:rPr>
            </w:pPr>
          </w:p>
        </w:tc>
      </w:tr>
      <w:tr>
        <w:trPr>
          <w:trHeight w:val="128"/>
        </w:trPr>
        <w:tc>
          <w:tcPr>
            <w:tcW w:w="4320" w:type="dxa"/>
            <w:vAlign w:val="bottom"/>
            <w:tcBorders>
              <w:right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Units, each consisting of one share of Class A common stock,</w:t>
            </w:r>
          </w:p>
        </w:tc>
        <w:tc>
          <w:tcPr>
            <w:tcW w:w="1460" w:type="dxa"/>
            <w:vAlign w:val="bottom"/>
            <w:tcBorders>
              <w:right w:val="single" w:sz="8" w:color="auto"/>
            </w:tcBorders>
            <w:shd w:val="clear" w:color="auto" w:fill="CCEEFF"/>
          </w:tcPr>
          <w:p>
            <w:pPr>
              <w:spacing w:after="0"/>
              <w:rPr>
                <w:sz w:val="11"/>
                <w:szCs w:val="11"/>
                <w:color w:val="auto"/>
              </w:rPr>
            </w:pPr>
          </w:p>
        </w:tc>
        <w:tc>
          <w:tcPr>
            <w:tcW w:w="1440" w:type="dxa"/>
            <w:vAlign w:val="bottom"/>
            <w:tcBorders>
              <w:right w:val="single" w:sz="8" w:color="auto"/>
            </w:tcBorders>
            <w:shd w:val="clear" w:color="auto" w:fill="CCEEFF"/>
          </w:tcPr>
          <w:p>
            <w:pPr>
              <w:spacing w:after="0"/>
              <w:rPr>
                <w:sz w:val="11"/>
                <w:szCs w:val="11"/>
                <w:color w:val="auto"/>
              </w:rPr>
            </w:pPr>
          </w:p>
        </w:tc>
        <w:tc>
          <w:tcPr>
            <w:tcW w:w="1440" w:type="dxa"/>
            <w:vAlign w:val="bottom"/>
            <w:tcBorders>
              <w:right w:val="single" w:sz="8" w:color="auto"/>
            </w:tcBorders>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320" w:type="dxa"/>
            <w:vAlign w:val="bottom"/>
            <w:tcBorders>
              <w:bottom w:val="single" w:sz="8" w:color="auto"/>
              <w:right w:val="single" w:sz="8" w:color="auto"/>
            </w:tcBorders>
            <w:shd w:val="clear" w:color="auto" w:fill="CCEEFF"/>
          </w:tcPr>
          <w:p>
            <w:pPr>
              <w:jc w:val="center"/>
              <w:ind w:right="70"/>
              <w:spacing w:after="0" w:line="203" w:lineRule="exact"/>
              <w:rPr>
                <w:sz w:val="20"/>
                <w:szCs w:val="20"/>
                <w:color w:val="auto"/>
              </w:rPr>
            </w:pPr>
            <w:r>
              <w:rPr>
                <w:rFonts w:ascii="Arial" w:cs="Arial" w:eastAsia="Arial" w:hAnsi="Arial"/>
                <w:sz w:val="14"/>
                <w:szCs w:val="14"/>
                <w:color w:val="auto"/>
                <w:w w:val="95"/>
              </w:rPr>
              <w:t>$0.0001 par value, and one-fourth of one redeemable warrant</w:t>
            </w:r>
            <w:r>
              <w:rPr>
                <w:rFonts w:ascii="Arial" w:cs="Arial" w:eastAsia="Arial" w:hAnsi="Arial"/>
                <w:sz w:val="21"/>
                <w:szCs w:val="21"/>
                <w:color w:val="auto"/>
                <w:w w:val="95"/>
                <w:vertAlign w:val="superscript"/>
              </w:rPr>
              <w:t>(2)</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86,250,000 Units</w:t>
            </w:r>
          </w:p>
        </w:tc>
        <w:tc>
          <w:tcPr>
            <w:tcW w:w="1440" w:type="dxa"/>
            <w:vAlign w:val="bottom"/>
            <w:tcBorders>
              <w:bottom w:val="single" w:sz="8" w:color="auto"/>
              <w:right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rPr>
              <w:t>$10.00</w:t>
            </w:r>
          </w:p>
        </w:tc>
        <w:tc>
          <w:tcPr>
            <w:tcW w:w="1440" w:type="dxa"/>
            <w:vAlign w:val="bottom"/>
            <w:tcBorders>
              <w:bottom w:val="single" w:sz="8" w:color="auto"/>
              <w:right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$862,500,000</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color w:val="auto"/>
              </w:rPr>
              <w:t>$111,953</w:t>
            </w:r>
          </w:p>
        </w:tc>
        <w:tc>
          <w:tcPr>
            <w:tcW w:w="0" w:type="dxa"/>
            <w:vAlign w:val="bottom"/>
          </w:tcPr>
          <w:p>
            <w:pPr>
              <w:spacing w:after="0"/>
              <w:rPr>
                <w:sz w:val="1"/>
                <w:szCs w:val="1"/>
                <w:color w:val="auto"/>
              </w:rPr>
            </w:pPr>
          </w:p>
        </w:tc>
      </w:tr>
      <w:tr>
        <w:trPr>
          <w:trHeight w:val="169"/>
        </w:trPr>
        <w:tc>
          <w:tcPr>
            <w:tcW w:w="432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3"/>
                <w:szCs w:val="13"/>
                <w:color w:val="auto"/>
              </w:rPr>
              <w:t>Shares of Class A common stock included as part of the units</w:t>
            </w:r>
            <w:r>
              <w:rPr>
                <w:rFonts w:ascii="Arial" w:cs="Arial" w:eastAsia="Arial" w:hAnsi="Arial"/>
                <w:sz w:val="19"/>
                <w:szCs w:val="19"/>
                <w:color w:val="auto"/>
                <w:vertAlign w:val="superscript"/>
              </w:rPr>
              <w:t>(3)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86,250,000 Shares</w:t>
            </w:r>
          </w:p>
        </w:tc>
        <w:tc>
          <w:tcPr>
            <w:tcW w:w="1440" w:type="dxa"/>
            <w:vAlign w:val="bottom"/>
            <w:tcBorders>
              <w:bottom w:val="single" w:sz="8" w:color="auto"/>
              <w:right w:val="single" w:sz="8" w:color="auto"/>
            </w:tcBorders>
          </w:tcPr>
          <w:p>
            <w:pPr>
              <w:jc w:val="right"/>
              <w:ind w:right="44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3"/>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69"/>
        </w:trPr>
        <w:tc>
          <w:tcPr>
            <w:tcW w:w="4320" w:type="dxa"/>
            <w:vAlign w:val="bottom"/>
            <w:tcBorders>
              <w:bottom w:val="single" w:sz="8" w:color="auto"/>
              <w:right w:val="single" w:sz="8" w:color="auto"/>
            </w:tcBorders>
            <w:shd w:val="clear" w:color="auto" w:fill="CCEEFF"/>
          </w:tcPr>
          <w:p>
            <w:pPr>
              <w:spacing w:after="0" w:line="169" w:lineRule="exact"/>
              <w:rPr>
                <w:sz w:val="20"/>
                <w:szCs w:val="20"/>
                <w:color w:val="auto"/>
              </w:rPr>
            </w:pPr>
            <w:r>
              <w:rPr>
                <w:rFonts w:ascii="Arial" w:cs="Arial" w:eastAsia="Arial" w:hAnsi="Arial"/>
                <w:sz w:val="13"/>
                <w:szCs w:val="13"/>
                <w:color w:val="auto"/>
              </w:rPr>
              <w:t>Redeemable warrants included as part of the units</w:t>
            </w:r>
            <w:r>
              <w:rPr>
                <w:rFonts w:ascii="Arial" w:cs="Arial" w:eastAsia="Arial" w:hAnsi="Arial"/>
                <w:sz w:val="19"/>
                <w:szCs w:val="19"/>
                <w:color w:val="auto"/>
                <w:vertAlign w:val="superscript"/>
              </w:rPr>
              <w:t>(3)</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21,562,500 Warrants</w:t>
            </w:r>
          </w:p>
        </w:tc>
        <w:tc>
          <w:tcPr>
            <w:tcW w:w="1440" w:type="dxa"/>
            <w:vAlign w:val="bottom"/>
            <w:tcBorders>
              <w:bottom w:val="single" w:sz="8" w:color="auto"/>
              <w:right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right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32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$862,500,000</w:t>
            </w:r>
          </w:p>
        </w:tc>
        <w:tc>
          <w:tcPr>
            <w:tcW w:w="10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color w:val="auto"/>
              </w:rPr>
              <w:t>$111,953</w:t>
            </w: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 as amended (the “Securities Act”).</w:t>
      </w:r>
    </w:p>
    <w:p>
      <w:pPr>
        <w:spacing w:after="0" w:line="11" w:lineRule="exact"/>
        <w:rPr>
          <w:rFonts w:ascii="Arial" w:cs="Arial" w:eastAsia="Arial" w:hAnsi="Arial"/>
          <w:sz w:val="13"/>
          <w:szCs w:val="13"/>
          <w:color w:val="auto"/>
        </w:rPr>
      </w:pPr>
    </w:p>
    <w:p>
      <w:pPr>
        <w:ind w:left="860" w:right="200" w:hanging="366"/>
        <w:spacing w:after="0" w:line="227"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11,250,000 units, consisting of 11,250,000 shares of Class A common stock and 2,812,500 redeemable warrants, which may be issued upon exercise of a 45-day option granted to the underwriters to cover over-allotments, if any.</w:t>
      </w:r>
    </w:p>
    <w:p>
      <w:pPr>
        <w:ind w:left="860" w:right="80" w:hanging="366"/>
        <w:spacing w:after="0" w:line="227"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under the Securities Act, there are also being registered an indeterminable number of additional securities as may be issued to prevent dilution resulting from stock splits, stock dividends or similar transactions.</w:t>
      </w:r>
    </w:p>
    <w:p>
      <w:pPr>
        <w:ind w:left="860" w:hanging="366"/>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 fee pursuant to Rule 457(g) under the Securities Act.</w:t>
      </w:r>
    </w:p>
    <w:p>
      <w:pPr>
        <w:spacing w:after="0" w:line="12" w:lineRule="exact"/>
        <w:rPr>
          <w:sz w:val="24"/>
          <w:szCs w:val="24"/>
          <w:color w:val="auto"/>
        </w:rPr>
      </w:pPr>
    </w:p>
    <w:p>
      <w:pPr>
        <w:ind w:left="500" w:firstLine="360"/>
        <w:spacing w:after="0" w:line="301"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22860</wp:posOffset>
            </wp:positionV>
            <wp:extent cx="6180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66040</wp:posOffset>
            </wp:positionV>
            <wp:extent cx="61804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045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ectPr>
          <w:pgSz w:w="11900" w:h="16838" w:orient="portrait"/>
          <w:cols w:equalWidth="0" w:num="1">
            <w:col w:w="10220"/>
          </w:cols>
          <w:pgMar w:left="320" w:top="131" w:right="1359" w:bottom="1440" w:gutter="0" w:footer="0" w:header="0"/>
        </w:sectPr>
      </w:pPr>
    </w:p>
    <w:p>
      <w:pPr>
        <w:spacing w:after="0" w:line="325" w:lineRule="exact"/>
        <w:rPr>
          <w:sz w:val="20"/>
          <w:szCs w:val="20"/>
          <w:color w:val="auto"/>
        </w:rPr>
      </w:pPr>
    </w:p>
    <w:tbl>
      <w:tblPr>
        <w:tblLayout w:type="fixed"/>
        <w:tblInd w:w="500" w:type="dxa"/>
        <w:tblCellMar>
          <w:top w:w="0" w:type="dxa"/>
          <w:left w:w="0" w:type="dxa"/>
          <w:bottom w:w="0" w:type="dxa"/>
          <w:right w:w="0" w:type="dxa"/>
        </w:tblCellMar>
      </w:tblPr>
      <w:tr>
        <w:trPr>
          <w:trHeight w:val="99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and Exchange</w:t>
            </w:r>
          </w:p>
        </w:tc>
        <w:tc>
          <w:tcPr>
            <w:tcW w:w="320" w:type="dxa"/>
            <w:vAlign w:val="bottom"/>
            <w:textDirection w:val="btLr"/>
          </w:tcPr>
          <w:p>
            <w:pPr>
              <w:ind w:left="32"/>
              <w:spacing w:after="0"/>
              <w:rPr>
                <w:sz w:val="20"/>
                <w:szCs w:val="20"/>
                <w:color w:val="auto"/>
              </w:rPr>
            </w:pPr>
            <w:r>
              <w:rPr>
                <w:rFonts w:ascii="Arial" w:cs="Arial" w:eastAsia="Arial" w:hAnsi="Arial"/>
                <w:sz w:val="14"/>
                <w:szCs w:val="14"/>
                <w:b w:val="1"/>
                <w:bCs w:val="1"/>
                <w:color w:val="FC0014"/>
              </w:rPr>
              <w:t>offer or sale is</w:t>
            </w:r>
          </w:p>
        </w:tc>
      </w:tr>
      <w:tr>
        <w:trPr>
          <w:trHeight w:val="714"/>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8"/>
              </w:rPr>
              <w:t>Securities</w:t>
            </w:r>
          </w:p>
        </w:tc>
        <w:tc>
          <w:tcPr>
            <w:tcW w:w="320" w:type="dxa"/>
            <w:vAlign w:val="bottom"/>
            <w:textDirection w:val="btLr"/>
          </w:tcPr>
          <w:p>
            <w:pPr>
              <w:ind w:left="32"/>
              <w:spacing w:after="0"/>
              <w:rPr>
                <w:sz w:val="20"/>
                <w:szCs w:val="20"/>
                <w:color w:val="auto"/>
              </w:rPr>
            </w:pPr>
            <w:r>
              <w:rPr>
                <w:rFonts w:ascii="Arial" w:cs="Arial" w:eastAsia="Arial" w:hAnsi="Arial"/>
                <w:sz w:val="14"/>
                <w:szCs w:val="14"/>
                <w:b w:val="1"/>
                <w:bCs w:val="1"/>
                <w:color w:val="FC0014"/>
              </w:rPr>
              <w:t>where the</w:t>
            </w:r>
          </w:p>
        </w:tc>
      </w:tr>
      <w:tr>
        <w:trPr>
          <w:trHeight w:val="451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sell these securities until the registration statement filed with the</w:t>
            </w:r>
          </w:p>
        </w:tc>
        <w:tc>
          <w:tcPr>
            <w:tcW w:w="320" w:type="dxa"/>
            <w:vAlign w:val="bottom"/>
            <w:textDirection w:val="btLr"/>
          </w:tcPr>
          <w:p>
            <w:pPr>
              <w:ind w:left="32"/>
              <w:spacing w:after="0"/>
              <w:rPr>
                <w:sz w:val="20"/>
                <w:szCs w:val="20"/>
                <w:color w:val="auto"/>
              </w:rPr>
            </w:pPr>
            <w:r>
              <w:rPr>
                <w:rFonts w:ascii="Arial" w:cs="Arial" w:eastAsia="Arial" w:hAnsi="Arial"/>
                <w:sz w:val="14"/>
                <w:szCs w:val="14"/>
                <w:b w:val="1"/>
                <w:bCs w:val="1"/>
                <w:color w:val="FC0014"/>
              </w:rPr>
              <w:t>is not soliciting an offer to buy these securities in any jurisdiction</w:t>
            </w:r>
          </w:p>
        </w:tc>
      </w:tr>
      <w:tr>
        <w:trPr>
          <w:trHeight w:val="204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We may not</w:t>
            </w:r>
          </w:p>
        </w:tc>
        <w:tc>
          <w:tcPr>
            <w:tcW w:w="320" w:type="dxa"/>
            <w:vAlign w:val="bottom"/>
            <w:textDirection w:val="btLr"/>
          </w:tcPr>
          <w:p>
            <w:pPr>
              <w:ind w:left="32"/>
              <w:spacing w:after="0"/>
              <w:rPr>
                <w:sz w:val="20"/>
                <w:szCs w:val="20"/>
                <w:color w:val="auto"/>
              </w:rPr>
            </w:pPr>
            <w:r>
              <w:rPr>
                <w:rFonts w:ascii="Arial" w:cs="Arial" w:eastAsia="Arial" w:hAnsi="Arial"/>
                <w:sz w:val="14"/>
                <w:szCs w:val="14"/>
                <w:b w:val="1"/>
                <w:bCs w:val="1"/>
                <w:color w:val="FC0014"/>
              </w:rPr>
              <w:t>to sell these securities and it</w:t>
            </w:r>
          </w:p>
        </w:tc>
      </w:tr>
      <w:tr>
        <w:trPr>
          <w:trHeight w:val="969"/>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w:t>
            </w:r>
          </w:p>
        </w:tc>
        <w:tc>
          <w:tcPr>
            <w:tcW w:w="320" w:type="dxa"/>
            <w:vAlign w:val="bottom"/>
            <w:textDirection w:val="btLr"/>
          </w:tcPr>
          <w:p>
            <w:pPr>
              <w:ind w:left="32"/>
              <w:spacing w:after="0"/>
              <w:rPr>
                <w:sz w:val="20"/>
                <w:szCs w:val="20"/>
                <w:color w:val="auto"/>
              </w:rPr>
            </w:pPr>
            <w:r>
              <w:rPr>
                <w:rFonts w:ascii="Arial" w:cs="Arial" w:eastAsia="Arial" w:hAnsi="Arial"/>
                <w:sz w:val="14"/>
                <w:szCs w:val="14"/>
                <w:b w:val="1"/>
                <w:bCs w:val="1"/>
                <w:color w:val="FC0014"/>
              </w:rPr>
              <w:t>is not an offer</w:t>
            </w:r>
          </w:p>
        </w:tc>
      </w:tr>
      <w:tr>
        <w:trPr>
          <w:trHeight w:val="364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320" w:type="dxa"/>
            <w:vAlign w:val="bottom"/>
            <w:textDirection w:val="btLr"/>
          </w:tcPr>
          <w:p>
            <w:pPr>
              <w:ind w:left="159"/>
              <w:spacing w:after="0"/>
              <w:rPr>
                <w:sz w:val="20"/>
                <w:szCs w:val="20"/>
                <w:color w:val="auto"/>
              </w:rPr>
            </w:pPr>
            <w:r>
              <w:rPr>
                <w:rFonts w:ascii="Arial" w:cs="Arial" w:eastAsia="Arial" w:hAnsi="Arial"/>
                <w:sz w:val="14"/>
                <w:szCs w:val="14"/>
                <w:b w:val="1"/>
                <w:bCs w:val="1"/>
                <w:color w:val="FC0014"/>
                <w:w w:val="81"/>
              </w:rPr>
              <w:t>Commission is effective. This preliminary prospectusnotpermitted.</w:t>
            </w:r>
          </w:p>
        </w:tc>
      </w:tr>
    </w:tbl>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244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FC0014"/>
              </w:rPr>
              <w:t>SUBJECT TO COMPLETION, DATED</w:t>
            </w:r>
          </w:p>
        </w:tc>
        <w:tc>
          <w:tcPr>
            <w:tcW w:w="820" w:type="dxa"/>
            <w:vAlign w:val="bottom"/>
          </w:tcPr>
          <w:p>
            <w:pPr>
              <w:jc w:val="right"/>
              <w:spacing w:after="0"/>
              <w:rPr>
                <w:sz w:val="20"/>
                <w:szCs w:val="20"/>
                <w:color w:val="auto"/>
              </w:rPr>
            </w:pPr>
            <w:r>
              <w:rPr>
                <w:rFonts w:ascii="Arial" w:cs="Arial" w:eastAsia="Arial" w:hAnsi="Arial"/>
                <w:sz w:val="18"/>
                <w:szCs w:val="18"/>
                <w:color w:val="FC0014"/>
              </w:rPr>
              <w:t>, 2020</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PROSPECTUS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$750,000,000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Annetta Acquisition Corp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75,000,000 Units</w:t>
      </w:r>
    </w:p>
    <w:p>
      <w:pPr>
        <w:spacing w:after="0" w:line="12" w:lineRule="exact"/>
        <w:rPr>
          <w:sz w:val="20"/>
          <w:szCs w:val="20"/>
          <w:color w:val="auto"/>
        </w:rPr>
      </w:pPr>
    </w:p>
    <w:p>
      <w:pPr>
        <w:ind w:right="20" w:firstLine="360"/>
        <w:spacing w:after="0" w:line="231" w:lineRule="auto"/>
        <w:rPr>
          <w:sz w:val="20"/>
          <w:szCs w:val="20"/>
          <w:color w:val="auto"/>
        </w:rPr>
      </w:pPr>
      <w:r>
        <w:rPr>
          <w:rFonts w:ascii="Arial" w:cs="Arial" w:eastAsia="Arial" w:hAnsi="Arial"/>
          <w:sz w:val="14"/>
          <w:szCs w:val="14"/>
          <w:color w:val="auto"/>
        </w:rPr>
        <w:t>Annetta Acquisition Corp is a newly incorporated blank check company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target in any business or industry.</w:t>
      </w:r>
    </w:p>
    <w:p>
      <w:pPr>
        <w:spacing w:after="0" w:line="1" w:lineRule="exact"/>
        <w:rPr>
          <w:sz w:val="20"/>
          <w:szCs w:val="20"/>
          <w:color w:val="auto"/>
        </w:rPr>
      </w:pPr>
    </w:p>
    <w:p>
      <w:pPr>
        <w:ind w:firstLine="360"/>
        <w:spacing w:after="0" w:line="226" w:lineRule="auto"/>
        <w:rPr>
          <w:sz w:val="20"/>
          <w:szCs w:val="20"/>
          <w:color w:val="auto"/>
        </w:rPr>
      </w:pPr>
      <w:r>
        <w:rPr>
          <w:rFonts w:ascii="Arial" w:cs="Arial" w:eastAsia="Arial" w:hAnsi="Arial"/>
          <w:sz w:val="14"/>
          <w:szCs w:val="14"/>
          <w:color w:val="auto"/>
        </w:rPr>
        <w:t>This is an initial public offering of our securities. Each unit has an offering price of $10.00 and consists of one share of our Class A common stock and one-fourth of one redeemable warrant. Each whole warrant entitles the holder thereof to purchase one share of our Class A common stock at a price of $ 11.50 per share, subject to adjustment as described in this prospectus. Only whole warrants are exercisable. The warrants will become exercisable on the later of 30 days after the completion of our initial business combination and 12 months from the closing of this offering (the “warrant exercise date”), and will expire five years after the completion of our initial business combination or earlier upon redemption or liquidation (the “warrant expiration date”), as described in this prospectus. Subject to the terms and conditions described in this prospectus, we may redeem the warrants for cash once the warrants become exercisable. We have also granted the underwriters a 45-day option to purchase up to an additional 11,250,000 units to cover over-allotments, if any.</w:t>
      </w:r>
    </w:p>
    <w:p>
      <w:pPr>
        <w:spacing w:after="0" w:line="9" w:lineRule="exact"/>
        <w:rPr>
          <w:sz w:val="20"/>
          <w:szCs w:val="20"/>
          <w:color w:val="auto"/>
        </w:rPr>
      </w:pPr>
    </w:p>
    <w:p>
      <w:pPr>
        <w:ind w:right="20" w:firstLine="360"/>
        <w:spacing w:after="0" w:line="226" w:lineRule="auto"/>
        <w:rPr>
          <w:sz w:val="20"/>
          <w:szCs w:val="20"/>
          <w:color w:val="auto"/>
        </w:rPr>
      </w:pPr>
      <w:r>
        <w:rPr>
          <w:rFonts w:ascii="Arial" w:cs="Arial" w:eastAsia="Arial" w:hAnsi="Arial"/>
          <w:sz w:val="14"/>
          <w:szCs w:val="14"/>
          <w:color w:val="auto"/>
        </w:rPr>
        <w:t>We will provide our public stockholders with the opportunity to redeem all or a portion of their shares of our Class A common stock upon the completion of our initial business combination at a per share price, payable in cash, equal to the aggregate amount then on deposit in the trust account described below calculated as of two business days prior to the consummation of our initial business combination, including interest (net of amounts withdrawn to fund our working capital requirements, subject to an annual limit of $1,000,000, and/or to pay our taxes (“permitted withdrawals”)), divided by the number of then outstanding public shares, subject to the limitations described herein. If we are unable to complete our initial business combination within 24 months from the closing of this offering (or 27 months from the closing of this offering if we have executed a letter of intent, agreement in principle or definitive agreement for an initial business combination within 24 months from the closing of this offering), we will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subject to applicable law and certain conditions as further described herein.</w:t>
      </w:r>
    </w:p>
    <w:p>
      <w:pPr>
        <w:spacing w:after="0" w:line="9" w:lineRule="exact"/>
        <w:rPr>
          <w:sz w:val="20"/>
          <w:szCs w:val="20"/>
          <w:color w:val="auto"/>
        </w:rPr>
      </w:pPr>
    </w:p>
    <w:p>
      <w:pPr>
        <w:ind w:right="60" w:firstLine="360"/>
        <w:spacing w:after="0" w:line="249" w:lineRule="auto"/>
        <w:rPr>
          <w:sz w:val="20"/>
          <w:szCs w:val="20"/>
          <w:color w:val="auto"/>
        </w:rPr>
      </w:pPr>
      <w:r>
        <w:rPr>
          <w:rFonts w:ascii="Arial" w:cs="Arial" w:eastAsia="Arial" w:hAnsi="Arial"/>
          <w:sz w:val="13"/>
          <w:szCs w:val="13"/>
          <w:color w:val="auto"/>
        </w:rPr>
        <w:t>Our sponsor, Annetta Sponsor LLC, is an affiliate of M. Klein and Company, LLC. Our sponsor has subscribed to purchase an aggregate of 16,000,000 warrants (or 18,250,000 warrants if the underwriters’ option to purchase additional units is exercised in full) at a price of $1.00 per warrant ( $16,000,000 in the aggregate, or $18,250,000 in the aggregate if the underwriters’ option to purchase additional units is exercised in full) in a private placement that will close simultaneously with the closing of this offering (the “Private Placement”). Each private placement warrant entitles the holder thereof to purchase one share of our Class A common stock at $11.50 per share, subject to adjustment as described in this prospectus.</w:t>
      </w:r>
    </w:p>
    <w:p>
      <w:pPr>
        <w:spacing w:after="0" w:line="1" w:lineRule="exact"/>
        <w:rPr>
          <w:sz w:val="20"/>
          <w:szCs w:val="20"/>
          <w:color w:val="auto"/>
        </w:rPr>
      </w:pPr>
    </w:p>
    <w:p>
      <w:pPr>
        <w:ind w:firstLine="360"/>
        <w:spacing w:after="0" w:line="228" w:lineRule="auto"/>
        <w:rPr>
          <w:sz w:val="20"/>
          <w:szCs w:val="20"/>
          <w:color w:val="auto"/>
        </w:rPr>
      </w:pPr>
      <w:r>
        <w:rPr>
          <w:rFonts w:ascii="Arial" w:cs="Arial" w:eastAsia="Arial" w:hAnsi="Arial"/>
          <w:sz w:val="14"/>
          <w:szCs w:val="14"/>
          <w:color w:val="auto"/>
        </w:rPr>
        <w:t>Our sponsor currently holds 21,562,500 shares of Class B common stock (up to 2,812,500 of which are subject to forfeiture depending on the extent to which the underwriters’ option to purchase additional units is exercised). The shares of Class B common stock will automatically convert into shares of Class A common stock at the time of our initial business combination on a one -for-one basis, subject to adjustment as provided herein. Holders of our Class B common stock will have the right to elect all of our directors prior to the consummation of our initial business combination. On any other matter submitted to a vote of our stockholders, holders of our Class B common stock and holders of our Class A common stock will vote together as a single class, except as required by applicable law or stock exchange rule.</w:t>
      </w:r>
    </w:p>
    <w:p>
      <w:pPr>
        <w:spacing w:after="0" w:line="7" w:lineRule="exact"/>
        <w:rPr>
          <w:sz w:val="20"/>
          <w:szCs w:val="20"/>
          <w:color w:val="auto"/>
        </w:rPr>
      </w:pPr>
    </w:p>
    <w:p>
      <w:pPr>
        <w:ind w:right="60" w:firstLine="360"/>
        <w:spacing w:after="0" w:line="232" w:lineRule="auto"/>
        <w:rPr>
          <w:sz w:val="20"/>
          <w:szCs w:val="20"/>
          <w:color w:val="auto"/>
        </w:rPr>
      </w:pPr>
      <w:r>
        <w:rPr>
          <w:rFonts w:ascii="Arial" w:cs="Arial" w:eastAsia="Arial" w:hAnsi="Arial"/>
          <w:sz w:val="13"/>
          <w:szCs w:val="13"/>
          <w:color w:val="auto"/>
        </w:rPr>
        <w:t>Prior to this offering, there has been no public market for our units, Class A common stock or warrants. We intend to apply to list our units on the New York Stock Exchange (the “NYSE”), under the symbol “CCIV.U” on or promptly after the date of this prospectus. We cannot guarantee that our securities will be approved for listing on the NYSE. The Class A common stock and warrants constituting the units will begin separate trading on the 52</w:t>
      </w:r>
      <w:r>
        <w:rPr>
          <w:rFonts w:ascii="Arial" w:cs="Arial" w:eastAsia="Arial" w:hAnsi="Arial"/>
          <w:sz w:val="19"/>
          <w:szCs w:val="19"/>
          <w:color w:val="auto"/>
          <w:vertAlign w:val="superscript"/>
        </w:rPr>
        <w:t>nd</w:t>
      </w:r>
      <w:r>
        <w:rPr>
          <w:rFonts w:ascii="Arial" w:cs="Arial" w:eastAsia="Arial" w:hAnsi="Arial"/>
          <w:sz w:val="13"/>
          <w:szCs w:val="13"/>
          <w:color w:val="auto"/>
        </w:rPr>
        <w:t xml:space="preserve"> day following the date of this prospectus, subject to certain conditions. Once the securities constituting the units begin separate trading, we expect that the Class A common stock and warrants will be listed on the NYSE under the symbols “CCIV” and “CCIV WS,” respectively.</w:t>
      </w:r>
    </w:p>
    <w:p>
      <w:pPr>
        <w:jc w:val="both"/>
        <w:ind w:right="120" w:firstLine="360"/>
        <w:spacing w:after="0" w:line="272"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We are an “emerging growth company” under applicable federal securities laws and will be subject to reduced public company reporting requirements. Investing in our securities involves risks. Please see “Risk Factors” on page </w:t>
      </w:r>
      <w:hyperlink w:anchor="page34">
        <w:r>
          <w:rPr>
            <w:rFonts w:ascii="Arial" w:cs="Arial" w:eastAsia="Arial" w:hAnsi="Arial"/>
            <w:sz w:val="16"/>
            <w:szCs w:val="16"/>
            <w:b w:val="1"/>
            <w:bCs w:val="1"/>
            <w:u w:val="single" w:color="auto"/>
            <w:color w:val="0000EE"/>
          </w:rPr>
          <w:t>32</w:t>
        </w:r>
      </w:hyperlink>
      <w:r>
        <w:rPr>
          <w:rFonts w:ascii="Arial" w:cs="Arial" w:eastAsia="Arial" w:hAnsi="Arial"/>
          <w:sz w:val="16"/>
          <w:szCs w:val="16"/>
          <w:b w:val="1"/>
          <w:bCs w:val="1"/>
          <w:color w:val="auto"/>
        </w:rPr>
        <w:t>. Investors will not be entitled to protections normally afforded to investors in Rule 419 blank check offerings.</w:t>
      </w:r>
    </w:p>
    <w:p>
      <w:pPr>
        <w:spacing w:after="0" w:line="2" w:lineRule="exact"/>
        <w:rPr>
          <w:sz w:val="20"/>
          <w:szCs w:val="20"/>
          <w:color w:val="auto"/>
        </w:rPr>
      </w:pPr>
    </w:p>
    <w:p>
      <w:pPr>
        <w:ind w:right="60" w:firstLine="360"/>
        <w:spacing w:after="0" w:line="273" w:lineRule="auto"/>
        <w:rPr>
          <w:sz w:val="20"/>
          <w:szCs w:val="20"/>
          <w:color w:val="auto"/>
        </w:rPr>
      </w:pPr>
      <w:r>
        <w:rPr>
          <w:rFonts w:ascii="Arial" w:cs="Arial" w:eastAsia="Arial" w:hAnsi="Arial"/>
          <w:sz w:val="14"/>
          <w:szCs w:val="14"/>
          <w:color w:val="auto"/>
        </w:rPr>
        <w:t>Neither the SEC nor any state securities commission has approved or disapproved of these securities or determined if this prospectus is truthful or complete. Any representation to the contrary is a criminal offense.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Unit</w:t>
            </w:r>
          </w:p>
        </w:tc>
        <w:tc>
          <w:tcPr>
            <w:tcW w:w="10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25"/>
        </w:trPr>
        <w:tc>
          <w:tcPr>
            <w:tcW w:w="7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6"/>
        </w:trPr>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Price to Public</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750,000,000</w:t>
            </w:r>
          </w:p>
        </w:tc>
      </w:tr>
      <w:tr>
        <w:trPr>
          <w:trHeight w:val="203"/>
        </w:trPr>
        <w:tc>
          <w:tcPr>
            <w:tcW w:w="7500" w:type="dxa"/>
            <w:vAlign w:val="bottom"/>
          </w:tcPr>
          <w:p>
            <w:pPr>
              <w:spacing w:after="0" w:line="203"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0.55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41,250,000</w:t>
            </w:r>
          </w:p>
        </w:tc>
      </w:tr>
      <w:tr>
        <w:trPr>
          <w:trHeight w:val="189"/>
        </w:trPr>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708,750,000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-385445</wp:posOffset>
            </wp:positionV>
            <wp:extent cx="5246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4637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146050</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360" w:hanging="358"/>
        <w:spacing w:after="0" w:line="267" w:lineRule="auto"/>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$0.35 per unit, or $26,250,000 (or up to $30,187,500 if the underwriters’ option to purchase additional units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shares of Class A common stock sold as part of the units in this offering, as described in this prospectus. Does not include certain fees and expenses payable to the underwriters in connection with this offering. See also “Underwriting” for a description of compensation and other items of value payable to the underwriters.</w:t>
      </w:r>
    </w:p>
    <w:p>
      <w:pPr>
        <w:spacing w:after="0" w:line="5" w:lineRule="exact"/>
        <w:rPr>
          <w:sz w:val="20"/>
          <w:szCs w:val="20"/>
          <w:color w:val="auto"/>
        </w:rPr>
      </w:pPr>
    </w:p>
    <w:p>
      <w:pPr>
        <w:jc w:val="both"/>
        <w:ind w:right="280" w:firstLine="360"/>
        <w:spacing w:after="0" w:line="238" w:lineRule="auto"/>
        <w:rPr>
          <w:sz w:val="20"/>
          <w:szCs w:val="20"/>
          <w:color w:val="auto"/>
        </w:rPr>
      </w:pPr>
      <w:r>
        <w:rPr>
          <w:rFonts w:ascii="Arial" w:cs="Arial" w:eastAsia="Arial" w:hAnsi="Arial"/>
          <w:sz w:val="14"/>
          <w:szCs w:val="14"/>
          <w:color w:val="auto"/>
        </w:rPr>
        <w:t>Of the proceeds we receive from this offering and the sale of the private placement warrants described in this prospectus, $ 750.0 million, or $862.5 million if the underwriters’ option to purchase additional units is exercised in full ($10.00 per unit in either case), will be deposited into a U.S.-based trust account with Continental Stock Transfer &amp; Trust Company acting as trustee.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underwriters are offering the units for sale on a firm commitment basis. The underwriters expect to deliver the units to the purchasers on or</w:t>
      </w:r>
    </w:p>
    <w:p>
      <w:pPr>
        <w:spacing w:after="0" w:line="1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about</w:t>
      </w:r>
      <w:r>
        <w:rPr>
          <w:sz w:val="20"/>
          <w:szCs w:val="20"/>
          <w:color w:val="auto"/>
        </w:rPr>
        <w:tab/>
      </w:r>
      <w:r>
        <w:rPr>
          <w:rFonts w:ascii="Arial" w:cs="Arial" w:eastAsia="Arial" w:hAnsi="Arial"/>
          <w:sz w:val="14"/>
          <w:szCs w:val="14"/>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107950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134620</wp:posOffset>
            </wp:positionV>
            <wp:extent cx="123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434340</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960" w:space="180"/>
            <w:col w:w="9080"/>
          </w:cols>
          <w:pgMar w:left="320" w:top="131" w:right="135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799" w:firstLine="360"/>
        <w:spacing w:after="0" w:line="274" w:lineRule="auto"/>
        <w:rPr>
          <w:sz w:val="20"/>
          <w:szCs w:val="20"/>
          <w:color w:val="auto"/>
        </w:rPr>
      </w:pPr>
      <w:r>
        <w:rPr>
          <w:rFonts w:ascii="Arial" w:cs="Arial" w:eastAsia="Arial" w:hAnsi="Arial"/>
          <w:sz w:val="17"/>
          <w:szCs w:val="17"/>
          <w:b w:val="1"/>
          <w:bCs w:val="1"/>
          <w:color w:val="auto"/>
        </w:rPr>
        <w:t>We are responsible for the information contained in this prospectus. We have not authorized anyone to provide any information or to make any representations other than those contained in this prospectus. We and the underwriters take no responsibility for, and can provide no assurance as to the reliability of, any other information that others may give you. This prospectus is an offer to sell only the units offered hereby, but only under circumstances and in jurisdictions where it is lawful to do so. The information contained in this prospectus is current only as of its date.</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80" w:type="dxa"/>
            <w:vAlign w:val="bottom"/>
          </w:tcPr>
          <w:p>
            <w:pPr>
              <w:ind w:left="740"/>
              <w:spacing w:after="0"/>
              <w:rPr>
                <w:sz w:val="20"/>
                <w:szCs w:val="20"/>
                <w:color w:val="auto"/>
              </w:rPr>
            </w:pPr>
            <w:r>
              <w:rPr>
                <w:rFonts w:ascii="Arial" w:cs="Arial" w:eastAsia="Arial" w:hAnsi="Arial"/>
                <w:sz w:val="18"/>
                <w:szCs w:val="18"/>
                <w:b w:val="1"/>
                <w:bCs w:val="1"/>
                <w:color w:val="auto"/>
              </w:rPr>
              <w:t>TABLE OF CONTENTS</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920" w:type="dxa"/>
            <w:vAlign w:val="bottom"/>
            <w:gridSpan w:val="3"/>
            <w:shd w:val="clear" w:color="auto" w:fill="CCEEFF"/>
          </w:tcPr>
          <w:p>
            <w:pPr>
              <w:spacing w:after="0" w:line="189"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SUMMARY</w:t>
              </w:r>
            </w:hyperlink>
          </w:p>
        </w:tc>
        <w:tc>
          <w:tcPr>
            <w:tcW w:w="130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92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32</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CAUTIONARY NOTE REGARDING FORWARD-LOOKING STATEMENTS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63</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USE OF PROCEEDS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64</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DIVIDEND POLICY</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67</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DILUTION</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68</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CAPITALIZATION</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70</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0000EE"/>
            </w:tcBorders>
            <w:gridSpan w:val="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MANAGEMENT’S DISCUSSION AND ANALYSIS OF FINANCIAL CONDITION AND</w:t>
              </w:r>
            </w:hyperlink>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20" w:type="dxa"/>
            <w:vAlign w:val="bottom"/>
            <w:gridSpan w:val="3"/>
          </w:tcPr>
          <w:p>
            <w:pPr>
              <w:ind w:left="180"/>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RESULTS OF OPERATIONS</w:t>
              </w:r>
            </w:hyperlink>
          </w:p>
        </w:tc>
        <w:tc>
          <w:tcPr>
            <w:tcW w:w="1320" w:type="dxa"/>
            <w:vAlign w:val="bottom"/>
            <w:gridSpan w:val="2"/>
          </w:tcPr>
          <w:p>
            <w:pPr>
              <w:jc w:val="right"/>
              <w:ind w:right="20"/>
              <w:spacing w:after="0" w:line="196" w:lineRule="exact"/>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71</w:t>
              </w:r>
            </w:hyperlink>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2260" w:type="dxa"/>
            <w:vAlign w:val="bottom"/>
            <w:tcBorders>
              <w:top w:val="single" w:sz="8" w:color="0000EE"/>
            </w:tcBorders>
          </w:tcPr>
          <w:p>
            <w:pPr>
              <w:spacing w:after="0"/>
              <w:rPr>
                <w:sz w:val="2"/>
                <w:szCs w:val="2"/>
                <w:color w:val="auto"/>
              </w:rPr>
            </w:pPr>
          </w:p>
        </w:tc>
        <w:tc>
          <w:tcPr>
            <w:tcW w:w="4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PROPOSED BUSINESS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77</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MANAGEMENT</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109</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PRINCIPAL STOCKHOLDERS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118</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CERTAIN RELATIONSHIPS AND RELATED PARTY TRANSACTIONS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121</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DESCRIPTION OF SECURITIES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124</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UNITED STATES FEDERAL INCOME TAX CONSIDERATIONS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138</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UNDERWRITING</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146</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LEGAL MATTERS</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153</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EXPERTS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153</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gridSpan w:val="3"/>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WHERE YOU CAN FIND ADDITIONAL INFORMATION</w:t>
              </w:r>
            </w:hyperlink>
          </w:p>
        </w:tc>
        <w:tc>
          <w:tcPr>
            <w:tcW w:w="1320" w:type="dxa"/>
            <w:vAlign w:val="bottom"/>
            <w:gridSpan w:val="2"/>
          </w:tcPr>
          <w:p>
            <w:pPr>
              <w:jc w:val="right"/>
              <w:ind w:right="20"/>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153</w:t>
              </w:r>
            </w:hyperlink>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INDEX TO FINANCIAL STATEMENTS</w:t>
              </w:r>
            </w:hyperlink>
          </w:p>
        </w:tc>
        <w:tc>
          <w:tcPr>
            <w:tcW w:w="1300" w:type="dxa"/>
            <w:vAlign w:val="bottom"/>
            <w:shd w:val="clear" w:color="auto" w:fill="CCEEFF"/>
          </w:tcPr>
          <w:p>
            <w:pPr>
              <w:jc w:val="right"/>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F-1</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Trademarks</w:t>
      </w:r>
    </w:p>
    <w:p>
      <w:pPr>
        <w:spacing w:after="0" w:line="10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164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5935" cy="816483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SUMMARY</w:t>
      </w:r>
    </w:p>
    <w:p>
      <w:pPr>
        <w:spacing w:after="0" w:line="108"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Unless otherwise stated in this prospectus or the context otherwise requires, references to:</w:t>
      </w:r>
    </w:p>
    <w:p>
      <w:pPr>
        <w:spacing w:after="0" w:line="131" w:lineRule="exact"/>
        <w:rPr>
          <w:sz w:val="20"/>
          <w:szCs w:val="20"/>
          <w:color w:val="auto"/>
        </w:rPr>
      </w:pPr>
    </w:p>
    <w:p>
      <w:pPr>
        <w:ind w:left="2000" w:right="83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“amended and restated certificate of incorporation” are to our certificate of incorporation to be in effect upon the completion of this offering;</w:t>
      </w:r>
    </w:p>
    <w:p>
      <w:pPr>
        <w:spacing w:after="0" w:line="62" w:lineRule="exact"/>
        <w:rPr>
          <w:rFonts w:ascii="Arial" w:cs="Arial" w:eastAsia="Arial" w:hAnsi="Arial"/>
          <w:sz w:val="18"/>
          <w:szCs w:val="18"/>
          <w:color w:val="auto"/>
        </w:rPr>
      </w:pPr>
    </w:p>
    <w:p>
      <w:pPr>
        <w:ind w:left="2000" w:hanging="354"/>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w:t>
      </w:r>
    </w:p>
    <w:p>
      <w:pPr>
        <w:spacing w:after="0" w:line="130" w:lineRule="exact"/>
        <w:rPr>
          <w:rFonts w:ascii="Arial" w:cs="Arial" w:eastAsia="Arial" w:hAnsi="Arial"/>
          <w:sz w:val="18"/>
          <w:szCs w:val="18"/>
          <w:color w:val="auto"/>
        </w:rPr>
      </w:pPr>
    </w:p>
    <w:p>
      <w:pPr>
        <w:ind w:left="2000" w:right="679" w:hanging="354"/>
        <w:spacing w:after="0" w:line="270" w:lineRule="auto"/>
        <w:tabs>
          <w:tab w:leader="none" w:pos="20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“completion window” is the period following the completion of this offering at the end of which, if we have not completed our initial business combination, we will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subject to applicable law and certain conditions and as further described herein. The completion window ends 24 months from the closing of this offering, or 27 months from the closing of this offering if we have executed a letter of intent, agreement in principle or definitive agreement for an initial business combination within 24 months from the closing of this offering;</w:t>
      </w:r>
    </w:p>
    <w:p>
      <w:pPr>
        <w:spacing w:after="0" w:line="72" w:lineRule="exact"/>
        <w:rPr>
          <w:rFonts w:ascii="Arial" w:cs="Arial" w:eastAsia="Arial" w:hAnsi="Arial"/>
          <w:sz w:val="17"/>
          <w:szCs w:val="17"/>
          <w:color w:val="auto"/>
        </w:rPr>
      </w:pPr>
    </w:p>
    <w:p>
      <w:pPr>
        <w:ind w:left="2000" w:hanging="354"/>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“directors” are to our directors and director nominees;</w:t>
      </w:r>
    </w:p>
    <w:p>
      <w:pPr>
        <w:spacing w:after="0" w:line="130" w:lineRule="exact"/>
        <w:rPr>
          <w:rFonts w:ascii="Arial" w:cs="Arial" w:eastAsia="Arial" w:hAnsi="Arial"/>
          <w:sz w:val="18"/>
          <w:szCs w:val="18"/>
          <w:color w:val="auto"/>
        </w:rPr>
      </w:pPr>
    </w:p>
    <w:p>
      <w:pPr>
        <w:ind w:left="2000" w:right="739" w:hanging="354"/>
        <w:spacing w:after="0" w:line="259"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“equity-linked securities” are to any debt or equity securities that are convertible, exercisable or exchangeable for shares of our Class A common stock issued in a financing transaction in connection with our initial business combination, including but not limited to a private placement of such securities;</w:t>
      </w:r>
    </w:p>
    <w:p>
      <w:pPr>
        <w:spacing w:after="0" w:line="78" w:lineRule="exact"/>
        <w:rPr>
          <w:rFonts w:ascii="Arial" w:cs="Arial" w:eastAsia="Arial" w:hAnsi="Arial"/>
          <w:sz w:val="18"/>
          <w:szCs w:val="18"/>
          <w:color w:val="auto"/>
        </w:rPr>
      </w:pPr>
    </w:p>
    <w:p>
      <w:pPr>
        <w:ind w:left="2000" w:right="1059" w:hanging="354"/>
        <w:spacing w:after="0" w:line="263"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are to shares of our Class B common stock and the shares of our Class A common stock issued upon the automatic conversion thereof at the time of our initial business combination as provided herein;</w:t>
      </w:r>
    </w:p>
    <w:p>
      <w:pPr>
        <w:spacing w:after="0" w:line="89" w:lineRule="exact"/>
        <w:rPr>
          <w:rFonts w:ascii="Arial" w:cs="Arial" w:eastAsia="Arial" w:hAnsi="Arial"/>
          <w:sz w:val="18"/>
          <w:szCs w:val="18"/>
          <w:color w:val="auto"/>
        </w:rPr>
      </w:pPr>
    </w:p>
    <w:p>
      <w:pPr>
        <w:ind w:left="2000" w:right="67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our sponsor and any other holders of our founder shares immediately prior to this offering;</w:t>
      </w:r>
    </w:p>
    <w:p>
      <w:pPr>
        <w:spacing w:after="0" w:line="62" w:lineRule="exact"/>
        <w:rPr>
          <w:rFonts w:ascii="Arial" w:cs="Arial" w:eastAsia="Arial" w:hAnsi="Arial"/>
          <w:sz w:val="18"/>
          <w:szCs w:val="18"/>
          <w:color w:val="auto"/>
        </w:rPr>
      </w:pPr>
    </w:p>
    <w:p>
      <w:pPr>
        <w:ind w:left="2000" w:right="97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“letter agreement” refers to the letter agreement, the form of which is filed as an exhibit to the registration statement of which this prospectus forms a part;</w:t>
      </w:r>
    </w:p>
    <w:p>
      <w:pPr>
        <w:spacing w:after="0" w:line="75" w:lineRule="exact"/>
        <w:rPr>
          <w:rFonts w:ascii="Arial" w:cs="Arial" w:eastAsia="Arial" w:hAnsi="Arial"/>
          <w:sz w:val="18"/>
          <w:szCs w:val="18"/>
          <w:color w:val="auto"/>
        </w:rPr>
      </w:pPr>
    </w:p>
    <w:p>
      <w:pPr>
        <w:ind w:left="2000" w:right="127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 Klein and Company” are to M. Klein and Company, LLC, a Delaware limited liability company and its affiliates;</w:t>
      </w:r>
    </w:p>
    <w:p>
      <w:pPr>
        <w:spacing w:after="0" w:line="62" w:lineRule="exact"/>
        <w:rPr>
          <w:rFonts w:ascii="Arial" w:cs="Arial" w:eastAsia="Arial" w:hAnsi="Arial"/>
          <w:sz w:val="18"/>
          <w:szCs w:val="18"/>
          <w:color w:val="auto"/>
        </w:rPr>
      </w:pPr>
    </w:p>
    <w:p>
      <w:pPr>
        <w:ind w:left="2000" w:hanging="354"/>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130" w:lineRule="exact"/>
        <w:rPr>
          <w:rFonts w:ascii="Arial" w:cs="Arial" w:eastAsia="Arial" w:hAnsi="Arial"/>
          <w:sz w:val="18"/>
          <w:szCs w:val="18"/>
          <w:color w:val="auto"/>
        </w:rPr>
      </w:pPr>
    </w:p>
    <w:p>
      <w:pPr>
        <w:ind w:left="2000" w:right="95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“permitted withdrawals” means amounts withdrawn to fund our working capital requirements, subject to an annual limit of $1,000,000, and/or to pay our taxes;</w:t>
      </w:r>
    </w:p>
    <w:p>
      <w:pPr>
        <w:spacing w:after="0" w:line="62" w:lineRule="exact"/>
        <w:rPr>
          <w:rFonts w:ascii="Arial" w:cs="Arial" w:eastAsia="Arial" w:hAnsi="Arial"/>
          <w:sz w:val="18"/>
          <w:szCs w:val="18"/>
          <w:color w:val="auto"/>
        </w:rPr>
      </w:pPr>
    </w:p>
    <w:p>
      <w:pPr>
        <w:ind w:left="2000" w:right="699" w:hanging="354"/>
        <w:spacing w:after="0" w:line="25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are to a subscription of 16,000,000 warrants (or 18,250,000 warrants in the aggregate if the underwriters’ option to purchase additional units is exercised in full) at a price of $1.00 per warrant ($16,000,000 in the aggregate, or $18,250,000 in the aggregate if the underwriters’ option to purchase additional units is exercised in full) by our sponsor in a private placement that will close simultaneously with the closing of this offering.</w:t>
      </w:r>
    </w:p>
    <w:p>
      <w:pPr>
        <w:spacing w:after="0" w:line="93" w:lineRule="exact"/>
        <w:rPr>
          <w:rFonts w:ascii="Arial" w:cs="Arial" w:eastAsia="Arial" w:hAnsi="Arial"/>
          <w:sz w:val="18"/>
          <w:szCs w:val="18"/>
          <w:color w:val="auto"/>
        </w:rPr>
      </w:pPr>
    </w:p>
    <w:p>
      <w:pPr>
        <w:ind w:left="2000" w:hanging="354"/>
        <w:spacing w:after="0"/>
        <w:tabs>
          <w:tab w:leader="none" w:pos="20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“private placement warrants” are to the warrants issued to our sponsor in the Private Placement;</w:t>
      </w:r>
    </w:p>
    <w:p>
      <w:pPr>
        <w:spacing w:after="0" w:line="128" w:lineRule="exact"/>
        <w:rPr>
          <w:rFonts w:ascii="Arial" w:cs="Arial" w:eastAsia="Arial" w:hAnsi="Arial"/>
          <w:sz w:val="17"/>
          <w:szCs w:val="17"/>
          <w:color w:val="auto"/>
        </w:rPr>
      </w:pPr>
    </w:p>
    <w:p>
      <w:pPr>
        <w:ind w:left="2000" w:right="659" w:hanging="354"/>
        <w:spacing w:after="0" w:line="277"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are to shares of our Class A common stock sold as part of the units in this offering (whether they are purchased in this offering or thereafter in the open market);</w:t>
      </w:r>
    </w:p>
    <w:p>
      <w:pPr>
        <w:spacing w:after="0" w:line="75" w:lineRule="exact"/>
        <w:rPr>
          <w:rFonts w:ascii="Arial" w:cs="Arial" w:eastAsia="Arial" w:hAnsi="Arial"/>
          <w:sz w:val="18"/>
          <w:szCs w:val="18"/>
          <w:color w:val="auto"/>
        </w:rPr>
      </w:pPr>
    </w:p>
    <w:p>
      <w:pPr>
        <w:ind w:left="2000" w:right="659" w:hanging="354"/>
        <w:spacing w:after="0" w:line="286" w:lineRule="auto"/>
        <w:tabs>
          <w:tab w:leader="none" w:pos="20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are to the holders of our public shares, including our sponsor, officers and directors to the extent our sponsor, officers or directors purchase public shares, provided that each of their status as a “public stockholder” shall only exist with respect to such public shares;</w:t>
      </w:r>
    </w:p>
    <w:p>
      <w:pPr>
        <w:sectPr>
          <w:pgSz w:w="11900" w:h="16838" w:orient="portrait"/>
          <w:cols w:equalWidth="0" w:num="1">
            <w:col w:w="10139"/>
          </w:cols>
          <w:pgMar w:left="320" w:top="132" w:right="1440" w:bottom="1440" w:gutter="0" w:footer="0" w:header="0"/>
          <w:type w:val="continuous"/>
        </w:sectPr>
      </w:pPr>
    </w:p>
    <w:p>
      <w:pPr>
        <w:spacing w:after="0" w:line="38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301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5935" cy="83019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859" w:hanging="354"/>
        <w:spacing w:after="0" w:line="277"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“sponsor” are to Annetta Sponsor LLC, a Delaware limited liability company and an affiliate of M. Klein and Company;</w:t>
      </w:r>
    </w:p>
    <w:p>
      <w:pPr>
        <w:spacing w:after="0" w:line="62" w:lineRule="exact"/>
        <w:rPr>
          <w:rFonts w:ascii="Arial" w:cs="Arial" w:eastAsia="Arial" w:hAnsi="Arial"/>
          <w:sz w:val="18"/>
          <w:szCs w:val="18"/>
          <w:color w:val="auto"/>
        </w:rPr>
      </w:pPr>
    </w:p>
    <w:p>
      <w:pPr>
        <w:ind w:left="2000" w:right="1039" w:hanging="354"/>
        <w:spacing w:after="0" w:line="277"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“underwriters’ option to purchase additional units” are to the underwriters’ 45-day option to purchase up to an additional 11,250,000 units to cover over-allotments, if any;</w:t>
      </w:r>
    </w:p>
    <w:p>
      <w:pPr>
        <w:spacing w:after="0" w:line="62" w:lineRule="exact"/>
        <w:rPr>
          <w:rFonts w:ascii="Arial" w:cs="Arial" w:eastAsia="Arial" w:hAnsi="Arial"/>
          <w:sz w:val="18"/>
          <w:szCs w:val="18"/>
          <w:color w:val="auto"/>
        </w:rPr>
      </w:pPr>
    </w:p>
    <w:p>
      <w:pPr>
        <w:ind w:left="2000" w:right="859" w:hanging="354"/>
        <w:spacing w:after="0" w:line="308" w:lineRule="auto"/>
        <w:tabs>
          <w:tab w:leader="none" w:pos="20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“warrants” are to our warrants sold as part of the units in this offering (whether they are purchased in this offering or thereafter in the open market) and the private placement warrants;</w:t>
      </w:r>
    </w:p>
    <w:p>
      <w:pPr>
        <w:spacing w:after="0" w:line="38" w:lineRule="exact"/>
        <w:rPr>
          <w:rFonts w:ascii="Arial" w:cs="Arial" w:eastAsia="Arial" w:hAnsi="Arial"/>
          <w:sz w:val="17"/>
          <w:szCs w:val="17"/>
          <w:color w:val="auto"/>
        </w:rPr>
      </w:pPr>
    </w:p>
    <w:p>
      <w:pPr>
        <w:jc w:val="both"/>
        <w:ind w:left="2000" w:right="839" w:hanging="354"/>
        <w:spacing w:after="0" w:line="263"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“warrant exercise date” are to the date on which the warrants will become exercisable, which is the later of 30 days after the completion of our initial business combination and 12 months from the closing of this offering;</w:t>
      </w:r>
    </w:p>
    <w:p>
      <w:pPr>
        <w:spacing w:after="0" w:line="75" w:lineRule="exact"/>
        <w:rPr>
          <w:rFonts w:ascii="Arial" w:cs="Arial" w:eastAsia="Arial" w:hAnsi="Arial"/>
          <w:sz w:val="18"/>
          <w:szCs w:val="18"/>
          <w:color w:val="auto"/>
        </w:rPr>
      </w:pPr>
    </w:p>
    <w:p>
      <w:pPr>
        <w:ind w:left="2000" w:right="759" w:hanging="354"/>
        <w:spacing w:after="0" w:line="308" w:lineRule="auto"/>
        <w:tabs>
          <w:tab w:leader="none" w:pos="20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“warrant expiration date” are to the date on which the warrants expire, which is five years after the completion of our initial business combination or earlier upon redemption or liquidation; and</w:t>
      </w:r>
    </w:p>
    <w:p>
      <w:pPr>
        <w:spacing w:after="0" w:line="38" w:lineRule="exact"/>
        <w:rPr>
          <w:rFonts w:ascii="Arial" w:cs="Arial" w:eastAsia="Arial" w:hAnsi="Arial"/>
          <w:sz w:val="17"/>
          <w:szCs w:val="17"/>
          <w:color w:val="auto"/>
        </w:rPr>
      </w:pPr>
    </w:p>
    <w:p>
      <w:pPr>
        <w:ind w:left="2000" w:right="1379" w:hanging="354"/>
        <w:spacing w:after="0" w:line="277"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Annetta Acquisition Corp, a Delaware corporation.</w:t>
      </w:r>
    </w:p>
    <w:p>
      <w:pPr>
        <w:spacing w:after="0" w:line="62" w:lineRule="exact"/>
        <w:rPr>
          <w:sz w:val="20"/>
          <w:szCs w:val="20"/>
          <w:color w:val="auto"/>
        </w:rPr>
      </w:pPr>
    </w:p>
    <w:p>
      <w:pPr>
        <w:ind w:left="1280" w:right="759" w:firstLine="360"/>
        <w:spacing w:after="0" w:line="263" w:lineRule="auto"/>
        <w:rPr>
          <w:sz w:val="20"/>
          <w:szCs w:val="20"/>
          <w:color w:val="auto"/>
        </w:rPr>
      </w:pPr>
      <w:r>
        <w:rPr>
          <w:rFonts w:ascii="Arial" w:cs="Arial" w:eastAsia="Arial" w:hAnsi="Arial"/>
          <w:sz w:val="18"/>
          <w:szCs w:val="18"/>
          <w:i w:val="1"/>
          <w:iCs w:val="1"/>
          <w:color w:val="auto"/>
        </w:rPr>
        <w:t>Unless we tell you otherwise, the information in this prospectus assumes that the underwriters will not exercise their option to purchase additional units and the forfeiture by our sponsor of 2,812,500 founder shares.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80" w:right="819" w:firstLine="360"/>
        <w:spacing w:after="0" w:line="271" w:lineRule="auto"/>
        <w:rPr>
          <w:sz w:val="20"/>
          <w:szCs w:val="20"/>
          <w:color w:val="auto"/>
        </w:rPr>
      </w:pPr>
      <w:r>
        <w:rPr>
          <w:rFonts w:ascii="Arial" w:cs="Arial" w:eastAsia="Arial" w:hAnsi="Arial"/>
          <w:sz w:val="17"/>
          <w:szCs w:val="17"/>
          <w:color w:val="auto"/>
        </w:rPr>
        <w:t>We are a newly incorporated blank check company formed as a Delaware corporation for the purpose of effecting a merger, share exchange, asset acquisition, share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in any business or industry but expect to focus on a target in an industry where we believe our management team and founder’s expertise will provide us with a competitive advantage.</w:t>
      </w:r>
    </w:p>
    <w:p>
      <w:pPr>
        <w:spacing w:after="0" w:line="70" w:lineRule="exact"/>
        <w:rPr>
          <w:sz w:val="20"/>
          <w:szCs w:val="20"/>
          <w:color w:val="auto"/>
        </w:rPr>
      </w:pPr>
    </w:p>
    <w:p>
      <w:pPr>
        <w:ind w:left="1280" w:right="659" w:firstLine="360"/>
        <w:spacing w:after="0" w:line="253" w:lineRule="auto"/>
        <w:rPr>
          <w:sz w:val="20"/>
          <w:szCs w:val="20"/>
          <w:color w:val="auto"/>
        </w:rPr>
      </w:pPr>
      <w:r>
        <w:rPr>
          <w:rFonts w:ascii="Arial" w:cs="Arial" w:eastAsia="Arial" w:hAnsi="Arial"/>
          <w:sz w:val="18"/>
          <w:szCs w:val="18"/>
          <w:color w:val="auto"/>
        </w:rPr>
        <w:t>Our founder, Michael Klein, is also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35 year career, including more than two decades at Citigroup Inc. (“Citi”) and its predecessors, during which he initiated and executed strategic advisory transactions. He began his career as an investment banker in the M&amp;A Advisory Group at Salomon Brothers and subsequently became Chairman and Co-Chief Executive Officer of Citi Markets and Banking, with responsibilities for Global Corporate and Investment Banking and Global Transaction Services across Citi. In his role as Co-CEO, he was responsible for all relationship, advisory, underwriting, and capital markets issuance activity.</w:t>
      </w:r>
    </w:p>
    <w:p>
      <w:pPr>
        <w:spacing w:after="0" w:line="84" w:lineRule="exact"/>
        <w:rPr>
          <w:sz w:val="20"/>
          <w:szCs w:val="20"/>
          <w:color w:val="auto"/>
        </w:rPr>
      </w:pPr>
    </w:p>
    <w:p>
      <w:pPr>
        <w:ind w:left="1280" w:right="759" w:firstLine="360"/>
        <w:spacing w:after="0" w:line="271" w:lineRule="auto"/>
        <w:rPr>
          <w:sz w:val="20"/>
          <w:szCs w:val="20"/>
          <w:color w:val="auto"/>
        </w:rPr>
      </w:pPr>
      <w:r>
        <w:rPr>
          <w:rFonts w:ascii="Arial" w:cs="Arial" w:eastAsia="Arial" w:hAnsi="Arial"/>
          <w:sz w:val="17"/>
          <w:szCs w:val="17"/>
          <w:color w:val="auto"/>
        </w:rPr>
        <w:t>Mr. Klein was previously Chief Executive Officer of Global Banking at Citi, CEO of Citi Markets &amp; Banking, Europe, and Co-Head of Global Investment Banking for Salomon Smith Barney for the decade prior. In early 1999, he was given responsibility for the expansion of the firm’s European investment banking business. A major step in that development was the merger, in May 2000, of Salomon Smith Barney’s European operation with Schroders, a leading UK and European Merchant Bank. Prior to becoming Co-Head of the Global Investment Bank, he had been responsible for the firm’s Global Financial Entrepreneurs and Private Equity Groups, a leading provider of acquisition ideas and financing for leading private equity sponsors. We will seek to capitalize on the experience and expertise of our founder.</w:t>
      </w:r>
    </w:p>
    <w:p>
      <w:pPr>
        <w:spacing w:after="0" w:line="70" w:lineRule="exact"/>
        <w:rPr>
          <w:sz w:val="20"/>
          <w:szCs w:val="20"/>
          <w:color w:val="auto"/>
        </w:rPr>
      </w:pPr>
    </w:p>
    <w:p>
      <w:pPr>
        <w:ind w:left="1280" w:right="719" w:firstLine="360"/>
        <w:spacing w:after="0" w:line="254" w:lineRule="auto"/>
        <w:rPr>
          <w:sz w:val="20"/>
          <w:szCs w:val="20"/>
          <w:color w:val="auto"/>
        </w:rPr>
      </w:pPr>
      <w:r>
        <w:rPr>
          <w:rFonts w:ascii="Arial" w:cs="Arial" w:eastAsia="Arial" w:hAnsi="Arial"/>
          <w:sz w:val="18"/>
          <w:szCs w:val="18"/>
          <w:color w:val="auto"/>
        </w:rPr>
        <w:t>Mr. Klein has significant experience running investment banking and advisory organizations with an overarching mission of providing high quality deal sourcing and transactional advice to a broad range of clients. For example, in 2018, Mr. Klein co-founded and became Chairman of the Board of Directors of Churchill Capital Corp (“CCC”), a special purpose acquisition company that completed a $690 million initial public offering in September 2018 and merged in May 2019 with Clarivate Analytics (“Clarivate”), a leading provider of comprehensive intellectual property and scientific information, analytical tools, and services.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59" w:firstLine="360"/>
        <w:spacing w:after="0" w:line="272" w:lineRule="auto"/>
        <w:rPr>
          <w:sz w:val="20"/>
          <w:szCs w:val="20"/>
          <w:color w:val="auto"/>
        </w:rPr>
      </w:pPr>
      <w:r>
        <w:rPr>
          <w:rFonts w:ascii="Arial" w:cs="Arial" w:eastAsia="Arial" w:hAnsi="Arial"/>
          <w:sz w:val="17"/>
          <w:szCs w:val="17"/>
          <w:color w:val="auto"/>
        </w:rPr>
        <w:t>The CCC board of directors believed that of the several transactions that CCC considered, the Clarivate merger provided CCC investors with an attractive investment opportunity that was characterized by an industry-leading, world-class management team with a history of creating significant shareholder value through superior operational performance, positive long-term trends in each of the Clarivate’s operating markets, significant organic and accretive growth opportunities, a clear path to meaningfully reduced balance sheet leverage, and a compelling valuation relative to its peers. In sourcing and executing a business combination transaction, we hope to find a target with similar characteristics.</w:t>
      </w:r>
    </w:p>
    <w:p>
      <w:pPr>
        <w:spacing w:after="0" w:line="69" w:lineRule="exact"/>
        <w:rPr>
          <w:sz w:val="20"/>
          <w:szCs w:val="20"/>
          <w:color w:val="auto"/>
        </w:rPr>
      </w:pPr>
    </w:p>
    <w:p>
      <w:pPr>
        <w:ind w:left="1280" w:right="659" w:firstLine="360"/>
        <w:spacing w:after="0" w:line="263" w:lineRule="auto"/>
        <w:rPr>
          <w:sz w:val="20"/>
          <w:szCs w:val="20"/>
          <w:color w:val="auto"/>
        </w:rPr>
      </w:pPr>
      <w:r>
        <w:rPr>
          <w:rFonts w:ascii="Arial" w:cs="Arial" w:eastAsia="Arial" w:hAnsi="Arial"/>
          <w:sz w:val="18"/>
          <w:szCs w:val="18"/>
          <w:color w:val="auto"/>
        </w:rPr>
        <w:t>Investors in CCC’s initial public offering who held the stock and warrants through May 13, 2019, the closing date of the initial business combination, saw a total return of approximately 51% and a 1.5x multiple on their invested capital over the eight month hold period.</w:t>
      </w:r>
    </w:p>
    <w:p>
      <w:pPr>
        <w:spacing w:after="0" w:line="76" w:lineRule="exact"/>
        <w:rPr>
          <w:sz w:val="20"/>
          <w:szCs w:val="20"/>
          <w:color w:val="auto"/>
        </w:rPr>
      </w:pPr>
    </w:p>
    <w:p>
      <w:pPr>
        <w:ind w:left="1280" w:right="679" w:firstLine="360"/>
        <w:spacing w:after="0" w:line="275" w:lineRule="auto"/>
        <w:rPr>
          <w:sz w:val="20"/>
          <w:szCs w:val="20"/>
          <w:color w:val="auto"/>
        </w:rPr>
      </w:pPr>
      <w:r>
        <w:rPr>
          <w:rFonts w:ascii="Arial" w:cs="Arial" w:eastAsia="Arial" w:hAnsi="Arial"/>
          <w:sz w:val="17"/>
          <w:szCs w:val="17"/>
          <w:color w:val="auto"/>
        </w:rPr>
        <w:t>In April 2019, Mr. Klein founded and became Chief Executive Officer and Chairman of the Board of Directors of Churchill Capital Corp II, a special purpose acquisition company that completed a $690 million initial public offering in July 2019. Additionally in October 2019, Mr. Klein founded and became Chief Executive Officer, President and Chairman of the Board of Directors of Churchill Capital Corp III, a special purpose acquisition company that completed a $1,100 million initial public offering in February 2020.</w:t>
      </w:r>
    </w:p>
    <w:p>
      <w:pPr>
        <w:spacing w:after="0" w:line="68" w:lineRule="exact"/>
        <w:rPr>
          <w:sz w:val="20"/>
          <w:szCs w:val="20"/>
          <w:color w:val="auto"/>
        </w:rPr>
      </w:pPr>
    </w:p>
    <w:p>
      <w:pPr>
        <w:ind w:left="1280" w:right="679" w:firstLine="360"/>
        <w:spacing w:after="0" w:line="253" w:lineRule="auto"/>
        <w:rPr>
          <w:sz w:val="20"/>
          <w:szCs w:val="20"/>
          <w:color w:val="auto"/>
        </w:rPr>
      </w:pPr>
      <w:r>
        <w:rPr>
          <w:rFonts w:ascii="Arial" w:cs="Arial" w:eastAsia="Arial" w:hAnsi="Arial"/>
          <w:sz w:val="18"/>
          <w:szCs w:val="18"/>
          <w:color w:val="auto"/>
        </w:rPr>
        <w:t>Our Chief Financial Officer, Jay Taragin, has held this position since May 2020 and is also the Chief Financial Officer of Churchill Capital Corp III since December 2019 and M. Klein and Company which he joined in May 2019. Prior to joining M. Klein and Company, Mr. Taragin served as the US Scotiabank Chief Financial Officer from 2013 to 2017. Prior to Scotiabank, Mr. Taragin held a Chief Operating and Financial Officer role from 2009 to 2012 at a mortgage hedge fund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88"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We believe that our management team and M. Klein and Company, which is an affiliate of our sponsor, are well positioned to identify and execute attractive business combination opportunities. Our objectives are to generate attractive returns for shareholders and enhance value through selecting a high quality target at an attractive valuation, negotiating favorable acquisition terms for our stockholders and improving operational performance of the acquired company. We expect to favor potential target companies with certain industry and business characteristics. Key industry characteristics include compelling long-term growth prospects, opportunities to affect valuation improvements at the company, attractive competitive dynamics and consolidation opportunities. Key business characteristics include competitive advantages, significant streams of recurring revenue, opportunity for operational improvement, attractive steady-state margins, high incremental margins and attractive free cash flow characteristics.</w:t>
      </w:r>
    </w:p>
    <w:p>
      <w:pPr>
        <w:spacing w:after="0" w:line="77" w:lineRule="exact"/>
        <w:rPr>
          <w:sz w:val="20"/>
          <w:szCs w:val="20"/>
          <w:color w:val="auto"/>
        </w:rPr>
      </w:pPr>
    </w:p>
    <w:p>
      <w:pPr>
        <w:ind w:left="1280" w:right="739" w:firstLine="360"/>
        <w:spacing w:after="0" w:line="254" w:lineRule="auto"/>
        <w:rPr>
          <w:sz w:val="20"/>
          <w:szCs w:val="20"/>
          <w:color w:val="auto"/>
        </w:rPr>
      </w:pPr>
      <w:r>
        <w:rPr>
          <w:rFonts w:ascii="Arial" w:cs="Arial" w:eastAsia="Arial" w:hAnsi="Arial"/>
          <w:sz w:val="18"/>
          <w:szCs w:val="18"/>
          <w:color w:val="auto"/>
        </w:rPr>
        <w:t>M. Klein and Company has established strategic relationships with selected leading investors and financing providers (“Strategic Partners”). Such Strategic Partners may invest in our sponsor, thereby sharing in the appreciation of founder shares and private placement warrants, and assist M. Klein and Company in evaluating potential acquisition targets. In addition, Glenn R. August, the CEO and Founder of Oak Hill Advisors, L.P. (“OHA”), a Strategic Partner, will join the Company’s board of directors. OHA is a leading alternative investment firm with approximately $37 billion of capital under management and over 300 professionals that invest across multiple sectors and industries.</w:t>
      </w:r>
    </w:p>
    <w:p>
      <w:pPr>
        <w:spacing w:after="0" w:line="87" w:lineRule="exact"/>
        <w:rPr>
          <w:sz w:val="20"/>
          <w:szCs w:val="20"/>
          <w:color w:val="auto"/>
        </w:rPr>
      </w:pPr>
    </w:p>
    <w:p>
      <w:pPr>
        <w:ind w:left="1280" w:right="719" w:firstLine="360"/>
        <w:spacing w:after="0" w:line="270" w:lineRule="auto"/>
        <w:rPr>
          <w:sz w:val="20"/>
          <w:szCs w:val="20"/>
          <w:color w:val="auto"/>
        </w:rPr>
      </w:pPr>
      <w:r>
        <w:rPr>
          <w:rFonts w:ascii="Arial" w:cs="Arial" w:eastAsia="Arial" w:hAnsi="Arial"/>
          <w:sz w:val="17"/>
          <w:szCs w:val="17"/>
          <w:color w:val="auto"/>
        </w:rPr>
        <w:t>M. Klein and Company has established an entity within the firm, Archimedes Advisors LLC, which will invest in our sponsor and which consists of operating partners (“Operating Partners” and, together with our Strategic Partners, our “Strategic and Operating Partners”) who will assist us in sourcing potential acquisition targets, and creating long-term value in the business combination for us. M. Klein and Company’s Operating Partners are comprised of former senior operating executives of leading S&amp;P 500 companies across multiple sectors and industries, including consumer, industrial, materials, energy, mining, chemicals, finance, data, software, enterprise technology, and media. With our breadth of sector coverage and deep operational expertise, we believe we can review a wide range of targets to find the most attractive target for our stockholders. Each Operating Partner has held senior leadership positions with companies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99"/>
        <w:spacing w:after="0" w:line="273" w:lineRule="auto"/>
        <w:rPr>
          <w:sz w:val="20"/>
          <w:szCs w:val="20"/>
          <w:color w:val="auto"/>
        </w:rPr>
      </w:pPr>
      <w:r>
        <w:rPr>
          <w:rFonts w:ascii="Arial" w:cs="Arial" w:eastAsia="Arial" w:hAnsi="Arial"/>
          <w:sz w:val="17"/>
          <w:szCs w:val="17"/>
          <w:color w:val="auto"/>
        </w:rPr>
        <w:t>where they have a proven strong track record of creating shareholder value, organically and through transformational acquisitions or corporate restructurings, as well as extensive relationships with owners and operators of companies within their respective industries. In addition to assisting in the sourcing of a potential transaction, one Operating Partner is expected to join the acquired company as an executive chairman or in another senior executive capacity in order to enhance stockholder value by improving the operational performance of the company and undertaking broader strategic initiatives.</w:t>
      </w:r>
    </w:p>
    <w:p>
      <w:pPr>
        <w:spacing w:after="0" w:line="70" w:lineRule="exact"/>
        <w:rPr>
          <w:sz w:val="20"/>
          <w:szCs w:val="20"/>
          <w:color w:val="auto"/>
        </w:rPr>
      </w:pPr>
    </w:p>
    <w:p>
      <w:pPr>
        <w:ind w:left="1280" w:right="699" w:firstLine="360"/>
        <w:spacing w:after="0" w:line="269" w:lineRule="auto"/>
        <w:rPr>
          <w:sz w:val="20"/>
          <w:szCs w:val="20"/>
          <w:color w:val="auto"/>
        </w:rPr>
      </w:pPr>
      <w:r>
        <w:rPr>
          <w:rFonts w:ascii="Arial" w:cs="Arial" w:eastAsia="Arial" w:hAnsi="Arial"/>
          <w:sz w:val="17"/>
          <w:szCs w:val="17"/>
          <w:color w:val="auto"/>
        </w:rPr>
        <w:t>To best align the incentives of Operating Partners with our stockholders, each Operating Partner will invest in our sponsor and be eligible to share in a portion of the appreciation in founder shares and private placement warrants, provided that we successfully complete a business combination. The Operating Partner that takes on a substantial senior executive or operating role at the acquired company, on a post-business combination basis, will acquire additional founder shares from M. Klein and Company and will have a vesting schedule that is highly aligned with stockholder interests by requiring value creation for stockholders. Operating Partners will not receive any cash compensation from us prior to a business combination. We believe that the combination of our management team, M. Klein and Company and its Operating Partners and our board of directors is an innovative approach to identifying potential high quality business combination targets and aligns incentives with our stockholders, providing us with distinctive and differentiated capabilities to create stockholder value.</w:t>
      </w:r>
    </w:p>
    <w:p>
      <w:pPr>
        <w:spacing w:after="0" w:line="74" w:lineRule="exact"/>
        <w:rPr>
          <w:sz w:val="20"/>
          <w:szCs w:val="20"/>
          <w:color w:val="auto"/>
        </w:rPr>
      </w:pPr>
    </w:p>
    <w:p>
      <w:pPr>
        <w:ind w:left="1280" w:right="899" w:firstLine="360"/>
        <w:spacing w:after="0" w:line="272" w:lineRule="auto"/>
        <w:rPr>
          <w:sz w:val="20"/>
          <w:szCs w:val="20"/>
          <w:color w:val="auto"/>
        </w:rPr>
      </w:pPr>
      <w:r>
        <w:rPr>
          <w:rFonts w:ascii="Arial" w:cs="Arial" w:eastAsia="Arial" w:hAnsi="Arial"/>
          <w:sz w:val="17"/>
          <w:szCs w:val="17"/>
          <w:color w:val="auto"/>
        </w:rPr>
        <w:t>With respect to the foregoing experiences of our management, M. Klein and Company, and our Strategic and Operating Partners, past performance is not a guarantee (i) that we will be able to identify a suitable candidate for our initial business combination or (ii) of success with respect to any business combination we may consummate. You should not rely on the historical record of our management’s, M. Klein and Company’s or our Strategic Operating Partners’ performance as indicative of our future performance. For more information on the experience and background of our management team and the Operating Partners, see the sections entitled “Management” and “Proposed Business.”</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Business Strategy</w:t>
      </w:r>
    </w:p>
    <w:p>
      <w:pPr>
        <w:spacing w:after="0" w:line="10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Our strategy is to:</w:t>
      </w:r>
    </w:p>
    <w:p>
      <w:pPr>
        <w:spacing w:after="0" w:line="117" w:lineRule="exact"/>
        <w:rPr>
          <w:sz w:val="20"/>
          <w:szCs w:val="20"/>
          <w:color w:val="auto"/>
        </w:rPr>
      </w:pPr>
    </w:p>
    <w:p>
      <w:pPr>
        <w:ind w:left="2000" w:right="779" w:hanging="354"/>
        <w:spacing w:after="0" w:line="277"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founder to bring advice and attention to potential business combination targets;</w:t>
      </w:r>
    </w:p>
    <w:p>
      <w:pPr>
        <w:spacing w:after="0" w:line="62" w:lineRule="exact"/>
        <w:rPr>
          <w:rFonts w:ascii="Arial" w:cs="Arial" w:eastAsia="Arial" w:hAnsi="Arial"/>
          <w:sz w:val="18"/>
          <w:szCs w:val="18"/>
          <w:color w:val="auto"/>
        </w:rPr>
      </w:pPr>
    </w:p>
    <w:p>
      <w:pPr>
        <w:ind w:left="2000" w:hanging="354"/>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 and</w:t>
      </w:r>
    </w:p>
    <w:p>
      <w:pPr>
        <w:spacing w:after="0" w:line="117" w:lineRule="exact"/>
        <w:rPr>
          <w:rFonts w:ascii="Arial" w:cs="Arial" w:eastAsia="Arial" w:hAnsi="Arial"/>
          <w:sz w:val="18"/>
          <w:szCs w:val="18"/>
          <w:color w:val="auto"/>
        </w:rPr>
      </w:pPr>
    </w:p>
    <w:p>
      <w:pPr>
        <w:ind w:left="2000" w:right="879" w:hanging="354"/>
        <w:spacing w:after="0" w:line="277"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w:t>
      </w:r>
    </w:p>
    <w:p>
      <w:pPr>
        <w:spacing w:after="0" w:line="62" w:lineRule="exact"/>
        <w:rPr>
          <w:sz w:val="20"/>
          <w:szCs w:val="20"/>
          <w:color w:val="auto"/>
        </w:rPr>
      </w:pPr>
    </w:p>
    <w:p>
      <w:pPr>
        <w:ind w:left="1280" w:right="719" w:firstLine="360"/>
        <w:spacing w:after="0" w:line="269" w:lineRule="auto"/>
        <w:rPr>
          <w:sz w:val="20"/>
          <w:szCs w:val="20"/>
          <w:color w:val="auto"/>
        </w:rPr>
      </w:pPr>
      <w:r>
        <w:rPr>
          <w:rFonts w:ascii="Arial" w:cs="Arial" w:eastAsia="Arial" w:hAnsi="Arial"/>
          <w:sz w:val="17"/>
          <w:szCs w:val="17"/>
          <w:color w:val="auto"/>
        </w:rPr>
        <w:t>Our selection process will leverage our founder’s and our Strategic and Operating Partners’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 Upon completion of this offering, members of our management team, M. Klein and Company, our Strategic and Operating Partners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7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Our management team and M. Klein and Company have experience in:</w:t>
      </w:r>
    </w:p>
    <w:p>
      <w:pPr>
        <w:spacing w:after="0" w:line="117" w:lineRule="exact"/>
        <w:rPr>
          <w:sz w:val="20"/>
          <w:szCs w:val="20"/>
          <w:color w:val="auto"/>
        </w:rPr>
      </w:pPr>
    </w:p>
    <w:p>
      <w:pPr>
        <w:ind w:left="2000" w:hanging="354"/>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17" w:lineRule="exact"/>
        <w:rPr>
          <w:rFonts w:ascii="Arial" w:cs="Arial" w:eastAsia="Arial" w:hAnsi="Arial"/>
          <w:sz w:val="18"/>
          <w:szCs w:val="18"/>
          <w:color w:val="auto"/>
        </w:rPr>
      </w:pPr>
    </w:p>
    <w:p>
      <w:pPr>
        <w:ind w:left="2000" w:hanging="354"/>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w:t>
      </w:r>
    </w:p>
    <w:p>
      <w:pPr>
        <w:spacing w:after="0" w:line="117" w:lineRule="exact"/>
        <w:rPr>
          <w:rFonts w:ascii="Arial" w:cs="Arial" w:eastAsia="Arial" w:hAnsi="Arial"/>
          <w:sz w:val="18"/>
          <w:szCs w:val="18"/>
          <w:color w:val="auto"/>
        </w:rPr>
      </w:pPr>
    </w:p>
    <w:p>
      <w:pPr>
        <w:ind w:left="2000" w:hanging="354"/>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negotiating transactions favorable to investors;</w:t>
      </w:r>
    </w:p>
    <w:p>
      <w:pPr>
        <w:spacing w:after="0" w:line="117" w:lineRule="exact"/>
        <w:rPr>
          <w:rFonts w:ascii="Arial" w:cs="Arial" w:eastAsia="Arial" w:hAnsi="Arial"/>
          <w:sz w:val="18"/>
          <w:szCs w:val="18"/>
          <w:color w:val="auto"/>
        </w:rPr>
      </w:pPr>
    </w:p>
    <w:p>
      <w:pPr>
        <w:ind w:left="2000" w:right="819" w:hanging="354"/>
        <w:spacing w:after="0" w:line="277"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 and</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779" w:hanging="354"/>
        <w:spacing w:after="0" w:line="277"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6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M. Klein and Company’s Operating Partners have experience in:</w:t>
      </w:r>
    </w:p>
    <w:p>
      <w:pPr>
        <w:spacing w:after="0" w:line="144" w:lineRule="exact"/>
        <w:rPr>
          <w:sz w:val="20"/>
          <w:szCs w:val="20"/>
          <w:color w:val="auto"/>
        </w:rPr>
      </w:pPr>
    </w:p>
    <w:p>
      <w:pPr>
        <w:ind w:left="2000" w:right="879" w:hanging="354"/>
        <w:spacing w:after="0" w:line="277"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89" w:lineRule="exact"/>
        <w:rPr>
          <w:rFonts w:ascii="Arial" w:cs="Arial" w:eastAsia="Arial" w:hAnsi="Arial"/>
          <w:sz w:val="18"/>
          <w:szCs w:val="18"/>
          <w:color w:val="auto"/>
        </w:rPr>
      </w:pPr>
    </w:p>
    <w:p>
      <w:pPr>
        <w:ind w:left="2000" w:hanging="354"/>
        <w:spacing w:after="0"/>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acquiring and integrating companies; and</w:t>
      </w:r>
    </w:p>
    <w:p>
      <w:pPr>
        <w:spacing w:after="0" w:line="144" w:lineRule="exact"/>
        <w:rPr>
          <w:rFonts w:ascii="Arial" w:cs="Arial" w:eastAsia="Arial" w:hAnsi="Arial"/>
          <w:sz w:val="18"/>
          <w:szCs w:val="18"/>
          <w:color w:val="auto"/>
        </w:rPr>
      </w:pPr>
    </w:p>
    <w:p>
      <w:pPr>
        <w:jc w:val="both"/>
        <w:ind w:left="2000" w:right="1159" w:hanging="354"/>
        <w:spacing w:after="0" w:line="263"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66"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left="1280" w:right="699" w:firstLine="360"/>
        <w:spacing w:after="0" w:line="255" w:lineRule="auto"/>
        <w:rPr>
          <w:sz w:val="20"/>
          <w:szCs w:val="20"/>
          <w:color w:val="auto"/>
        </w:rPr>
      </w:pPr>
      <w:r>
        <w:rPr>
          <w:rFonts w:ascii="Arial" w:cs="Arial" w:eastAsia="Arial" w:hAnsi="Arial"/>
          <w:sz w:val="18"/>
          <w:szCs w:val="18"/>
          <w:color w:val="auto"/>
        </w:rPr>
        <w:t>The sourcing, valuation, diligence and execution capabilities of our management team, M. Klein and Company and our Strategic and Operating Partners will provide us with a significant pipeline of opportunities from which to evaluate and select a business that will benefit from our expertise. We may also have the benefit of using M. Klein and Company, or another affiliate of our sponsor, as our lead financial advisor on our business combinations and other transactions. Our competitive strengths include the following:</w:t>
      </w:r>
    </w:p>
    <w:p>
      <w:pPr>
        <w:spacing w:after="0" w:line="98" w:lineRule="exact"/>
        <w:rPr>
          <w:sz w:val="20"/>
          <w:szCs w:val="20"/>
          <w:color w:val="auto"/>
        </w:rPr>
      </w:pPr>
    </w:p>
    <w:p>
      <w:pPr>
        <w:ind w:left="2000" w:right="719" w:hanging="354"/>
        <w:spacing w:after="0" w:line="259"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Experience of Operating Partners. </w:t>
      </w:r>
      <w:r>
        <w:rPr>
          <w:rFonts w:ascii="Arial" w:cs="Arial" w:eastAsia="Arial" w:hAnsi="Arial"/>
          <w:sz w:val="18"/>
          <w:szCs w:val="18"/>
          <w:color w:val="auto"/>
        </w:rPr>
        <w:t>We believe that our ability to leverage the experience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Operating Partners, who comprise former senior operating executives of S&amp;P 500 companies across multiple sectors and industries, will provide us a distinct advantage in being able to source, evaluate and consummate an attractive transaction.</w:t>
      </w:r>
    </w:p>
    <w:p>
      <w:pPr>
        <w:spacing w:after="0" w:line="105" w:lineRule="exact"/>
        <w:rPr>
          <w:rFonts w:ascii="Arial" w:cs="Arial" w:eastAsia="Arial" w:hAnsi="Arial"/>
          <w:sz w:val="18"/>
          <w:szCs w:val="18"/>
          <w:color w:val="auto"/>
        </w:rPr>
      </w:pPr>
    </w:p>
    <w:p>
      <w:pPr>
        <w:ind w:left="2000" w:right="699" w:hanging="354"/>
        <w:spacing w:after="0" w:line="254"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Sourcing Channels and Leading Industry Relationships. </w:t>
      </w:r>
      <w:r>
        <w:rPr>
          <w:rFonts w:ascii="Arial" w:cs="Arial" w:eastAsia="Arial" w:hAnsi="Arial"/>
          <w:sz w:val="18"/>
          <w:szCs w:val="18"/>
          <w:color w:val="auto"/>
        </w:rPr>
        <w:t>We believe the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connections associated with our management team, in combination with those of M. Klein and Company and our Strategic and Operating Partners, will provide us with a differentiated pipeline of acquisition opportunities that would be difficult for other participants in the market to replicate. We expect these sourcing capabilities will be further bolstered by our management team’s, M. Klein and Company’s and our Strategic and Operating Partners’ reputation and deep industry relationships.</w:t>
      </w:r>
    </w:p>
    <w:p>
      <w:pPr>
        <w:spacing w:after="0" w:line="113" w:lineRule="exact"/>
        <w:rPr>
          <w:rFonts w:ascii="Arial" w:cs="Arial" w:eastAsia="Arial" w:hAnsi="Arial"/>
          <w:sz w:val="18"/>
          <w:szCs w:val="18"/>
          <w:color w:val="auto"/>
        </w:rPr>
      </w:pPr>
    </w:p>
    <w:p>
      <w:pPr>
        <w:ind w:left="2000" w:right="739" w:hanging="354"/>
        <w:spacing w:after="0" w:line="263"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Experience. </w:t>
      </w:r>
      <w:r>
        <w:rPr>
          <w:rFonts w:ascii="Arial" w:cs="Arial" w:eastAsia="Arial" w:hAnsi="Arial"/>
          <w:sz w:val="18"/>
          <w:szCs w:val="18"/>
          <w:color w:val="auto"/>
        </w:rPr>
        <w:t>We believe that our management’s track record of identifying and sourcing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positions us well to appropriately evaluate potential business combinations and select one that will be well received by the public markets.</w:t>
      </w:r>
    </w:p>
    <w:p>
      <w:pPr>
        <w:spacing w:after="0" w:line="102" w:lineRule="exact"/>
        <w:rPr>
          <w:rFonts w:ascii="Arial" w:cs="Arial" w:eastAsia="Arial" w:hAnsi="Arial"/>
          <w:sz w:val="18"/>
          <w:szCs w:val="18"/>
          <w:color w:val="auto"/>
        </w:rPr>
      </w:pPr>
    </w:p>
    <w:p>
      <w:pPr>
        <w:ind w:left="2000" w:right="659" w:hanging="354"/>
        <w:spacing w:after="0" w:line="254"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Execution and Structuring Capability. </w:t>
      </w:r>
      <w:r>
        <w:rPr>
          <w:rFonts w:ascii="Arial" w:cs="Arial" w:eastAsia="Arial" w:hAnsi="Arial"/>
          <w:sz w:val="18"/>
          <w:szCs w:val="18"/>
          <w:color w:val="auto"/>
        </w:rPr>
        <w:t>Our management team and sponsor believe that our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Partners’ combined expertise and reputation will allow us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74"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Investment Criteria</w:t>
      </w:r>
    </w:p>
    <w:p>
      <w:pPr>
        <w:spacing w:after="0" w:line="108" w:lineRule="exact"/>
        <w:rPr>
          <w:sz w:val="20"/>
          <w:szCs w:val="20"/>
          <w:color w:val="auto"/>
        </w:rPr>
      </w:pPr>
    </w:p>
    <w:p>
      <w:pPr>
        <w:ind w:left="1280" w:right="1119" w:firstLine="360"/>
        <w:spacing w:after="0" w:line="277" w:lineRule="auto"/>
        <w:rPr>
          <w:sz w:val="20"/>
          <w:szCs w:val="20"/>
          <w:color w:val="auto"/>
        </w:rPr>
      </w:pPr>
      <w:r>
        <w:rPr>
          <w:rFonts w:ascii="Arial" w:cs="Arial" w:eastAsia="Arial" w:hAnsi="Arial"/>
          <w:sz w:val="18"/>
          <w:szCs w:val="18"/>
          <w:color w:val="auto"/>
        </w:rPr>
        <w:t>We have developed the following high level, non-exclusive investment criteria that we will use to screen for and evaluate target businesses. We will seek to acquire a business that:</w:t>
      </w:r>
    </w:p>
    <w:p>
      <w:pPr>
        <w:spacing w:after="0" w:line="89" w:lineRule="exact"/>
        <w:rPr>
          <w:sz w:val="20"/>
          <w:szCs w:val="20"/>
          <w:color w:val="auto"/>
        </w:rPr>
      </w:pPr>
    </w:p>
    <w:p>
      <w:pPr>
        <w:ind w:left="2000" w:right="1279" w:hanging="354"/>
        <w:spacing w:after="0" w:line="342" w:lineRule="auto"/>
        <w:tabs>
          <w:tab w:leader="none" w:pos="20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Generates Stable Free Cash-Flow. </w:t>
      </w:r>
      <w:r>
        <w:rPr>
          <w:rFonts w:ascii="Arial" w:cs="Arial" w:eastAsia="Arial" w:hAnsi="Arial"/>
          <w:sz w:val="16"/>
          <w:szCs w:val="16"/>
          <w:color w:val="auto"/>
        </w:rPr>
        <w:t>We will seek to acquire a business that has historically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generated, or has the near-term potential to generate, strong and sustainable free cash flow.</w:t>
      </w:r>
    </w:p>
    <w:p>
      <w:pPr>
        <w:spacing w:after="0" w:line="42" w:lineRule="exact"/>
        <w:rPr>
          <w:rFonts w:ascii="Arial" w:cs="Arial" w:eastAsia="Arial" w:hAnsi="Arial"/>
          <w:sz w:val="16"/>
          <w:szCs w:val="16"/>
          <w:color w:val="auto"/>
        </w:rPr>
      </w:pPr>
    </w:p>
    <w:p>
      <w:pPr>
        <w:ind w:left="2000" w:right="899" w:hanging="354"/>
        <w:spacing w:after="0" w:line="263"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739" w:hanging="354"/>
        <w:spacing w:after="0" w:line="263" w:lineRule="auto"/>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do not expect to participate in broadly marketed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but rather will aim to leverage our extensive network to source our business combination.</w:t>
      </w:r>
    </w:p>
    <w:p>
      <w:pPr>
        <w:spacing w:after="0" w:line="75" w:lineRule="exact"/>
        <w:rPr>
          <w:rFonts w:ascii="Arial" w:cs="Arial" w:eastAsia="Arial" w:hAnsi="Arial"/>
          <w:sz w:val="18"/>
          <w:szCs w:val="18"/>
          <w:color w:val="auto"/>
        </w:rPr>
      </w:pPr>
    </w:p>
    <w:p>
      <w:pPr>
        <w:ind w:left="2000" w:right="799" w:hanging="354"/>
        <w:spacing w:after="0" w:line="257" w:lineRule="auto"/>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Committed and Capable Management Team. </w:t>
      </w:r>
      <w:r>
        <w:rPr>
          <w:rFonts w:ascii="Arial" w:cs="Arial" w:eastAsia="Arial" w:hAnsi="Arial"/>
          <w:sz w:val="18"/>
          <w:szCs w:val="18"/>
          <w:color w:val="auto"/>
        </w:rPr>
        <w:t>We will seek to acquire a business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management team whose interests are aligned with those of our investors and complement the expertise of our founder. Where necessary, we may also look to complement and enhance the capabilities of the target business’s management team by recruiting additional talent through our network of contacts.</w:t>
      </w:r>
    </w:p>
    <w:p>
      <w:pPr>
        <w:spacing w:after="0" w:line="79" w:lineRule="exact"/>
        <w:rPr>
          <w:rFonts w:ascii="Arial" w:cs="Arial" w:eastAsia="Arial" w:hAnsi="Arial"/>
          <w:sz w:val="18"/>
          <w:szCs w:val="18"/>
          <w:color w:val="auto"/>
        </w:rPr>
      </w:pPr>
    </w:p>
    <w:p>
      <w:pPr>
        <w:ind w:left="2000" w:right="1059" w:hanging="354"/>
        <w:spacing w:after="0" w:line="308" w:lineRule="auto"/>
        <w:tabs>
          <w:tab w:leader="none" w:pos="20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Has the Potential to Grow Through Further Acquisition Opportunities. </w:t>
      </w:r>
      <w:r>
        <w:rPr>
          <w:rFonts w:ascii="Arial" w:cs="Arial" w:eastAsia="Arial" w:hAnsi="Arial"/>
          <w:sz w:val="17"/>
          <w:szCs w:val="17"/>
          <w:color w:val="auto"/>
        </w:rPr>
        <w:t>We will seek to acquire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that has the potential to grow inorganically through additional acquisitions.</w:t>
      </w:r>
    </w:p>
    <w:p>
      <w:pPr>
        <w:spacing w:after="0" w:line="38" w:lineRule="exact"/>
        <w:rPr>
          <w:sz w:val="20"/>
          <w:szCs w:val="20"/>
          <w:color w:val="auto"/>
        </w:rPr>
      </w:pPr>
    </w:p>
    <w:p>
      <w:pPr>
        <w:ind w:left="1280" w:right="799" w:firstLine="360"/>
        <w:spacing w:after="0" w:line="254"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on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tender offer documents or proxy solicitation materials that we would file with the SEC.</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Acquisition Process</w:t>
      </w:r>
    </w:p>
    <w:p>
      <w:pPr>
        <w:spacing w:after="0" w:line="108" w:lineRule="exact"/>
        <w:rPr>
          <w:sz w:val="20"/>
          <w:szCs w:val="20"/>
          <w:color w:val="auto"/>
        </w:rPr>
      </w:pPr>
    </w:p>
    <w:p>
      <w:pPr>
        <w:ind w:left="1280" w:right="1099" w:firstLine="360"/>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79"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founder, officers or directors. In the event we seek to complete our initial business combination with a business that is affiliated with our sponsor, founder, officers or directors, we, or a committee of independent and disinterested directors, will obtain an opinion from an independent investment banking firm that is a member of the Financial Industry Regulatory Authority, or FINRA, or from an independent accounting firm, that such an initial business combination is fair to our company from a financial point of view.</w:t>
      </w:r>
    </w:p>
    <w:p>
      <w:pPr>
        <w:spacing w:after="0" w:line="87" w:lineRule="exact"/>
        <w:rPr>
          <w:sz w:val="20"/>
          <w:szCs w:val="20"/>
          <w:color w:val="auto"/>
        </w:rPr>
      </w:pPr>
    </w:p>
    <w:p>
      <w:pPr>
        <w:ind w:left="1280" w:right="659" w:firstLine="360"/>
        <w:spacing w:after="0" w:line="255" w:lineRule="auto"/>
        <w:rPr>
          <w:sz w:val="20"/>
          <w:szCs w:val="20"/>
          <w:color w:val="auto"/>
        </w:rPr>
      </w:pPr>
      <w:r>
        <w:rPr>
          <w:rFonts w:ascii="Arial" w:cs="Arial" w:eastAsia="Arial" w:hAnsi="Arial"/>
          <w:sz w:val="18"/>
          <w:szCs w:val="18"/>
          <w:color w:val="auto"/>
        </w:rPr>
        <w:t>Members of our management team may directly or indirectly own our securities following this offering, and accordingly, they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84" w:lineRule="exact"/>
        <w:rPr>
          <w:sz w:val="20"/>
          <w:szCs w:val="20"/>
          <w:color w:val="auto"/>
        </w:rPr>
      </w:pPr>
    </w:p>
    <w:p>
      <w:pPr>
        <w:jc w:val="both"/>
        <w:ind w:left="1280" w:right="659" w:firstLine="360"/>
        <w:spacing w:after="0" w:line="259" w:lineRule="auto"/>
        <w:rPr>
          <w:sz w:val="20"/>
          <w:szCs w:val="20"/>
          <w:color w:val="auto"/>
        </w:rPr>
      </w:pPr>
      <w:r>
        <w:rPr>
          <w:rFonts w:ascii="Arial" w:cs="Arial" w:eastAsia="Arial" w:hAnsi="Arial"/>
          <w:sz w:val="18"/>
          <w:szCs w:val="18"/>
          <w:color w:val="auto"/>
        </w:rPr>
        <w:t>Our sponsor and its principals may from time to time become aware of potential business opportunities, one or more of which we may desire to pursue, for a business combination, but we have not (nor has anyone on our behalf) engaged in any substantive discussions, directly or indirectly, with any business combination target with respect to a business combination transaction with us.</w:t>
      </w:r>
    </w:p>
    <w:p>
      <w:pPr>
        <w:spacing w:after="0" w:line="79" w:lineRule="exact"/>
        <w:rPr>
          <w:sz w:val="20"/>
          <w:szCs w:val="20"/>
          <w:color w:val="auto"/>
        </w:rPr>
      </w:pPr>
    </w:p>
    <w:p>
      <w:pPr>
        <w:ind w:left="1280" w:right="739" w:firstLine="360"/>
        <w:spacing w:after="0" w:line="269" w:lineRule="auto"/>
        <w:rPr>
          <w:sz w:val="20"/>
          <w:szCs w:val="20"/>
          <w:color w:val="auto"/>
        </w:rPr>
      </w:pPr>
      <w:r>
        <w:rPr>
          <w:rFonts w:ascii="Arial" w:cs="Arial" w:eastAsia="Arial" w:hAnsi="Arial"/>
          <w:sz w:val="17"/>
          <w:szCs w:val="17"/>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 Accordingly, if any of our officers or directors becomes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99"/>
        <w:spacing w:after="0" w:line="259" w:lineRule="auto"/>
        <w:rPr>
          <w:sz w:val="20"/>
          <w:szCs w:val="20"/>
          <w:color w:val="auto"/>
        </w:rPr>
      </w:pPr>
      <w:r>
        <w:rPr>
          <w:rFonts w:ascii="Arial" w:cs="Arial" w:eastAsia="Arial" w:hAnsi="Arial"/>
          <w:sz w:val="18"/>
          <w:szCs w:val="18"/>
          <w:color w:val="auto"/>
        </w:rPr>
        <w:t>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79" w:lineRule="exact"/>
        <w:rPr>
          <w:sz w:val="20"/>
          <w:szCs w:val="20"/>
          <w:color w:val="auto"/>
        </w:rPr>
      </w:pPr>
    </w:p>
    <w:p>
      <w:pPr>
        <w:ind w:left="1280" w:right="1159" w:firstLine="360"/>
        <w:spacing w:after="0" w:line="274" w:lineRule="auto"/>
        <w:rPr>
          <w:sz w:val="20"/>
          <w:szCs w:val="20"/>
          <w:color w:val="auto"/>
        </w:rPr>
      </w:pPr>
      <w:r>
        <w:rPr>
          <w:rFonts w:ascii="Arial" w:cs="Arial" w:eastAsia="Arial" w:hAnsi="Arial"/>
          <w:sz w:val="17"/>
          <w:szCs w:val="17"/>
          <w:color w:val="auto"/>
        </w:rPr>
        <w:t>In addition, none of the Strategic Partners or Operating Partners or their personnel (other than Mr. August) are officers or directors of our company and therefore owe us no fiduciary duties as such.</w:t>
      </w:r>
    </w:p>
    <w:p>
      <w:pPr>
        <w:ind w:left="1280" w:right="699"/>
        <w:spacing w:after="0" w:line="251" w:lineRule="auto"/>
        <w:rPr>
          <w:sz w:val="20"/>
          <w:szCs w:val="20"/>
          <w:color w:val="auto"/>
        </w:rPr>
      </w:pPr>
      <w:r>
        <w:rPr>
          <w:rFonts w:ascii="Arial" w:cs="Arial" w:eastAsia="Arial" w:hAnsi="Arial"/>
          <w:sz w:val="18"/>
          <w:szCs w:val="18"/>
          <w:color w:val="auto"/>
        </w:rPr>
        <w:t>Mr. August’s fiduciary duties to us are limited to his service as one of our directors, and the Company is not a client of OHA. While we expect that they will assist us in identifying business combination targets, they have no obligation to do so and may devote a substantial portion of their business time to activities unrelated to us. Our Strategic and Operating Partner may have fiduciary, contractual or other obligations or duties to other organizations to present business combination opportunities to such other organizations rather than to us. Accordingly, if any Strategic or Operating Partner becomes aware of a business combination opportunity which is suitable for one or more entities to which he, she or it has fiduciary, contractual or other obligations or duties, he, she or it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88" w:lineRule="exact"/>
        <w:rPr>
          <w:sz w:val="20"/>
          <w:szCs w:val="20"/>
          <w:color w:val="auto"/>
        </w:rPr>
      </w:pPr>
    </w:p>
    <w:p>
      <w:pPr>
        <w:ind w:left="1280" w:right="679" w:firstLine="360"/>
        <w:spacing w:after="0" w:line="252" w:lineRule="auto"/>
        <w:rPr>
          <w:sz w:val="20"/>
          <w:szCs w:val="20"/>
          <w:color w:val="auto"/>
        </w:rPr>
      </w:pPr>
      <w:r>
        <w:rPr>
          <w:rFonts w:ascii="Arial" w:cs="Arial" w:eastAsia="Arial" w:hAnsi="Arial"/>
          <w:sz w:val="18"/>
          <w:szCs w:val="18"/>
          <w:color w:val="auto"/>
        </w:rPr>
        <w:t>While neither M. Klein and Company nor any of our Strategic and Operating Partners will have any duty to offer acquisition opportunities to us, they may become aware of a potential transaction that is an attractive opportunity for us, which they may decide to share with us. Conflicts may arise from their affiliation with our company, their provision of services both to us and to third-party clients, as well as from actions undertaken by them for their own account. In performing services for other clients and also when acting for their own account, they may take commercial steps which may have an adverse effect on us. Any of M. Klein and Company’s or our Strategic and Operating Partners’ other activities may, individually or in the aggregate, have an adverse effect on us, and the interests of M. Klein and Company and our Strategic and Operating Partners or their respective clients or counterparties may at times be averse to ours. Please see “Proposed Business — Certain Potential Conflicts of Interest Relating to M. Klein and Company” for additional information regarding certain potential conflicts of interest relating to M. Klein and Company and our Strategic and Operating Partners.</w:t>
      </w:r>
    </w:p>
    <w:p>
      <w:pPr>
        <w:spacing w:after="0" w:line="92" w:lineRule="exact"/>
        <w:rPr>
          <w:sz w:val="20"/>
          <w:szCs w:val="20"/>
          <w:color w:val="auto"/>
        </w:rPr>
      </w:pPr>
    </w:p>
    <w:p>
      <w:pPr>
        <w:ind w:left="1280" w:right="679" w:firstLine="360"/>
        <w:spacing w:after="0" w:line="259" w:lineRule="auto"/>
        <w:rPr>
          <w:sz w:val="20"/>
          <w:szCs w:val="20"/>
          <w:color w:val="auto"/>
        </w:rPr>
      </w:pPr>
      <w:r>
        <w:rPr>
          <w:rFonts w:ascii="Arial" w:cs="Arial" w:eastAsia="Arial" w:hAnsi="Arial"/>
          <w:sz w:val="18"/>
          <w:szCs w:val="18"/>
          <w:color w:val="auto"/>
        </w:rPr>
        <w:t>We do not believe, however, that the fiduciary, contractual or other obligations or duties of our officers or directors, or of M. Klein and Company and our Strategic and Operating Partners, or policies applicable to M. Klein and Company or any of our Strategic and Operating, will materially affect our ability to complete our initial business combination.</w:t>
      </w:r>
    </w:p>
    <w:p>
      <w:pPr>
        <w:spacing w:after="0" w:line="79" w:lineRule="exact"/>
        <w:rPr>
          <w:sz w:val="20"/>
          <w:szCs w:val="20"/>
          <w:color w:val="auto"/>
        </w:rPr>
      </w:pPr>
    </w:p>
    <w:p>
      <w:pPr>
        <w:ind w:left="1280" w:right="679" w:firstLine="360"/>
        <w:spacing w:after="0" w:line="268" w:lineRule="auto"/>
        <w:rPr>
          <w:sz w:val="20"/>
          <w:szCs w:val="20"/>
          <w:color w:val="auto"/>
        </w:rPr>
      </w:pPr>
      <w:r>
        <w:rPr>
          <w:rFonts w:ascii="Arial" w:cs="Arial" w:eastAsia="Arial" w:hAnsi="Arial"/>
          <w:sz w:val="17"/>
          <w:szCs w:val="17"/>
          <w:color w:val="auto"/>
        </w:rPr>
        <w:t>Our sponsor, officers, directors, M. Klein and Company and our Strategic and Operating Partners may participate in the formation of, or become an officer or director of, any other blank check company prior to completion of our initial business combination. As a result, our sponsor, officers, directors, M. Klein and Company and our Strategic and Operating Partners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Initial Business Combination</w:t>
      </w:r>
    </w:p>
    <w:p>
      <w:pPr>
        <w:spacing w:after="0" w:line="108" w:lineRule="exact"/>
        <w:rPr>
          <w:sz w:val="20"/>
          <w:szCs w:val="20"/>
          <w:color w:val="auto"/>
        </w:rPr>
      </w:pPr>
    </w:p>
    <w:p>
      <w:pPr>
        <w:ind w:left="1280" w:right="759" w:firstLine="360"/>
        <w:spacing w:after="0" w:line="311" w:lineRule="auto"/>
        <w:rPr>
          <w:sz w:val="20"/>
          <w:szCs w:val="20"/>
          <w:color w:val="auto"/>
        </w:rPr>
      </w:pPr>
      <w:r>
        <w:rPr>
          <w:rFonts w:ascii="Arial" w:cs="Arial" w:eastAsia="Arial" w:hAnsi="Arial"/>
          <w:sz w:val="16"/>
          <w:szCs w:val="16"/>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99"/>
        <w:spacing w:after="0" w:line="255" w:lineRule="auto"/>
        <w:rPr>
          <w:sz w:val="20"/>
          <w:szCs w:val="20"/>
          <w:color w:val="auto"/>
        </w:rPr>
      </w:pPr>
      <w:r>
        <w:rPr>
          <w:rFonts w:ascii="Arial" w:cs="Arial" w:eastAsia="Arial" w:hAnsi="Arial"/>
          <w:sz w:val="18"/>
          <w:szCs w:val="18"/>
          <w:color w:val="auto"/>
        </w:rPr>
        <w:t>amount of any deferred underwriting discount).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84" w:lineRule="exact"/>
        <w:rPr>
          <w:sz w:val="20"/>
          <w:szCs w:val="20"/>
          <w:color w:val="auto"/>
        </w:rPr>
      </w:pPr>
    </w:p>
    <w:p>
      <w:pPr>
        <w:ind w:left="1280" w:right="659" w:firstLine="360"/>
        <w:spacing w:after="0" w:line="267"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of the target businesses.</w:t>
      </w:r>
    </w:p>
    <w:p>
      <w:pPr>
        <w:spacing w:after="0" w:line="77" w:lineRule="exact"/>
        <w:rPr>
          <w:sz w:val="20"/>
          <w:szCs w:val="20"/>
          <w:color w:val="auto"/>
        </w:rPr>
      </w:pPr>
    </w:p>
    <w:p>
      <w:pPr>
        <w:ind w:left="1280" w:right="759" w:firstLine="360"/>
        <w:spacing w:after="0" w:line="259" w:lineRule="auto"/>
        <w:rPr>
          <w:sz w:val="20"/>
          <w:szCs w:val="20"/>
          <w:color w:val="auto"/>
        </w:rPr>
      </w:pPr>
      <w:r>
        <w:rPr>
          <w:rFonts w:ascii="Arial" w:cs="Arial" w:eastAsia="Arial" w:hAnsi="Arial"/>
          <w:sz w:val="18"/>
          <w:szCs w:val="18"/>
          <w:color w:val="auto"/>
        </w:rPr>
        <w:t>Our amended and restated certificate of incorporation will require the affirmative vote of a majority of our board of directors, which must include a majority of our independent directors, to approve our initial business combination (or such other vote as the applicable law or stock exchange rules then in effect may require).</w:t>
      </w:r>
    </w:p>
    <w:p>
      <w:pPr>
        <w:spacing w:after="0" w:line="79" w:lineRule="exact"/>
        <w:rPr>
          <w:sz w:val="20"/>
          <w:szCs w:val="20"/>
          <w:color w:val="auto"/>
        </w:rPr>
      </w:pPr>
    </w:p>
    <w:p>
      <w:pPr>
        <w:ind w:left="1280" w:right="719" w:firstLine="360"/>
        <w:spacing w:after="0" w:line="285"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the consummation of this offering. Subject to compliance with applicable securities laws, we would only complete such financing simultaneously with the completion of</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59"/>
        <w:spacing w:after="0" w:line="259" w:lineRule="auto"/>
        <w:rPr>
          <w:sz w:val="20"/>
          <w:szCs w:val="20"/>
          <w:color w:val="auto"/>
        </w:rPr>
      </w:pPr>
      <w:r>
        <w:rPr>
          <w:rFonts w:ascii="Arial" w:cs="Arial" w:eastAsia="Arial" w:hAnsi="Arial"/>
          <w:sz w:val="18"/>
          <w:szCs w:val="18"/>
          <w:color w:val="auto"/>
        </w:rPr>
        <w:t>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79" w:lineRule="exact"/>
        <w:rPr>
          <w:sz w:val="20"/>
          <w:szCs w:val="20"/>
          <w:color w:val="auto"/>
        </w:rPr>
      </w:pPr>
    </w:p>
    <w:p>
      <w:pPr>
        <w:ind w:left="1280" w:right="859" w:firstLine="360"/>
        <w:spacing w:after="0" w:line="25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80" w:right="739" w:firstLine="360"/>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84" w:lineRule="exact"/>
        <w:rPr>
          <w:sz w:val="20"/>
          <w:szCs w:val="20"/>
          <w:color w:val="auto"/>
        </w:rPr>
      </w:pPr>
    </w:p>
    <w:p>
      <w:pPr>
        <w:ind w:left="1280" w:right="85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80" w:right="659" w:firstLine="6"/>
        <w:spacing w:after="0" w:line="265" w:lineRule="auto"/>
        <w:tabs>
          <w:tab w:leader="none" w:pos="1539"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80" w:right="1019"/>
        <w:spacing w:after="0" w:line="260" w:lineRule="auto"/>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 References herein to “emerging growth company” shall have the meaning associated with it in the JOBS Act.</w:t>
      </w:r>
    </w:p>
    <w:p>
      <w:pPr>
        <w:spacing w:after="0" w:line="40" w:lineRule="exact"/>
        <w:rPr>
          <w:sz w:val="20"/>
          <w:szCs w:val="20"/>
          <w:color w:val="auto"/>
        </w:rPr>
      </w:pPr>
    </w:p>
    <w:p>
      <w:pPr>
        <w:ind w:left="1280" w:right="839" w:firstLine="360"/>
        <w:spacing w:after="0" w:line="260" w:lineRule="auto"/>
        <w:rPr>
          <w:sz w:val="20"/>
          <w:szCs w:val="20"/>
          <w:color w:val="auto"/>
        </w:rPr>
      </w:pPr>
      <w:r>
        <w:rPr>
          <w:rFonts w:ascii="Arial" w:cs="Arial" w:eastAsia="Arial" w:hAnsi="Arial"/>
          <w:sz w:val="17"/>
          <w:szCs w:val="17"/>
          <w:color w:val="auto"/>
        </w:rPr>
        <w:t>Our executive offices are located at 640 Fifth Avenue, 12</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NY 10019 and our telephone number is (212) 380-7500. Upon completion of this offering, our corporate website address will be [•]. Our website and the information contained on, or that can be accessed through, the website is not deemed to be incorporated by reference in, and is not considered part of, this prospectus. You should not rely on any such information in making your decision whether to invest in our securities.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ind w:left="1280" w:right="779" w:firstLine="360"/>
        <w:spacing w:after="0" w:line="255" w:lineRule="auto"/>
        <w:rPr>
          <w:sz w:val="20"/>
          <w:szCs w:val="20"/>
          <w:color w:val="auto"/>
        </w:rPr>
      </w:pPr>
      <w:r>
        <w:rPr>
          <w:rFonts w:ascii="Arial" w:cs="Arial" w:eastAsia="Arial" w:hAnsi="Arial"/>
          <w:sz w:val="18"/>
          <w:szCs w:val="18"/>
          <w:i w:val="1"/>
          <w:iCs w:val="1"/>
          <w:color w:val="auto"/>
        </w:rPr>
        <w:t>In making your decision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pacing w:after="0" w:line="80"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7"/>
          <w:szCs w:val="17"/>
          <w:color w:val="auto"/>
        </w:rPr>
        <w:t>75,000,000 units (or 86,250,000 units if the underwriters’ option</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purchase additional units is exercised in full), at $10.00 per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unit, each unit consisting of:</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one share of Class A common stock; and</w:t>
      </w:r>
    </w:p>
    <w:p>
      <w:pPr>
        <w:spacing w:after="0" w:line="117"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one-fourth of one redeemable warrant to purchase one</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share of Class A common stock.</w:t>
      </w:r>
    </w:p>
    <w:p>
      <w:pPr>
        <w:sectPr>
          <w:pgSz w:w="11900" w:h="16838" w:orient="portrait"/>
          <w:cols w:equalWidth="0" w:num="1">
            <w:col w:w="10139"/>
          </w:cols>
          <w:pgMar w:left="320" w:top="132" w:right="1440" w:bottom="1440" w:gutter="0" w:footer="0" w:header="0"/>
          <w:type w:val="continuous"/>
        </w:sectPr>
      </w:pPr>
    </w:p>
    <w:p>
      <w:pPr>
        <w:spacing w:after="0" w:line="99" w:lineRule="exact"/>
        <w:rPr>
          <w:sz w:val="20"/>
          <w:szCs w:val="20"/>
          <w:color w:val="auto"/>
        </w:rPr>
      </w:pPr>
    </w:p>
    <w:p>
      <w:pPr>
        <w:jc w:val="center"/>
        <w:ind w:left="660"/>
        <w:spacing w:after="0"/>
        <w:rPr>
          <w:sz w:val="20"/>
          <w:szCs w:val="20"/>
          <w:color w:val="auto"/>
        </w:rPr>
      </w:pPr>
      <w:r>
        <w:rPr>
          <w:rFonts w:ascii="Arial" w:cs="Arial" w:eastAsia="Arial" w:hAnsi="Arial"/>
          <w:sz w:val="15"/>
          <w:szCs w:val="15"/>
          <w:b w:val="1"/>
          <w:bCs w:val="1"/>
          <w:color w:val="auto"/>
        </w:rPr>
        <w:t>Proposed NYSE symbols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60" w:right="40" w:hanging="179"/>
        <w:spacing w:after="0" w:line="314" w:lineRule="auto"/>
        <w:rPr>
          <w:sz w:val="20"/>
          <w:szCs w:val="20"/>
          <w:color w:val="auto"/>
        </w:rPr>
      </w:pPr>
      <w:r>
        <w:rPr>
          <w:rFonts w:ascii="Arial" w:cs="Arial" w:eastAsia="Arial" w:hAnsi="Arial"/>
          <w:sz w:val="16"/>
          <w:szCs w:val="16"/>
          <w:b w:val="1"/>
          <w:bCs w:val="1"/>
          <w:color w:val="auto"/>
        </w:rPr>
        <w:t>Trading commencement and separation of Class A common stock and warrants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Units: “CCIV.U”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“CCIV”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Warrants: “CCIV WS”</w:t>
      </w:r>
    </w:p>
    <w:p>
      <w:pPr>
        <w:spacing w:after="0" w:line="200" w:lineRule="exact"/>
        <w:rPr>
          <w:sz w:val="20"/>
          <w:szCs w:val="20"/>
          <w:color w:val="auto"/>
        </w:rPr>
      </w:pPr>
    </w:p>
    <w:p>
      <w:pPr>
        <w:spacing w:after="0" w:line="349" w:lineRule="exact"/>
        <w:rPr>
          <w:sz w:val="20"/>
          <w:szCs w:val="20"/>
          <w:color w:val="auto"/>
        </w:rPr>
      </w:pPr>
    </w:p>
    <w:p>
      <w:pPr>
        <w:ind w:right="699"/>
        <w:spacing w:after="0" w:line="256" w:lineRule="auto"/>
        <w:rPr>
          <w:sz w:val="20"/>
          <w:szCs w:val="20"/>
          <w:color w:val="auto"/>
        </w:rPr>
      </w:pPr>
      <w:r>
        <w:rPr>
          <w:rFonts w:ascii="Arial" w:cs="Arial" w:eastAsia="Arial" w:hAnsi="Arial"/>
          <w:sz w:val="17"/>
          <w:szCs w:val="17"/>
          <w:color w:val="auto"/>
        </w:rPr>
        <w:t>The units are expected to begin trading promptly after the date of this prospectus. The Class A common stock and warrants constituting the units will begin separate trading on the 52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day following the date of this prospectus unless Citigroup Global Markets Inc.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w:t>
      </w:r>
    </w:p>
    <w:p>
      <w:pPr>
        <w:spacing w:after="0" w:line="5" w:lineRule="exact"/>
        <w:rPr>
          <w:sz w:val="20"/>
          <w:szCs w:val="20"/>
          <w:color w:val="auto"/>
        </w:rPr>
      </w:pPr>
    </w:p>
    <w:p>
      <w:pPr>
        <w:ind w:right="719"/>
        <w:spacing w:after="0" w:line="252" w:lineRule="auto"/>
        <w:rPr>
          <w:sz w:val="20"/>
          <w:szCs w:val="20"/>
          <w:color w:val="auto"/>
        </w:rPr>
      </w:pPr>
      <w:r>
        <w:rPr>
          <w:rFonts w:ascii="Arial" w:cs="Arial" w:eastAsia="Arial" w:hAnsi="Arial"/>
          <w:sz w:val="18"/>
          <w:szCs w:val="18"/>
          <w:color w:val="auto"/>
        </w:rPr>
        <w:t>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 Accordingly, unless you purchase at least four units, you will not be able to receive or trade a whole warrant.</w:t>
      </w:r>
    </w:p>
    <w:p>
      <w:pPr>
        <w:spacing w:after="0" w:line="84" w:lineRule="exact"/>
        <w:rPr>
          <w:sz w:val="20"/>
          <w:szCs w:val="20"/>
          <w:color w:val="auto"/>
        </w:rPr>
      </w:pPr>
    </w:p>
    <w:p>
      <w:pPr>
        <w:ind w:right="659"/>
        <w:spacing w:after="0" w:line="253"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of our company reflecting our receipt of the gross proceeds at the closing of this offering. We will file the Current Report on Form 8-K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200" w:lineRule="exact"/>
        <w:rPr>
          <w:sz w:val="20"/>
          <w:szCs w:val="20"/>
          <w:color w:val="auto"/>
        </w:rPr>
      </w:pPr>
    </w:p>
    <w:p>
      <w:pPr>
        <w:sectPr>
          <w:pgSz w:w="11900" w:h="16838" w:orient="portrait"/>
          <w:cols w:equalWidth="0" w:num="2">
            <w:col w:w="3740" w:space="720"/>
            <w:col w:w="567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Units:</w:t>
      </w:r>
    </w:p>
    <w:p>
      <w:pPr>
        <w:spacing w:after="0" w:line="117" w:lineRule="exact"/>
        <w:rPr>
          <w:sz w:val="20"/>
          <w:szCs w:val="20"/>
          <w:color w:val="auto"/>
        </w:rPr>
      </w:pPr>
    </w:p>
    <w:p>
      <w:pPr>
        <w:ind w:left="1820" w:right="20" w:hanging="179"/>
        <w:spacing w:after="0" w:line="266" w:lineRule="auto"/>
        <w:rPr>
          <w:sz w:val="20"/>
          <w:szCs w:val="20"/>
          <w:color w:val="auto"/>
        </w:rPr>
      </w:pPr>
      <w:r>
        <w:rPr>
          <w:rFonts w:ascii="Arial" w:cs="Arial" w:eastAsia="Arial" w:hAnsi="Arial"/>
          <w:sz w:val="18"/>
          <w:szCs w:val="18"/>
          <w:b w:val="1"/>
          <w:bCs w:val="1"/>
          <w:color w:val="auto"/>
        </w:rPr>
        <w:t>Number outstanding before this offering:</w:t>
      </w:r>
    </w:p>
    <w:p>
      <w:pPr>
        <w:spacing w:after="0" w:line="54" w:lineRule="exact"/>
        <w:rPr>
          <w:sz w:val="20"/>
          <w:szCs w:val="20"/>
          <w:color w:val="auto"/>
        </w:rPr>
      </w:pPr>
    </w:p>
    <w:p>
      <w:pPr>
        <w:ind w:left="1820" w:right="140" w:hanging="179"/>
        <w:spacing w:after="0" w:line="282" w:lineRule="auto"/>
        <w:rPr>
          <w:sz w:val="20"/>
          <w:szCs w:val="20"/>
          <w:color w:val="auto"/>
        </w:rPr>
      </w:pPr>
      <w:r>
        <w:rPr>
          <w:rFonts w:ascii="Arial" w:cs="Arial" w:eastAsia="Arial" w:hAnsi="Arial"/>
          <w:sz w:val="18"/>
          <w:szCs w:val="18"/>
          <w:b w:val="1"/>
          <w:bCs w:val="1"/>
          <w:color w:val="auto"/>
        </w:rPr>
        <w:t>Number outstanding after this offering:</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ind w:left="1820" w:right="2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67" w:lineRule="exact"/>
        <w:rPr>
          <w:sz w:val="20"/>
          <w:szCs w:val="20"/>
          <w:color w:val="auto"/>
        </w:rPr>
      </w:pPr>
    </w:p>
    <w:p>
      <w:pPr>
        <w:ind w:left="1820" w:right="140" w:hanging="179"/>
        <w:spacing w:after="0" w:line="282" w:lineRule="auto"/>
        <w:rPr>
          <w:sz w:val="20"/>
          <w:szCs w:val="20"/>
          <w:color w:val="auto"/>
        </w:rPr>
      </w:pPr>
      <w:r>
        <w:rPr>
          <w:rFonts w:ascii="Arial" w:cs="Arial" w:eastAsia="Arial" w:hAnsi="Arial"/>
          <w:sz w:val="18"/>
          <w:szCs w:val="18"/>
          <w:b w:val="1"/>
          <w:bCs w:val="1"/>
          <w:color w:val="auto"/>
        </w:rPr>
        <w:t>Number outstanding after this offering:</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Number of private placement</w:t>
      </w:r>
    </w:p>
    <w:p>
      <w:pPr>
        <w:spacing w:after="0" w:line="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warrants to be sold in the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Private Placement:</w:t>
      </w:r>
    </w:p>
    <w:p>
      <w:pPr>
        <w:spacing w:after="0" w:line="112" w:lineRule="exact"/>
        <w:rPr>
          <w:sz w:val="20"/>
          <w:szCs w:val="20"/>
          <w:color w:val="auto"/>
        </w:rPr>
      </w:pPr>
    </w:p>
    <w:p>
      <w:pPr>
        <w:ind w:left="1820" w:hanging="179"/>
        <w:spacing w:after="0" w:line="343" w:lineRule="auto"/>
        <w:rPr>
          <w:sz w:val="20"/>
          <w:szCs w:val="20"/>
          <w:color w:val="auto"/>
        </w:rPr>
      </w:pPr>
      <w:r>
        <w:rPr>
          <w:rFonts w:ascii="Arial" w:cs="Arial" w:eastAsia="Arial" w:hAnsi="Arial"/>
          <w:sz w:val="15"/>
          <w:szCs w:val="15"/>
          <w:b w:val="1"/>
          <w:bCs w:val="1"/>
          <w:color w:val="auto"/>
        </w:rPr>
        <w:t>Number of warrants to be outstanding after this offering and the Private Placement:</w:t>
      </w:r>
    </w:p>
    <w:p>
      <w:pPr>
        <w:spacing w:after="0" w:line="3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75,000,000</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21,562,500</w:t>
      </w:r>
      <w:r>
        <w:rPr>
          <w:rFonts w:ascii="Arial" w:cs="Arial" w:eastAsia="Arial" w:hAnsi="Arial"/>
          <w:sz w:val="26"/>
          <w:szCs w:val="26"/>
          <w:color w:val="auto"/>
          <w:vertAlign w:val="superscript"/>
        </w:rPr>
        <w:t>(2) (4)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93,750,000</w:t>
      </w:r>
      <w:r>
        <w:rPr>
          <w:rFonts w:ascii="Arial" w:cs="Arial" w:eastAsia="Arial" w:hAnsi="Arial"/>
          <w:sz w:val="26"/>
          <w:szCs w:val="26"/>
          <w:color w:val="auto"/>
          <w:vertAlign w:val="superscript"/>
        </w:rPr>
        <w:t>(1)(3)(4)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16,000,000</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34,750,000</w:t>
      </w:r>
      <w:r>
        <w:rPr>
          <w:rFonts w:ascii="Arial" w:cs="Arial" w:eastAsia="Arial" w:hAnsi="Arial"/>
          <w:sz w:val="26"/>
          <w:szCs w:val="26"/>
          <w:color w:val="auto"/>
          <w:vertAlign w:val="superscript"/>
        </w:rPr>
        <w:t>(1)</w:t>
      </w:r>
    </w:p>
    <w:p>
      <w:pPr>
        <w:spacing w:after="0" w:line="75" w:lineRule="exact"/>
        <w:rPr>
          <w:sz w:val="20"/>
          <w:szCs w:val="20"/>
          <w:color w:val="auto"/>
        </w:rPr>
      </w:pPr>
    </w:p>
    <w:p>
      <w:pPr>
        <w:ind w:right="719"/>
        <w:spacing w:after="0" w:line="257" w:lineRule="auto"/>
        <w:rPr>
          <w:sz w:val="20"/>
          <w:szCs w:val="20"/>
          <w:color w:val="auto"/>
        </w:rPr>
      </w:pPr>
      <w:r>
        <w:rPr>
          <w:rFonts w:ascii="Arial" w:cs="Arial" w:eastAsia="Arial" w:hAnsi="Arial"/>
          <w:sz w:val="18"/>
          <w:szCs w:val="18"/>
          <w:color w:val="auto"/>
        </w:rPr>
        <w:t>Each whole warrant offered in this offering is exercisable to purchase one share of our Class A common stock, subject to adjustment as provided herein, and only whole warrants are exercisable. No fractional warrants will be issued upon separation of the units and only whole warrants will trade.</w:t>
      </w:r>
    </w:p>
    <w:p>
      <w:pPr>
        <w:spacing w:after="0" w:line="80" w:lineRule="exact"/>
        <w:rPr>
          <w:sz w:val="20"/>
          <w:szCs w:val="20"/>
          <w:color w:val="auto"/>
        </w:rPr>
      </w:pPr>
    </w:p>
    <w:p>
      <w:pPr>
        <w:ind w:right="679"/>
        <w:spacing w:after="0" w:line="270" w:lineRule="auto"/>
        <w:rPr>
          <w:sz w:val="20"/>
          <w:szCs w:val="20"/>
          <w:color w:val="auto"/>
        </w:rPr>
      </w:pPr>
      <w:r>
        <w:rPr>
          <w:rFonts w:ascii="Arial" w:cs="Arial" w:eastAsia="Arial" w:hAnsi="Arial"/>
          <w:sz w:val="17"/>
          <w:szCs w:val="17"/>
          <w:color w:val="auto"/>
        </w:rPr>
        <w:t>We structured each unit to contain one-fourth of one warrant, with each whole warrant exercisable for one share of Class A common stock, as compared to units issued by some other similar blank check companies which contain whole warrants exercisable for one whole share, in order to reduce the dilutive effect of the warrants upon completion of our initial business combination as compared to units that each contain a warrant to purchase one whole share, thus making us, we believe, a more attractive business combination partner for target businesses.</w:t>
      </w:r>
    </w:p>
    <w:p>
      <w:pPr>
        <w:spacing w:after="0" w:line="73" w:lineRule="exact"/>
        <w:rPr>
          <w:sz w:val="20"/>
          <w:szCs w:val="20"/>
          <w:color w:val="auto"/>
        </w:rPr>
      </w:pPr>
    </w:p>
    <w:p>
      <w:pPr>
        <w:ind w:right="759"/>
        <w:spacing w:after="0" w:line="277" w:lineRule="auto"/>
        <w:rPr>
          <w:sz w:val="20"/>
          <w:szCs w:val="20"/>
          <w:color w:val="auto"/>
        </w:rPr>
      </w:pPr>
      <w:r>
        <w:rPr>
          <w:rFonts w:ascii="Arial" w:cs="Arial" w:eastAsia="Arial" w:hAnsi="Arial"/>
          <w:sz w:val="18"/>
          <w:szCs w:val="18"/>
          <w:color w:val="auto"/>
        </w:rPr>
        <w:t>$11.50 per share of Class A common stock, subject to adjustment as described herein.</w:t>
      </w:r>
    </w:p>
    <w:p>
      <w:pPr>
        <w:spacing w:after="0" w:line="200" w:lineRule="exact"/>
        <w:rPr>
          <w:sz w:val="20"/>
          <w:szCs w:val="20"/>
          <w:color w:val="auto"/>
        </w:rPr>
      </w:pPr>
    </w:p>
    <w:p>
      <w:pPr>
        <w:sectPr>
          <w:pgSz w:w="11900" w:h="16838" w:orient="portrait"/>
          <w:cols w:equalWidth="0" w:num="2">
            <w:col w:w="4020" w:space="440"/>
            <w:col w:w="5679"/>
          </w:cols>
          <w:pgMar w:left="320" w:top="132" w:right="1440" w:bottom="1440" w:gutter="0" w:footer="0" w:header="0"/>
          <w:type w:val="continuous"/>
        </w:sectPr>
      </w:pPr>
    </w:p>
    <w:p>
      <w:pPr>
        <w:spacing w:after="0" w:line="146" w:lineRule="exact"/>
        <w:rPr>
          <w:sz w:val="20"/>
          <w:szCs w:val="20"/>
          <w:color w:val="auto"/>
        </w:rPr>
      </w:pPr>
    </w:p>
    <w:p>
      <w:pPr>
        <w:ind w:left="1640" w:right="819" w:hanging="354"/>
        <w:spacing w:after="0" w:line="277" w:lineRule="auto"/>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units and the forfeiture by our sponsor of 2,812,500 founder shares.</w:t>
      </w:r>
    </w:p>
    <w:p>
      <w:pPr>
        <w:spacing w:after="0" w:line="62" w:lineRule="exact"/>
        <w:rPr>
          <w:rFonts w:ascii="Arial" w:cs="Arial" w:eastAsia="Arial" w:hAnsi="Arial"/>
          <w:sz w:val="18"/>
          <w:szCs w:val="18"/>
          <w:color w:val="auto"/>
        </w:rPr>
      </w:pPr>
    </w:p>
    <w:p>
      <w:pPr>
        <w:jc w:val="both"/>
        <w:ind w:left="1640" w:right="859" w:hanging="354"/>
        <w:spacing w:after="0" w:line="263" w:lineRule="auto"/>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solely of founder shares and includes up to 2,812,500 shares that are subject to forfeiture by our sponsor depending on the extent to which the underwriters’ option to purchase additional units is exercised.</w:t>
      </w:r>
    </w:p>
    <w:p>
      <w:pPr>
        <w:spacing w:after="0" w:line="75" w:lineRule="exact"/>
        <w:rPr>
          <w:rFonts w:ascii="Arial" w:cs="Arial" w:eastAsia="Arial" w:hAnsi="Arial"/>
          <w:sz w:val="18"/>
          <w:szCs w:val="18"/>
          <w:color w:val="auto"/>
        </w:rPr>
      </w:pPr>
    </w:p>
    <w:p>
      <w:pPr>
        <w:ind w:left="1640" w:hanging="354"/>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75,000,000 public shares and 18,750,000 founder shares.</w:t>
      </w:r>
    </w:p>
    <w:p>
      <w:pPr>
        <w:spacing w:after="0" w:line="117" w:lineRule="exact"/>
        <w:rPr>
          <w:rFonts w:ascii="Arial" w:cs="Arial" w:eastAsia="Arial" w:hAnsi="Arial"/>
          <w:sz w:val="18"/>
          <w:szCs w:val="18"/>
          <w:color w:val="auto"/>
        </w:rPr>
      </w:pPr>
    </w:p>
    <w:p>
      <w:pPr>
        <w:ind w:left="1640" w:right="819" w:hanging="354"/>
        <w:spacing w:after="0" w:line="259" w:lineRule="auto"/>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Founder shares are classified as shares of Class B common stock, which shares will automatically convert into shares of Class A common stock at the time of our initial business combination on a one-for-one basis, subject to adjustment as described below adjacent to the caption “Founder shares conversion and anti-dilution rights.”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2500" w:type="dxa"/>
            <w:vAlign w:val="bottom"/>
          </w:tcPr>
          <w:p>
            <w:pPr>
              <w:spacing w:after="0"/>
              <w:rPr>
                <w:sz w:val="20"/>
                <w:szCs w:val="20"/>
                <w:color w:val="auto"/>
              </w:rPr>
            </w:pPr>
            <w:r>
              <w:rPr>
                <w:rFonts w:ascii="Arial" w:cs="Arial" w:eastAsia="Arial" w:hAnsi="Arial"/>
                <w:sz w:val="18"/>
                <w:szCs w:val="18"/>
                <w:b w:val="1"/>
                <w:bCs w:val="1"/>
                <w:color w:val="auto"/>
              </w:rPr>
              <w:t>Exercise period</w:t>
            </w: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warrants will become exercisable on the warrant exercise</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date, which is the later of:</w:t>
            </w:r>
          </w:p>
        </w:tc>
      </w:tr>
      <w:tr>
        <w:trPr>
          <w:trHeight w:val="310"/>
        </w:trPr>
        <w:tc>
          <w:tcPr>
            <w:tcW w:w="25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rPr>
              <w:t>•</w:t>
            </w:r>
          </w:p>
        </w:tc>
        <w:tc>
          <w:tcPr>
            <w:tcW w:w="4460" w:type="dxa"/>
            <w:vAlign w:val="bottom"/>
          </w:tcPr>
          <w:p>
            <w:pPr>
              <w:ind w:left="160"/>
              <w:spacing w:after="0"/>
              <w:rPr>
                <w:sz w:val="20"/>
                <w:szCs w:val="20"/>
                <w:color w:val="auto"/>
              </w:rPr>
            </w:pPr>
            <w:r>
              <w:rPr>
                <w:rFonts w:ascii="Arial" w:cs="Arial" w:eastAsia="Arial" w:hAnsi="Arial"/>
                <w:sz w:val="18"/>
                <w:szCs w:val="18"/>
                <w:color w:val="auto"/>
              </w:rPr>
              <w:t>30 days after the completion of our initial business</w:t>
            </w:r>
          </w:p>
        </w:tc>
      </w:tr>
      <w:tr>
        <w:trPr>
          <w:trHeight w:val="230"/>
        </w:trPr>
        <w:tc>
          <w:tcPr>
            <w:tcW w:w="2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combination; and</w:t>
            </w:r>
          </w:p>
        </w:tc>
      </w:tr>
      <w:tr>
        <w:trPr>
          <w:trHeight w:val="324"/>
        </w:trPr>
        <w:tc>
          <w:tcPr>
            <w:tcW w:w="25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rPr>
              <w:t>•</w:t>
            </w:r>
          </w:p>
        </w:tc>
        <w:tc>
          <w:tcPr>
            <w:tcW w:w="4460" w:type="dxa"/>
            <w:vAlign w:val="bottom"/>
          </w:tcPr>
          <w:p>
            <w:pPr>
              <w:ind w:left="160"/>
              <w:spacing w:after="0"/>
              <w:rPr>
                <w:sz w:val="20"/>
                <w:szCs w:val="20"/>
                <w:color w:val="auto"/>
              </w:rPr>
            </w:pPr>
            <w:r>
              <w:rPr>
                <w:rFonts w:ascii="Arial" w:cs="Arial" w:eastAsia="Arial" w:hAnsi="Arial"/>
                <w:sz w:val="18"/>
                <w:szCs w:val="18"/>
                <w:color w:val="auto"/>
              </w:rPr>
              <w:t>12 months from the closing of this offering;</w:t>
            </w:r>
          </w:p>
        </w:tc>
      </w:tr>
      <w:tr>
        <w:trPr>
          <w:trHeight w:val="310"/>
        </w:trPr>
        <w:tc>
          <w:tcPr>
            <w:tcW w:w="2500" w:type="dxa"/>
            <w:vAlign w:val="bottom"/>
          </w:tcPr>
          <w:p>
            <w:pPr>
              <w:spacing w:after="0"/>
              <w:rPr>
                <w:sz w:val="24"/>
                <w:szCs w:val="24"/>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provided in each case that we have an effective registration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9"/>
              </w:rPr>
              <w:t>statement under the Securities Act covering the issuance of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8"/>
              </w:rPr>
              <w:t>shares of common stock issuable upon exercise of the warrants</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and a current prospectus relating to them is available (or we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3"/>
              </w:rPr>
              <w:t>permit holders to exercise their warrants on a cashless basis under</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circumstances specified in the warrant agreement).</w:t>
            </w:r>
          </w:p>
        </w:tc>
      </w:tr>
      <w:tr>
        <w:trPr>
          <w:trHeight w:val="310"/>
        </w:trPr>
        <w:tc>
          <w:tcPr>
            <w:tcW w:w="2500" w:type="dxa"/>
            <w:vAlign w:val="bottom"/>
          </w:tcPr>
          <w:p>
            <w:pPr>
              <w:spacing w:after="0"/>
              <w:rPr>
                <w:sz w:val="24"/>
                <w:szCs w:val="24"/>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We are not registering the shares of Class A common stock</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issuable upon exercise of the warrants at this time. However, we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have agreed that as soon as practicable, but in no event later than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15 business days after the closing of our initial business</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combination, we will use our reasonable best efforts to file with</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SEC, and within 60 business days following our initial</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business combination to have declared effective, a registration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statement covering the issuance of the shares of Class A common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stock issuable upon exercise of the warrants and to maintain a</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9"/>
              </w:rPr>
              <w:t>current prospectus relating to those shares of Class A common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stock until the warrants expire or are redeemed, as specified in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5"/>
              </w:rPr>
              <w:t>warrant agreement. If a registration statement covering the shares</w:t>
            </w:r>
          </w:p>
        </w:tc>
      </w:tr>
      <w:tr>
        <w:trPr>
          <w:trHeight w:val="179"/>
        </w:trPr>
        <w:tc>
          <w:tcPr>
            <w:tcW w:w="2500" w:type="dxa"/>
            <w:vAlign w:val="bottom"/>
          </w:tcPr>
          <w:p>
            <w:pPr>
              <w:spacing w:after="0"/>
              <w:rPr>
                <w:sz w:val="15"/>
                <w:szCs w:val="15"/>
                <w:color w:val="auto"/>
              </w:rPr>
            </w:pPr>
          </w:p>
        </w:tc>
        <w:tc>
          <w:tcPr>
            <w:tcW w:w="5700" w:type="dxa"/>
            <w:vAlign w:val="bottom"/>
            <w:gridSpan w:val="2"/>
          </w:tcPr>
          <w:p>
            <w:pPr>
              <w:ind w:left="680"/>
              <w:spacing w:after="0" w:line="179" w:lineRule="exact"/>
              <w:rPr>
                <w:sz w:val="20"/>
                <w:szCs w:val="20"/>
                <w:color w:val="auto"/>
              </w:rPr>
            </w:pPr>
            <w:r>
              <w:rPr>
                <w:rFonts w:ascii="Arial" w:cs="Arial" w:eastAsia="Arial" w:hAnsi="Arial"/>
                <w:sz w:val="18"/>
                <w:szCs w:val="18"/>
                <w:color w:val="auto"/>
                <w:w w:val="93"/>
              </w:rPr>
              <w:t>of Class A common stock issuable upon exercise of the warrants is</w:t>
            </w:r>
          </w:p>
        </w:tc>
      </w:tr>
      <w:tr>
        <w:trPr>
          <w:trHeight w:val="266"/>
        </w:trPr>
        <w:tc>
          <w:tcPr>
            <w:tcW w:w="2500" w:type="dxa"/>
            <w:vAlign w:val="bottom"/>
          </w:tcPr>
          <w:p>
            <w:pPr>
              <w:spacing w:after="0"/>
              <w:rPr>
                <w:sz w:val="23"/>
                <w:szCs w:val="23"/>
                <w:color w:val="auto"/>
              </w:rPr>
            </w:pPr>
          </w:p>
        </w:tc>
        <w:tc>
          <w:tcPr>
            <w:tcW w:w="5700" w:type="dxa"/>
            <w:vAlign w:val="bottom"/>
            <w:gridSpan w:val="2"/>
          </w:tcPr>
          <w:p>
            <w:pPr>
              <w:ind w:left="680"/>
              <w:spacing w:after="0" w:line="266" w:lineRule="exact"/>
              <w:rPr>
                <w:sz w:val="20"/>
                <w:szCs w:val="20"/>
                <w:color w:val="auto"/>
              </w:rPr>
            </w:pPr>
            <w:r>
              <w:rPr>
                <w:rFonts w:ascii="Arial" w:cs="Arial" w:eastAsia="Arial" w:hAnsi="Arial"/>
                <w:sz w:val="18"/>
                <w:szCs w:val="18"/>
                <w:color w:val="auto"/>
              </w:rPr>
              <w:t>not effective by the 60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business day after the closing of our</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initial business combination, warrant holders may, until such time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as there is an effective registration statement and during any</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period when we will have failed to maintain an effective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registration statement, exercise warrants on a “cashless basis” in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8"/>
              </w:rPr>
              <w:t>accordance with Section 3(a)(9) of the Securities Act or another</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exemption. Notwithstanding the above, if our Class A common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stock is at the time of any exercise of a warrant not listed on a</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national securities exchange such that it satisfies the definition of</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a “covered security” under Section 18(b)(1) of the Securities Act,</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we may, at our option, require holders of public warrants who</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exercise their warrants to do so on a “cashless basis” in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8"/>
              </w:rPr>
              <w:t>accordance with Section 3(a)(9) of the Securities Act and, in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event we so elect, we will not be required to file or maintain in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4"/>
              </w:rPr>
              <w:t>effect a registration statement, and in the event we do not so elect,</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we will use our best efforts to register or qualify the shares under</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applicable blue sky laws to the extent an exemption is not</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available. The warrants will expire at 5:00 p.m., New York City</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9"/>
              </w:rPr>
              <w:t>time on the warrant expiration date, which is five years after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completion of our initial business combination or earlier upon</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redemption or liquidation. On the exercise of any warrant,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6"/>
              </w:rPr>
              <w:t>warrant exercise price will be paid directly to us and not placed in</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trust account.</w:t>
            </w:r>
          </w:p>
        </w:tc>
      </w:tr>
      <w:tr>
        <w:trPr>
          <w:trHeight w:val="310"/>
        </w:trPr>
        <w:tc>
          <w:tcPr>
            <w:tcW w:w="2500" w:type="dxa"/>
            <w:vAlign w:val="bottom"/>
          </w:tcPr>
          <w:p>
            <w:pPr>
              <w:spacing w:after="0"/>
              <w:rPr>
                <w:sz w:val="20"/>
                <w:szCs w:val="20"/>
                <w:color w:val="auto"/>
              </w:rPr>
            </w:pPr>
            <w:r>
              <w:rPr>
                <w:rFonts w:ascii="Arial" w:cs="Arial" w:eastAsia="Arial" w:hAnsi="Arial"/>
                <w:sz w:val="18"/>
                <w:szCs w:val="18"/>
                <w:b w:val="1"/>
                <w:bCs w:val="1"/>
                <w:color w:val="auto"/>
              </w:rPr>
              <w:t>Redemption of warrants</w:t>
            </w: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Once the warrants become exercisable, we may redeem the</w:t>
            </w:r>
          </w:p>
        </w:tc>
      </w:tr>
      <w:tr>
        <w:trPr>
          <w:trHeight w:val="216"/>
        </w:trPr>
        <w:tc>
          <w:tcPr>
            <w:tcW w:w="2500" w:type="dxa"/>
            <w:vAlign w:val="bottom"/>
          </w:tcPr>
          <w:p>
            <w:pPr>
              <w:spacing w:after="0"/>
              <w:rPr>
                <w:sz w:val="18"/>
                <w:szCs w:val="18"/>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w w:val="97"/>
              </w:rPr>
              <w:t>outstanding warrants (except as described herein with respect to</w:t>
            </w:r>
          </w:p>
        </w:tc>
      </w:tr>
      <w:tr>
        <w:trPr>
          <w:trHeight w:val="230"/>
        </w:trPr>
        <w:tc>
          <w:tcPr>
            <w:tcW w:w="250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color w:val="auto"/>
              </w:rPr>
              <w:t>the private placement warrants):</w:t>
            </w:r>
          </w:p>
        </w:tc>
      </w:tr>
      <w:tr>
        <w:trPr>
          <w:trHeight w:val="324"/>
        </w:trPr>
        <w:tc>
          <w:tcPr>
            <w:tcW w:w="25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rPr>
              <w:t>•</w:t>
            </w:r>
          </w:p>
        </w:tc>
        <w:tc>
          <w:tcPr>
            <w:tcW w:w="4460" w:type="dxa"/>
            <w:vAlign w:val="bottom"/>
          </w:tcPr>
          <w:p>
            <w:pPr>
              <w:ind w:left="160"/>
              <w:spacing w:after="0"/>
              <w:rPr>
                <w:sz w:val="20"/>
                <w:szCs w:val="20"/>
                <w:color w:val="auto"/>
              </w:rPr>
            </w:pPr>
            <w:r>
              <w:rPr>
                <w:rFonts w:ascii="Arial" w:cs="Arial" w:eastAsia="Arial" w:hAnsi="Arial"/>
                <w:sz w:val="18"/>
                <w:szCs w:val="18"/>
                <w:color w:val="auto"/>
              </w:rPr>
              <w:t>in whole and not in part;</w:t>
            </w:r>
          </w:p>
        </w:tc>
      </w:tr>
    </w:tbl>
    <w:p>
      <w:pPr>
        <w:spacing w:after="0" w:line="200" w:lineRule="exact"/>
        <w:rPr>
          <w:sz w:val="20"/>
          <w:szCs w:val="20"/>
          <w:color w:val="auto"/>
        </w:rPr>
      </w:pP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at a price of $0.01 per warrant;</w:t>
      </w:r>
    </w:p>
    <w:p>
      <w:pPr>
        <w:spacing w:after="0" w:line="117"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upon a minimum of 30 days’ prior written notice of</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redemption, which we refer to as the 30-day redemption</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period; and</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if, and only if, the closing price of our Class A common</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stock equals or exceeds $18.00 per share (as adjusted for</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stock splits, stock dividends, reorganizations,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recapitalizations and the like) for any 20 trading days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within a 30-trading day period ending on the third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trading day prior to the date on which we send the notice</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of redemption to the warrant holders.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 will not redeem the warrants for cash unless a registration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statement under the Securities Act covering the issuance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of Class A common stock issuable upon exercise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warrants is then effective and a current prospectus relating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those shares of common stock is available throughout the 30-day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 period, except if the warrants may be exercised on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cashless basis and such cashless exercise is exempt from</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registration under the Securities Act. If and when the warrants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become redeemable by us, we may exercise our redemption right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even if we are unable to register or qualify the underlying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securities for sale under all applicable state securities laws.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Cashless Exercise</w:t>
      </w:r>
      <w:r>
        <w:rPr>
          <w:sz w:val="20"/>
          <w:szCs w:val="20"/>
          <w:color w:val="auto"/>
        </w:rPr>
        <w:tab/>
      </w:r>
      <w:r>
        <w:rPr>
          <w:rFonts w:ascii="Arial" w:cs="Arial" w:eastAsia="Arial" w:hAnsi="Arial"/>
          <w:sz w:val="17"/>
          <w:szCs w:val="17"/>
          <w:color w:val="auto"/>
        </w:rPr>
        <w:t>If we call the warrants for redemption for cash, as described</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above, our management will have the option to require all holders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that wish to exercise warrants to do so on a “cashless basis.”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determining whether to require all holders to exercise their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warrants on a “cashless basis,” our management will consider,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among other factors, our cash position, the number of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that are outstanding and the dilutive effect on our stockholders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issuing the maximum number of shares of Class A common stock</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issuable upon the exercise of our warrants. In such event, each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holder would pay the exercise price by surrendering the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for that number of shares of Class A common stock equal to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quotient obtained by dividing (x) the product of the number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shares of Class A common stock underlying the warrants,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multiplied by the excess of the “fair market value” of our Class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(defined above) over the exercise price of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warrants by (y) the fair market value. Please see “Description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Securities — Warrants — Public Stockholders’ Warrants” for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additional information.</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Election of directors; voting</w:t>
      </w:r>
    </w:p>
    <w:p>
      <w:pPr>
        <w:spacing w:after="0" w:line="27" w:lineRule="exact"/>
        <w:rPr>
          <w:sz w:val="20"/>
          <w:szCs w:val="20"/>
          <w:color w:val="auto"/>
        </w:rPr>
      </w:pPr>
    </w:p>
    <w:p>
      <w:pPr>
        <w:ind w:left="1460"/>
        <w:spacing w:after="0"/>
        <w:tabs>
          <w:tab w:leader="none" w:pos="4440" w:val="left"/>
        </w:tabs>
        <w:rPr>
          <w:sz w:val="20"/>
          <w:szCs w:val="20"/>
          <w:color w:val="auto"/>
        </w:rPr>
      </w:pPr>
      <w:r>
        <w:rPr>
          <w:rFonts w:ascii="Arial" w:cs="Arial" w:eastAsia="Arial" w:hAnsi="Arial"/>
          <w:sz w:val="18"/>
          <w:szCs w:val="18"/>
          <w:b w:val="1"/>
          <w:bCs w:val="1"/>
          <w:color w:val="auto"/>
        </w:rPr>
        <w:t>rights</w:t>
      </w:r>
      <w:r>
        <w:rPr>
          <w:sz w:val="20"/>
          <w:szCs w:val="20"/>
          <w:color w:val="auto"/>
        </w:rPr>
        <w:tab/>
      </w:r>
      <w:r>
        <w:rPr>
          <w:rFonts w:ascii="Arial" w:cs="Arial" w:eastAsia="Arial" w:hAnsi="Arial"/>
          <w:sz w:val="18"/>
          <w:szCs w:val="18"/>
          <w:color w:val="auto"/>
        </w:rPr>
        <w:t>Prior to the consummation of our initial business combination,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only holders of our Class B common stock will have the right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vote on the election of directors. Holders of the Class A common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 will not be entitled to vote on the election of directors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during such time. These provisions of our amended and restated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certificate of incorporation may only be amended if approved by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majority of at least 90% of our common stock voting at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stockholder meeting. With respect to any other matter submitted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a vote of our stockholders, including any vote in connection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with our initial business combination, except as required by</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applicable law or stock exchange rule, holders of our Class A</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common stock and holders of our Class B common stock will vote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together as a single class, with each share entitling the holder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one vote.</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Founder shares</w:t>
      </w:r>
      <w:r>
        <w:rPr>
          <w:sz w:val="20"/>
          <w:szCs w:val="20"/>
          <w:color w:val="auto"/>
        </w:rPr>
        <w:tab/>
      </w:r>
      <w:r>
        <w:rPr>
          <w:rFonts w:ascii="Arial" w:cs="Arial" w:eastAsia="Arial" w:hAnsi="Arial"/>
          <w:sz w:val="16"/>
          <w:szCs w:val="16"/>
          <w:color w:val="auto"/>
        </w:rPr>
        <w:t>In May 2020, our sponsor purchased an aggregate of 21,562,500</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founder shares for an aggregate purchase price of $25,000,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approximately $0.001 per share. The number of founder shares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issued was determined based on the expectation that the founder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would represent 20% of the outstanding shares of common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 upon the completion of this offering. Prior to the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investment in the company of $25,000 by our sponsor,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company had no assets, tangible or intangible. The purchase price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the founder shares was determined by dividing the amount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cash contributed to us by the number of founder shares issued. If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increase or decrease the size of this offering, we will effect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 dividend or a share contribution back to capital or other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appropriate mechanism, as applicable, with respect to our Class B</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immediately prior to the consummation of this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offering in such amount as to maintain the ownership of founder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shares by our initial stockholders at 20% of our issued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outstanding shares of our common stock upon the consummation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this offering.</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founder shares are subject to forfeiture by our sponsor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depending on the extent to which the underwriters’ option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purchase additional units is exercised.</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founder shares are identical to the shares of Class A common</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included in the units being sold in this offering, except that:</w:t>
      </w:r>
    </w:p>
    <w:p>
      <w:pPr>
        <w:spacing w:after="0" w:line="114"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only holders of the founder shares have the right to vote</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on the election and removal of directors prior to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consummation of our initial business combination;</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founder shares are subject to certain transfer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restrictions, as described in more detail below;</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our sponsor, officers and directors have entered into</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letter agreements with us, pursuant to which they have</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agreed: (1) to waive their redemption rights with respect</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to any founder shares and public shares held by them, as</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applicable, in connection with the completion of our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initial business combination; (2) to waive their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redemption rights with respect to any founder shares and</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public shares held by them in connection with a</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stockholder vote to approve an amendment to our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amended and restated certificate of incorporation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modify the substance or timing of our obligation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provide for the redemption of our public shares in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connection with an initial business combination or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redeem 100% of our public shares if we have not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consummated our initial business combination within the</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completion window; and (3) to waive their rights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liquidating distributions from the trust account with</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respect to any founder shares they hold if we fail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complete our initial business combination within the</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completion window (although they will be entitled to</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liquidating distributions from the trust account with</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respect to any public shares they hold if we fail to</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complete our initial business combination within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completion window). If we submit our initial business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combination to our public stockholders for a vote, our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initial stockholders, officers and directors have agreed to</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vote any founder shares and any public shares held by</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them in favor of our initial business combination. As a</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result, in addition to our initial stockholders’ founder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shares, we would need 28,125,001, or 37.5%, of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75,000,000 public shares sold in this offering to be voted</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in favor of an initial business combination (assuming all</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issued and outstanding shares are voted and the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underwriters’ option to purchase additional units is not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exercised) in order to have such initial business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combination approved;</w:t>
      </w:r>
    </w:p>
    <w:p>
      <w:pPr>
        <w:spacing w:after="0" w:line="103" w:lineRule="exact"/>
        <w:rPr>
          <w:sz w:val="20"/>
          <w:szCs w:val="20"/>
          <w:color w:val="auto"/>
        </w:rPr>
      </w:pPr>
    </w:p>
    <w:p>
      <w:pPr>
        <w:ind w:left="5180" w:right="859" w:hanging="366"/>
        <w:spacing w:after="0" w:line="275" w:lineRule="auto"/>
        <w:tabs>
          <w:tab w:leader="none" w:pos="5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founder shares are automatically convertible into shares of our Class A common stock at the time of our initial business combination, on a one-for-one basis, subject to adjustment pursuant to certain anti-dilution rights, as described in more detail below; and</w:t>
      </w:r>
    </w:p>
    <w:p>
      <w:pPr>
        <w:spacing w:after="0" w:line="68" w:lineRule="exact"/>
        <w:rPr>
          <w:rFonts w:ascii="Arial" w:cs="Arial" w:eastAsia="Arial" w:hAnsi="Arial"/>
          <w:sz w:val="17"/>
          <w:szCs w:val="17"/>
          <w:color w:val="auto"/>
        </w:rPr>
      </w:pPr>
    </w:p>
    <w:p>
      <w:pPr>
        <w:ind w:left="5180" w:right="1399" w:hanging="366"/>
        <w:spacing w:after="0" w:line="277" w:lineRule="auto"/>
        <w:tabs>
          <w:tab w:leader="none" w:pos="5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the founder shares are entitled to registration rights.</w:t>
      </w:r>
    </w:p>
    <w:p>
      <w:pPr>
        <w:spacing w:after="0" w:line="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Transfer restrictions on founder</w:t>
      </w:r>
    </w:p>
    <w:p>
      <w:pPr>
        <w:spacing w:after="0" w:line="27" w:lineRule="exact"/>
        <w:rPr>
          <w:sz w:val="20"/>
          <w:szCs w:val="20"/>
          <w:color w:val="auto"/>
        </w:rPr>
      </w:pPr>
    </w:p>
    <w:p>
      <w:pPr>
        <w:ind w:left="4460" w:right="659" w:hanging="2999"/>
        <w:spacing w:after="0" w:line="267" w:lineRule="auto"/>
        <w:tabs>
          <w:tab w:leader="none" w:pos="4440" w:val="left"/>
        </w:tabs>
        <w:rPr>
          <w:sz w:val="20"/>
          <w:szCs w:val="20"/>
          <w:color w:val="auto"/>
        </w:rPr>
      </w:pPr>
      <w:r>
        <w:rPr>
          <w:rFonts w:ascii="Arial" w:cs="Arial" w:eastAsia="Arial" w:hAnsi="Arial"/>
          <w:sz w:val="17"/>
          <w:szCs w:val="17"/>
          <w:b w:val="1"/>
          <w:bCs w:val="1"/>
          <w:color w:val="auto"/>
        </w:rPr>
        <w:t>share</w:t>
      </w:r>
      <w:r>
        <w:rPr>
          <w:sz w:val="20"/>
          <w:szCs w:val="20"/>
          <w:color w:val="auto"/>
        </w:rPr>
        <w:tab/>
      </w:r>
      <w:r>
        <w:rPr>
          <w:rFonts w:ascii="Arial" w:cs="Arial" w:eastAsia="Arial" w:hAnsi="Arial"/>
          <w:sz w:val="17"/>
          <w:szCs w:val="17"/>
          <w:color w:val="auto"/>
        </w:rPr>
        <w:t>Our sponsor, founder, officers and directors have agreed not to transfer, assign or sell any founder shares held by them until the earlier to occur of: (1) one year after the completion of our initial business combination; or (2) the date on which we complete a liquidation, merger, stock exchange, reorganization or other similar transaction after our initial business combination that results in all of our public stockholders having the right to exchange their shares of common stock for cash, securities or other property (except as described herein under “Principal Stockholders — Transfers of Founder Shares and Private Placement Warrants”). Any permitted transferees would be subject to the same restrictions and other agreements of our sponsor with respect to any founder shares. We refer to such transfer restrictions throughout this prospectus as the lock-up.</w:t>
      </w:r>
    </w:p>
    <w:p>
      <w:pPr>
        <w:spacing w:after="0" w:line="7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Notwithstanding the foregoing, if the closing price of our common</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equals or exceeds $12.00 per share (as adjusted for stock</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splits, stock dividends, reorganizations, recapitalizations and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like) for any 20 trading days within any 30-trading day period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commencing at least 150 days after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the founder shares will be released from the lock-up.</w:t>
      </w:r>
    </w:p>
    <w:p>
      <w:pPr>
        <w:spacing w:after="0" w:line="11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Founder shares conversation and</w:t>
      </w:r>
    </w:p>
    <w:p>
      <w:pPr>
        <w:spacing w:after="0" w:line="27" w:lineRule="exact"/>
        <w:rPr>
          <w:sz w:val="20"/>
          <w:szCs w:val="20"/>
          <w:color w:val="auto"/>
        </w:rPr>
      </w:pPr>
    </w:p>
    <w:p>
      <w:pPr>
        <w:ind w:left="4460" w:right="659" w:hanging="2987"/>
        <w:spacing w:after="0" w:line="270" w:lineRule="auto"/>
        <w:tabs>
          <w:tab w:leader="none" w:pos="4440" w:val="left"/>
        </w:tabs>
        <w:rPr>
          <w:sz w:val="20"/>
          <w:szCs w:val="20"/>
          <w:color w:val="auto"/>
        </w:rPr>
      </w:pPr>
      <w:r>
        <w:rPr>
          <w:rFonts w:ascii="Arial" w:cs="Arial" w:eastAsia="Arial" w:hAnsi="Arial"/>
          <w:sz w:val="18"/>
          <w:szCs w:val="18"/>
          <w:b w:val="1"/>
          <w:bCs w:val="1"/>
          <w:color w:val="auto"/>
        </w:rPr>
        <w:t>anti-dilution rights</w:t>
      </w:r>
      <w:r>
        <w:rPr>
          <w:sz w:val="20"/>
          <w:szCs w:val="20"/>
          <w:color w:val="auto"/>
        </w:rPr>
        <w:tab/>
      </w:r>
      <w:r>
        <w:rPr>
          <w:rFonts w:ascii="Arial" w:cs="Arial" w:eastAsia="Arial" w:hAnsi="Arial"/>
          <w:sz w:val="17"/>
          <w:szCs w:val="17"/>
          <w:color w:val="auto"/>
        </w:rPr>
        <w:t>The shares of Class B common stock will automatically convert into shares of Class A common stock at the time of our initial business combination on a one-for-one basis, subject to adjustment as provided herein. In the case that additional shares of Class A common stock, or equity-linked securities, are issued or deemed issued in excess of the amounts sold in this offering</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and related to the closing of our initial business combination, the</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ratio at which shares of Class B common stock shall convert into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shares of Class A common stock will be adjusted (unless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holders of a majority of the outstanding shares of Class B</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common stock agree to waive such anti-dilution adjustment with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respect to any such issuance or deemed issuance) so that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number of shares of Class A common stock issuable upon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conversion of all shares of Class B common stock will equal,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aggregate, on an as-converted basis, 20% of the total number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all shares of common stock outstanding upon completion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this offering plus all shares of Class A common stock and equity-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linked securities issued or deemed issued in connection with our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initial business combination (net of the number of shares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Class A common stock redeemed in connection with our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excluding any shares or equity-linked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securities issued, or to be issued, to any seller in our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business combination in consideration for such seller’s interest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business combination target and any private placement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warrants issued upon the conversion of working capital loans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made to us.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Private placement warrants</w:t>
      </w:r>
      <w:r>
        <w:rPr>
          <w:sz w:val="20"/>
          <w:szCs w:val="20"/>
          <w:color w:val="auto"/>
        </w:rPr>
        <w:tab/>
      </w:r>
      <w:r>
        <w:rPr>
          <w:rFonts w:ascii="Arial" w:cs="Arial" w:eastAsia="Arial" w:hAnsi="Arial"/>
          <w:sz w:val="16"/>
          <w:szCs w:val="16"/>
          <w:color w:val="auto"/>
        </w:rPr>
        <w:t>Our sponsor has subscribed to purchase an aggregate of</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16,000,000 private placement warrants (or 18,250,000 if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underwriters’ option to purchase additional units is exercised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full) at a price of $1.00 per warrant ($16,000,000 in the aggregate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$18,250,000 in the aggregate if the underwriters’ option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purchase additional units is exercised in full) in the Private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Placement. Each private placement warrant entitles the holder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thereof to purchase one share of Class A common stock at a price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$11.50 per share, subject to adjustment as provided herein.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portion of the purchase price of the private placement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will be added to the proceeds from this offering to be held in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trust account. If we do not complete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within the completion window, the proceeds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sale of the private placement warrants held in the trust account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will be used to fund the redemption of our public shares (subject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the requirements of applicable law) and the private placement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warrants will expire worthless. The private placement warrants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will not be redeemable by us so long as they are held by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sponsor or its permitted transferees (except as described below</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under “Principal Stockholders — Transfers of Founder Shares and</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Private Placement Warrants”). If the private placement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are held by holders other than our sponsor or its permitted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transferees, the private placement warrants will be redeemable by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us and exercisable by the holders on the same basis as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warrants included in the units being sold as part of this offering.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sponsor, as well as its permitted transferees, have the option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exercise the private placement warrants on a cashless basis.</w:t>
      </w:r>
    </w:p>
    <w:p>
      <w:pPr>
        <w:spacing w:after="0" w:line="11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Transfer restrictions on private</w:t>
      </w:r>
    </w:p>
    <w:p>
      <w:pPr>
        <w:spacing w:after="0" w:line="27" w:lineRule="exact"/>
        <w:rPr>
          <w:sz w:val="20"/>
          <w:szCs w:val="20"/>
          <w:color w:val="auto"/>
        </w:rPr>
      </w:pPr>
    </w:p>
    <w:p>
      <w:pPr>
        <w:ind w:left="1460"/>
        <w:spacing w:after="0"/>
        <w:tabs>
          <w:tab w:leader="none" w:pos="4440" w:val="left"/>
        </w:tabs>
        <w:rPr>
          <w:sz w:val="20"/>
          <w:szCs w:val="20"/>
          <w:color w:val="auto"/>
        </w:rPr>
      </w:pPr>
      <w:r>
        <w:rPr>
          <w:rFonts w:ascii="Arial" w:cs="Arial" w:eastAsia="Arial" w:hAnsi="Arial"/>
          <w:sz w:val="18"/>
          <w:szCs w:val="18"/>
          <w:b w:val="1"/>
          <w:bCs w:val="1"/>
          <w:color w:val="auto"/>
        </w:rPr>
        <w:t>placement warrants</w:t>
      </w:r>
      <w:r>
        <w:rPr>
          <w:sz w:val="20"/>
          <w:szCs w:val="20"/>
          <w:color w:val="auto"/>
        </w:rPr>
        <w:tab/>
      </w:r>
      <w:r>
        <w:rPr>
          <w:rFonts w:ascii="Arial" w:cs="Arial" w:eastAsia="Arial" w:hAnsi="Arial"/>
          <w:sz w:val="17"/>
          <w:szCs w:val="17"/>
          <w:color w:val="auto"/>
        </w:rPr>
        <w:t>The private placement warrants (including the Class A common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issuable upon exercise of the private placement warrants)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will not be transferable, assignable or salable until 30 days after</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completion of our initial business combination (except as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described under the section of this prospectus entitled “Principal</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Stockholders — Transfers of Founder Shares and Private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Placement Warrants”).</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Proceeds to be held in trust</w:t>
      </w:r>
    </w:p>
    <w:p>
      <w:pPr>
        <w:spacing w:after="0" w:line="27" w:lineRule="exact"/>
        <w:rPr>
          <w:sz w:val="20"/>
          <w:szCs w:val="20"/>
          <w:color w:val="auto"/>
        </w:rPr>
      </w:pPr>
    </w:p>
    <w:p>
      <w:pPr>
        <w:ind w:left="4460" w:right="719" w:hanging="2999"/>
        <w:spacing w:after="0" w:line="266" w:lineRule="auto"/>
        <w:tabs>
          <w:tab w:leader="none" w:pos="4440" w:val="left"/>
        </w:tabs>
        <w:rPr>
          <w:sz w:val="20"/>
          <w:szCs w:val="20"/>
          <w:color w:val="auto"/>
        </w:rPr>
      </w:pPr>
      <w:r>
        <w:rPr>
          <w:rFonts w:ascii="Arial" w:cs="Arial" w:eastAsia="Arial" w:hAnsi="Arial"/>
          <w:sz w:val="17"/>
          <w:szCs w:val="17"/>
          <w:b w:val="1"/>
          <w:bCs w:val="1"/>
          <w:color w:val="auto"/>
        </w:rPr>
        <w:t>account</w:t>
      </w:r>
      <w:r>
        <w:rPr>
          <w:sz w:val="20"/>
          <w:szCs w:val="20"/>
          <w:color w:val="auto"/>
        </w:rPr>
        <w:tab/>
      </w:r>
      <w:r>
        <w:rPr>
          <w:rFonts w:ascii="Arial" w:cs="Arial" w:eastAsia="Arial" w:hAnsi="Arial"/>
          <w:sz w:val="17"/>
          <w:szCs w:val="17"/>
          <w:color w:val="auto"/>
        </w:rPr>
        <w:t>The rules of the NYSE provide that at least 90% of the gross proceeds from this offering and the sale of the private placement warrants be deposited in a trust account. Of the net proceeds we will receive from this offering and the sale of the private placement warrants described in this prospectus, $750.0 million ($10.00 per unit), or $862.5 million ($10.00 per unit) if the underwriters’ option to purchase additional units is exercised in full, will be deposited into a segregated trust account located in the United States with Continental Stock Transfer &amp; Trust Company acting as trustee and an aggregate of approximately $1.0 million will be used to pay expenses in connection with the closing of this offering and for working capital following this offering. The proceeds to be placed in the trust account include $26,250,000 (or up to $30,187,500 if the underwriters’ option to purchase additional units is exercised in full) in deferred underwriting commissions. The funds in the trust account will be invested only in U.S. government treasury bills with a maturity of 185 days or less or in money market funds that meet certain conditions under Rule 2a-7 under the Investment Company Act and that invest only in direct U.S. government obligations.</w:t>
      </w:r>
    </w:p>
    <w:p>
      <w:pPr>
        <w:spacing w:after="0" w:line="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Except with respect to interest earned on the funds held in the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trust account that may be released to us as described below,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funds held in the trust account will not be released from the trust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account until the earliest of: (1) the completion of our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(2) the redemption of any public shares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properly submitted in connection with a stockholder vote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amend our amended and restated certificate of incorporation (i)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modify the substance or timing of our obligation to provide for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redemption of our public shares in connection with an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business combination or to redeem 100% of our public shares if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 do not complete our initial business combination within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completion window or (ii) with respect to any other material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provisions relating to the rights of holders of our Class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prior to our initial business combination or pre-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initial business combination business activity; and (3)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 of all of our public shares if we are unable to complete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initial business combination within the completion window,</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subject to applicable law. The proceeds deposited in the trust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account could become subject to the claims of our creditors, if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any, which could have priority over the claims of our public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stockholders.</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Anticipated expenses and funding</w:t>
      </w:r>
    </w:p>
    <w:p>
      <w:pPr>
        <w:spacing w:after="0" w:line="27" w:lineRule="exact"/>
        <w:rPr>
          <w:sz w:val="20"/>
          <w:szCs w:val="20"/>
          <w:color w:val="auto"/>
        </w:rPr>
      </w:pPr>
    </w:p>
    <w:p>
      <w:pPr>
        <w:ind w:left="4460" w:right="699" w:hanging="2999"/>
        <w:spacing w:after="0" w:line="270" w:lineRule="auto"/>
        <w:tabs>
          <w:tab w:leader="none" w:pos="4440" w:val="left"/>
        </w:tabs>
        <w:rPr>
          <w:sz w:val="20"/>
          <w:szCs w:val="20"/>
          <w:color w:val="auto"/>
        </w:rPr>
      </w:pPr>
      <w:r>
        <w:rPr>
          <w:rFonts w:ascii="Arial" w:cs="Arial" w:eastAsia="Arial" w:hAnsi="Arial"/>
          <w:sz w:val="17"/>
          <w:szCs w:val="17"/>
          <w:b w:val="1"/>
          <w:bCs w:val="1"/>
          <w:color w:val="auto"/>
        </w:rPr>
        <w:t>sources</w:t>
      </w:r>
      <w:r>
        <w:rPr>
          <w:sz w:val="20"/>
          <w:szCs w:val="20"/>
          <w:color w:val="auto"/>
        </w:rPr>
        <w:tab/>
      </w:r>
      <w:r>
        <w:rPr>
          <w:rFonts w:ascii="Arial" w:cs="Arial" w:eastAsia="Arial" w:hAnsi="Arial"/>
          <w:sz w:val="17"/>
          <w:szCs w:val="17"/>
          <w:color w:val="auto"/>
        </w:rPr>
        <w:t>Unless and until we complete our initial business combination, no proceeds held in the trust account will be available for our use, except permitted withdrawals. The funds in the trust account will be invested only in U.S. government treasury bills with a maturity of 185 days or less or in money market funds that meet certain conditions under Rule 2a-7 under the Investment Company Act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60" w:hanging="179"/>
        <w:spacing w:after="0" w:line="282" w:lineRule="auto"/>
        <w:rPr>
          <w:sz w:val="20"/>
          <w:szCs w:val="20"/>
          <w:color w:val="auto"/>
        </w:rPr>
      </w:pPr>
      <w:r>
        <w:rPr>
          <w:rFonts w:ascii="Arial" w:cs="Arial" w:eastAsia="Arial" w:hAnsi="Arial"/>
          <w:sz w:val="18"/>
          <w:szCs w:val="18"/>
          <w:b w:val="1"/>
          <w:bCs w:val="1"/>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79"/>
        <w:spacing w:after="0" w:line="266" w:lineRule="auto"/>
        <w:rPr>
          <w:sz w:val="20"/>
          <w:szCs w:val="20"/>
          <w:color w:val="auto"/>
        </w:rPr>
      </w:pPr>
      <w:r>
        <w:rPr>
          <w:rFonts w:ascii="Arial" w:cs="Arial" w:eastAsia="Arial" w:hAnsi="Arial"/>
          <w:sz w:val="17"/>
          <w:szCs w:val="17"/>
          <w:color w:val="auto"/>
        </w:rPr>
        <w:t>and that invest only in direct U.S. government obligations. Based upon current interest rates, we expect the trust account to generate approximately $3,750,000 of interest annually (assuming an interest rate of 0.50% per year); however, we can provide no assurances regarding this amount. Unless and until we complete our initial business combination, we may pay our expenses only from such interest withdrawn from the trust account and any loans or additional investments from our sponsor, members of our management team or any of their respective affiliates or other third parties, although they are under no obligation or other duty to loan funds to, or invest in, us, and provided that any such loans will not have any claim on the proceeds held in the trust account unless such proceeds are released to us upon completion of our initial business combination. If we complete our initial business combination, we expect to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all loans made to us by our sponsor, an affiliate of our sponsor or our officers and directors may be convertible into warrants at a price of $1.00 per warrant at the option of the lender at the time of the business combination. The warrants would be identical to the private placement warrants issued to our sponsor.</w:t>
      </w:r>
    </w:p>
    <w:p>
      <w:pPr>
        <w:spacing w:after="0" w:line="308" w:lineRule="exact"/>
        <w:rPr>
          <w:sz w:val="20"/>
          <w:szCs w:val="20"/>
          <w:color w:val="auto"/>
        </w:rPr>
      </w:pPr>
    </w:p>
    <w:p>
      <w:pPr>
        <w:ind w:right="659"/>
        <w:spacing w:after="0" w:line="269" w:lineRule="auto"/>
        <w:rPr>
          <w:sz w:val="20"/>
          <w:szCs w:val="20"/>
          <w:color w:val="auto"/>
        </w:rPr>
      </w:pPr>
      <w:r>
        <w:rPr>
          <w:rFonts w:ascii="Arial" w:cs="Arial" w:eastAsia="Arial" w:hAnsi="Arial"/>
          <w:sz w:val="17"/>
          <w:szCs w:val="17"/>
          <w:color w:val="auto"/>
        </w:rPr>
        <w:t>There is no limitation on our ability to raise funds privately or through loans in connection with our initial business combination. 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do not currently intend to purchase multiple businesses in unrelated industries in conjunction with our initial business combination, although there is no assurance that will be the case.</w:t>
      </w:r>
    </w:p>
    <w:p>
      <w:pPr>
        <w:spacing w:after="0" w:line="74" w:lineRule="exact"/>
        <w:rPr>
          <w:sz w:val="20"/>
          <w:szCs w:val="20"/>
          <w:color w:val="auto"/>
        </w:rPr>
      </w:pPr>
    </w:p>
    <w:p>
      <w:pPr>
        <w:ind w:right="659"/>
        <w:spacing w:after="0" w:line="267" w:lineRule="auto"/>
        <w:rPr>
          <w:sz w:val="20"/>
          <w:szCs w:val="20"/>
          <w:color w:val="auto"/>
        </w:rPr>
      </w:pPr>
      <w:r>
        <w:rPr>
          <w:rFonts w:ascii="Arial" w:cs="Arial" w:eastAsia="Arial" w:hAnsi="Arial"/>
          <w:sz w:val="17"/>
          <w:szCs w:val="17"/>
          <w:color w:val="auto"/>
        </w:rPr>
        <w:t>If our board of directors is not able to independently determine the fair market value of the target business or businesses, we will obtain an opinion from an independent investment banking firm that is a member of FINRA or from an independent accounting firm. We will complete our initial business combination only if the post-transaction company in which our public stockholders own shares will own or acquire 50% or more of the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If less than 100% of the equity interests or assets of a target business or businesses are owned or acquired</w:t>
      </w:r>
    </w:p>
    <w:p>
      <w:pPr>
        <w:spacing w:after="0" w:line="200" w:lineRule="exact"/>
        <w:rPr>
          <w:sz w:val="20"/>
          <w:szCs w:val="20"/>
          <w:color w:val="auto"/>
        </w:rPr>
      </w:pPr>
    </w:p>
    <w:p>
      <w:pPr>
        <w:sectPr>
          <w:pgSz w:w="11900" w:h="16838" w:orient="portrait"/>
          <w:cols w:equalWidth="0" w:num="2">
            <w:col w:w="3900" w:space="560"/>
            <w:col w:w="5679"/>
          </w:cols>
          <w:pgMar w:left="320" w:top="131" w:right="1440" w:bottom="1440" w:gutter="0" w:footer="0" w:header="0"/>
          <w:type w:val="continuous"/>
        </w:sectPr>
      </w:pP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60" w:hanging="179"/>
        <w:spacing w:after="0" w:line="266" w:lineRule="auto"/>
        <w:rPr>
          <w:sz w:val="20"/>
          <w:szCs w:val="20"/>
          <w:color w:val="auto"/>
        </w:rPr>
      </w:pPr>
      <w:r>
        <w:rPr>
          <w:rFonts w:ascii="Arial" w:cs="Arial" w:eastAsia="Arial" w:hAnsi="Arial"/>
          <w:sz w:val="18"/>
          <w:szCs w:val="18"/>
          <w:b w:val="1"/>
          <w:bCs w:val="1"/>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 w:right="639"/>
        <w:spacing w:after="0" w:line="255" w:lineRule="auto"/>
        <w:rPr>
          <w:sz w:val="20"/>
          <w:szCs w:val="20"/>
          <w:color w:val="auto"/>
        </w:rPr>
      </w:pPr>
      <w:r>
        <w:rPr>
          <w:rFonts w:ascii="Arial" w:cs="Arial" w:eastAsia="Arial" w:hAnsi="Arial"/>
          <w:sz w:val="18"/>
          <w:szCs w:val="18"/>
          <w:color w:val="auto"/>
        </w:rPr>
        <w:t>by the post-transaction company, the portion of such business or businesses that is owned or acquired is what will be valued for purposes of the 80% of net assets test, provided that in the event that our initial business combination involves more than one target business, the 80% of net assets test will be based on the aggregate value of all of the target businesses.</w:t>
      </w:r>
    </w:p>
    <w:p>
      <w:pPr>
        <w:spacing w:after="0" w:line="200" w:lineRule="exact"/>
        <w:rPr>
          <w:sz w:val="20"/>
          <w:szCs w:val="20"/>
          <w:color w:val="auto"/>
        </w:rPr>
      </w:pPr>
    </w:p>
    <w:p>
      <w:pPr>
        <w:spacing w:after="0" w:line="316" w:lineRule="exact"/>
        <w:rPr>
          <w:sz w:val="20"/>
          <w:szCs w:val="20"/>
          <w:color w:val="auto"/>
        </w:rPr>
      </w:pPr>
    </w:p>
    <w:p>
      <w:pPr>
        <w:ind w:left="6" w:right="659"/>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although they are under no obligation or other duty to do so. Please see “Proposed Business</w:t>
      </w:r>
    </w:p>
    <w:p>
      <w:pPr>
        <w:spacing w:after="0" w:line="1" w:lineRule="exact"/>
        <w:rPr>
          <w:sz w:val="20"/>
          <w:szCs w:val="20"/>
          <w:color w:val="auto"/>
        </w:rPr>
      </w:pPr>
    </w:p>
    <w:p>
      <w:pPr>
        <w:ind w:left="6" w:right="659"/>
        <w:spacing w:after="0" w:line="266" w:lineRule="auto"/>
        <w:rPr>
          <w:sz w:val="20"/>
          <w:szCs w:val="20"/>
          <w:color w:val="auto"/>
        </w:rPr>
      </w:pPr>
      <w:r>
        <w:rPr>
          <w:rFonts w:ascii="Arial" w:cs="Arial" w:eastAsia="Arial" w:hAnsi="Arial"/>
          <w:sz w:val="17"/>
          <w:szCs w:val="17"/>
          <w:color w:val="auto"/>
        </w:rPr>
        <w:t>— Permitted purchases of our securities” for a description of how such persons will determine from which stockholders to seek to acquire securities. There is no limit on the number of shares or warrants such persons may purchase, or any restriction on the price that they may pay. Any such price per share may be different than the amount per share a public stockholder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sponsor, directors, officers, advisors or any of their affiliates determine to make any such purchases at the time of a stockholder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Prior to the consummation of this offering, we will adopt an insider trading policy which will require insiders to:</w:t>
      </w:r>
    </w:p>
    <w:p>
      <w:pPr>
        <w:spacing w:after="0" w:line="79" w:lineRule="exact"/>
        <w:rPr>
          <w:sz w:val="20"/>
          <w:szCs w:val="20"/>
          <w:color w:val="auto"/>
        </w:rPr>
      </w:pPr>
    </w:p>
    <w:p>
      <w:pPr>
        <w:ind w:left="6" w:right="719" w:hanging="6"/>
        <w:spacing w:after="0" w:line="277" w:lineRule="auto"/>
        <w:tabs>
          <w:tab w:leader="none" w:pos="2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refrain from purchasing securities when they are in possession of any material non-public information; and</w:t>
      </w:r>
    </w:p>
    <w:p>
      <w:pPr>
        <w:spacing w:after="0" w:line="62" w:lineRule="exact"/>
        <w:rPr>
          <w:rFonts w:ascii="Arial" w:cs="Arial" w:eastAsia="Arial" w:hAnsi="Arial"/>
          <w:sz w:val="18"/>
          <w:szCs w:val="18"/>
          <w:color w:val="auto"/>
        </w:rPr>
      </w:pPr>
    </w:p>
    <w:p>
      <w:pPr>
        <w:ind w:left="6" w:right="659" w:hanging="6"/>
        <w:spacing w:after="0" w:line="254" w:lineRule="auto"/>
        <w:tabs>
          <w:tab w:leader="none" w:pos="2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clear all trades with our compliance personnel or legal counsel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84" w:lineRule="exact"/>
        <w:rPr>
          <w:sz w:val="20"/>
          <w:szCs w:val="20"/>
          <w:color w:val="auto"/>
        </w:rPr>
      </w:pPr>
    </w:p>
    <w:p>
      <w:pPr>
        <w:jc w:val="both"/>
        <w:ind w:left="6" w:right="719"/>
        <w:spacing w:after="0" w:line="286" w:lineRule="auto"/>
        <w:rPr>
          <w:sz w:val="20"/>
          <w:szCs w:val="20"/>
          <w:color w:val="auto"/>
        </w:rPr>
      </w:pPr>
      <w:r>
        <w:rPr>
          <w:rFonts w:ascii="Arial" w:cs="Arial" w:eastAsia="Arial" w:hAnsi="Arial"/>
          <w:sz w:val="17"/>
          <w:szCs w:val="17"/>
          <w:color w:val="auto"/>
        </w:rPr>
        <w:t>We do not currently anticipate that such purchases, if any, would constitute a tender offer subject to the tender offer rules under the Exchange Act or a going-private transaction subject to the</w:t>
      </w:r>
    </w:p>
    <w:p>
      <w:pPr>
        <w:spacing w:after="0" w:line="200" w:lineRule="exact"/>
        <w:rPr>
          <w:sz w:val="20"/>
          <w:szCs w:val="20"/>
          <w:color w:val="auto"/>
        </w:rPr>
      </w:pPr>
    </w:p>
    <w:p>
      <w:pPr>
        <w:sectPr>
          <w:pgSz w:w="11900" w:h="16838" w:orient="portrait"/>
          <w:cols w:equalWidth="0" w:num="2">
            <w:col w:w="4000" w:space="454"/>
            <w:col w:w="5686"/>
          </w:cols>
          <w:pgMar w:left="320" w:top="131" w:right="1440" w:bottom="1440" w:gutter="0" w:footer="0" w:header="0"/>
          <w:type w:val="continuous"/>
        </w:sectPr>
      </w:pPr>
    </w:p>
    <w:p>
      <w:pPr>
        <w:spacing w:after="0" w:line="22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60" w:hanging="179"/>
        <w:spacing w:after="0" w:line="343" w:lineRule="auto"/>
        <w:rPr>
          <w:sz w:val="20"/>
          <w:szCs w:val="20"/>
          <w:color w:val="auto"/>
        </w:rPr>
      </w:pPr>
      <w:r>
        <w:rPr>
          <w:rFonts w:ascii="Arial" w:cs="Arial" w:eastAsia="Arial" w:hAnsi="Arial"/>
          <w:sz w:val="15"/>
          <w:szCs w:val="15"/>
          <w:b w:val="1"/>
          <w:bCs w:val="1"/>
          <w:color w:val="auto"/>
        </w:rPr>
        <w:t>Redemption rights for public stockholders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59"/>
        <w:spacing w:after="0" w:line="254" w:lineRule="auto"/>
        <w:rPr>
          <w:sz w:val="20"/>
          <w:szCs w:val="20"/>
          <w:color w:val="auto"/>
        </w:rPr>
      </w:pPr>
      <w:r>
        <w:rPr>
          <w:rFonts w:ascii="Arial" w:cs="Arial" w:eastAsia="Arial" w:hAnsi="Arial"/>
          <w:sz w:val="18"/>
          <w:szCs w:val="18"/>
          <w:color w:val="auto"/>
        </w:rPr>
        <w:t>going-private rules under the Exchange Act; however, if the purchasers determine at the time of any such purchases that the purchases are subject to such rules, the purchasers will comply with such rules. Our sponsor, directors, officers, advisors or any of their respective affiliates will be restricted from making purchases if such purchases would violate Section 9(a)(2) or Rule 10b-5 of the Exchange Act.</w:t>
      </w:r>
    </w:p>
    <w:p>
      <w:pPr>
        <w:spacing w:after="0" w:line="87" w:lineRule="exact"/>
        <w:rPr>
          <w:sz w:val="20"/>
          <w:szCs w:val="20"/>
          <w:color w:val="auto"/>
        </w:rPr>
      </w:pPr>
    </w:p>
    <w:p>
      <w:pPr>
        <w:ind w:right="659"/>
        <w:spacing w:after="0" w:line="269" w:lineRule="auto"/>
        <w:rPr>
          <w:sz w:val="20"/>
          <w:szCs w:val="20"/>
          <w:color w:val="auto"/>
        </w:rPr>
      </w:pPr>
      <w:r>
        <w:rPr>
          <w:rFonts w:ascii="Arial" w:cs="Arial" w:eastAsia="Arial" w:hAnsi="Arial"/>
          <w:sz w:val="17"/>
          <w:szCs w:val="17"/>
          <w:color w:val="auto"/>
        </w:rPr>
        <w:t>We expect that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 Please see “Proposed Business — Permitted purchases of our securities” for a description of how our sponsor, directors, officers, advisors or any of their respective affiliates will select which stockholders to purchase securities from in any private transaction.</w:t>
      </w:r>
    </w:p>
    <w:p>
      <w:pPr>
        <w:spacing w:after="0" w:line="77" w:lineRule="exact"/>
        <w:rPr>
          <w:sz w:val="20"/>
          <w:szCs w:val="20"/>
          <w:color w:val="auto"/>
        </w:rPr>
      </w:pPr>
    </w:p>
    <w:p>
      <w:pPr>
        <w:ind w:right="659"/>
        <w:spacing w:after="0" w:line="267" w:lineRule="auto"/>
        <w:rPr>
          <w:sz w:val="20"/>
          <w:szCs w:val="20"/>
          <w:color w:val="auto"/>
        </w:rPr>
      </w:pPr>
      <w:r>
        <w:rPr>
          <w:rFonts w:ascii="Arial" w:cs="Arial" w:eastAsia="Arial" w:hAnsi="Arial"/>
          <w:sz w:val="17"/>
          <w:szCs w:val="17"/>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pacing w:after="0" w:line="312" w:lineRule="exact"/>
        <w:rPr>
          <w:sz w:val="20"/>
          <w:szCs w:val="20"/>
          <w:color w:val="auto"/>
        </w:rPr>
      </w:pPr>
    </w:p>
    <w:p>
      <w:pPr>
        <w:ind w:right="699"/>
        <w:spacing w:after="0" w:line="268"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 share price, payable in cash, equal to the aggregate amount then on deposit in the trust account as of two business days prior to the consummation of our initial business combination, including interest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 will include the requirement that any beneficial owner on whose behalf a</w:t>
      </w:r>
    </w:p>
    <w:p>
      <w:pPr>
        <w:spacing w:after="0" w:line="200" w:lineRule="exact"/>
        <w:rPr>
          <w:sz w:val="20"/>
          <w:szCs w:val="20"/>
          <w:color w:val="auto"/>
        </w:rPr>
      </w:pPr>
    </w:p>
    <w:p>
      <w:pPr>
        <w:sectPr>
          <w:pgSz w:w="11900" w:h="16838" w:orient="portrait"/>
          <w:cols w:equalWidth="0" w:num="2">
            <w:col w:w="3860" w:space="600"/>
            <w:col w:w="5679"/>
          </w:cols>
          <w:pgMar w:left="320" w:top="131" w:right="1440"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 right is being exercised must identify itself in order to</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validly redeem its shares. Each public stockholder may elect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redeem its public shares without voting, and if they do vote,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irrespective of whether they vote for or against the proposed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transaction. There will be no redemption rights upon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completion of our initial business combination with respect to our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warrants. Our sponsor, officers and directors have entered into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letter agreement with us, pursuant to which they have agreed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waive their redemption rights with respect to any founder shares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any public shares held by them in connection with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completion of our initial business combination.</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Manner of conducting</w:t>
      </w:r>
    </w:p>
    <w:p>
      <w:pPr>
        <w:spacing w:after="0" w:line="27" w:lineRule="exact"/>
        <w:rPr>
          <w:sz w:val="20"/>
          <w:szCs w:val="20"/>
          <w:color w:val="auto"/>
        </w:rPr>
      </w:pPr>
    </w:p>
    <w:p>
      <w:pPr>
        <w:ind w:left="4460" w:right="679" w:hanging="2999"/>
        <w:spacing w:after="0" w:line="266" w:lineRule="auto"/>
        <w:tabs>
          <w:tab w:leader="none" w:pos="4440" w:val="left"/>
        </w:tabs>
        <w:rPr>
          <w:sz w:val="20"/>
          <w:szCs w:val="20"/>
          <w:color w:val="auto"/>
        </w:rPr>
      </w:pPr>
      <w:r>
        <w:rPr>
          <w:rFonts w:ascii="Arial" w:cs="Arial" w:eastAsia="Arial" w:hAnsi="Arial"/>
          <w:sz w:val="17"/>
          <w:szCs w:val="17"/>
          <w:b w:val="1"/>
          <w:bCs w:val="1"/>
          <w:color w:val="auto"/>
        </w:rPr>
        <w:t>redemptions</w:t>
      </w:r>
      <w:r>
        <w:rPr>
          <w:sz w:val="20"/>
          <w:szCs w:val="20"/>
          <w:color w:val="auto"/>
        </w:rPr>
        <w:tab/>
      </w: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either: (1) in connection with a stockholder meeting called to approve the business combination; or (2)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We currently intend to conduct redemptions pursuant to a stockholder vote unless stockholder approval is not required by applicable law or stock exchange listing requirement and we choose to conduct redemptions pursuant to the tender offer rules of the SEC for business or other reasons.</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If a stockholder vote is not required and we do not decide to hold</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 stockholder vote for business or other reasons, we will, pursuant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our amended and restated certificate of incorporation:</w:t>
      </w:r>
    </w:p>
    <w:p>
      <w:pPr>
        <w:spacing w:after="0" w:line="103" w:lineRule="exact"/>
        <w:rPr>
          <w:sz w:val="20"/>
          <w:szCs w:val="20"/>
          <w:color w:val="auto"/>
        </w:rPr>
      </w:pPr>
    </w:p>
    <w:p>
      <w:pPr>
        <w:jc w:val="both"/>
        <w:ind w:left="5180" w:right="999" w:hanging="366"/>
        <w:spacing w:after="0" w:line="263" w:lineRule="auto"/>
        <w:tabs>
          <w:tab w:leader="none" w:pos="5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75" w:lineRule="exact"/>
        <w:rPr>
          <w:rFonts w:ascii="Arial" w:cs="Arial" w:eastAsia="Arial" w:hAnsi="Arial"/>
          <w:sz w:val="18"/>
          <w:szCs w:val="18"/>
          <w:color w:val="auto"/>
        </w:rPr>
      </w:pPr>
    </w:p>
    <w:p>
      <w:pPr>
        <w:ind w:left="5180" w:right="839" w:hanging="366"/>
        <w:spacing w:after="0" w:line="254" w:lineRule="auto"/>
        <w:tabs>
          <w:tab w:leader="none" w:pos="5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Upon the public announcement of our initial business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if we elect to conduct redemptions pursuant to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tender offer rules, we and our sponsor will terminate any plan</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established in accordance with Rule 10b5-1 to purchase shares of</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Class A common stock in the open market, in order to comply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with Rule 14e-5 under the Exchange Act.</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 the event we conduct redemptions pursuant to the tender offer</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rules, our offer to redeem will remain open for at least 20 business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days, in accordance with Rule 14e-1(a) under the Exchange Act,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we will not be permitted to complete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combination until the expiration of the tender offer period. 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addition, the tender offer will be conditioned on public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stockholders not tendering more than a specified number of public</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which number will be based on the requirement that we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may not redeem public shares in an amount that would cause our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net tangible assets, after payment of the deferred underwriting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commissions, to be less than $5,000,001 (so that we do not then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become subject to the SEC’s “penny stock” rules), or any greater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net tangible asset or cash requirement which may be contained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agreement relating to our initial business combination. If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public stockholders tender more shares than we have offered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purchase, we will withdraw the tender offer and not complete such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initial business combination.</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If, however, stockholder approval of the transaction is required by</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applicable law or stock exchange listing requirement, or we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decide to obtain stockholder approval for business or other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reasons, we will:</w:t>
      </w:r>
    </w:p>
    <w:p>
      <w:pPr>
        <w:spacing w:after="0" w:line="103" w:lineRule="exact"/>
        <w:rPr>
          <w:sz w:val="20"/>
          <w:szCs w:val="20"/>
          <w:color w:val="auto"/>
        </w:rPr>
      </w:pPr>
    </w:p>
    <w:p>
      <w:pPr>
        <w:ind w:left="5180" w:right="719" w:hanging="366"/>
        <w:spacing w:after="0" w:line="279" w:lineRule="auto"/>
        <w:tabs>
          <w:tab w:leader="none" w:pos="5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63" w:lineRule="exact"/>
        <w:rPr>
          <w:rFonts w:ascii="Arial" w:cs="Arial" w:eastAsia="Arial" w:hAnsi="Arial"/>
          <w:sz w:val="17"/>
          <w:szCs w:val="17"/>
          <w:color w:val="auto"/>
        </w:rPr>
      </w:pPr>
    </w:p>
    <w:p>
      <w:pPr>
        <w:ind w:left="5180" w:hanging="366"/>
        <w:spacing w:after="0"/>
        <w:tabs>
          <w:tab w:leader="none" w:pos="5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expect that a final proxy statement would be mailed to public</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stockholders at least 10 days prior to the stockholder vote.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However, we expect that a draft proxy statement would be made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available to such stockholders well in advance of such time,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providing additional notice of redemption if we conduct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redemptions in conjunction with a proxy solicitation. Although we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are not required to do so, we currently intend to comply with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substantive and procedural requirements of Regulation 14A 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connection with any stockholder vote even if we are not able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maintain our NYSE listing or Exchange Act registration.</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If we seek stockholder approval, unless otherwise required by</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applicable law, regulation or stock exchange rules, we will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complete our initial business combination only if a majority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outstanding shares of common stock voted are voted in favor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business combination. A quorum for such meeting will consist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holders present in person or by proxy of shares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outstanding capital stock of the company representing a majority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voting power of all outstanding shares of capital stock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company entitled to vote at such meeting. Our initial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stockholders, officers and directors will count towards this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quorum and have agreed to vote any founder shares and any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public shares held by them in favor of our initial business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60" w:hanging="179"/>
        <w:spacing w:after="0" w:line="266" w:lineRule="auto"/>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99"/>
        <w:spacing w:after="0" w:line="252" w:lineRule="auto"/>
        <w:rPr>
          <w:sz w:val="20"/>
          <w:szCs w:val="20"/>
          <w:color w:val="auto"/>
        </w:rPr>
      </w:pPr>
      <w:r>
        <w:rPr>
          <w:rFonts w:ascii="Arial" w:cs="Arial" w:eastAsia="Arial" w:hAnsi="Arial"/>
          <w:sz w:val="18"/>
          <w:szCs w:val="18"/>
          <w:color w:val="auto"/>
        </w:rPr>
        <w:t>combination. We expect that at the time of any stockholder vote relating to our initial business combination, our initial stockholders and their permitted transferees will own at least 20% of our outstanding shares of common stock entitled to vote thereon. As a result, in addition to our initial stockholders’ founder shares, we would need 28,125,001, or 37.5%, of the 75,000,000 public shares sold in this offering to be voted in favor of a transaction (assuming all issued and outstanding shares are voted and the option to purchase additional units is not exercised) in order to have such initial business combination approved. These quorum and voting thresholds and agreements may make it more likely that we will consummate our initial business combination.</w:t>
      </w:r>
    </w:p>
    <w:p>
      <w:pPr>
        <w:spacing w:after="0" w:line="91" w:lineRule="exact"/>
        <w:rPr>
          <w:sz w:val="20"/>
          <w:szCs w:val="20"/>
          <w:color w:val="auto"/>
        </w:rPr>
      </w:pPr>
    </w:p>
    <w:p>
      <w:pPr>
        <w:ind w:right="659"/>
        <w:spacing w:after="0" w:line="267" w:lineRule="auto"/>
        <w:rPr>
          <w:sz w:val="20"/>
          <w:szCs w:val="20"/>
          <w:color w:val="auto"/>
        </w:rPr>
      </w:pPr>
      <w:r>
        <w:rPr>
          <w:rFonts w:ascii="Arial" w:cs="Arial" w:eastAsia="Arial" w:hAnsi="Arial"/>
          <w:sz w:val="17"/>
          <w:szCs w:val="17"/>
          <w:color w:val="auto"/>
        </w:rPr>
        <w:t>Our amended and restated certificate of incorporation will provide that in no event will we redeem our public shares in an amount that would cause our net tangible assets, after payment of the deferred underwriting commissions, to be less than $5,000,001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shares of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shares of common stock submitted for redemption will be returned to the holders thereof.</w:t>
      </w:r>
    </w:p>
    <w:p>
      <w:pPr>
        <w:spacing w:after="0" w:line="200" w:lineRule="exact"/>
        <w:rPr>
          <w:sz w:val="20"/>
          <w:szCs w:val="20"/>
          <w:color w:val="auto"/>
        </w:rPr>
      </w:pPr>
    </w:p>
    <w:p>
      <w:pPr>
        <w:spacing w:after="0" w:line="309" w:lineRule="exact"/>
        <w:rPr>
          <w:sz w:val="20"/>
          <w:szCs w:val="20"/>
          <w:color w:val="auto"/>
        </w:rPr>
      </w:pPr>
    </w:p>
    <w:p>
      <w:pPr>
        <w:ind w:right="679"/>
        <w:spacing w:after="0" w:line="268"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stockholders to satisfy such delivery</w:t>
      </w:r>
    </w:p>
    <w:p>
      <w:pPr>
        <w:spacing w:after="0" w:line="200" w:lineRule="exact"/>
        <w:rPr>
          <w:sz w:val="20"/>
          <w:szCs w:val="20"/>
          <w:color w:val="auto"/>
        </w:rPr>
      </w:pPr>
    </w:p>
    <w:p>
      <w:pPr>
        <w:sectPr>
          <w:pgSz w:w="11900" w:h="16838" w:orient="portrait"/>
          <w:cols w:equalWidth="0" w:num="2">
            <w:col w:w="3880" w:space="580"/>
            <w:col w:w="567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60" w:right="140" w:hanging="179"/>
        <w:spacing w:after="0" w:line="298" w:lineRule="auto"/>
        <w:rPr>
          <w:sz w:val="20"/>
          <w:szCs w:val="20"/>
          <w:color w:val="auto"/>
        </w:rPr>
      </w:pPr>
      <w:r>
        <w:rPr>
          <w:rFonts w:ascii="Arial" w:cs="Arial" w:eastAsia="Arial" w:hAnsi="Arial"/>
          <w:sz w:val="16"/>
          <w:szCs w:val="16"/>
          <w:b w:val="1"/>
          <w:bCs w:val="1"/>
          <w:color w:val="auto"/>
        </w:rPr>
        <w:t>Limitation on redemption rights of stockholders holding more than 15% of the shares sold in this offering if we hold a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60" w:hanging="179"/>
        <w:spacing w:after="0" w:line="289" w:lineRule="auto"/>
        <w:rPr>
          <w:sz w:val="20"/>
          <w:szCs w:val="20"/>
          <w:color w:val="auto"/>
        </w:rPr>
      </w:pPr>
      <w:r>
        <w:rPr>
          <w:rFonts w:ascii="Arial" w:cs="Arial" w:eastAsia="Arial" w:hAnsi="Arial"/>
          <w:sz w:val="17"/>
          <w:szCs w:val="17"/>
          <w:b w:val="1"/>
          <w:bCs w:val="1"/>
          <w:color w:val="auto"/>
        </w:rPr>
        <w:t>Redemption rights in connection with proposed amendments to our certificate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79"/>
        <w:spacing w:after="0" w:line="286" w:lineRule="auto"/>
        <w:rPr>
          <w:sz w:val="20"/>
          <w:szCs w:val="20"/>
          <w:color w:val="auto"/>
        </w:rPr>
      </w:pPr>
      <w:r>
        <w:rPr>
          <w:rFonts w:ascii="Arial" w:cs="Arial" w:eastAsia="Arial" w:hAnsi="Arial"/>
          <w:sz w:val="17"/>
          <w:szCs w:val="17"/>
          <w:color w:val="auto"/>
        </w:rPr>
        <w:t>requirements, which will include the requirement that any beneficial owner on whose behalf a redemption right is being exercised must identify itself in order to validly redeem its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59"/>
        <w:spacing w:after="0" w:line="266" w:lineRule="auto"/>
        <w:rPr>
          <w:sz w:val="20"/>
          <w:szCs w:val="20"/>
          <w:color w:val="auto"/>
        </w:rPr>
      </w:pPr>
      <w:r>
        <w:rPr>
          <w:rFonts w:ascii="Arial" w:cs="Arial" w:eastAsia="Arial" w:hAnsi="Arial"/>
          <w:sz w:val="17"/>
          <w:szCs w:val="17"/>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affiliates to purchase their shares at a significant premium to the then-current market price or on other undesirable terms. Absent this provision, a public stockholder holding more than an aggregate of 15% of the shares sold in this offering could threaten to exercise its redemption rights against a business combination if such holder’s shares are not purchased by us or our affiliates at a premium to the then-current market price or on other undesirable terms. By limiting our stockholders’ ability to redeem to no more than 15%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15% of the shares sold in this offering) for or against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79"/>
        <w:spacing w:after="0" w:line="269" w:lineRule="auto"/>
        <w:rPr>
          <w:sz w:val="20"/>
          <w:szCs w:val="20"/>
          <w:color w:val="auto"/>
        </w:rPr>
      </w:pPr>
      <w:r>
        <w:rPr>
          <w:rFonts w:ascii="Arial" w:cs="Arial" w:eastAsia="Arial" w:hAnsi="Arial"/>
          <w:sz w:val="17"/>
          <w:szCs w:val="17"/>
          <w:color w:val="auto"/>
        </w:rPr>
        <w:t>Our amended and restated certificate of incorporation will provide that any of its provisions related to pre-business combination activity (including the requirement to fund the trust account and not release such amounts except in specified circumstances and to provide redemption rights to public stockholders as described herein) may be amended if approved by holders of at least 65% of our common stock, and corresponding provisions of the trust agreement governing the release of funds from our trust account may be amended if approved by holders of 65% of our common stock. In all other instances (other than the election of directors), our amended and restated certificate of incorporation will provide that it may be amended by holders of a</w:t>
      </w:r>
    </w:p>
    <w:p>
      <w:pPr>
        <w:spacing w:after="0" w:line="200" w:lineRule="exact"/>
        <w:rPr>
          <w:sz w:val="20"/>
          <w:szCs w:val="20"/>
          <w:color w:val="auto"/>
        </w:rPr>
      </w:pPr>
    </w:p>
    <w:p>
      <w:pPr>
        <w:sectPr>
          <w:pgSz w:w="11900" w:h="16838" w:orient="portrait"/>
          <w:cols w:equalWidth="0" w:num="2">
            <w:col w:w="3980" w:space="480"/>
            <w:col w:w="5679"/>
          </w:cols>
          <w:pgMar w:left="320" w:top="131" w:right="1440"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460" w:hanging="179"/>
        <w:spacing w:after="0" w:line="266" w:lineRule="auto"/>
        <w:rPr>
          <w:sz w:val="20"/>
          <w:szCs w:val="20"/>
          <w:color w:val="auto"/>
        </w:rPr>
      </w:pPr>
      <w:r>
        <w:rPr>
          <w:rFonts w:ascii="Arial" w:cs="Arial" w:eastAsia="Arial" w:hAnsi="Arial"/>
          <w:sz w:val="18"/>
          <w:szCs w:val="18"/>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59"/>
        <w:spacing w:after="0" w:line="266" w:lineRule="auto"/>
        <w:rPr>
          <w:sz w:val="20"/>
          <w:szCs w:val="20"/>
          <w:color w:val="auto"/>
        </w:rPr>
      </w:pPr>
      <w:r>
        <w:rPr>
          <w:rFonts w:ascii="Arial" w:cs="Arial" w:eastAsia="Arial" w:hAnsi="Arial"/>
          <w:sz w:val="17"/>
          <w:szCs w:val="17"/>
          <w:color w:val="auto"/>
        </w:rPr>
        <w:t>majority of our common stock entitled to vote thereon, subject to applicable provisions of the Delaware General Corporation Law, or DGCL, or applicable stock exchange rules. Prior to an initial business combination, we may not issue additional securities that can vote on amendments to our amended and restated certificate of incorporation or on our initial business combination or that would entitle holders thereof to receive funds from the trust account. Our initial stockholders, who will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may choose. 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common stock upon approval of any such amendment at a per share price, payable in cash, equal to the aggregate amount then on deposit in the trust account, including interest (net of permitted withdrawals), divided by the number of then outstanding public shares.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Any permitted transferees would be subject to the same restrictions and other agreements of our initial stockholders with respect to any founder shares.</w:t>
      </w:r>
    </w:p>
    <w:p>
      <w:pPr>
        <w:spacing w:after="0" w:line="200" w:lineRule="exact"/>
        <w:rPr>
          <w:sz w:val="20"/>
          <w:szCs w:val="20"/>
          <w:color w:val="auto"/>
        </w:rPr>
      </w:pPr>
    </w:p>
    <w:p>
      <w:pPr>
        <w:spacing w:after="0" w:line="319" w:lineRule="exact"/>
        <w:rPr>
          <w:sz w:val="20"/>
          <w:szCs w:val="20"/>
          <w:color w:val="auto"/>
        </w:rPr>
      </w:pPr>
    </w:p>
    <w:p>
      <w:pPr>
        <w:ind w:right="719"/>
        <w:spacing w:after="0" w:line="268"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exercise their redemption rights as described above under “Proposed Business —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to us from the trust account for general corporate purposes, including for maintenance or expansion of operations</w:t>
      </w:r>
    </w:p>
    <w:p>
      <w:pPr>
        <w:spacing w:after="0" w:line="200" w:lineRule="exact"/>
        <w:rPr>
          <w:sz w:val="20"/>
          <w:szCs w:val="20"/>
          <w:color w:val="auto"/>
        </w:rPr>
      </w:pPr>
    </w:p>
    <w:p>
      <w:pPr>
        <w:sectPr>
          <w:pgSz w:w="11900" w:h="16838" w:orient="portrait"/>
          <w:cols w:equalWidth="0" w:num="2">
            <w:col w:w="3900" w:space="560"/>
            <w:col w:w="567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60" w:hanging="179"/>
        <w:spacing w:after="0" w:line="314" w:lineRule="auto"/>
        <w:rPr>
          <w:sz w:val="20"/>
          <w:szCs w:val="20"/>
          <w:color w:val="auto"/>
        </w:rPr>
      </w:pPr>
      <w:r>
        <w:rPr>
          <w:rFonts w:ascii="Arial" w:cs="Arial" w:eastAsia="Arial" w:hAnsi="Arial"/>
          <w:sz w:val="16"/>
          <w:szCs w:val="16"/>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 w:right="679"/>
        <w:spacing w:after="0" w:line="259" w:lineRule="auto"/>
        <w:rPr>
          <w:sz w:val="20"/>
          <w:szCs w:val="20"/>
          <w:color w:val="auto"/>
        </w:rPr>
      </w:pPr>
      <w:r>
        <w:rPr>
          <w:rFonts w:ascii="Arial" w:cs="Arial" w:eastAsia="Arial" w:hAnsi="Arial"/>
          <w:sz w:val="18"/>
          <w:szCs w:val="18"/>
          <w:color w:val="auto"/>
        </w:rPr>
        <w:t>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pacing w:after="0" w:line="311" w:lineRule="exact"/>
        <w:rPr>
          <w:sz w:val="20"/>
          <w:szCs w:val="20"/>
          <w:color w:val="auto"/>
        </w:rPr>
      </w:pPr>
    </w:p>
    <w:p>
      <w:pPr>
        <w:ind w:left="6" w:right="659"/>
        <w:spacing w:after="0" w:line="268" w:lineRule="auto"/>
        <w:rPr>
          <w:sz w:val="20"/>
          <w:szCs w:val="20"/>
          <w:color w:val="auto"/>
        </w:rPr>
      </w:pPr>
      <w:r>
        <w:rPr>
          <w:rFonts w:ascii="Arial" w:cs="Arial" w:eastAsia="Arial" w:hAnsi="Arial"/>
          <w:sz w:val="17"/>
          <w:szCs w:val="17"/>
          <w:color w:val="auto"/>
        </w:rPr>
        <w:t>Our amended and restated certificate of incorporation provides that we will have only the completion window to complete our initial business combination. If we are unable to complete our initial business combination within the completion window, we will: (1) cease all operations except for the purpose of winding up;</w:t>
      </w:r>
    </w:p>
    <w:p>
      <w:pPr>
        <w:spacing w:after="0" w:line="3" w:lineRule="exact"/>
        <w:rPr>
          <w:sz w:val="20"/>
          <w:szCs w:val="20"/>
          <w:color w:val="auto"/>
        </w:rPr>
      </w:pPr>
    </w:p>
    <w:p>
      <w:pPr>
        <w:ind w:left="6" w:right="659" w:hanging="6"/>
        <w:spacing w:after="0" w:line="266" w:lineRule="auto"/>
        <w:tabs>
          <w:tab w:leader="none" w:pos="2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ten business days thereafter, redeem the public shares, at a per 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such completion window.</w:t>
      </w:r>
    </w:p>
    <w:p>
      <w:pPr>
        <w:spacing w:after="0" w:line="83" w:lineRule="exact"/>
        <w:rPr>
          <w:sz w:val="20"/>
          <w:szCs w:val="20"/>
          <w:color w:val="auto"/>
        </w:rPr>
      </w:pPr>
    </w:p>
    <w:p>
      <w:pPr>
        <w:ind w:left="6" w:right="659"/>
        <w:spacing w:after="0" w:line="268" w:lineRule="auto"/>
        <w:rPr>
          <w:sz w:val="20"/>
          <w:szCs w:val="20"/>
          <w:color w:val="auto"/>
        </w:rPr>
      </w:pPr>
      <w:r>
        <w:rPr>
          <w:rFonts w:ascii="Arial" w:cs="Arial" w:eastAsia="Arial" w:hAnsi="Arial"/>
          <w:sz w:val="17"/>
          <w:szCs w:val="17"/>
          <w:color w:val="auto"/>
        </w:rPr>
        <w:t>Our initial stockholders,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the completion window. However, if our sponsor or any of our officers, directors or any of their respective affiliates acquires public shares after this offering, they will be entitled to liquidating distributions from the trust account with respect to such public shares if we fail to complete our initial business combination within the completion window. The underwriters have agreed to waive their rights to their deferred underwriting commission held in the trust account in the event we do not complete our initial business combination and, in such event, such amounts will be included with the funds held in the trust account that will be available to fund the redemption of our public shares.</w:t>
      </w:r>
    </w:p>
    <w:p>
      <w:pPr>
        <w:spacing w:after="0" w:line="72" w:lineRule="exact"/>
        <w:rPr>
          <w:sz w:val="20"/>
          <w:szCs w:val="20"/>
          <w:color w:val="auto"/>
        </w:rPr>
      </w:pPr>
    </w:p>
    <w:p>
      <w:pPr>
        <w:ind w:left="6" w:right="659"/>
        <w:spacing w:after="0" w:line="270"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w:t>
      </w:r>
    </w:p>
    <w:p>
      <w:pPr>
        <w:spacing w:after="0" w:line="200" w:lineRule="exact"/>
        <w:rPr>
          <w:sz w:val="20"/>
          <w:szCs w:val="20"/>
          <w:color w:val="auto"/>
        </w:rPr>
      </w:pPr>
    </w:p>
    <w:p>
      <w:pPr>
        <w:sectPr>
          <w:pgSz w:w="11900" w:h="16838" w:orient="portrait"/>
          <w:cols w:equalWidth="0" w:num="2">
            <w:col w:w="3860" w:space="594"/>
            <w:col w:w="5686"/>
          </w:cols>
          <w:pgMar w:left="320" w:top="131" w:right="1440" w:bottom="1440" w:gutter="0" w:footer="0" w:header="0"/>
          <w:type w:val="continuous"/>
        </w:sectPr>
      </w:pPr>
    </w:p>
    <w:p>
      <w:pPr>
        <w:spacing w:after="0" w:line="34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of common stock upon approval of any such amendment at</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 per share price, payable in cash, equal to the aggregate amount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then on deposit in the trust account, including interest (net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permitted withdrawals and up to $100,000 of interest to pay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dissolution expenses), divided by the number of then outstanding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public shares.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Limited payments to insiders</w:t>
      </w:r>
      <w:r>
        <w:rPr>
          <w:sz w:val="20"/>
          <w:szCs w:val="20"/>
          <w:color w:val="auto"/>
        </w:rPr>
        <w:tab/>
      </w:r>
      <w:r>
        <w:rPr>
          <w:rFonts w:ascii="Arial" w:cs="Arial" w:eastAsia="Arial" w:hAnsi="Arial"/>
          <w:sz w:val="17"/>
          <w:szCs w:val="17"/>
          <w:color w:val="auto"/>
        </w:rPr>
        <w:t>There will be no finder’s fees, reimbursement, consulting fee,</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monies in respect of any payment of a loan or other compensation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paid by us to our sponsor, officers or directors or our or any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their respective affiliates, for services rendered to us prior to or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connection with the completion of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combination (regardless of the type of transaction that it is).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However, the following payments may be made to our sponsor,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officers or directors, or our or their affiliates, and, if made prior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initial business combination will be made from (i) funds held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outside the trust account or (ii) permitted withdrawals: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repayment of an aggregate of up to $600,000 in loans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made to us by our sponsor to cover offering-related and</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organizational expenses;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at the closing of our initial business combination, a</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customary financial advisory fee to M. Klein and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Company, or another affiliate of our sponsor, in an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amount that constitutes a market standard financial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advisory fee for comparable transactions;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payment to an affiliate of our sponsor of a total of</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$50,000 per month, for up to 27 months, for office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space, administrative and support services;</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reimbursement for any out-of-pocket expenses related to</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identifying, investigating and completing an initial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combination; and</w:t>
      </w:r>
    </w:p>
    <w:p>
      <w:pPr>
        <w:spacing w:after="0" w:line="103"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repayment of loans which may be made by our sponsor,</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an affiliate of our sponsor or our officers and directors to</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finance transaction costs in connection with an intended</w:t>
      </w:r>
    </w:p>
    <w:p>
      <w:pPr>
        <w:spacing w:after="0" w:line="21" w:lineRule="exact"/>
        <w:rPr>
          <w:sz w:val="20"/>
          <w:szCs w:val="20"/>
          <w:color w:val="auto"/>
        </w:rPr>
      </w:pPr>
    </w:p>
    <w:p>
      <w:pPr>
        <w:jc w:val="right"/>
        <w:ind w:right="659"/>
        <w:spacing w:after="0"/>
        <w:rPr>
          <w:sz w:val="20"/>
          <w:szCs w:val="20"/>
          <w:color w:val="auto"/>
        </w:rPr>
      </w:pPr>
      <w:r>
        <w:rPr>
          <w:rFonts w:ascii="Arial" w:cs="Arial" w:eastAsia="Arial" w:hAnsi="Arial"/>
          <w:sz w:val="18"/>
          <w:szCs w:val="18"/>
          <w:color w:val="auto"/>
        </w:rPr>
        <w:t>initial business combination, the terms of which have not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been determined nor have any written agreements been</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executed with respect thereto. Up to $1,500,000 of such</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loans may be convertible into warrants of the post-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combination entity at a price of $1.00 per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warrant at the option of the lender.</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audit committee will review on a quarterly basis all payments</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that were made by us to our sponsor, officers or directors or our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any of their respective affiliates.</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Audit Committee</w:t>
      </w:r>
      <w:r>
        <w:rPr>
          <w:sz w:val="20"/>
          <w:szCs w:val="20"/>
          <w:color w:val="auto"/>
        </w:rPr>
        <w:tab/>
      </w:r>
      <w:r>
        <w:rPr>
          <w:rFonts w:ascii="Arial" w:cs="Arial" w:eastAsia="Arial" w:hAnsi="Arial"/>
          <w:sz w:val="17"/>
          <w:szCs w:val="17"/>
          <w:color w:val="auto"/>
        </w:rPr>
        <w:t>Prior to the effectiveness of this registration statement, we will</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have established and will maintain an audit committee to, among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things, monitor compliance with the terms described above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and the other terms relating to this offering. If any noncompliance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is identified, then the audit committee will be charged with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responsibility to immediately take all action necessary to rectify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such noncompliance or otherwise to cause</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compliance with the terms of this offering. Please see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“Management — Committees of the Board of Directors — Audit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Committee” for additional information.</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Conflicts of Interest</w:t>
      </w:r>
      <w:r>
        <w:rPr>
          <w:sz w:val="20"/>
          <w:szCs w:val="20"/>
          <w:color w:val="auto"/>
        </w:rPr>
        <w:tab/>
      </w:r>
      <w:r>
        <w:rPr>
          <w:rFonts w:ascii="Arial" w:cs="Arial" w:eastAsia="Arial" w:hAnsi="Arial"/>
          <w:sz w:val="17"/>
          <w:szCs w:val="17"/>
          <w:color w:val="auto"/>
        </w:rPr>
        <w:t>Mr. Klein is the founder and managing partner of M. Klein and</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Company and acts as a strategic advisor to its clients. M. Klein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Company is an affiliate of our sponsor. Mr. Klein has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fiduciary duty to M. Klein and Company. As a result, Mr. Klein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may have a duty to offer acquisition opportunities to clients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 Klein and Company. Mr. Klein will have no duty to offer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acquisition opportunities to the Company unless presented to him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solely in his capacity as an officer or director of the Company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after he has satisfied his contractual and fiduciary obligations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other parties.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As a result, M. Klein and Company’s clients may compete with us</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for acquisition opportunities in the same industries and sectors as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may target for our initial business combination. If any of them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decide to pursue any such opportunity, we may be precluded from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procuring such opportunities. In addition, investment ideas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generated within M. Klein and Company, including by Mr. Klein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and other persons who may make decisions for the company, may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be suitable both for us and for M. Klein and Company or any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its clients, and will be directed initially to such persons rather than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 us. None of Mr. Klein, M. Klein and Company or members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management team who are also employed by M. Klein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Company have any obligation to present us with any opportunity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for a potential business combination of which they become aware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unless it is offered to them solely in their capacity as a director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officer of the Company and after they have satisfied their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contractual and fiduciary obligations to other parties.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Strategic and Operating Partners and their personnel, if any,</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may have a duty to offer acquisition opportunities to clients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parties. Such persons will have no duty to offer acquisition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opportunities to the Company unless presented to them solely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their capacity as a director of the Company and after they have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satisfied any contractual and fiduciary obligations to other parties.</w:t>
      </w:r>
    </w:p>
    <w:p>
      <w:pPr>
        <w:spacing w:after="0" w:line="1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 result, such persons may compete with us for acquisition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opportunities in the same industries and sectors as we may target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for our initial business combination. Consequently, we may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precluded from procuring such opportunities. In addition,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investment ideas may be suitable both for us and for a Strategic</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Partner or Operating Partner or any of its clients, and will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directed initially to such persons rather than to us.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addition, Mr. Klein, M. Klein and Company and any of our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Strategic and Operating Partners or their personnel may sponsor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form other blank check companies similar to ours during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period in which we are seeking an initial business combination.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particular, Mr. Klein, M. Klein and Company, our Strategic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Operating Partners and our board of directors, actively engaged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Churchill Capital Corp II and Churchill Capital Corp III, special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purpose acquisition corporations that completed their initial public</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offerings in July 2019 and February 2020,</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respectively. Churchill Capital Corp II and Churchill Capital Corp</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III, like us, may pursue initial business combination targets in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businesses or industries and have until July 1, 2021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February 19, 2022, respectively, to do so (absent an extension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accordance with their charters). Any such companies, including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Churchill Capital Corp II and Churchill Capital Corp III, may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present additional conflicts of interest in pursuing an acquisition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target.</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Furthermore, our sponsor, officers and directors may participate in</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formation of, or become an officer or director of, any other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blank check company prior to completion of our initial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As a result, our sponsor, officers or directors could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have conflicts of interest in determining whether to present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opportunities to us or to any other blank</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check company with which they may become involved.</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also may engage M. Klein and Company, or another affiliate</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our sponsor, as our lead financial advisor in connection with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initial business combination and may pay such affiliate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customary financial advisory fee in an amount that constitutes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market standard financial advisory fee for comparable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transactions. See “Risk Factors — We may engage M. Klein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Company, or another affiliate of our sponsor, as our lead financial</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advisor on our business combinations and other transactions.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fee in connection with such engagement may be conditioned upon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completion of such transactions. This financial interest in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completion of such transactions may influence the advice such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affiliate provides.”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described in “Proposed Business — Sourcing of Potential</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Business Combination Targets” and “Management — Conflicts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Interest,” each of our officers and directors presently has, and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them in the future may have additional, fiduciary, contractual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obligations or duties to one or more other entities pursuant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which such officer or director is or will be required to present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business combination opportunity to such entities. Accordingly, if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any of our officers or directors becomes aware of a business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combination opportunity which is suitable for one or more entities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which he or she has fiduciary, contractual or other obligations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duties, he or she will honor these obligations and duties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present such business combination opportunity to such entities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first, and only present it to us if such entities reject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opportunity and he or she determines to present the opportunity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us (including as described above). These conflicts may not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resolved in our favor and a potential target business may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presented to another entity prior to its presentation to us.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addition, none of the Operating Partners are officers or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directors of our company and therefore owe us no fiduciary duties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such. While we expect that they will assist us in identifying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business combination targets, they have no obligation to do so and</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may devote a substantial portion of their business time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activities unrelated to us. Each Operating Partner may have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fiduciary, contractual or other obligations or duties to other</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organizations to present business combination opportunities to</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such other organizations rather than to us. Accordingly, if any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Operating Partner becomes aware of a business combination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opportunity which is suitable for one or more entities to which 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or she has fiduciary, contractual or other obligations or duties, 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 she will honor those obligations and duties to present such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business combination opportunity to such entities first and only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present it to us if such entities reject the opportunity and he or she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determines to present the opportunity to us. These conflicts may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not be resolved in our favor and a potential business may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presented to another entity prior to its presentation to us.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potential conflicts described above may limit our ability to</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enter into a business combination or other transactions. These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circumstances could give rise to numerous situations where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interests may conflict. There can be no assurance that these or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other conflicts of interest with the potential for adverse effects 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Company and investors will not arise.</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Indemnity</w:t>
      </w:r>
      <w:r>
        <w:rPr>
          <w:sz w:val="20"/>
          <w:szCs w:val="20"/>
          <w:color w:val="auto"/>
        </w:rPr>
        <w:tab/>
      </w:r>
      <w:r>
        <w:rPr>
          <w:rFonts w:ascii="Arial" w:cs="Arial" w:eastAsia="Arial" w:hAnsi="Arial"/>
          <w:sz w:val="18"/>
          <w:szCs w:val="18"/>
          <w:color w:val="auto"/>
        </w:rPr>
        <w:t>Our sponsor has agreed that it will be liable to us if and to the</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extent any claims by a third party (other than our independent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registered public accounting firm) for services rendered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products sold to us, or a prospective target business with which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 have entered into a written letter of intent, confidentiality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similar agreement or business combination agreement, reduce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amount of funds in the trust account to below: (1) $10.00 per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public share; or (2) the actual amount per public share held in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trust account as of the date of the liquidation of the trust account,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if less than $10.00 per share due to reductions in the value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trust assets, in each case net of permitted withdrawals, except as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any claims by a third party that executed a waiver of any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all rights to the monies held in the trust account (whether any such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waiver is enforceable) and except as to any claims under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indemnity of the underwriters of this offering against certain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liabilities, including liabilities under the Securities Act. We have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not independently verified whether our sponsor has sufficient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funds to satisfy its indemnity obligations and believe that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sponsor’s only assets are securities of our company and, therefore,</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our sponsor may not be able to satisfy those obligations. We have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not asked our sponsor to reserve for such obligations.</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w:t>
      </w:r>
    </w:p>
    <w:p>
      <w:pPr>
        <w:spacing w:after="0" w:line="108" w:lineRule="exact"/>
        <w:rPr>
          <w:sz w:val="20"/>
          <w:szCs w:val="20"/>
          <w:color w:val="auto"/>
        </w:rPr>
      </w:pPr>
    </w:p>
    <w:p>
      <w:pPr>
        <w:ind w:left="1280" w:right="679" w:firstLine="360"/>
        <w:spacing w:after="0" w:line="268" w:lineRule="auto"/>
        <w:rPr>
          <w:sz w:val="20"/>
          <w:szCs w:val="20"/>
          <w:color w:val="auto"/>
        </w:rPr>
      </w:pPr>
      <w:r>
        <w:rPr>
          <w:rFonts w:ascii="Arial" w:cs="Arial" w:eastAsia="Arial" w:hAnsi="Arial"/>
          <w:sz w:val="17"/>
          <w:szCs w:val="17"/>
          <w:color w:val="auto"/>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w:t>
      </w:r>
    </w:p>
    <w:p>
      <w:pPr>
        <w:spacing w:after="0" w:line="1" w:lineRule="exact"/>
        <w:rPr>
          <w:sz w:val="20"/>
          <w:szCs w:val="20"/>
          <w:color w:val="auto"/>
        </w:rPr>
      </w:pPr>
    </w:p>
    <w:p>
      <w:pPr>
        <w:ind w:left="1280" w:right="719"/>
        <w:spacing w:after="0" w:line="253" w:lineRule="auto"/>
        <w:rPr>
          <w:sz w:val="20"/>
          <w:szCs w:val="20"/>
          <w:color w:val="auto"/>
        </w:rPr>
      </w:pPr>
      <w:r>
        <w:rPr>
          <w:rFonts w:ascii="Arial" w:cs="Arial" w:eastAsia="Arial" w:hAnsi="Arial"/>
          <w:sz w:val="18"/>
          <w:szCs w:val="18"/>
          <w:color w:val="auto"/>
        </w:rPr>
        <w:t>Rule 419 blank check offerings. Please see “Proposed Business — Comparison of This Offering to Those of Blank Check Companies Subject to Rule 419” for additional information concerning how Rule 419 blank check offerings differ from this offering. You should carefully consider these and the other risks set forth in the section entitled “Risk Factors” in this prospectus.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Summary Financial Data</w:t>
      </w:r>
    </w:p>
    <w:p>
      <w:pPr>
        <w:spacing w:after="0" w:line="189"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89"/>
              </w:rPr>
              <w:t>As of May 22, 2020</w:t>
            </w:r>
          </w:p>
        </w:tc>
      </w:tr>
      <w:tr>
        <w:trPr>
          <w:trHeight w:val="26"/>
        </w:trPr>
        <w:tc>
          <w:tcPr>
            <w:tcW w:w="6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6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Actual</w:t>
            </w:r>
          </w:p>
        </w:tc>
        <w:tc>
          <w:tcPr>
            <w:tcW w:w="120" w:type="dxa"/>
            <w:vAlign w:val="bottom"/>
          </w:tcPr>
          <w:p>
            <w:pPr>
              <w:spacing w:after="0"/>
              <w:rPr>
                <w:sz w:val="17"/>
                <w:szCs w:val="17"/>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As Adjusted</w:t>
            </w:r>
          </w:p>
        </w:tc>
      </w:tr>
      <w:tr>
        <w:trPr>
          <w:trHeight w:val="26"/>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70"/>
        </w:trPr>
        <w:tc>
          <w:tcPr>
            <w:tcW w:w="6300" w:type="dxa"/>
            <w:vAlign w:val="bottom"/>
          </w:tcPr>
          <w:p>
            <w:pPr>
              <w:spacing w:after="0" w:line="270" w:lineRule="exact"/>
              <w:rPr>
                <w:sz w:val="20"/>
                <w:szCs w:val="20"/>
                <w:color w:val="auto"/>
              </w:rPr>
            </w:pPr>
            <w:r>
              <w:rPr>
                <w:rFonts w:ascii="Arial" w:cs="Arial" w:eastAsia="Arial" w:hAnsi="Arial"/>
                <w:sz w:val="18"/>
                <w:szCs w:val="18"/>
                <w:color w:val="auto"/>
              </w:rPr>
              <w:t>Working capital deficit</w:t>
            </w:r>
            <w:r>
              <w:rPr>
                <w:rFonts w:ascii="Arial" w:cs="Arial" w:eastAsia="Arial" w:hAnsi="Arial"/>
                <w:sz w:val="26"/>
                <w:szCs w:val="26"/>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(34,000)</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723,774,000</w:t>
            </w:r>
          </w:p>
        </w:tc>
      </w:tr>
      <w:tr>
        <w:trPr>
          <w:trHeight w:val="270"/>
        </w:trPr>
        <w:tc>
          <w:tcPr>
            <w:tcW w:w="63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Total assets</w:t>
            </w:r>
            <w:r>
              <w:rPr>
                <w:rFonts w:ascii="Arial" w:cs="Arial" w:eastAsia="Arial" w:hAnsi="Arial"/>
                <w:sz w:val="26"/>
                <w:szCs w:val="26"/>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83,000</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750,024,000</w:t>
            </w:r>
          </w:p>
        </w:tc>
      </w:tr>
      <w:tr>
        <w:trPr>
          <w:trHeight w:val="270"/>
        </w:trPr>
        <w:tc>
          <w:tcPr>
            <w:tcW w:w="6300" w:type="dxa"/>
            <w:vAlign w:val="bottom"/>
          </w:tcPr>
          <w:p>
            <w:pPr>
              <w:spacing w:after="0" w:line="270" w:lineRule="exact"/>
              <w:rPr>
                <w:sz w:val="20"/>
                <w:szCs w:val="20"/>
                <w:color w:val="auto"/>
              </w:rPr>
            </w:pPr>
            <w:r>
              <w:rPr>
                <w:rFonts w:ascii="Arial" w:cs="Arial" w:eastAsia="Arial" w:hAnsi="Arial"/>
                <w:sz w:val="18"/>
                <w:szCs w:val="18"/>
                <w:color w:val="auto"/>
              </w:rPr>
              <w:t>Total liabilities</w:t>
            </w:r>
            <w:r>
              <w:rPr>
                <w:rFonts w:ascii="Arial" w:cs="Arial" w:eastAsia="Arial" w:hAnsi="Arial"/>
                <w:sz w:val="26"/>
                <w:szCs w:val="26"/>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59,000</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26,250,000</w:t>
            </w:r>
          </w:p>
        </w:tc>
      </w:tr>
      <w:tr>
        <w:trPr>
          <w:trHeight w:val="270"/>
        </w:trPr>
        <w:tc>
          <w:tcPr>
            <w:tcW w:w="63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Value of common stock subject to possible redemption</w:t>
            </w:r>
            <w:r>
              <w:rPr>
                <w:rFonts w:ascii="Arial" w:cs="Arial" w:eastAsia="Arial" w:hAnsi="Arial"/>
                <w:sz w:val="26"/>
                <w:szCs w:val="26"/>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718,773,990</w:t>
            </w:r>
          </w:p>
        </w:tc>
      </w:tr>
      <w:tr>
        <w:trPr>
          <w:trHeight w:val="355"/>
        </w:trPr>
        <w:tc>
          <w:tcPr>
            <w:tcW w:w="6300" w:type="dxa"/>
            <w:vAlign w:val="bottom"/>
          </w:tcPr>
          <w:p>
            <w:pPr>
              <w:spacing w:after="0"/>
              <w:rPr>
                <w:sz w:val="20"/>
                <w:szCs w:val="20"/>
                <w:color w:val="auto"/>
              </w:rPr>
            </w:pPr>
            <w:r>
              <w:rPr>
                <w:rFonts w:ascii="Arial" w:cs="Arial" w:eastAsia="Arial" w:hAnsi="Arial"/>
                <w:sz w:val="18"/>
                <w:szCs w:val="18"/>
                <w:color w:val="auto"/>
              </w:rPr>
              <w:t>Total stockholder’s equity</w:t>
            </w:r>
            <w:r>
              <w:rPr>
                <w:rFonts w:ascii="Arial" w:cs="Arial" w:eastAsia="Arial" w:hAnsi="Arial"/>
                <w:sz w:val="26"/>
                <w:szCs w:val="26"/>
                <w:color w:val="auto"/>
                <w:vertAlign w:val="superscript"/>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24,000</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-1082040</wp:posOffset>
            </wp:positionV>
            <wp:extent cx="45688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117475</wp:posOffset>
            </wp:positionV>
            <wp:extent cx="12344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0" w:lineRule="exact"/>
        <w:rPr>
          <w:sz w:val="20"/>
          <w:szCs w:val="20"/>
          <w:color w:val="auto"/>
        </w:rPr>
      </w:pPr>
    </w:p>
    <w:p>
      <w:pPr>
        <w:ind w:left="1620" w:right="819" w:hanging="352"/>
        <w:spacing w:after="0" w:line="26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 adjusted” calculation includes $750,000,000 cash held in trust from the proceeds of this offering and the sale of the private placement warrants, plus $24,000 of actual stockholders’ equity as of May 22, 2020, less $26,250,000 of deferred underwriting commissions.</w:t>
      </w:r>
    </w:p>
    <w:p>
      <w:pPr>
        <w:spacing w:after="0" w:line="143" w:lineRule="exact"/>
        <w:rPr>
          <w:rFonts w:ascii="Arial" w:cs="Arial" w:eastAsia="Arial" w:hAnsi="Arial"/>
          <w:sz w:val="18"/>
          <w:szCs w:val="18"/>
          <w:color w:val="auto"/>
        </w:rPr>
      </w:pPr>
    </w:p>
    <w:p>
      <w:pPr>
        <w:ind w:left="1620" w:right="759" w:hanging="352"/>
        <w:spacing w:after="0" w:line="26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 adjusted” calculation equals $750,000,000 cash held in trust from the proceeds of this offering and the sale of the private placement warrants, plus $24,000 of actual stockholders’ equity as of May 22, 2020.</w:t>
      </w:r>
    </w:p>
    <w:p>
      <w:pPr>
        <w:spacing w:after="0" w:line="143" w:lineRule="exact"/>
        <w:rPr>
          <w:rFonts w:ascii="Arial" w:cs="Arial" w:eastAsia="Arial" w:hAnsi="Arial"/>
          <w:sz w:val="18"/>
          <w:szCs w:val="18"/>
          <w:color w:val="auto"/>
        </w:rPr>
      </w:pPr>
    </w:p>
    <w:p>
      <w:pPr>
        <w:ind w:left="1620" w:hanging="352"/>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 adjusted” calculation includes $26,250,000 of deferred underwriting commissions.</w:t>
      </w:r>
    </w:p>
    <w:p>
      <w:pPr>
        <w:spacing w:after="0" w:line="198" w:lineRule="exact"/>
        <w:rPr>
          <w:rFonts w:ascii="Arial" w:cs="Arial" w:eastAsia="Arial" w:hAnsi="Arial"/>
          <w:sz w:val="18"/>
          <w:szCs w:val="18"/>
          <w:color w:val="auto"/>
        </w:rPr>
      </w:pPr>
    </w:p>
    <w:p>
      <w:pPr>
        <w:ind w:left="1620" w:right="1019" w:hanging="352"/>
        <w:spacing w:after="0" w:line="26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 adjusted” calculation equals the “as adjusted” total assets, less the “as adjusted” total liabilities, less the “as adjusted” stockholders’ equity, which is set to approximate the minimum net tangible assets threshold of at least $5,000,001.</w:t>
      </w:r>
    </w:p>
    <w:p>
      <w:pPr>
        <w:spacing w:after="0" w:line="143" w:lineRule="exact"/>
        <w:rPr>
          <w:rFonts w:ascii="Arial" w:cs="Arial" w:eastAsia="Arial" w:hAnsi="Arial"/>
          <w:sz w:val="18"/>
          <w:szCs w:val="18"/>
          <w:color w:val="auto"/>
        </w:rPr>
      </w:pPr>
    </w:p>
    <w:p>
      <w:pPr>
        <w:ind w:left="1620" w:right="659" w:hanging="352"/>
        <w:spacing w:after="0" w:line="273" w:lineRule="auto"/>
        <w:tabs>
          <w:tab w:leader="none" w:pos="1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Excludes 71,877,399 public shares which are subject to redemption in connection with our initial business combination. The “as adjusted” calculation equals the “as adjusted” total assets, less the “as adjusted” total liabilities, less the value of Class A common stock that may be redeemed in connection with our initial business combination (initially $10.00 per share). The actual number of public shares that may be redeemed may exceed the aforementioned amount provided that we will not consummate an initial business combination unless we satisfy the $5,000,001 minimum net tangible assets threshold.</w:t>
      </w:r>
    </w:p>
    <w:p>
      <w:pPr>
        <w:spacing w:after="0" w:line="16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“as adjusted” information gives effect to the sale of the units in this offering, the sale of the private placement warrants, and the payment of the estimated expenses of this offering and assumes no exercise of the underwriters’ over-allotment option. The “as adjusted” total assets amount includes the $750,000,000 held in the trust account (which would be $862,500,000 if the underwriters’ over-allotment option is exercised in full) for the benefit of our public stockholders, which amount, less deferred underwriting commissions, will be available to us only upon the completion of our initial business combination within the completion window. The “as adjusted” total assets include $26,250,000 being held in the trust account (which would be $30,187,500 if the underwriters’ over-allotment option is exercised in full) representing deferred underwriting commissions. The underwriters will not be entitled to any interest accrued on the deferred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74"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We are a newly incorporated company with no operating history and no revenues, and you have no basis on which to evaluate our ability to achieve our business objective.</w:t>
      </w:r>
    </w:p>
    <w:p>
      <w:pPr>
        <w:spacing w:after="0" w:line="75"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are a newly incorporated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81" w:lineRule="exact"/>
        <w:rPr>
          <w:sz w:val="20"/>
          <w:szCs w:val="20"/>
          <w:color w:val="auto"/>
        </w:rPr>
      </w:pPr>
    </w:p>
    <w:p>
      <w:pPr>
        <w:ind w:left="1260" w:right="659"/>
        <w:spacing w:after="0" w:line="274" w:lineRule="auto"/>
        <w:rPr>
          <w:sz w:val="20"/>
          <w:szCs w:val="20"/>
          <w:color w:val="auto"/>
        </w:rPr>
      </w:pPr>
      <w:r>
        <w:rPr>
          <w:rFonts w:ascii="Arial" w:cs="Arial" w:eastAsia="Arial" w:hAnsi="Arial"/>
          <w:sz w:val="17"/>
          <w:szCs w:val="17"/>
          <w:b w:val="1"/>
          <w:bCs w:val="1"/>
          <w:i w:val="1"/>
          <w:iCs w:val="1"/>
          <w:color w:val="auto"/>
        </w:rPr>
        <w:t>Past performance by M. Klein and Company and members of our management team or our Strategic and Operating Partners may not be indicative of future performance of an investment in us.</w:t>
      </w:r>
    </w:p>
    <w:p>
      <w:pPr>
        <w:spacing w:after="0" w:line="5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Information regarding performance by, or businesses associated with, M. Klein and Company and other members of our management team or our Strategic and Operating Partners is presented for informational purposes only. Any past experience and performance, including related to acquisitions, of M. Klein and Company and members of our management team or our Strategic and Operating Partners is not a guarantee either: (1) that we will be able to successfully identify a suitable candidate for our initial business combination; or (2) of any results with respect to any initial business combination we may consummate. You should not rely on the historical record and performance of M. Klein and Company and members of our management team or our Strategic and Operating Partners as indicative of the future performance of an investment in us or the returns we will, or are likely to, generate going forward. An investment in us is not an investment in M. Klein and Company or our Strategic and Operating Partners.</w:t>
      </w:r>
    </w:p>
    <w:p>
      <w:pPr>
        <w:spacing w:after="0" w:line="172" w:lineRule="exact"/>
        <w:rPr>
          <w:sz w:val="20"/>
          <w:szCs w:val="20"/>
          <w:color w:val="auto"/>
        </w:rPr>
      </w:pPr>
    </w:p>
    <w:p>
      <w:pPr>
        <w:ind w:left="1260" w:right="799"/>
        <w:spacing w:after="0" w:line="231" w:lineRule="auto"/>
        <w:rPr>
          <w:sz w:val="20"/>
          <w:szCs w:val="20"/>
          <w:color w:val="auto"/>
        </w:rPr>
      </w:pPr>
      <w:r>
        <w:rPr>
          <w:rFonts w:ascii="Arial" w:cs="Arial" w:eastAsia="Arial" w:hAnsi="Arial"/>
          <w:sz w:val="18"/>
          <w:szCs w:val="18"/>
          <w:b w:val="1"/>
          <w:bCs w:val="1"/>
          <w:i w:val="1"/>
          <w:iCs w:val="1"/>
          <w:color w:val="auto"/>
        </w:rPr>
        <w:t>Our public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81"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may not hold a stockholder vote to approve our initial business combination unless the business combination would require stockholder approval under applicable law or stock exchange listing requirements or if we decide to hold a stockholder vote for business or other reasons. For instance, the NYSE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However, except as required by applicable law or stock exchange rules,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consummate our initial business combination even if holders of a majority of our outstanding public shares do not approve of the business combination we consummate. Please see “Proposed Business — Stockholders may not have the ability to approve our initial business combination” for additional information.</w:t>
      </w:r>
    </w:p>
    <w:p>
      <w:pPr>
        <w:spacing w:after="0" w:line="200" w:lineRule="exact"/>
        <w:rPr>
          <w:sz w:val="20"/>
          <w:szCs w:val="20"/>
          <w:color w:val="auto"/>
        </w:rPr>
      </w:pP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739"/>
        <w:spacing w:after="0" w:line="343"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6"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initial stockholders, officers and directors have agreed (and their permitted transferees will agree) to vote any founder shares and any public shares held by them in favor of our initial business combination. As a result, in addition to our initial stockholders’ founder shares, we would need 28,125,001, or 37.5%, of the 75,000,000 public shares sold in this offering to be voted in favor of a transaction (assuming all issued and outstanding shares are voted and the option to purchase additional units is not exercised) in order to have such initial business combination approved. We expect that our initial stockholders and their permitted transferees will own at least 20% of our outstanding shares of common stock at the time of any such stockholder vote. Accordingly, if we seek stockholder approval of our initial business combination, it is more likely that the necessary stockholder approval will be received than would be the case if our initial stockholders and their permitted transferees agreed to vote their founder shares in accordance with the majority of the votes cast by our public stockholders.</w:t>
      </w:r>
    </w:p>
    <w:p>
      <w:pPr>
        <w:spacing w:after="0" w:line="168" w:lineRule="exact"/>
        <w:rPr>
          <w:sz w:val="20"/>
          <w:szCs w:val="20"/>
          <w:color w:val="auto"/>
        </w:rPr>
      </w:pPr>
    </w:p>
    <w:p>
      <w:pPr>
        <w:ind w:left="1260" w:right="719"/>
        <w:spacing w:after="0" w:line="235"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such business combination.</w:t>
      </w:r>
    </w:p>
    <w:p>
      <w:pPr>
        <w:spacing w:after="0" w:line="80"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any target businesses. Additionally, since our board of directors may complete a business combination without seeking stockholder approval, public stockholders may not have the right or opportunity to vote on the business combination.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78" w:lineRule="exact"/>
        <w:rPr>
          <w:sz w:val="20"/>
          <w:szCs w:val="20"/>
          <w:color w:val="auto"/>
        </w:rPr>
      </w:pPr>
    </w:p>
    <w:p>
      <w:pPr>
        <w:ind w:left="1260" w:right="679"/>
        <w:spacing w:after="0" w:line="235"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80"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may seek to enter into a business combination transaction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(so that we do not then become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176" w:lineRule="exact"/>
        <w:rPr>
          <w:sz w:val="20"/>
          <w:szCs w:val="20"/>
          <w:color w:val="auto"/>
        </w:rPr>
      </w:pPr>
    </w:p>
    <w:p>
      <w:pPr>
        <w:ind w:left="1260" w:right="979"/>
        <w:spacing w:after="0" w:line="400" w:lineRule="auto"/>
        <w:rPr>
          <w:sz w:val="20"/>
          <w:szCs w:val="20"/>
          <w:color w:val="auto"/>
        </w:rPr>
      </w:pPr>
      <w:r>
        <w:rPr>
          <w:rFonts w:ascii="Arial" w:cs="Arial" w:eastAsia="Arial" w:hAnsi="Arial"/>
          <w:sz w:val="13"/>
          <w:szCs w:val="13"/>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 w:lineRule="exact"/>
        <w:rPr>
          <w:sz w:val="20"/>
          <w:szCs w:val="20"/>
          <w:color w:val="auto"/>
        </w:rPr>
      </w:pPr>
    </w:p>
    <w:p>
      <w:pPr>
        <w:ind w:left="1260" w:right="919" w:firstLine="360"/>
        <w:spacing w:after="0" w:line="279"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Furthermore, this dilution would increase to the extent that the anti-dilution provision of the Class B common stock results in the issuance of shares of Class A common stock on a greater than one-to-one basis upon conversion of the Class B common stock at the time of our initial business combination. In addition, the amount of deferred underwriting commissions payable to the underwriters is not required to be adjusted for any shares that are redeemed in connection with an initial business combination. The above considerations may limit our ability to complete the most desirable business combination available to us or optimize our capital structure.</w:t>
      </w:r>
    </w:p>
    <w:p>
      <w:pPr>
        <w:spacing w:after="0" w:line="165" w:lineRule="exact"/>
        <w:rPr>
          <w:sz w:val="20"/>
          <w:szCs w:val="20"/>
          <w:color w:val="auto"/>
        </w:rPr>
      </w:pPr>
    </w:p>
    <w:p>
      <w:pPr>
        <w:ind w:left="1260" w:right="739"/>
        <w:spacing w:after="0" w:line="253" w:lineRule="auto"/>
        <w:rPr>
          <w:sz w:val="20"/>
          <w:szCs w:val="20"/>
          <w:color w:val="auto"/>
        </w:rPr>
      </w:pPr>
      <w:r>
        <w:rPr>
          <w:rFonts w:ascii="Arial" w:cs="Arial" w:eastAsia="Arial" w:hAnsi="Arial"/>
          <w:sz w:val="17"/>
          <w:szCs w:val="17"/>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70"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83" w:lineRule="exact"/>
        <w:rPr>
          <w:sz w:val="20"/>
          <w:szCs w:val="20"/>
          <w:color w:val="auto"/>
        </w:rPr>
      </w:pPr>
    </w:p>
    <w:p>
      <w:pPr>
        <w:ind w:left="1260" w:right="679"/>
        <w:spacing w:after="0" w:line="242" w:lineRule="auto"/>
        <w:rPr>
          <w:sz w:val="20"/>
          <w:szCs w:val="20"/>
          <w:color w:val="auto"/>
        </w:rPr>
      </w:pPr>
      <w:r>
        <w:rPr>
          <w:rFonts w:ascii="Arial" w:cs="Arial" w:eastAsia="Arial" w:hAnsi="Arial"/>
          <w:sz w:val="17"/>
          <w:szCs w:val="17"/>
          <w:b w:val="1"/>
          <w:bCs w:val="1"/>
          <w:i w:val="1"/>
          <w:iCs w:val="1"/>
          <w:color w:val="auto"/>
        </w:rPr>
        <w:t>The requirement that we complete our initial business combination within the completion window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8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the completion window.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8" w:lineRule="exact"/>
        <w:rPr>
          <w:sz w:val="20"/>
          <w:szCs w:val="20"/>
          <w:color w:val="auto"/>
        </w:rPr>
      </w:pPr>
    </w:p>
    <w:p>
      <w:pPr>
        <w:ind w:left="1260" w:right="899"/>
        <w:spacing w:after="0" w:line="266"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completion window, in which case we would cease all operations except for the purpose of winding up and we would redeem our public shares and liquidate, in which case our public stockholders may receive only $10.00 per share, or less than such amount in certain circumstances, and our warrants will expire worthless.</w:t>
      </w:r>
    </w:p>
    <w:p>
      <w:pPr>
        <w:spacing w:after="0" w:line="62"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Our sponsor, officers and directors have agreed that we must complete our initial business combination within the completion window.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w:t>
      </w:r>
    </w:p>
    <w:p>
      <w:pPr>
        <w:spacing w:after="0" w:line="80"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If we have not completed our initial business combination within such time period, we will: (1) cease all operations except for the purpose of winding up; (2) as promptly as reasonably possible but not more than 10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such case, our public stockholders may receive only $10.00 per share, or less than $10.00 per share, on the redemption of their shares, and our warrants will expire worthless. Please see “— If third parties bring claims against us, the proceeds held in the trust account could be reduced and the per share redemption amount received by stockholders may be less than $10.00 per share” and other risk factors herein.</w:t>
      </w:r>
    </w:p>
    <w:p>
      <w:pPr>
        <w:spacing w:after="0" w:line="73"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If permitted withdrawals and other sources of working capital are insufficient, it could limit the amount available to fund our search for a target business or businesses and complete our initial business combination and we will depend on loans from our sponsor or management team to fund our search, to pay our taxes and to complete our initial business combination. If we are unable to obtain such loans, we may be unable to complete our initial business combination.</w:t>
      </w:r>
    </w:p>
    <w:p>
      <w:pPr>
        <w:spacing w:after="0" w:line="8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None of the net proceeds of this offering and the sale of the private placement warrants will be available to us initially outside the trust account to fund our working capital requirements. In the event that our offering expenses exceed our estimate of $1,000,000, we may fund such excess with loans or additional investments from our sponsor, members of our management team or any of their respective affiliates or other third parties. Conversely, in the event that the offering expenses are less than our estimate of $1,000,000, the excess would be held outside of the trust account. If we are required to seek additional capital, we would need to borrow funds from our sponsor, management team or other third parties to operate or may be forced to liquidate. Neither our sponsor, members of our management team nor any of their respective affiliates is under any obligation or other duty to loan funds to us in such circumstances. Any such loans would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stockholders may receive only $10.00 per share, or less in certain circumstances,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66" w:lineRule="exact"/>
        <w:rPr>
          <w:sz w:val="20"/>
          <w:szCs w:val="20"/>
          <w:color w:val="auto"/>
        </w:rPr>
      </w:pPr>
    </w:p>
    <w:p>
      <w:pPr>
        <w:jc w:val="both"/>
        <w:ind w:left="1260" w:right="659"/>
        <w:spacing w:after="0" w:line="303"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our sponsor, directors, officers, advisors or any of their respective affiliates may elect to purchase shares or warrants from the public, which may influence a vote on a proposed business combination and reduce the public “float” of our common stock.</w:t>
      </w:r>
    </w:p>
    <w:p>
      <w:pPr>
        <w:spacing w:after="0" w:line="35"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although they are under no obligation or other duty to do so. Please see “Proposed Business — Permitted purchases of our securities” for a description of how such persons will determine from which stockholders to seek to acquire shares or warrants. Such a purchase may include a contractual acknowledgement that such public stockholder, although still the record holder of our shares is no longer the beneficial owner thereof and therefore agrees not to exercise its redemption rights. In the event that our sponsor, directors, officers, advisors or any of their respective affiliates purchase public shares in privately negotiated transactions from public stockholders who have already elected to exercise their redemption rights, such selling public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business combination and 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such purchases could be to vote such shares in favor of the business combination and</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2" w:lineRule="auto"/>
        <w:rPr>
          <w:sz w:val="20"/>
          <w:szCs w:val="20"/>
          <w:color w:val="auto"/>
        </w:rPr>
      </w:pPr>
      <w:r>
        <w:rPr>
          <w:rFonts w:ascii="Arial" w:cs="Arial" w:eastAsia="Arial" w:hAnsi="Arial"/>
          <w:sz w:val="18"/>
          <w:szCs w:val="18"/>
          <w:color w:val="auto"/>
        </w:rPr>
        <w:t>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Please see “Proposed Business — Permitted purchases of our securities” for a description of how our sponsor, directors, officers, advisors or any of their respective affiliates will select which stockholders to purchase securities from in any private transaction.</w:t>
      </w:r>
    </w:p>
    <w:p>
      <w:pPr>
        <w:spacing w:after="0" w:line="92" w:lineRule="exact"/>
        <w:rPr>
          <w:sz w:val="20"/>
          <w:szCs w:val="20"/>
          <w:color w:val="auto"/>
        </w:rPr>
      </w:pPr>
    </w:p>
    <w:p>
      <w:pPr>
        <w:ind w:left="1260" w:right="939" w:firstLine="360"/>
        <w:spacing w:after="0" w:line="286" w:lineRule="auto"/>
        <w:rPr>
          <w:sz w:val="20"/>
          <w:szCs w:val="20"/>
          <w:color w:val="auto"/>
        </w:rPr>
      </w:pPr>
      <w:r>
        <w:rPr>
          <w:rFonts w:ascii="Arial" w:cs="Arial" w:eastAsia="Arial" w:hAnsi="Arial"/>
          <w:sz w:val="17"/>
          <w:szCs w:val="17"/>
          <w:color w:val="auto"/>
        </w:rPr>
        <w:t>In addition, if such purchases are made, the public “float” of our Class A common stock and the number of beneficial holders of our securities may be reduced, possibly making it difficult to maintain or obtain the quotation, listing or trading of our securities on a national securities exchange.</w:t>
      </w:r>
    </w:p>
    <w:p>
      <w:pPr>
        <w:spacing w:after="0" w:line="152" w:lineRule="exact"/>
        <w:rPr>
          <w:sz w:val="20"/>
          <w:szCs w:val="20"/>
          <w:color w:val="auto"/>
        </w:rPr>
      </w:pPr>
    </w:p>
    <w:p>
      <w:pPr>
        <w:jc w:val="both"/>
        <w:ind w:left="1260" w:right="1199"/>
        <w:spacing w:after="0" w:line="235"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80"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or proxy materials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procedures, its shares may not be redeemed. Please see “Proposed Business — Tendering stock certificates in connection with a tender offer or redemption rights.”</w:t>
      </w:r>
    </w:p>
    <w:p>
      <w:pPr>
        <w:spacing w:after="0" w:line="171" w:lineRule="exact"/>
        <w:rPr>
          <w:sz w:val="20"/>
          <w:szCs w:val="20"/>
          <w:color w:val="auto"/>
        </w:rPr>
      </w:pPr>
    </w:p>
    <w:p>
      <w:pPr>
        <w:ind w:left="1260" w:right="679"/>
        <w:spacing w:after="0" w:line="235"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80"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earlier to occur of: (1) the completion of our initial business combination, and then only in connection with those shares of Class A common stock that such stockholder properly elected to redeem, subject to the limitations described herein; (2)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and as further described herein. In addition, if we are unable to complete an initial business combination within the completion window for any reason, compliance with Delaware law may require that we submit a plan of dissolution to our then-existing stockholders for approval prior to the distribution of the proceeds held in our trust account. In that case, public stockholders may be forced to wait beyond the completion window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159"/>
        <w:spacing w:after="0" w:line="274" w:lineRule="auto"/>
        <w:rPr>
          <w:sz w:val="20"/>
          <w:szCs w:val="20"/>
          <w:color w:val="auto"/>
        </w:rPr>
      </w:pPr>
      <w:r>
        <w:rPr>
          <w:rFonts w:ascii="Arial" w:cs="Arial" w:eastAsia="Arial" w:hAnsi="Arial"/>
          <w:sz w:val="17"/>
          <w:szCs w:val="17"/>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5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intend to apply to have our units listed on the NYSE on or promptly after the date of this prospectus and our Class A common stock and warrants listed on or promptly after their date of separation. Although after giving effect to this offering we expect to meet the minimum initial listing standards set forth in the NYSE listing standards, we cannot assure you that our securities will be, or will continue to be, listed on the NYSE in the future or prior to our initial business combination. In order to continue listing our securities on the NYSE prior to our initial business combination, we must maintain certain financial, distribution and stock price levels. In general, we must maintain a minimum number of holders of our securities. Additionally, in connection with our initial business combination, we will be required to demonstrate compliance with the NYSE’s initial listing requirements, which are more rigorous than the NYSE’s continued listing requirements, in order to continue to maintain the listing of our securities on the NYSE. For instance, our stock price would generally be required to be at least $4 per share. We cannot assure you that we will be able to meet those initial listing requirements at that time.</w:t>
      </w:r>
    </w:p>
    <w:p>
      <w:pPr>
        <w:spacing w:after="0" w:line="71"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If the NYSE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71" w:lineRule="exact"/>
        <w:rPr>
          <w:sz w:val="20"/>
          <w:szCs w:val="20"/>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jc w:val="both"/>
        <w:ind w:left="1980" w:right="1059" w:hanging="352"/>
        <w:spacing w:after="0" w:line="286" w:lineRule="auto"/>
        <w:tabs>
          <w:tab w:leader="none" w:pos="1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57" w:lineRule="exact"/>
        <w:rPr>
          <w:rFonts w:ascii="Arial" w:cs="Arial" w:eastAsia="Arial" w:hAnsi="Arial"/>
          <w:sz w:val="17"/>
          <w:szCs w:val="17"/>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17"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the NYSE, our units, Class A common stock and warrants will qualify as covered securities under such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such statute and we would be subject to regulation in each state in which we offer our securities.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many other blank check companies.</w:t>
      </w:r>
    </w:p>
    <w:p>
      <w:pPr>
        <w:spacing w:after="0" w:line="115"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identified, we may be deemed to be a “blank check” company under the U.S. securities laws. However, because we will have net tangible assets in excess of $5,000,000 upon the successful completion of this offering and the sale of the private placement warrants and will file a Current Report on Form 8-K, including an audited balance sheet of our company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w:t>
      </w: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86" w:lineRule="auto"/>
        <w:rPr>
          <w:sz w:val="20"/>
          <w:szCs w:val="20"/>
          <w:color w:val="auto"/>
        </w:rPr>
      </w:pPr>
      <w:r>
        <w:rPr>
          <w:rFonts w:ascii="Arial" w:cs="Arial" w:eastAsia="Arial" w:hAnsi="Arial"/>
          <w:sz w:val="17"/>
          <w:szCs w:val="17"/>
          <w:color w:val="auto"/>
        </w:rPr>
        <w:t>trust account were released to us in connection with our completion of our initial business combination. Please see “Proposed Business — Comparison of This Offering to Those of Blank Check Companies Subject to Rule 419” for a more detailed comparison of our offering to offerings that comply with Rule 419.</w:t>
      </w:r>
    </w:p>
    <w:p>
      <w:pPr>
        <w:spacing w:after="0" w:line="152" w:lineRule="exact"/>
        <w:rPr>
          <w:sz w:val="20"/>
          <w:szCs w:val="20"/>
          <w:color w:val="auto"/>
        </w:rPr>
      </w:pPr>
    </w:p>
    <w:p>
      <w:pPr>
        <w:ind w:left="1260" w:right="739"/>
        <w:spacing w:after="0" w:line="368" w:lineRule="auto"/>
        <w:rPr>
          <w:sz w:val="20"/>
          <w:szCs w:val="20"/>
          <w:color w:val="auto"/>
        </w:rPr>
      </w:pPr>
      <w:r>
        <w:rPr>
          <w:rFonts w:ascii="Arial" w:cs="Arial" w:eastAsia="Arial" w:hAnsi="Arial"/>
          <w:sz w:val="13"/>
          <w:szCs w:val="13"/>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Class A common stock, you will lose the ability to redeem all such shares in excess of 15% of our Class A common stock.</w:t>
      </w:r>
    </w:p>
    <w:p>
      <w:pPr>
        <w:spacing w:after="0" w:line="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our amended and restated certificate of incorporation does not restrict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the Excess Shares and, in order to dispose of such shares, would be required to sell your Excess Shares in open market transactions, potentially at a loss.</w:t>
      </w:r>
    </w:p>
    <w:p>
      <w:pPr>
        <w:spacing w:after="0" w:line="171" w:lineRule="exact"/>
        <w:rPr>
          <w:sz w:val="20"/>
          <w:szCs w:val="20"/>
          <w:color w:val="auto"/>
        </w:rPr>
      </w:pPr>
    </w:p>
    <w:p>
      <w:pPr>
        <w:ind w:left="1260" w:right="799"/>
        <w:spacing w:after="0" w:line="289" w:lineRule="auto"/>
        <w:rPr>
          <w:sz w:val="20"/>
          <w:szCs w:val="20"/>
          <w:color w:val="auto"/>
        </w:rPr>
      </w:pPr>
      <w:r>
        <w:rPr>
          <w:rFonts w:ascii="Arial" w:cs="Arial" w:eastAsia="Arial" w:hAnsi="Arial"/>
          <w:sz w:val="15"/>
          <w:szCs w:val="15"/>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$10.00 per share, or less in certain circumstances, on our redemption of their stock, and our warrants will expire worthless.</w:t>
      </w:r>
    </w:p>
    <w:p>
      <w:pPr>
        <w:spacing w:after="0" w:line="47"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including, without limitation, M. Klein and Company and our Strategic and Operating Partners,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will be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Our sponsor, any of its affiliates or any of their respective clients may make additional investments in us, although our sponsor and its affiliates have no obligation or other duty to do so. Please see “Proposed Business — Certain Potential Conflicts of Interest Relating to M. Klein and Company” for a discussion on certain limitations related to other resources M. Klein and Company may, but is under no obligation or other duty to, provide us.</w:t>
      </w:r>
    </w:p>
    <w:p>
      <w:pPr>
        <w:spacing w:after="0" w:line="7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This inherent competitive limitation gives others an advantage in pursuing the acquisition of certain target businesses. Furthermore, in the event we seek stockholder approval of our initial business combination and we are obligated to pay cash for public shares that are redeemed, it will potentially reduce the resources available to us for our initial business combination. Any of these obligations may place us at a competitive disadvantage in successfully negotiating and completing a business combination.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319"/>
        <w:spacing w:after="0" w:line="307" w:lineRule="auto"/>
        <w:rPr>
          <w:sz w:val="20"/>
          <w:szCs w:val="20"/>
          <w:color w:val="auto"/>
        </w:rPr>
      </w:pPr>
      <w:r>
        <w:rPr>
          <w:rFonts w:ascii="Arial" w:cs="Arial" w:eastAsia="Arial" w:hAnsi="Arial"/>
          <w:sz w:val="16"/>
          <w:szCs w:val="16"/>
          <w:b w:val="1"/>
          <w:bCs w:val="1"/>
          <w:i w:val="1"/>
          <w:iCs w:val="1"/>
          <w:color w:val="auto"/>
        </w:rPr>
        <w:t>If the funds available to us outside of the trust account are insufficient to allow us to operate for at least the completion window, we may be unable to complete our initial business combination.</w:t>
      </w:r>
    </w:p>
    <w:p>
      <w:pPr>
        <w:spacing w:after="0" w:line="29"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funds available to us outside of the trust account may not be sufficient to allow us to operate for at least the completion window, assuming that our initial business combination is not completed during that time. We expect to incur significant costs in pursuit of our acquisition plans.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8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We believe that the funds available to us outside of the trust account, including permitted withdrawals and loans or additional investments from our sponsor, will be sufficient to allow us to operate for at least the completion window;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78" w:lineRule="exact"/>
        <w:rPr>
          <w:sz w:val="20"/>
          <w:szCs w:val="20"/>
          <w:color w:val="auto"/>
        </w:rPr>
      </w:pPr>
    </w:p>
    <w:p>
      <w:pPr>
        <w:jc w:val="both"/>
        <w:ind w:left="1260" w:right="839"/>
        <w:spacing w:after="0" w:line="253" w:lineRule="auto"/>
        <w:rPr>
          <w:sz w:val="20"/>
          <w:szCs w:val="20"/>
          <w:color w:val="auto"/>
        </w:rPr>
      </w:pPr>
      <w:r>
        <w:rPr>
          <w:rFonts w:ascii="Arial" w:cs="Arial" w:eastAsia="Arial" w:hAnsi="Arial"/>
          <w:sz w:val="17"/>
          <w:szCs w:val="17"/>
          <w:b w:val="1"/>
          <w:bCs w:val="1"/>
          <w:i w:val="1"/>
          <w:iCs w:val="1"/>
          <w:color w:val="auto"/>
        </w:rPr>
        <w:t>We will depend on permitted withdrawals and loans from our sponsor or management team to fund our search, to pay our taxes and to complete our initial business combination. If we are unable to obtain such loans, we may be unable to complete our initial business combination.</w:t>
      </w:r>
    </w:p>
    <w:p>
      <w:pPr>
        <w:spacing w:after="0" w:line="70"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None of the net proceeds of this offering and the sale of the private placement warrants will be available to us initially outside the trust account to fund our working capital requirements. In the event that our offering expenses exceed our estimate of $1,000,000, we may fund such excess with loans or additional investments from our sponsor, members of our management team or any of their respective affiliates or other third parties. Conversely, in the event that the offering expenses are less than our estimate of $1,000,000, the excess would be held outside of the trust account. We expect to fund our working capital requirements prior to the time of our initial business combination with permitted withdrawals from the interest earned on the trust account, subject to an annual limit of $1,000,000. In addition, our sponsor, an affiliate of our sponsor or our officers and directors may, but none of them is obligated to, loan us funds as may be required to fund our working capital requirements. Based upon current interest rates, we expect the trust account to generate approximately $3,750,000 of interest annually (assuming an interest rate of 0.50% per year); however, we can provide no assurances regarding this amount. If we are required to seek additional capital, we would need to borrow funds from our sponsor, management team or other third parties to operate or may be forced to liquidate. Neither our sponsor, members of our management team nor any of their respective affiliates is under any obligation or other duty to loan funds to us in such circumstances. Any such loans would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stockholders may receive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$10.00 per share, or less in certain circumstances,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73" w:lineRule="exact"/>
        <w:rPr>
          <w:sz w:val="20"/>
          <w:szCs w:val="20"/>
          <w:color w:val="auto"/>
        </w:rPr>
      </w:pPr>
    </w:p>
    <w:p>
      <w:pPr>
        <w:ind w:left="1260" w:right="739"/>
        <w:spacing w:after="0" w:line="231"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8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168" w:lineRule="exact"/>
        <w:rPr>
          <w:sz w:val="20"/>
          <w:szCs w:val="20"/>
          <w:color w:val="auto"/>
        </w:rPr>
      </w:pPr>
    </w:p>
    <w:p>
      <w:pPr>
        <w:ind w:left="1260" w:right="919"/>
        <w:spacing w:after="0" w:line="307" w:lineRule="auto"/>
        <w:rPr>
          <w:sz w:val="20"/>
          <w:szCs w:val="20"/>
          <w:color w:val="auto"/>
        </w:rPr>
      </w:pPr>
      <w:r>
        <w:rPr>
          <w:rFonts w:ascii="Arial" w:cs="Arial" w:eastAsia="Arial" w:hAnsi="Arial"/>
          <w:sz w:val="16"/>
          <w:szCs w:val="16"/>
          <w:b w:val="1"/>
          <w:bCs w:val="1"/>
          <w:i w:val="1"/>
          <w:iCs w:val="1"/>
          <w:color w:val="auto"/>
        </w:rPr>
        <w:t>If third parties bring claims against us, the proceeds held in the trust account could be reduced and the per share redemption amount received by stockholders may be less than $10.00 per share.</w:t>
      </w:r>
    </w:p>
    <w:p>
      <w:pPr>
        <w:spacing w:after="0" w:line="29"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completion window, or upon the exercise of a redemption right in connection with our initial business combination, we will be required to provide for payment of claims of creditors that were not waived that may be brought against us within the 10 years following redemption. Accordingly, the per share redemption amount received by public stockholders could be less than the $10.00 per share initially held in the trust account, due to claims of such creditors.</w:t>
      </w:r>
    </w:p>
    <w:p>
      <w:pPr>
        <w:spacing w:after="0" w:line="26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we have not asked our sponsor to reserve for such indemnification obligations. We have not asked our sponsor to reserve for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78" w:lineRule="exact"/>
        <w:rPr>
          <w:sz w:val="20"/>
          <w:szCs w:val="20"/>
          <w:color w:val="auto"/>
        </w:rPr>
      </w:pPr>
    </w:p>
    <w:p>
      <w:pPr>
        <w:ind w:left="1260" w:right="819"/>
        <w:spacing w:after="0" w:line="343" w:lineRule="auto"/>
        <w:rPr>
          <w:sz w:val="20"/>
          <w:szCs w:val="20"/>
          <w:color w:val="auto"/>
        </w:rPr>
      </w:pPr>
      <w:r>
        <w:rPr>
          <w:rFonts w:ascii="Arial" w:cs="Arial" w:eastAsia="Arial" w:hAnsi="Arial"/>
          <w:sz w:val="15"/>
          <w:szCs w:val="15"/>
          <w:b w:val="1"/>
          <w:bCs w:val="1"/>
          <w:i w:val="1"/>
          <w:iCs w:val="1"/>
          <w:color w:val="auto"/>
        </w:rPr>
        <w:t>Our independent directors may decide not to enforce the indemnification obligations of our sponsor, resulting in a reduction in the amount of funds in the trust account available for distribution to our public stockholders.</w:t>
      </w:r>
    </w:p>
    <w:p>
      <w:pPr>
        <w:spacing w:after="0" w:line="6"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In the event that the proceeds in the trust account are reduced below the lesser of: (1) $10.00 per public share; or (2) the actual amount per share held in the trust account as of the date of the liquidation of the trust account, if less than $10.00 per share due to reductions in the value of the trust assets, in each case net of permitted withdrawals,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certain instances. For example, the cost of such legal action may be deemed by the independent directors to be too high relative to the amount recoverable or the independent directors may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73" w:lineRule="exact"/>
        <w:rPr>
          <w:sz w:val="20"/>
          <w:szCs w:val="20"/>
          <w:color w:val="auto"/>
        </w:rPr>
      </w:pPr>
    </w:p>
    <w:p>
      <w:pPr>
        <w:jc w:val="both"/>
        <w:ind w:left="1260" w:right="679"/>
        <w:spacing w:after="0" w:line="346" w:lineRule="auto"/>
        <w:rPr>
          <w:sz w:val="20"/>
          <w:szCs w:val="20"/>
          <w:color w:val="auto"/>
        </w:rPr>
      </w:pPr>
      <w:r>
        <w:rPr>
          <w:rFonts w:ascii="Arial" w:cs="Arial" w:eastAsia="Arial" w:hAnsi="Arial"/>
          <w:sz w:val="13"/>
          <w:szCs w:val="13"/>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5"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78" w:lineRule="exact"/>
        <w:rPr>
          <w:sz w:val="20"/>
          <w:szCs w:val="20"/>
          <w:color w:val="auto"/>
        </w:rPr>
      </w:pPr>
    </w:p>
    <w:p>
      <w:pPr>
        <w:ind w:left="1260" w:right="719"/>
        <w:spacing w:after="0" w:line="289"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 share amount that would otherwise be received by our stockholders in connection with our liquidation may be reduced.</w:t>
      </w:r>
    </w:p>
    <w:p>
      <w:pPr>
        <w:spacing w:after="0" w:line="47"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79"/>
        <w:spacing w:after="0" w:line="286" w:lineRule="auto"/>
        <w:rPr>
          <w:sz w:val="20"/>
          <w:szCs w:val="20"/>
          <w:color w:val="auto"/>
        </w:rPr>
      </w:pPr>
      <w:r>
        <w:rPr>
          <w:rFonts w:ascii="Arial" w:cs="Arial" w:eastAsia="Arial" w:hAnsi="Arial"/>
          <w:sz w:val="17"/>
          <w:szCs w:val="17"/>
          <w:color w:val="auto"/>
        </w:rPr>
        <w:t>estate and subject to the claims of third parties with priority over the claims of our stockholders. To the extent any bankruptcy claims deplete the trust account, the per share amount that would otherwise be received by our public stockholders in connection with our liquidation would be reduced.</w:t>
      </w:r>
    </w:p>
    <w:p>
      <w:pPr>
        <w:spacing w:after="0" w:line="152" w:lineRule="exact"/>
        <w:rPr>
          <w:sz w:val="20"/>
          <w:szCs w:val="20"/>
          <w:color w:val="auto"/>
        </w:rPr>
      </w:pPr>
    </w:p>
    <w:p>
      <w:pPr>
        <w:ind w:left="1260" w:right="759"/>
        <w:spacing w:after="0" w:line="235"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80"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43" w:lineRule="exact"/>
        <w:rPr>
          <w:sz w:val="20"/>
          <w:szCs w:val="20"/>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17"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130" w:lineRule="exact"/>
        <w:rPr>
          <w:sz w:val="20"/>
          <w:szCs w:val="20"/>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84" w:lineRule="exact"/>
        <w:rPr>
          <w:rFonts w:ascii="Arial" w:cs="Arial" w:eastAsia="Arial" w:hAnsi="Arial"/>
          <w:sz w:val="18"/>
          <w:szCs w:val="18"/>
          <w:color w:val="auto"/>
        </w:rPr>
      </w:pPr>
    </w:p>
    <w:p>
      <w:pPr>
        <w:ind w:left="1980" w:right="919" w:hanging="352"/>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compliance with other rules and regulations that we are currently not subject to.</w:t>
      </w:r>
    </w:p>
    <w:p>
      <w:pPr>
        <w:spacing w:after="0" w:line="62"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long-term. We do not plan to buy businesses or assets with a view to resale or profit from their resale.</w:t>
      </w:r>
    </w:p>
    <w:p>
      <w:pPr>
        <w:spacing w:after="0" w:line="6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do not plan to buy unrelated businesses or assets or to be a passive investor.</w:t>
      </w:r>
    </w:p>
    <w:p>
      <w:pPr>
        <w:spacing w:after="0" w:line="117"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w:t>
      </w:r>
    </w:p>
    <w:p>
      <w:pPr>
        <w:ind w:left="1260" w:right="679"/>
        <w:spacing w:after="0" w:line="266" w:lineRule="auto"/>
        <w:rPr>
          <w:sz w:val="20"/>
          <w:szCs w:val="20"/>
          <w:color w:val="auto"/>
        </w:rPr>
      </w:pPr>
      <w:r>
        <w:rPr>
          <w:rFonts w:ascii="Arial" w:cs="Arial" w:eastAsia="Arial" w:hAnsi="Arial"/>
          <w:sz w:val="17"/>
          <w:szCs w:val="17"/>
          <w:color w:val="auto"/>
        </w:rPr>
        <w:t>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(i) the completion of our primary business objective, which is a business combination; (ii)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(iii)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consummate our initial business combination. If we are unable to complete our initial business combination, our public stockholders may receive only approximately $10.00 per share on the liquidation of our trust account and our warrants will expire</w:t>
      </w:r>
    </w:p>
    <w:p>
      <w:pPr>
        <w:sectPr>
          <w:pgSz w:w="11900" w:h="16838" w:orient="portrait"/>
          <w:cols w:equalWidth="0" w:num="1">
            <w:col w:w="10139"/>
          </w:cols>
          <w:pgMar w:left="320" w:top="132" w:right="1440" w:bottom="1440" w:gutter="0" w:footer="0" w:header="0"/>
        </w:sectPr>
      </w:pPr>
    </w:p>
    <w:p>
      <w:pPr>
        <w:spacing w:after="0" w:line="24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59" w:lineRule="auto"/>
        <w:rPr>
          <w:sz w:val="20"/>
          <w:szCs w:val="20"/>
          <w:color w:val="auto"/>
        </w:rPr>
      </w:pPr>
      <w:r>
        <w:rPr>
          <w:rFonts w:ascii="Arial" w:cs="Arial" w:eastAsia="Arial" w:hAnsi="Arial"/>
          <w:sz w:val="18"/>
          <w:szCs w:val="18"/>
          <w:color w:val="auto"/>
        </w:rPr>
        <w:t>worthless. In certain circumstances, our public stockholders may receive less than $10.00 per share on the redemption of their shares. Please see “— If third parties bring claims against us, the proceeds held in the trust account could be reduced and the per-share redemption amount received by stockholders may be less than $10.00 per share” and other risk factors herein.</w:t>
      </w:r>
    </w:p>
    <w:p>
      <w:pPr>
        <w:spacing w:after="0" w:line="173" w:lineRule="exact"/>
        <w:rPr>
          <w:sz w:val="20"/>
          <w:szCs w:val="20"/>
          <w:color w:val="auto"/>
        </w:rPr>
      </w:pPr>
    </w:p>
    <w:p>
      <w:pPr>
        <w:ind w:left="1260" w:right="699"/>
        <w:spacing w:after="0" w:line="400" w:lineRule="auto"/>
        <w:rPr>
          <w:sz w:val="20"/>
          <w:szCs w:val="20"/>
          <w:color w:val="auto"/>
        </w:rPr>
      </w:pPr>
      <w:r>
        <w:rPr>
          <w:rFonts w:ascii="Arial" w:cs="Arial" w:eastAsia="Arial" w:hAnsi="Arial"/>
          <w:sz w:val="13"/>
          <w:szCs w:val="13"/>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78"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75" w:lineRule="exact"/>
        <w:rPr>
          <w:sz w:val="20"/>
          <w:szCs w:val="20"/>
          <w:color w:val="auto"/>
        </w:rPr>
      </w:pPr>
    </w:p>
    <w:p>
      <w:pPr>
        <w:ind w:left="1260" w:right="799" w:firstLine="360"/>
        <w:spacing w:after="0" w:line="245"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the completion window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98"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8"/>
          <w:szCs w:val="18"/>
          <w:color w:val="auto"/>
        </w:rPr>
        <w:t>Because we do not intend to comply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consultants,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the completion window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w:t>
      </w: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939"/>
        <w:spacing w:after="0" w:line="343" w:lineRule="auto"/>
        <w:rPr>
          <w:sz w:val="20"/>
          <w:szCs w:val="20"/>
          <w:color w:val="auto"/>
        </w:rPr>
      </w:pPr>
      <w:r>
        <w:rPr>
          <w:rFonts w:ascii="Arial" w:cs="Arial" w:eastAsia="Arial" w:hAnsi="Arial"/>
          <w:sz w:val="15"/>
          <w:szCs w:val="15"/>
          <w:b w:val="1"/>
          <w:bCs w:val="1"/>
          <w:i w:val="1"/>
          <w:iCs w:val="1"/>
          <w:color w:val="auto"/>
        </w:rPr>
        <w:t>We may not hold an annual meeting of stockholders until after we consummate our initial business combination and you will not be entitled to any of the corporate protections provided by such a meeting.</w:t>
      </w:r>
    </w:p>
    <w:p>
      <w:pPr>
        <w:spacing w:after="0" w:line="6"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We may not hold an annual meeting of stockholders until after we consummate our initial business combination (unless required by the NYSE) and thus may not be in compliance with Section 211(b) of the DGCL, which requires an annual meeting of stockholders be held for the purposes of electing directors in accordance with a company’s bylaws unless such election is made by written consent in lieu of such a meeting. Therefore, if our stockholders want us to hold an annual meeting prior to our consummation of our initial business combination, they may attempt to force us to hold one by submitting an application to the Delaware Court of Chancery in accordance with Section 211(c) of the DGCL.</w:t>
      </w:r>
    </w:p>
    <w:p>
      <w:pPr>
        <w:spacing w:after="0" w:line="164" w:lineRule="exact"/>
        <w:rPr>
          <w:sz w:val="20"/>
          <w:szCs w:val="20"/>
          <w:color w:val="auto"/>
        </w:rPr>
      </w:pPr>
    </w:p>
    <w:p>
      <w:pPr>
        <w:ind w:left="1260" w:right="899"/>
        <w:spacing w:after="0" w:line="289" w:lineRule="auto"/>
        <w:rPr>
          <w:sz w:val="20"/>
          <w:szCs w:val="20"/>
          <w:color w:val="auto"/>
        </w:rPr>
      </w:pPr>
      <w:r>
        <w:rPr>
          <w:rFonts w:ascii="Arial" w:cs="Arial" w:eastAsia="Arial" w:hAnsi="Arial"/>
          <w:sz w:val="15"/>
          <w:szCs w:val="15"/>
          <w:b w:val="1"/>
          <w:bCs w:val="1"/>
          <w:i w:val="1"/>
          <w:iCs w:val="1"/>
          <w:color w:val="auto"/>
        </w:rPr>
        <w:t>We are not registering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47"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We are not registering the shares of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reasonable best efforts to file with the SEC, and within 60 business days following our initial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 If and when the warrants become redeemable by us, we may exercise our redemption right even if we are unable to register or qualify the underlying shares of Class A common stock for sale under all applicable state securities laws.</w:t>
      </w:r>
    </w:p>
    <w:p>
      <w:pPr>
        <w:spacing w:after="0" w:line="182" w:lineRule="exact"/>
        <w:rPr>
          <w:sz w:val="20"/>
          <w:szCs w:val="20"/>
          <w:color w:val="auto"/>
        </w:rPr>
      </w:pPr>
    </w:p>
    <w:p>
      <w:pPr>
        <w:jc w:val="both"/>
        <w:ind w:left="1260" w:right="699"/>
        <w:spacing w:after="0" w:line="235" w:lineRule="auto"/>
        <w:rPr>
          <w:sz w:val="20"/>
          <w:szCs w:val="20"/>
          <w:color w:val="auto"/>
        </w:rPr>
      </w:pPr>
      <w:r>
        <w:rPr>
          <w:rFonts w:ascii="Arial" w:cs="Arial" w:eastAsia="Arial" w:hAnsi="Arial"/>
          <w:sz w:val="18"/>
          <w:szCs w:val="18"/>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Class A common stock.</w:t>
      </w:r>
    </w:p>
    <w:p>
      <w:pPr>
        <w:spacing w:after="0" w:line="80" w:lineRule="exact"/>
        <w:rPr>
          <w:sz w:val="20"/>
          <w:szCs w:val="20"/>
          <w:color w:val="auto"/>
        </w:rPr>
      </w:pPr>
    </w:p>
    <w:p>
      <w:pPr>
        <w:jc w:val="both"/>
        <w:ind w:left="1260" w:right="779" w:firstLine="360"/>
        <w:spacing w:after="0" w:line="301" w:lineRule="auto"/>
        <w:rPr>
          <w:sz w:val="20"/>
          <w:szCs w:val="20"/>
          <w:color w:val="auto"/>
        </w:rPr>
      </w:pPr>
      <w:r>
        <w:rPr>
          <w:rFonts w:ascii="Arial" w:cs="Arial" w:eastAsia="Arial" w:hAnsi="Arial"/>
          <w:sz w:val="16"/>
          <w:szCs w:val="16"/>
          <w:color w:val="auto"/>
        </w:rPr>
        <w:t>Pursuant to an agreement to be entered into concurrently with the issuance and sale of the securities in this offering, our initial stockholders and their permitted transferees can demand that we register the resale of their founder shares after those shares convert to shares of our Class A common stock at the time of our initial business combination. In addition, our sponsor and its permitted transferees can demand that we</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9" w:lineRule="auto"/>
        <w:rPr>
          <w:sz w:val="20"/>
          <w:szCs w:val="20"/>
          <w:color w:val="auto"/>
        </w:rPr>
      </w:pPr>
      <w:r>
        <w:rPr>
          <w:rFonts w:ascii="Arial" w:cs="Arial" w:eastAsia="Arial" w:hAnsi="Arial"/>
          <w:sz w:val="17"/>
          <w:szCs w:val="17"/>
          <w:color w:val="auto"/>
        </w:rPr>
        <w:t>register the resale of the private placement warrants and the shares of Class A common stock issuable upon exercise of the private placement warrants, and holders of warrants that may be issued upon conversion of working capital loans may demand that we register the resale of such warrants or the Class A common stock issuable upon exercise of such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complete. This is because the stockholders of the target business may increase the equity stake they seek in the combined entity or ask for more cash consideration to offset the negative impact on the market price of our Class A common stock that is expected when the common stock owned by our initial stockholders or their permitted transferees, the private placement warrants owned by our sponsor or warrants issued in connection with working capital loans are registered for resale.</w:t>
      </w:r>
    </w:p>
    <w:p>
      <w:pPr>
        <w:spacing w:after="0" w:line="165" w:lineRule="exact"/>
        <w:rPr>
          <w:sz w:val="20"/>
          <w:szCs w:val="20"/>
          <w:color w:val="auto"/>
        </w:rPr>
      </w:pPr>
    </w:p>
    <w:p>
      <w:pPr>
        <w:ind w:left="1260" w:right="859"/>
        <w:spacing w:after="0" w:line="400" w:lineRule="auto"/>
        <w:rPr>
          <w:sz w:val="20"/>
          <w:szCs w:val="20"/>
          <w:color w:val="auto"/>
        </w:rPr>
      </w:pPr>
      <w:r>
        <w:rPr>
          <w:rFonts w:ascii="Arial" w:cs="Arial" w:eastAsia="Arial" w:hAnsi="Arial"/>
          <w:sz w:val="13"/>
          <w:szCs w:val="13"/>
          <w:b w:val="1"/>
          <w:bCs w:val="1"/>
          <w:i w:val="1"/>
          <w:iCs w:val="1"/>
          <w:color w:val="auto"/>
        </w:rPr>
        <w:t>Our search for a business combination, and any target business with which we ultimately consummate a business combination, may be materially adversely affected by the recent novel coronavirus (“COVID-19”) outbreak.</w:t>
      </w:r>
    </w:p>
    <w:p>
      <w:pPr>
        <w:spacing w:after="0" w:line="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On March 11, 2020, the World Health Organization officially declared the outbreak of the COVID-19 a “pandemic.”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71" w:lineRule="exact"/>
        <w:rPr>
          <w:sz w:val="20"/>
          <w:szCs w:val="20"/>
          <w:color w:val="auto"/>
        </w:rPr>
      </w:pPr>
    </w:p>
    <w:p>
      <w:pPr>
        <w:ind w:left="1260" w:right="759"/>
        <w:spacing w:after="0" w:line="253" w:lineRule="auto"/>
        <w:rPr>
          <w:sz w:val="20"/>
          <w:szCs w:val="20"/>
          <w:color w:val="auto"/>
        </w:rPr>
      </w:pPr>
      <w:r>
        <w:rPr>
          <w:rFonts w:ascii="Arial" w:cs="Arial" w:eastAsia="Arial" w:hAnsi="Arial"/>
          <w:sz w:val="17"/>
          <w:szCs w:val="17"/>
          <w:b w:val="1"/>
          <w:bCs w:val="1"/>
          <w:i w:val="1"/>
          <w:iCs w:val="1"/>
          <w:color w:val="auto"/>
        </w:rPr>
        <w:t>Because we are neither limited to evaluating target businesses in a particular industry nor have we identified any specific target businesses with which to pursue our initial business combination, you will be unable to ascertain the merits or risks of any particular target business’s operations.</w:t>
      </w:r>
    </w:p>
    <w:p>
      <w:pPr>
        <w:spacing w:after="0" w:line="70"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may seek to complete a business combination with an operating company in any industry or sector. However, we will not, under our amended and restated certificate of incorporation, be permitted to effectuate our initial business combination with another blank check company or similar company with nominal operations. Because we have not yet identified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079"/>
        <w:spacing w:after="0" w:line="246" w:lineRule="auto"/>
        <w:rPr>
          <w:sz w:val="20"/>
          <w:szCs w:val="20"/>
          <w:color w:val="auto"/>
        </w:rPr>
      </w:pPr>
      <w:r>
        <w:rPr>
          <w:rFonts w:ascii="Arial" w:cs="Arial" w:eastAsia="Arial" w:hAnsi="Arial"/>
          <w:sz w:val="18"/>
          <w:szCs w:val="18"/>
          <w:b w:val="1"/>
          <w:bCs w:val="1"/>
          <w:i w:val="1"/>
          <w:iCs w:val="1"/>
          <w:color w:val="auto"/>
        </w:rPr>
        <w:t>We may seek acquisition opportunities in acquisition targets that may be outside of our management’s areas of expertise.</w:t>
      </w:r>
    </w:p>
    <w:p>
      <w:pPr>
        <w:spacing w:after="0" w:line="75"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will consider a business combination in sectors which may be outside of our management’s areas of expertise if such business combination candidate is presented to us and we determine that such candidate offers an attractive acquisition opportunity for our company.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178" w:lineRule="exact"/>
        <w:rPr>
          <w:sz w:val="20"/>
          <w:szCs w:val="20"/>
          <w:color w:val="auto"/>
        </w:rPr>
      </w:pPr>
    </w:p>
    <w:p>
      <w:pPr>
        <w:ind w:left="1260" w:right="799"/>
        <w:spacing w:after="0" w:line="289" w:lineRule="auto"/>
        <w:rPr>
          <w:sz w:val="20"/>
          <w:szCs w:val="20"/>
          <w:color w:val="auto"/>
        </w:rPr>
      </w:pPr>
      <w:r>
        <w:rPr>
          <w:rFonts w:ascii="Arial" w:cs="Arial" w:eastAsia="Arial" w:hAnsi="Arial"/>
          <w:sz w:val="15"/>
          <w:szCs w:val="15"/>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47"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71" w:lineRule="exact"/>
        <w:rPr>
          <w:sz w:val="20"/>
          <w:szCs w:val="20"/>
          <w:color w:val="auto"/>
        </w:rPr>
      </w:pPr>
    </w:p>
    <w:p>
      <w:pPr>
        <w:ind w:left="1260" w:right="1019"/>
        <w:spacing w:after="0" w:line="276" w:lineRule="auto"/>
        <w:rPr>
          <w:sz w:val="20"/>
          <w:szCs w:val="20"/>
          <w:color w:val="auto"/>
        </w:rPr>
      </w:pPr>
      <w:r>
        <w:rPr>
          <w:rFonts w:ascii="Arial" w:cs="Arial" w:eastAsia="Arial" w:hAnsi="Arial"/>
          <w:sz w:val="16"/>
          <w:szCs w:val="16"/>
          <w:b w:val="1"/>
          <w:bCs w:val="1"/>
          <w:i w:val="1"/>
          <w:iCs w:val="1"/>
          <w:color w:val="auto"/>
        </w:rPr>
        <w:t>We may seek acquisition opportunities with an early stage company, a financially unstable business or an entity lacking an established record of revenue or earnings, which could subject us to volatile revenues or earnings, intense competition and difficulties in obtaining and retaining key personnel.</w:t>
      </w:r>
    </w:p>
    <w:p>
      <w:pPr>
        <w:spacing w:after="0" w:line="54"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1" w:lineRule="exact"/>
        <w:rPr>
          <w:sz w:val="20"/>
          <w:szCs w:val="20"/>
          <w:color w:val="auto"/>
        </w:rPr>
      </w:pPr>
    </w:p>
    <w:p>
      <w:pPr>
        <w:ind w:left="1260" w:right="859"/>
        <w:spacing w:after="0" w:line="303" w:lineRule="auto"/>
        <w:rPr>
          <w:sz w:val="20"/>
          <w:szCs w:val="20"/>
          <w:color w:val="auto"/>
        </w:rPr>
      </w:pPr>
      <w:r>
        <w:rPr>
          <w:rFonts w:ascii="Arial" w:cs="Arial" w:eastAsia="Arial" w:hAnsi="Arial"/>
          <w:sz w:val="15"/>
          <w:szCs w:val="15"/>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35"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investment banking firm that is a member of FINRA or from an independent accounting firm that the price we are paying is fair to our stockholders from a financial point of view.</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In addition, if our board of directors is not able to determine the fair market value of the target business or businesses, in connection with the NYSE rules that require that an initial business combination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will obtain an opinion from an independent investment banking firm that is a member of FINRA or from an independent accounting firm with respect to the satisfaction of such criteria.</w:t>
      </w:r>
    </w:p>
    <w:p>
      <w:pPr>
        <w:spacing w:after="0" w:line="87"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Other than the two circumstances described above, we are not required to obtain an opinion from an independent investment banking firm that is a member of FINRA or from an independent accounting firm.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79" w:lineRule="exact"/>
        <w:rPr>
          <w:sz w:val="20"/>
          <w:szCs w:val="20"/>
          <w:color w:val="auto"/>
        </w:rPr>
      </w:pPr>
    </w:p>
    <w:p>
      <w:pPr>
        <w:ind w:left="1260" w:right="679"/>
        <w:spacing w:after="0" w:line="283" w:lineRule="auto"/>
        <w:rPr>
          <w:sz w:val="20"/>
          <w:szCs w:val="20"/>
          <w:color w:val="auto"/>
        </w:rPr>
      </w:pPr>
      <w:r>
        <w:rPr>
          <w:rFonts w:ascii="Arial" w:cs="Arial" w:eastAsia="Arial" w:hAnsi="Arial"/>
          <w:sz w:val="15"/>
          <w:szCs w:val="15"/>
          <w:b w:val="1"/>
          <w:bCs w:val="1"/>
          <w:i w:val="1"/>
          <w:iCs w:val="1"/>
          <w:color w:val="auto"/>
        </w:rPr>
        <w:t>We may issue additional shares of Class A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our initial business combination as a result of the anti-dilution provisions described herein. Any such issuances would dilute the interest of our stockholders and likely present other risks.</w:t>
      </w:r>
    </w:p>
    <w:p>
      <w:pPr>
        <w:spacing w:after="0" w:line="5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authorize the issuance of up to 240,000,000 shares of Class A common stock, par value $0.0001 per share, and 60,000,000 shares of Class B common stock, par value $0.0001 per share and 1,000,000 shares of undesignated preferred stock, par value $0.0001 per share. Immediately after this offering, there will be 130,250,000 and 41,250,000 (assuming in each case, that the underwriters have not exercised their option to purchase additional units) authorized but unissued shares of Class A and Class B common stock, respectively, available for issuance, which amount takes into account shares reserved for issuance upon exercise of outstanding warrants but not upon the conversion of the Class B common stock. Shares of Class B common stock are automatically convertible into shares of our Class A common stock at the time of our initial business combination, initially at a one-for-one ratio but subject to adjustment as set forth herein. Immediately after this offering, there will be no shares of preferred stock issued and outstanding.</w:t>
      </w:r>
    </w:p>
    <w:p>
      <w:pPr>
        <w:spacing w:after="0" w:line="7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We may issue a substantial number of additional shares of Class A common stock, and may issue shares of preferred stock, in order to complete our initial business combination or under an employee incentive plan after completion of our initial business combination (although our amended and restated certificate of incorporation will provide that we may not issue additional securities that can vote on amendments to our amended and restated certificate of incorporation or on our initial business combination or that would entitle holders thereof to receive funds from the trust account). We may also issue shares upon conversion of the Class B common stock at a ratio greater than one-to-one at the time of our initial business combination as a result of the anti-dilution provisions described herein. However, our amended and restated certificate of incorporation will provide, among other things, that prior to our initial business combination, we may not issue additional shares of capital stock that would entitle the holders thereof to (1) receive funds from the trust account or (2) vote on any initial business combination. The issuance of additional shares of common or preferred stock:</w:t>
      </w:r>
    </w:p>
    <w:p>
      <w:pPr>
        <w:spacing w:after="0" w:line="173" w:lineRule="exact"/>
        <w:rPr>
          <w:sz w:val="20"/>
          <w:szCs w:val="20"/>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184" w:lineRule="exact"/>
        <w:rPr>
          <w:rFonts w:ascii="Arial" w:cs="Arial" w:eastAsia="Arial" w:hAnsi="Arial"/>
          <w:sz w:val="18"/>
          <w:szCs w:val="18"/>
          <w:color w:val="auto"/>
        </w:rPr>
      </w:pPr>
    </w:p>
    <w:p>
      <w:pPr>
        <w:ind w:left="1980" w:right="107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129" w:lineRule="exact"/>
        <w:rPr>
          <w:rFonts w:ascii="Arial" w:cs="Arial" w:eastAsia="Arial" w:hAnsi="Arial"/>
          <w:sz w:val="18"/>
          <w:szCs w:val="18"/>
          <w:color w:val="auto"/>
        </w:rPr>
      </w:pPr>
    </w:p>
    <w:p>
      <w:pPr>
        <w:ind w:left="1980" w:right="879" w:hanging="352"/>
        <w:spacing w:after="0" w:line="286" w:lineRule="auto"/>
        <w:tabs>
          <w:tab w:leader="none" w:pos="1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38" w:lineRule="exact"/>
        <w:rPr>
          <w:rFonts w:ascii="Arial" w:cs="Arial" w:eastAsia="Arial" w:hAnsi="Arial"/>
          <w:sz w:val="17"/>
          <w:szCs w:val="17"/>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79"/>
        <w:spacing w:after="0" w:line="242" w:lineRule="auto"/>
        <w:rPr>
          <w:sz w:val="20"/>
          <w:szCs w:val="20"/>
          <w:color w:val="auto"/>
        </w:rPr>
      </w:pPr>
      <w:r>
        <w:rPr>
          <w:rFonts w:ascii="Arial" w:cs="Arial" w:eastAsia="Arial" w:hAnsi="Arial"/>
          <w:sz w:val="17"/>
          <w:szCs w:val="17"/>
          <w:b w:val="1"/>
          <w:bCs w:val="1"/>
          <w:i w:val="1"/>
          <w:iCs w:val="1"/>
          <w:color w:val="auto"/>
        </w:rPr>
        <w:t>Resources could be wasted in researching initial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8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73" w:lineRule="exact"/>
        <w:rPr>
          <w:sz w:val="20"/>
          <w:szCs w:val="20"/>
          <w:color w:val="auto"/>
        </w:rPr>
      </w:pPr>
    </w:p>
    <w:p>
      <w:pPr>
        <w:ind w:left="1260" w:right="719"/>
        <w:spacing w:after="0" w:line="253" w:lineRule="auto"/>
        <w:rPr>
          <w:sz w:val="20"/>
          <w:szCs w:val="20"/>
          <w:color w:val="auto"/>
        </w:rPr>
      </w:pPr>
      <w:r>
        <w:rPr>
          <w:rFonts w:ascii="Arial" w:cs="Arial" w:eastAsia="Arial" w:hAnsi="Arial"/>
          <w:sz w:val="17"/>
          <w:szCs w:val="17"/>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70"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responsibilities. We do not intend to have any full-time employees prior to the completion of our business combination. Each of our officers and directors is engaged in several other business endeavors for which he or she may be entitled to substantial compensation and our officers and directors are not obligated to contribute any specific number of hours per week to our affairs.</w:t>
      </w:r>
    </w:p>
    <w:p>
      <w:pPr>
        <w:spacing w:after="0" w:line="7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Mr. Klein is the founder and managing partner of M. Klein and Company and acts as a strategic advisor to its clients. Mr. Klein has a fiduciary duty to M. Klein and Company. As a result, Mr. Klein may have a duty to offer acquisition opportunities to clients of M. Klein and Company. Mr. Klein will have no duty to offer acquisition opportunities to the Company unless presented to him solely in his capacity as an officer or director of the Company.</w:t>
      </w:r>
    </w:p>
    <w:p>
      <w:pPr>
        <w:spacing w:after="0" w:line="80"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Mr. August is the Founder and CEO of OHA and acts as a strategic advisor to its clients. Mr. August has a fiduciary duty to OHA. As a result, Mr. August may have a duty to offer acquisition opportunities to clients of OHA. Mr. August will have no duty to offer acquisition opportunities to the Company unless presented to him solely in his capacity as a director of the Company.</w:t>
      </w:r>
    </w:p>
    <w:p>
      <w:pPr>
        <w:spacing w:after="0" w:line="79" w:lineRule="exact"/>
        <w:rPr>
          <w:sz w:val="20"/>
          <w:szCs w:val="20"/>
          <w:color w:val="auto"/>
        </w:rPr>
      </w:pPr>
    </w:p>
    <w:p>
      <w:pPr>
        <w:jc w:val="both"/>
        <w:ind w:left="1260" w:right="699" w:firstLine="360"/>
        <w:spacing w:after="0" w:line="257" w:lineRule="auto"/>
        <w:rPr>
          <w:sz w:val="20"/>
          <w:szCs w:val="20"/>
          <w:color w:val="auto"/>
        </w:rPr>
      </w:pPr>
      <w:r>
        <w:rPr>
          <w:rFonts w:ascii="Arial" w:cs="Arial" w:eastAsia="Arial" w:hAnsi="Arial"/>
          <w:sz w:val="18"/>
          <w:szCs w:val="18"/>
          <w:color w:val="auto"/>
        </w:rPr>
        <w:t>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Please see “Management — Directors, Director Nominees and Executive Officers” for a discussion of our officers’ and directors’ other business affairs.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are dependent upon our officers and directors and their departure could adversely affect our ability to operate.</w:t>
      </w:r>
    </w:p>
    <w:p>
      <w:pPr>
        <w:spacing w:after="0" w:line="13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Our operations are dependent upon a relatively small group of individuals. We believe that our success depends on the continued service of our officers and directors, at least until we have completed our initial business combination. We do not have an employment agreement with, or key-man insurance on the life of any of our other directors or officers. The unexpected loss of the services of one or more of our directors or officers could have a detrimental effect on us.</w:t>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839"/>
        <w:spacing w:after="0" w:line="368" w:lineRule="auto"/>
        <w:rPr>
          <w:sz w:val="20"/>
          <w:szCs w:val="20"/>
          <w:color w:val="auto"/>
        </w:rPr>
      </w:pPr>
      <w:r>
        <w:rPr>
          <w:rFonts w:ascii="Arial" w:cs="Arial" w:eastAsia="Arial" w:hAnsi="Arial"/>
          <w:sz w:val="13"/>
          <w:szCs w:val="13"/>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we do not currently expect that any of them will do so.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57" w:lineRule="exact"/>
        <w:rPr>
          <w:sz w:val="20"/>
          <w:szCs w:val="20"/>
          <w:color w:val="auto"/>
        </w:rPr>
      </w:pPr>
    </w:p>
    <w:p>
      <w:pPr>
        <w:ind w:left="1260" w:right="919" w:firstLine="360"/>
        <w:spacing w:after="0" w:line="253" w:lineRule="auto"/>
        <w:rPr>
          <w:sz w:val="20"/>
          <w:szCs w:val="20"/>
          <w:color w:val="auto"/>
        </w:rPr>
      </w:pPr>
      <w:r>
        <w:rPr>
          <w:rFonts w:ascii="Arial" w:cs="Arial" w:eastAsia="Arial" w:hAnsi="Arial"/>
          <w:sz w:val="18"/>
          <w:szCs w:val="18"/>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83" w:lineRule="exact"/>
        <w:rPr>
          <w:sz w:val="20"/>
          <w:szCs w:val="20"/>
          <w:color w:val="auto"/>
        </w:rPr>
      </w:pPr>
    </w:p>
    <w:p>
      <w:pPr>
        <w:ind w:left="1260" w:right="739"/>
        <w:spacing w:after="0" w:line="283" w:lineRule="auto"/>
        <w:rPr>
          <w:sz w:val="20"/>
          <w:szCs w:val="20"/>
          <w:color w:val="auto"/>
        </w:rPr>
      </w:pPr>
      <w:r>
        <w:rPr>
          <w:rFonts w:ascii="Arial" w:cs="Arial" w:eastAsia="Arial" w:hAnsi="Arial"/>
          <w:sz w:val="15"/>
          <w:szCs w:val="15"/>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cause our key personnel to have conflicts of interest in determining whether to proceed with a particular business combination. However, we do not expect that any of our key personnel will remain with us after the completion of our initial business combination.</w:t>
      </w:r>
    </w:p>
    <w:p>
      <w:pPr>
        <w:spacing w:after="0" w:line="50"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as we do not expect that any of our key personnel will remain with us after the completion of our initial business combination. The determination as to whether any of our key personnel will remain with us will be made at the time of our initial business combination.</w:t>
      </w:r>
    </w:p>
    <w:p>
      <w:pPr>
        <w:spacing w:after="0" w:line="173" w:lineRule="exact"/>
        <w:rPr>
          <w:sz w:val="20"/>
          <w:szCs w:val="20"/>
          <w:color w:val="auto"/>
        </w:rPr>
      </w:pPr>
    </w:p>
    <w:p>
      <w:pPr>
        <w:jc w:val="both"/>
        <w:ind w:left="1260" w:right="679"/>
        <w:spacing w:after="0" w:line="235"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80"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2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officers and directors of an initial business combination candidate may resign upon completion of our initial business combination. The departure of a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acquisition candidate’s management team will remain associated with the initial business combination candidate following our initial business combination, it is possible that members of the management of an acquisition candidate will not wish to remain in place. As a result, we may need to reconstitute the management team of the post-transaction company in connection with our initial business combination, which may adversely impact our ability to complete an initial business combination in a timely manner or at all.</w:t>
      </w:r>
    </w:p>
    <w:p>
      <w:pPr>
        <w:spacing w:after="0" w:line="172" w:lineRule="exact"/>
        <w:rPr>
          <w:sz w:val="20"/>
          <w:szCs w:val="20"/>
          <w:color w:val="auto"/>
        </w:rPr>
      </w:pPr>
    </w:p>
    <w:p>
      <w:pPr>
        <w:ind w:left="1260" w:right="659"/>
        <w:spacing w:after="0" w:line="368" w:lineRule="auto"/>
        <w:rPr>
          <w:sz w:val="20"/>
          <w:szCs w:val="20"/>
          <w:color w:val="auto"/>
        </w:rPr>
      </w:pPr>
      <w:r>
        <w:rPr>
          <w:rFonts w:ascii="Arial" w:cs="Arial" w:eastAsia="Arial" w:hAnsi="Arial"/>
          <w:sz w:val="13"/>
          <w:szCs w:val="13"/>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1"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sponsor and officers and directors are, or may in the future become, affiliated with entities (such as operating companies or investment vehicles) that are engaged in a similar business. We do not have employment contracts with our officers and directors that will limit their ability to work at other businesses. 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3"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83"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In addition, none of the Operating Partners are officers or directors of our company and therefore owe us no fiduciary duties as such. While we expect that they will assist us in identifying business combination targets, they have no obligation to do so and may devote a substantial portion of their business time to activities unrelated to us. Each Operating Partner may have fiduciary, contractual or other obligations or duties to other organizations to present business combination opportunities to such other organizations</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rather than to us. Accordingly, if any Operating Partner becomes aware of a business combination opportunity which is suitable for one or more entities to which he or she has fiduciary, contractual or other obligations or duties, he or she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70" w:lineRule="exact"/>
        <w:rPr>
          <w:sz w:val="20"/>
          <w:szCs w:val="20"/>
          <w:color w:val="auto"/>
        </w:rPr>
      </w:pPr>
    </w:p>
    <w:p>
      <w:pPr>
        <w:jc w:val="both"/>
        <w:ind w:left="1260" w:right="899" w:firstLine="360"/>
        <w:spacing w:after="0" w:line="263" w:lineRule="auto"/>
        <w:rPr>
          <w:sz w:val="20"/>
          <w:szCs w:val="20"/>
          <w:color w:val="auto"/>
        </w:rPr>
      </w:pPr>
      <w:r>
        <w:rPr>
          <w:rFonts w:ascii="Arial" w:cs="Arial" w:eastAsia="Arial" w:hAnsi="Arial"/>
          <w:sz w:val="18"/>
          <w:szCs w:val="18"/>
          <w:color w:val="auto"/>
        </w:rPr>
        <w:t>Please see “Management — Directors, Director Nominees and Executive Officers,” “Management — Conflicts of Interest” and “Certain Relationships and Related Party Transactions” for a discussion of our officers’ and directors’ business affiliations and potential conflicts of interest.</w:t>
      </w:r>
    </w:p>
    <w:p>
      <w:pPr>
        <w:spacing w:after="0" w:line="170" w:lineRule="exact"/>
        <w:rPr>
          <w:sz w:val="20"/>
          <w:szCs w:val="20"/>
          <w:color w:val="auto"/>
        </w:rPr>
      </w:pPr>
    </w:p>
    <w:p>
      <w:pPr>
        <w:ind w:left="1260" w:right="779"/>
        <w:spacing w:after="0" w:line="246" w:lineRule="auto"/>
        <w:rPr>
          <w:sz w:val="20"/>
          <w:szCs w:val="20"/>
          <w:color w:val="auto"/>
        </w:rPr>
      </w:pPr>
      <w:r>
        <w:rPr>
          <w:rFonts w:ascii="Arial" w:cs="Arial" w:eastAsia="Arial" w:hAnsi="Arial"/>
          <w:sz w:val="18"/>
          <w:szCs w:val="18"/>
          <w:b w:val="1"/>
          <w:bCs w:val="1"/>
          <w:i w:val="1"/>
          <w:iCs w:val="1"/>
          <w:color w:val="auto"/>
        </w:rPr>
        <w:t>Our officers, directors, security holders and their respective affiliates may have competitive pecuniary interests that conflict with our interests.</w:t>
      </w:r>
    </w:p>
    <w:p>
      <w:pPr>
        <w:spacing w:after="0" w:line="75"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M. Klein and Company, our sponsor or our directors or officers.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87" w:lineRule="exact"/>
        <w:rPr>
          <w:sz w:val="20"/>
          <w:szCs w:val="20"/>
          <w:color w:val="auto"/>
        </w:rPr>
      </w:pPr>
    </w:p>
    <w:p>
      <w:pPr>
        <w:ind w:left="1260" w:right="779" w:firstLine="360"/>
        <w:spacing w:after="0" w:line="296" w:lineRule="auto"/>
        <w:rPr>
          <w:sz w:val="20"/>
          <w:szCs w:val="20"/>
          <w:color w:val="auto"/>
        </w:rPr>
      </w:pPr>
      <w:r>
        <w:rPr>
          <w:rFonts w:ascii="Arial" w:cs="Arial" w:eastAsia="Arial" w:hAnsi="Arial"/>
          <w:sz w:val="16"/>
          <w:szCs w:val="16"/>
          <w:color w:val="auto"/>
        </w:rPr>
        <w:t>In particular, affiliates of our sponsor, our directors and our officers have invested, and may in the future invest, in a broad array of sectors, including those in which our company may invest. As a result, there may be substantial overlap between companies that would be a suitable business combination for us and companies that would make an attractive target for such other affiliates. Please see “Proposed Business — Certain Potential Conflicts of Interest Relating to M. Klein and Company” for additional information.</w:t>
      </w:r>
    </w:p>
    <w:p>
      <w:pPr>
        <w:spacing w:after="0" w:line="148" w:lineRule="exact"/>
        <w:rPr>
          <w:sz w:val="20"/>
          <w:szCs w:val="20"/>
          <w:color w:val="auto"/>
        </w:rPr>
      </w:pPr>
    </w:p>
    <w:p>
      <w:pPr>
        <w:ind w:left="1260" w:right="859"/>
        <w:spacing w:after="0" w:line="235"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M. Klein and Company, our sponsor, officers or directors which may raise potential conflicts of interest.</w:t>
      </w:r>
    </w:p>
    <w:p>
      <w:pPr>
        <w:spacing w:after="0" w:line="80"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In light of the involvement of our sponsor, officers and directors with other businesses, we may decide to acquire one or more businesses affiliated with or competitive with M. Klein and Company, our sponsor, officers and directors, and their respective affiliates. Our directors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and “— Selection of a target business and structuring of our initial business combination” and such transaction was approved by a majority of our independent and disinterested directors. Despite our agreement to obtain an opinion from an independent investment banking firm that is a member of FINRA or from an independent accounting firm, regarding the fairness to our stockholders from a financial point of view of a business combination with one or more domestic or international businesses affiliated with M. Klein and Company, our sponsor, officers or directors, potential conflicts of interest still may exist and, as a result, the terms of the business combination may not be as advantageous to our public stockholders as they would be absent any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959"/>
        <w:spacing w:after="0" w:line="246" w:lineRule="auto"/>
        <w:rPr>
          <w:sz w:val="20"/>
          <w:szCs w:val="20"/>
          <w:color w:val="auto"/>
        </w:rPr>
      </w:pPr>
      <w:r>
        <w:rPr>
          <w:rFonts w:ascii="Arial" w:cs="Arial" w:eastAsia="Arial" w:hAnsi="Arial"/>
          <w:sz w:val="17"/>
          <w:szCs w:val="17"/>
          <w:b w:val="1"/>
          <w:bCs w:val="1"/>
          <w:i w:val="1"/>
          <w:iCs w:val="1"/>
          <w:color w:val="auto"/>
        </w:rPr>
        <w:t>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76"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may engage M. Klein and Company, or another affiliate of our sponsor, as a financial advisor in connection with our initial business combination and pay such affiliate a customary financial advisory fee in an amount that constitutes a market standard financial advisory fee for comparable transactions. Pursuant to any such engagement, the affiliate may earn its fee upon closing of the initial business combination. The payment of such fee would likely be conditioned upon the completion of the initial business combination. Therefore, our sponsor may have additional financial interests in the completion of the initial business combination. These financial interests may influence the advice any such affiliate provides us as our financial advisor, which advice would contribute to our decision on whether to pursue a business combination with any particular target.</w:t>
      </w:r>
    </w:p>
    <w:p>
      <w:pPr>
        <w:spacing w:after="0" w:line="183" w:lineRule="exact"/>
        <w:rPr>
          <w:sz w:val="20"/>
          <w:szCs w:val="20"/>
          <w:color w:val="auto"/>
        </w:rPr>
      </w:pPr>
    </w:p>
    <w:p>
      <w:pPr>
        <w:ind w:left="1260" w:right="859"/>
        <w:spacing w:after="0" w:line="368" w:lineRule="auto"/>
        <w:rPr>
          <w:sz w:val="20"/>
          <w:szCs w:val="20"/>
          <w:color w:val="auto"/>
        </w:rPr>
      </w:pPr>
      <w:r>
        <w:rPr>
          <w:rFonts w:ascii="Arial" w:cs="Arial" w:eastAsia="Arial" w:hAnsi="Arial"/>
          <w:sz w:val="13"/>
          <w:szCs w:val="13"/>
          <w:b w:val="1"/>
          <w:bCs w:val="1"/>
          <w:i w:val="1"/>
          <w:iCs w:val="1"/>
          <w:color w:val="auto"/>
        </w:rPr>
        <w:t>Since our initial stockholders will lose their entire investment in us if our initial business combination is not completed (other than with respect to any public shares they may hold), a conflict of interest may arise in determining whether a particular business combination target is appropriate for our initial business combination.</w:t>
      </w:r>
    </w:p>
    <w:p>
      <w:pPr>
        <w:spacing w:after="0" w:line="1"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In May 2020, our sponsor purchased an aggregate of 21,562,500 founder shares for an aggregate purchase price of $25,000, or approximately $0.001 per share. The number of founder shares issued was determined based on the expectation that the founder shares would represent 20% of the outstanding shares of common stock upon the completion of this offering. The founder shares will be worthless if we do not complete an initial business combination.</w:t>
      </w:r>
    </w:p>
    <w:p>
      <w:pPr>
        <w:spacing w:after="0" w:line="80"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In addition, our sponsor has subscribed to purchase an aggregate of 16,000,000 (or 18,250,000 if the underwriters’ option to purchase additional units is exercised in full) private placement warrants for a purchase price of $16,000,000 (or $18,250,000) if the underwriters’ option to purchase additional units is exercised in full), or $1.00 per warrant, that will also be worthless if we do not complete our initial business combination. Each private placement warrant entitles the holder thereof to purchase one share of our Class A common stock at a price of $11.50 per share, subject to adjustment as provided herein.</w:t>
      </w:r>
    </w:p>
    <w:p>
      <w:pPr>
        <w:spacing w:after="0" w:line="70"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8"/>
          <w:szCs w:val="18"/>
          <w:color w:val="auto"/>
        </w:rPr>
        <w:t>The founder shares are identical to the shares of Class A common stock included in the units being sold in this offering, except that: (1) only holders of the founder shares have the right to vote on the election and removal of directors prior to our initial business combination; (2) the founder shares are subject to certain transfer restrictions, as described in more detail below; (3) our sponsor, officers and directors have entered into a letter agreement with us, pursuant to which they have agreed to: (a) waive their redemption rights with respect to any founder shares and any public shares held by them in connection with the completion of our initial business combination, (b)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and (c) waive their rights to liquidating distributions from the trust account with respect to any founder shares held by them if we fail to complete our initial business combination within the completion window (although they will be entitled to liquidating distributions from the trust account with respect to any public shares they hold if we fail to complete our initial business combination within the completion window); (4) the founder shares are automatically convertible into shares of our Class A common stock at the time of our initial business combination on a one-for-one basis, subject to adjustment pursuant to certain anti-dilution rights, as described herein; and (5) the holders of founder shares are entitled to registration rights.</w:t>
      </w:r>
    </w:p>
    <w:p>
      <w:pPr>
        <w:spacing w:after="0" w:line="99"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deadline for completing our initial business combination nears.</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99"/>
        <w:spacing w:after="0" w:line="235"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8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68" w:lineRule="exact"/>
        <w:rPr>
          <w:sz w:val="20"/>
          <w:szCs w:val="20"/>
          <w:color w:val="auto"/>
        </w:rPr>
      </w:pPr>
    </w:p>
    <w:p>
      <w:pPr>
        <w:ind w:left="1980" w:right="163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29" w:lineRule="exact"/>
        <w:rPr>
          <w:rFonts w:ascii="Arial" w:cs="Arial" w:eastAsia="Arial" w:hAnsi="Arial"/>
          <w:sz w:val="18"/>
          <w:szCs w:val="18"/>
          <w:color w:val="auto"/>
        </w:rPr>
      </w:pPr>
    </w:p>
    <w:p>
      <w:pPr>
        <w:ind w:left="1980" w:right="719" w:hanging="352"/>
        <w:spacing w:after="0" w:line="263"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3"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43"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84" w:lineRule="exact"/>
        <w:rPr>
          <w:rFonts w:ascii="Arial" w:cs="Arial" w:eastAsia="Arial" w:hAnsi="Arial"/>
          <w:sz w:val="18"/>
          <w:szCs w:val="18"/>
          <w:color w:val="auto"/>
        </w:rPr>
      </w:pPr>
    </w:p>
    <w:p>
      <w:pPr>
        <w:ind w:left="1980" w:right="919" w:hanging="352"/>
        <w:spacing w:after="0" w:line="263"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expenses, capital expenditures, acquisitions and other general corporate purposes;</w:t>
      </w:r>
    </w:p>
    <w:p>
      <w:pPr>
        <w:spacing w:after="0" w:line="143"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43"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29" w:lineRule="exact"/>
        <w:rPr>
          <w:rFonts w:ascii="Arial" w:cs="Arial" w:eastAsia="Arial" w:hAnsi="Arial"/>
          <w:sz w:val="18"/>
          <w:szCs w:val="18"/>
          <w:color w:val="auto"/>
        </w:rPr>
      </w:pPr>
    </w:p>
    <w:p>
      <w:pPr>
        <w:ind w:left="1980" w:right="999" w:hanging="352"/>
        <w:spacing w:after="0" w:line="263"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0" w:lineRule="exact"/>
        <w:rPr>
          <w:sz w:val="20"/>
          <w:szCs w:val="20"/>
          <w:color w:val="auto"/>
        </w:rPr>
      </w:pPr>
    </w:p>
    <w:p>
      <w:pPr>
        <w:ind w:left="1260" w:right="739"/>
        <w:spacing w:after="0" w:line="231"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materially negatively impact our operations and profitability.</w:t>
      </w:r>
    </w:p>
    <w:p>
      <w:pPr>
        <w:spacing w:after="0" w:line="81"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net proceeds from this offering and the sale of the private placement warrants will provide us with $750,000,000 (or $862,500,000 if the underwriters’ option to purchase additional units is exercised in full) that we may use to complete our initial business combination (which includes $26,250,000, or up to $30,187,500 if the underwriters’ option to purchase additional units is exercised in full, of deferred underwriting commissions being held in the trust account).</w:t>
      </w:r>
    </w:p>
    <w:p>
      <w:pPr>
        <w:spacing w:after="0" w:line="80"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w:t>
      </w:r>
    </w:p>
    <w:p>
      <w:pPr>
        <w:spacing w:after="0" w:line="23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06" w:lineRule="exact"/>
        <w:rPr>
          <w:sz w:val="20"/>
          <w:szCs w:val="20"/>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30"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62" w:lineRule="exact"/>
        <w:rPr>
          <w:sz w:val="20"/>
          <w:szCs w:val="20"/>
          <w:color w:val="auto"/>
        </w:rPr>
      </w:pPr>
    </w:p>
    <w:p>
      <w:pPr>
        <w:jc w:val="both"/>
        <w:ind w:left="1260" w:right="959" w:firstLine="360"/>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ind w:left="1260" w:right="819"/>
        <w:spacing w:after="0" w:line="253" w:lineRule="auto"/>
        <w:rPr>
          <w:sz w:val="20"/>
          <w:szCs w:val="20"/>
          <w:color w:val="auto"/>
        </w:rPr>
      </w:pPr>
      <w:r>
        <w:rPr>
          <w:rFonts w:ascii="Arial" w:cs="Arial" w:eastAsia="Arial" w:hAnsi="Arial"/>
          <w:sz w:val="17"/>
          <w:szCs w:val="17"/>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70"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3"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80"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74" w:lineRule="exact"/>
        <w:rPr>
          <w:sz w:val="20"/>
          <w:szCs w:val="20"/>
          <w:color w:val="auto"/>
        </w:rPr>
      </w:pPr>
    </w:p>
    <w:p>
      <w:pPr>
        <w:ind w:left="1260" w:right="699"/>
        <w:spacing w:after="0" w:line="303" w:lineRule="auto"/>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35" w:lineRule="exact"/>
        <w:rPr>
          <w:sz w:val="20"/>
          <w:szCs w:val="20"/>
          <w:color w:val="auto"/>
        </w:rPr>
      </w:pPr>
    </w:p>
    <w:p>
      <w:pPr>
        <w:ind w:left="1260" w:right="659" w:firstLine="360"/>
        <w:spacing w:after="0" w:line="267" w:lineRule="auto"/>
        <w:rPr>
          <w:sz w:val="20"/>
          <w:szCs w:val="20"/>
          <w:color w:val="auto"/>
        </w:rPr>
      </w:pPr>
      <w:r>
        <w:rPr>
          <w:rFonts w:ascii="Arial" w:cs="Arial" w:eastAsia="Arial" w:hAnsi="Arial"/>
          <w:sz w:val="17"/>
          <w:szCs w:val="17"/>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our initial business combination may collectively own a minority interest in the post business combination company, depending on valuations ascribed to the target and us in our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699"/>
        <w:spacing w:after="0" w:line="235"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our initial business combination with which a substantial majority of our stockholders do not agree.</w:t>
      </w:r>
    </w:p>
    <w:p>
      <w:pPr>
        <w:spacing w:after="0" w:line="80" w:lineRule="exact"/>
        <w:rPr>
          <w:sz w:val="20"/>
          <w:szCs w:val="20"/>
          <w:color w:val="auto"/>
        </w:rPr>
      </w:pPr>
    </w:p>
    <w:p>
      <w:pPr>
        <w:ind w:left="1260" w:right="81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not provide a specified maximum redemption threshold, except that in no event will we redeem our public shares in an amount that would cause our net tangible assets, after payment of the deferred underwriting commissions, to be less than $5,000,001 (such that we do not then become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all shares of common stock submitted for redemption will be returned to the holders thereof, and we instead may search for an alternate business combination.</w:t>
      </w:r>
    </w:p>
    <w:p>
      <w:pPr>
        <w:spacing w:after="0" w:line="166" w:lineRule="exact"/>
        <w:rPr>
          <w:sz w:val="20"/>
          <w:szCs w:val="20"/>
          <w:color w:val="auto"/>
        </w:rPr>
      </w:pPr>
    </w:p>
    <w:p>
      <w:pPr>
        <w:ind w:left="1260" w:right="879"/>
        <w:spacing w:after="0" w:line="283" w:lineRule="auto"/>
        <w:rPr>
          <w:sz w:val="20"/>
          <w:szCs w:val="20"/>
          <w:color w:val="auto"/>
        </w:rPr>
      </w:pPr>
      <w:r>
        <w:rPr>
          <w:rFonts w:ascii="Arial" w:cs="Arial" w:eastAsia="Arial" w:hAnsi="Arial"/>
          <w:sz w:val="15"/>
          <w:szCs w:val="15"/>
          <w:b w:val="1"/>
          <w:bCs w:val="1"/>
          <w:i w:val="1"/>
          <w:iCs w:val="1"/>
          <w:color w:val="auto"/>
        </w:rPr>
        <w:t>In order to effectuate an initial business combination, blank check companies have, in the recent past, amended various provisions of their charters and modified governing instruments, including their warrant agreements. We cannot assure you that we will not seek to amend our amended and restated certificate of incorporation or governing instruments, including our warrant agreement, in a manner that will make it easier for us to complete our initial business combination that some of our stockholders or warrant holders may not support.</w:t>
      </w:r>
    </w:p>
    <w:p>
      <w:pPr>
        <w:spacing w:after="0" w:line="5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extended the time to consummate an initial business combination and, with respect to their warrants, amended their warrant agreements to require the warrants to be exchanged for cash and/or other securities. We cannot assure you that we will not seek to amend our charter or governing instruments or extend the time to consummate an initial business combination in order to effectuate our initial business combination.</w:t>
      </w:r>
    </w:p>
    <w:p>
      <w:pPr>
        <w:spacing w:after="0" w:line="178" w:lineRule="exact"/>
        <w:rPr>
          <w:sz w:val="20"/>
          <w:szCs w:val="20"/>
          <w:color w:val="auto"/>
        </w:rPr>
      </w:pPr>
    </w:p>
    <w:p>
      <w:pPr>
        <w:ind w:left="1260" w:right="759"/>
        <w:spacing w:after="0" w:line="279" w:lineRule="auto"/>
        <w:rPr>
          <w:sz w:val="20"/>
          <w:szCs w:val="20"/>
          <w:color w:val="auto"/>
        </w:rPr>
      </w:pPr>
      <w:r>
        <w:rPr>
          <w:rFonts w:ascii="Arial" w:cs="Arial" w:eastAsia="Arial" w:hAnsi="Arial"/>
          <w:sz w:val="15"/>
          <w:szCs w:val="15"/>
          <w:b w:val="1"/>
          <w:bCs w:val="1"/>
          <w:i w:val="1"/>
          <w:iCs w:val="1"/>
          <w:color w:val="auto"/>
        </w:rPr>
        <w:t>Certain provisions of our amended and restated certificate of incorporation that relate to our pre-business combination activity (and corresponding provisions of the agreement governing the release of funds from our trust account) may be amended with the approval of holders of not less than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5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provide that any of its provisions (other than amendments relating to the appointment of directors, which require the approval by a majority of at least 90% of our common stock voting at a stockholder meeting) related to pre-business combination activity (including the requirement to fund the trust account and not release such amounts except in specified circumstances and to provide redemption rights to public stockholders as described herein) may be amended if approved by holders of at least 65% of our common stock, and corresponding provisions of the trust agreement governing the release of funds from our trust account may be amended if approved by holders of 65% of our common stock. In all other instances, our amended and restated certificate of incorporation will provide that it may be amended by holders of a majority of our common stock, subject to applicable provisions of the DGCL, or applicable stock exchange rules. We may not issue additional securities that can vote on amendments to our amended and restated certificate of incorporation or on our initial business combination. Our initial stockholders, who will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choose. As a result, we may be able to amend the provisions</w:t>
      </w: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of our amended and restated certificate of incorporation which will govern our pre-business combination behavior more easily than some other blank check companies, and this may increase our ability to complete our initial business combination with which you do not agree. Our stockholders may pursue remedies against us for any breach of our amended and restated certificate of incorporation.</w:t>
      </w:r>
    </w:p>
    <w:p>
      <w:pPr>
        <w:spacing w:after="0" w:line="79"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Certain agreements related to this offering may be amended without stockholder approval.</w:t>
      </w:r>
    </w:p>
    <w:p>
      <w:pPr>
        <w:spacing w:after="0" w:line="10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Certain agreements, including the underwriting agreement relating to this offering, the letter agreement among us and our sponsor, officers and directors, and the registration rights agreement among us and our initial stockholders, may be amended without stockholder approval. These agreements contain various provisions that our public stockholders might deem to be material. While we do not expect our board to approve any amendment to any of these agreements prior to our initial business combination, it may be possible that our board, in exercising its business judgment and subject to its fiduciary duties, chooses to approve one or more amendments to any such agreement in connection with the consummation of our initial business combination. Any such amendments would not require approval from our stockholders, may result in the completion of our initial business combination that may not otherwise have been possible, and may have an adverse effect on the value of an investment in our securities.</w:t>
      </w:r>
    </w:p>
    <w:p>
      <w:pPr>
        <w:spacing w:after="0" w:line="172" w:lineRule="exact"/>
        <w:rPr>
          <w:sz w:val="20"/>
          <w:szCs w:val="20"/>
          <w:color w:val="auto"/>
        </w:rPr>
      </w:pPr>
    </w:p>
    <w:p>
      <w:pPr>
        <w:ind w:left="1260" w:right="799"/>
        <w:spacing w:after="0" w:line="235"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80"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Although we believe that the net proceeds of this offering and the sale of the private placement warrants will be sufficient to allow us to complete our initial business combination, because we have not yet identified any prospective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(including from M. Klein and Company) or to abandon the proposed business combination. We cannot assure you that such financing will be available on acceptable terms, if at all. M. Klein and Company is not obligated to provide, or seek, any such financing or, except as expressly set forth herein, to provide any other services to us.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79"/>
        <w:spacing w:after="0" w:line="266" w:lineRule="auto"/>
        <w:rPr>
          <w:sz w:val="20"/>
          <w:szCs w:val="20"/>
          <w:color w:val="auto"/>
        </w:rPr>
      </w:pPr>
      <w:r>
        <w:rPr>
          <w:rFonts w:ascii="Arial" w:cs="Arial" w:eastAsia="Arial" w:hAnsi="Arial"/>
          <w:sz w:val="16"/>
          <w:szCs w:val="16"/>
          <w:b w:val="1"/>
          <w:bCs w:val="1"/>
          <w:i w:val="1"/>
          <w:iCs w:val="1"/>
          <w:color w:val="auto"/>
        </w:rPr>
        <w:t>Our initial stockholders will control the election of our board of directors until consummation of our initial business combination and will hold a substantial interest in us. As a result, they will elect all of our directors prior to the consummation of our initial business combination and may exert a substantial influence on actions requiring a stockholder vote, potentially in a manner that you do not support.</w:t>
      </w:r>
    </w:p>
    <w:p>
      <w:pPr>
        <w:spacing w:after="0" w:line="62"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Upon the closing of this offering, our initial stockholders will own 20% of our outstanding common stock (assuming they do not purchase any units in this offering). In addition, the founder shares, all of which are held by our initial stockholders, will entitle the holders to elect all of our directors prior to the consummation of our initial business combination. Holders of our public shares will have no right to vote on the election of directors during such time. These provisions of our amended and restated certificate of incorporation may only be amended by a majority of at least 90% of our common stock voting at a stockholder meeting. As a result, you will not have any influence over the election of directors prior to our initial business combination.</w:t>
      </w:r>
    </w:p>
    <w:p>
      <w:pPr>
        <w:spacing w:after="0" w:line="8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additional shares of common stock in the aftermarket or in privately negotiated transactions, this would increase their influence over these actions. Accordingly, our initial stockholders will exert significant influence over actions requiring a stockholder vote. Please see “Proposed Business — Permitted purchases of our securities.”</w:t>
      </w:r>
    </w:p>
    <w:p>
      <w:pPr>
        <w:spacing w:after="0" w:line="178" w:lineRule="exact"/>
        <w:rPr>
          <w:sz w:val="20"/>
          <w:szCs w:val="20"/>
          <w:color w:val="auto"/>
        </w:rPr>
      </w:pPr>
    </w:p>
    <w:p>
      <w:pPr>
        <w:ind w:left="1260" w:right="719"/>
        <w:spacing w:after="0" w:line="274" w:lineRule="auto"/>
        <w:rPr>
          <w:sz w:val="20"/>
          <w:szCs w:val="20"/>
          <w:color w:val="auto"/>
        </w:rPr>
      </w:pPr>
      <w:r>
        <w:rPr>
          <w:rFonts w:ascii="Arial" w:cs="Arial" w:eastAsia="Arial" w:hAnsi="Arial"/>
          <w:sz w:val="17"/>
          <w:szCs w:val="17"/>
          <w:b w:val="1"/>
          <w:bCs w:val="1"/>
          <w:i w:val="1"/>
          <w:iCs w:val="1"/>
          <w:color w:val="auto"/>
        </w:rPr>
        <w:t>Our sponsor contributed $25,000, or approximately $0.001 per founder share, and, accordingly, you will experience immediate and substantial dilution from the purchase of our Class A common stock.</w:t>
      </w:r>
    </w:p>
    <w:p>
      <w:pPr>
        <w:spacing w:after="0" w:line="5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Class A common stock and none to the warrant included in the unit) and the pro forma net tangible book value per share of our Class A common stock after this offering constitutes the dilution to you and the other investors in this offering. Our sponsor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97.7% (or $9.77 per share, assuming no exercise of the underwriters’ over-allotment option), the difference between the pro forma net tangible book value per share of $0.23 and the initial offering price of $10.00 per unit. In addition, because of the anti-dilution rights of the founder shares, any equity or equity-linked securities issued or deemed issued in connection with our initial business combination would be disproportionately dilutive to our Class A common stock.</w:t>
      </w:r>
    </w:p>
    <w:p>
      <w:pPr>
        <w:spacing w:after="0" w:line="168" w:lineRule="exact"/>
        <w:rPr>
          <w:sz w:val="20"/>
          <w:szCs w:val="20"/>
          <w:color w:val="auto"/>
        </w:rPr>
      </w:pPr>
    </w:p>
    <w:p>
      <w:pPr>
        <w:ind w:left="1260" w:right="879"/>
        <w:spacing w:after="0" w:line="283" w:lineRule="auto"/>
        <w:rPr>
          <w:sz w:val="20"/>
          <w:szCs w:val="20"/>
          <w:color w:val="auto"/>
        </w:rPr>
      </w:pPr>
      <w:r>
        <w:rPr>
          <w:rFonts w:ascii="Arial" w:cs="Arial" w:eastAsia="Arial" w:hAnsi="Arial"/>
          <w:sz w:val="15"/>
          <w:szCs w:val="15"/>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warrants could be converted into cash or stock (at a ratio different than initially provided), the exercise period could be shortened and the number of shares of our Class A common stock purchasable upon exercise of a warrant could be decreased, all without your approval.</w:t>
      </w:r>
    </w:p>
    <w:p>
      <w:pPr>
        <w:spacing w:after="0" w:line="5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w:t>
      </w: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3" w:lineRule="auto"/>
        <w:rPr>
          <w:sz w:val="20"/>
          <w:szCs w:val="20"/>
          <w:color w:val="auto"/>
        </w:rPr>
      </w:pPr>
      <w:r>
        <w:rPr>
          <w:rFonts w:ascii="Arial" w:cs="Arial" w:eastAsia="Arial" w:hAnsi="Arial"/>
          <w:sz w:val="18"/>
          <w:szCs w:val="18"/>
          <w:color w:val="auto"/>
        </w:rPr>
        <w:t>purchasable upon exercise of a warrant. Our initial stockholders may purchase public warrants with the intention of reducing the number of public warrants outstanding or to vote such warrants on any matters submitted to warrantholders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 Please see “Proposed Business — Permitted purchases of our securities.”</w:t>
      </w:r>
    </w:p>
    <w:p>
      <w:pPr>
        <w:spacing w:after="0" w:line="181" w:lineRule="exact"/>
        <w:rPr>
          <w:sz w:val="20"/>
          <w:szCs w:val="20"/>
          <w:color w:val="auto"/>
        </w:rPr>
      </w:pPr>
    </w:p>
    <w:p>
      <w:pPr>
        <w:ind w:left="1260" w:right="979"/>
        <w:spacing w:after="0" w:line="246"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75"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dividends,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w:t>
      </w:r>
    </w:p>
    <w:p>
      <w:pPr>
        <w:spacing w:after="0" w:line="186" w:lineRule="exact"/>
        <w:rPr>
          <w:sz w:val="20"/>
          <w:szCs w:val="20"/>
          <w:color w:val="auto"/>
        </w:rPr>
      </w:pPr>
    </w:p>
    <w:p>
      <w:pPr>
        <w:ind w:left="1260" w:right="699"/>
        <w:spacing w:after="0" w:line="246"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Class A common stock and make it more difficult to effectuate our initial business combination.</w:t>
      </w:r>
    </w:p>
    <w:p>
      <w:pPr>
        <w:spacing w:after="0" w:line="75"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will be issuing warrants to purchase 18,750,000 shares of our Class A common stock (or up to 21,562,500 shares of our Class A common stock if the underwriters’ option to purchase additional units is exercised in full), at a price of $11.50 per whole share (subject to adjustment as provided herein), as part of the units offered by this prospectus. Simultaneously with the closing of this offering, we also will be issuing in the Private Placement an aggregate of 16,000,000 (or 18,250,000 if the underwriters’ option to purchase additional units is exercised in full) private placement warrants, each exercisable to purchase one share of Class A common stock at a price of $11.50 per share, subject to adjustment as provided herein. Our initial stockholders currently hold 21,562,500 founder shares (up to 2,812,500 of which are subject to forfeiture by our sponsor depending on the extent to which the underwriters’ option to purchase additional units is exercised). The founder shares are convertible into shares of Class A common stock on a one-for-one basis, subject to adjustment as set forth herein.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w:t>
      </w:r>
    </w:p>
    <w:p>
      <w:pPr>
        <w:spacing w:after="0" w:line="76"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To the extent we issue shares of Class A common stock to effectuate a business transaction, the potential for the issuance of a substantial number of additional shares of Class A common stock upon exercise of these warrants or conversion rights could make us a less attractive acquisition vehicle to a target business. Any such issuance will increase the number of outstanding shares of our Class A common stock and reduce the value of the Class A common stock issued to complete the business transaction. Therefore, our warrants and founder shares may make it more difficult to effectuate a business combination or increase the cost of acquiring the target business.</w:t>
      </w:r>
    </w:p>
    <w:p>
      <w:pPr>
        <w:spacing w:after="0" w:line="87"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The private placement warrants are identical to the warrants sold as part of the units in this offering except that, so long as they are held by our sponsor or its permitted transferees: (1) they will not be redeemable by us; (2) they (including the Class A common stock issuable upon exercise of these warrants) may not, subject to certain limited exceptions, be transferred, assigned or sold by our sponsor until 30 days</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63" w:lineRule="auto"/>
        <w:rPr>
          <w:sz w:val="20"/>
          <w:szCs w:val="20"/>
          <w:color w:val="auto"/>
        </w:rPr>
      </w:pPr>
      <w:r>
        <w:rPr>
          <w:rFonts w:ascii="Arial" w:cs="Arial" w:eastAsia="Arial" w:hAnsi="Arial"/>
          <w:sz w:val="18"/>
          <w:szCs w:val="18"/>
          <w:color w:val="auto"/>
        </w:rPr>
        <w:t>after the completion of our initial business combination; (3) they may be exercised by the holders on a cashless basis; and (4) the holders thereof (including with respect to the shares of common stock issuable upon exercise of these warrants) are entitled to registration rights.</w:t>
      </w:r>
    </w:p>
    <w:p>
      <w:pPr>
        <w:spacing w:after="0" w:line="170" w:lineRule="exact"/>
        <w:rPr>
          <w:sz w:val="20"/>
          <w:szCs w:val="20"/>
          <w:color w:val="auto"/>
        </w:rPr>
      </w:pPr>
    </w:p>
    <w:p>
      <w:pPr>
        <w:ind w:left="1260" w:right="699"/>
        <w:spacing w:after="0" w:line="246"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76"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114" w:lineRule="exact"/>
        <w:rPr>
          <w:sz w:val="20"/>
          <w:szCs w:val="20"/>
          <w:color w:val="auto"/>
        </w:rPr>
      </w:pPr>
    </w:p>
    <w:p>
      <w:pPr>
        <w:ind w:left="1980" w:right="129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44" w:lineRule="exact"/>
        <w:rPr>
          <w:rFonts w:ascii="Arial" w:cs="Arial" w:eastAsia="Arial" w:hAnsi="Arial"/>
          <w:sz w:val="18"/>
          <w:szCs w:val="18"/>
          <w:color w:val="auto"/>
        </w:rPr>
      </w:pPr>
    </w:p>
    <w:p>
      <w:pPr>
        <w:ind w:left="1980" w:right="141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suitable acquisition opportunities;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1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Although these factors were considered, the determination of our offering size, price and the terms of the units, including the Class A common stock and warrants underlying the units, is more arbitrary than the pricing of securities of an operating company in a particular industry since we have no historical operations or financial results.</w:t>
      </w:r>
    </w:p>
    <w:p>
      <w:pPr>
        <w:spacing w:after="0" w:line="173" w:lineRule="exact"/>
        <w:rPr>
          <w:sz w:val="20"/>
          <w:szCs w:val="20"/>
          <w:color w:val="auto"/>
        </w:rPr>
      </w:pPr>
    </w:p>
    <w:p>
      <w:pPr>
        <w:ind w:left="1260" w:right="1199"/>
        <w:spacing w:after="0" w:line="246"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75"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164" w:lineRule="exact"/>
        <w:rPr>
          <w:sz w:val="20"/>
          <w:szCs w:val="20"/>
          <w:color w:val="auto"/>
        </w:rPr>
      </w:pPr>
    </w:p>
    <w:p>
      <w:pPr>
        <w:ind w:left="1260" w:right="1119"/>
        <w:spacing w:after="0" w:line="400" w:lineRule="auto"/>
        <w:rPr>
          <w:sz w:val="20"/>
          <w:szCs w:val="20"/>
          <w:color w:val="auto"/>
        </w:rPr>
      </w:pPr>
      <w:r>
        <w:rPr>
          <w:rFonts w:ascii="Arial" w:cs="Arial" w:eastAsia="Arial" w:hAnsi="Arial"/>
          <w:sz w:val="13"/>
          <w:szCs w:val="13"/>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include historical and/or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completion window.</w:t>
      </w:r>
    </w:p>
    <w:p>
      <w:pPr>
        <w:spacing w:after="0" w:line="173" w:lineRule="exact"/>
        <w:rPr>
          <w:sz w:val="20"/>
          <w:szCs w:val="20"/>
          <w:color w:val="auto"/>
        </w:rPr>
      </w:pPr>
    </w:p>
    <w:p>
      <w:pPr>
        <w:ind w:left="1260" w:right="699"/>
        <w:spacing w:after="0" w:line="368" w:lineRule="auto"/>
        <w:rPr>
          <w:sz w:val="20"/>
          <w:szCs w:val="20"/>
          <w:color w:val="auto"/>
        </w:rPr>
      </w:pPr>
      <w:r>
        <w:rPr>
          <w:rFonts w:ascii="Arial" w:cs="Arial" w:eastAsia="Arial" w:hAnsi="Arial"/>
          <w:sz w:val="13"/>
          <w:szCs w:val="13"/>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72"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ind w:left="1260" w:right="779"/>
        <w:spacing w:after="0" w:line="235"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8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24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759"/>
        <w:spacing w:after="0" w:line="235"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80"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three-year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8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w:t>
      </w:r>
    </w:p>
    <w:p>
      <w:pPr>
        <w:spacing w:after="0" w:line="2" w:lineRule="exact"/>
        <w:rPr>
          <w:sz w:val="20"/>
          <w:szCs w:val="20"/>
          <w:color w:val="auto"/>
        </w:rPr>
      </w:pPr>
    </w:p>
    <w:p>
      <w:pPr>
        <w:ind w:left="1260" w:right="739"/>
        <w:spacing w:after="0" w:line="253" w:lineRule="auto"/>
        <w:rPr>
          <w:sz w:val="20"/>
          <w:szCs w:val="20"/>
          <w:color w:val="auto"/>
        </w:rPr>
      </w:pPr>
      <w:r>
        <w:rPr>
          <w:rFonts w:ascii="Arial" w:cs="Arial" w:eastAsia="Arial" w:hAnsi="Arial"/>
          <w:sz w:val="18"/>
          <w:szCs w:val="18"/>
          <w:color w:val="auto"/>
        </w:rPr>
        <w:t>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79" w:lineRule="exact"/>
        <w:rPr>
          <w:sz w:val="20"/>
          <w:szCs w:val="20"/>
          <w:color w:val="auto"/>
        </w:rPr>
      </w:pPr>
    </w:p>
    <w:p>
      <w:pPr>
        <w:ind w:left="1260" w:right="1219"/>
        <w:spacing w:after="0" w:line="246"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have the effect of discouraging lawsuits against our directors and officers.</w:t>
      </w:r>
    </w:p>
    <w:p>
      <w:pPr>
        <w:spacing w:after="0" w:line="75"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amended and restated certificate of incorporation will require,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This provision may have the effect of discouraging lawsuits against our directors and officers.</w:t>
      </w:r>
    </w:p>
    <w:p>
      <w:pPr>
        <w:spacing w:after="0" w:line="179" w:lineRule="exact"/>
        <w:rPr>
          <w:sz w:val="20"/>
          <w:szCs w:val="20"/>
          <w:color w:val="auto"/>
        </w:rPr>
      </w:pPr>
    </w:p>
    <w:p>
      <w:pPr>
        <w:ind w:left="1260" w:right="719"/>
        <w:spacing w:after="0" w:line="266" w:lineRule="auto"/>
        <w:rPr>
          <w:sz w:val="20"/>
          <w:szCs w:val="20"/>
          <w:color w:val="auto"/>
        </w:rPr>
      </w:pPr>
      <w:r>
        <w:rPr>
          <w:rFonts w:ascii="Arial" w:cs="Arial" w:eastAsia="Arial" w:hAnsi="Arial"/>
          <w:sz w:val="16"/>
          <w:szCs w:val="16"/>
          <w:b w:val="1"/>
          <w:bCs w:val="1"/>
          <w:i w:val="1"/>
          <w:iCs w:val="1"/>
          <w:color w:val="auto"/>
        </w:rPr>
        <w:t>If our management team pursues a company with operations or opportunities outside of the United States for our initial business combination, we may face additional burdens in connection with investigating, agreeing to and completing such combination, and if we effect such initial business combination, we would be subject to a variety of additional risks that may negatively impact our operations.</w:t>
      </w:r>
    </w:p>
    <w:p>
      <w:pPr>
        <w:spacing w:after="0" w:line="6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84"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03" w:lineRule="exact"/>
        <w:rPr>
          <w:sz w:val="20"/>
          <w:szCs w:val="20"/>
          <w:color w:val="auto"/>
        </w:rPr>
      </w:pPr>
    </w:p>
    <w:p>
      <w:pPr>
        <w:ind w:left="1980" w:right="879" w:hanging="352"/>
        <w:spacing w:after="0" w:line="277"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 and complying with commercial and legal requirements of overseas markets;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obligatory military service by personnel; and</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appropriation of assets.</w:t>
      </w:r>
    </w:p>
    <w:p>
      <w:pPr>
        <w:spacing w:after="0" w:line="117"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73" w:lineRule="exact"/>
        <w:rPr>
          <w:sz w:val="20"/>
          <w:szCs w:val="20"/>
          <w:color w:val="auto"/>
        </w:rPr>
      </w:pPr>
    </w:p>
    <w:p>
      <w:pPr>
        <w:ind w:left="1260" w:right="699"/>
        <w:spacing w:after="0" w:line="400" w:lineRule="auto"/>
        <w:rPr>
          <w:sz w:val="20"/>
          <w:szCs w:val="20"/>
          <w:color w:val="auto"/>
        </w:rPr>
      </w:pPr>
      <w:r>
        <w:rPr>
          <w:rFonts w:ascii="Arial" w:cs="Arial" w:eastAsia="Arial" w:hAnsi="Arial"/>
          <w:sz w:val="13"/>
          <w:szCs w:val="13"/>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79" w:lineRule="exact"/>
        <w:rPr>
          <w:sz w:val="20"/>
          <w:szCs w:val="20"/>
          <w:color w:val="auto"/>
        </w:rPr>
      </w:pPr>
    </w:p>
    <w:p>
      <w:pPr>
        <w:ind w:left="1260" w:right="1119"/>
        <w:spacing w:after="0" w:line="274"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53"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As of May 22, 2020, we had $25,000 in cash and a working capital deficiency of $34,000. Further, we have incurred and expect to continue to incur significant costs in pursuit of our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Some statements contained in this prospectus, and certain oral statements made from time to time by our representatives in connection with this offering,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45" w:lineRule="exact"/>
        <w:rPr>
          <w:sz w:val="20"/>
          <w:szCs w:val="20"/>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171"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16"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and potential conflicts of interest relating to M. Klein and Company and our directors, officers and other affiliates;</w:t>
      </w:r>
    </w:p>
    <w:p>
      <w:pPr>
        <w:spacing w:after="0" w:line="116"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draw from the support and expertise of the M. Klein and Company and our directors, officers and other affiliates;</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71" w:lineRule="exact"/>
        <w:rPr>
          <w:rFonts w:ascii="Arial" w:cs="Arial" w:eastAsia="Arial" w:hAnsi="Arial"/>
          <w:sz w:val="18"/>
          <w:szCs w:val="18"/>
          <w:color w:val="auto"/>
        </w:rPr>
      </w:pPr>
    </w:p>
    <w:p>
      <w:pPr>
        <w:ind w:left="1980" w:right="127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pool of prospective target businesses, including the location and industry of such target businesses;</w:t>
      </w:r>
    </w:p>
    <w:p>
      <w:pPr>
        <w:spacing w:after="0" w:line="129"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to us of funds from interest income on the trust account balance;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17"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0139"/>
          </w:cols>
          <w:pgMar w:left="320" w:top="132" w:right="1440" w:bottom="1440" w:gutter="0" w:footer="0" w:header="0"/>
        </w:sectPr>
      </w:pP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1119" w:firstLine="360"/>
        <w:spacing w:after="0" w:line="263" w:lineRule="auto"/>
        <w:rPr>
          <w:sz w:val="20"/>
          <w:szCs w:val="20"/>
          <w:color w:val="auto"/>
        </w:rPr>
      </w:pPr>
      <w:r>
        <w:rPr>
          <w:rFonts w:ascii="Arial" w:cs="Arial" w:eastAsia="Arial" w:hAnsi="Arial"/>
          <w:sz w:val="18"/>
          <w:szCs w:val="18"/>
          <w:color w:val="auto"/>
        </w:rPr>
        <w:t>We are offering 75,000,000 units at an offering price of $10.00 per unit. We estimate that the net proceeds of this offering together with the funds we will receive from the sale of the private placement warrants will be used as set forth in the following table.</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Option to</w:t>
            </w: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Without Option</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to Purchase</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Additional Units</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Additional Units</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Exercised in Full</w:t>
            </w:r>
          </w:p>
        </w:tc>
        <w:tc>
          <w:tcPr>
            <w:tcW w:w="0" w:type="dxa"/>
            <w:vAlign w:val="bottom"/>
          </w:tcPr>
          <w:p>
            <w:pPr>
              <w:spacing w:after="0"/>
              <w:rPr>
                <w:sz w:val="1"/>
                <w:szCs w:val="1"/>
                <w:color w:val="auto"/>
              </w:rPr>
            </w:pPr>
          </w:p>
        </w:tc>
      </w:tr>
      <w:tr>
        <w:trPr>
          <w:trHeight w:val="26"/>
        </w:trPr>
        <w:tc>
          <w:tcPr>
            <w:tcW w:w="5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proceeds</w:t>
            </w:r>
          </w:p>
        </w:tc>
        <w:tc>
          <w:tcPr>
            <w:tcW w:w="9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tcPr>
          <w:p>
            <w:pPr>
              <w:spacing w:after="0" w:line="243" w:lineRule="exact"/>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6"/>
                <w:szCs w:val="26"/>
                <w:color w:val="auto"/>
                <w:vertAlign w:val="superscript"/>
              </w:rPr>
              <w:t>(1)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$750,000,000</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$862,500,000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proceeds from private placement warrants offered in the private</w:t>
            </w:r>
          </w:p>
        </w:tc>
        <w:tc>
          <w:tcPr>
            <w:tcW w:w="9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18,250,000</w:t>
            </w:r>
          </w:p>
        </w:tc>
        <w:tc>
          <w:tcPr>
            <w:tcW w:w="1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980" w:type="dxa"/>
            <w:vAlign w:val="bottom"/>
          </w:tcPr>
          <w:p>
            <w:pPr>
              <w:spacing w:after="0"/>
              <w:rPr>
                <w:sz w:val="20"/>
                <w:szCs w:val="20"/>
                <w:color w:val="auto"/>
              </w:rPr>
            </w:pPr>
            <w:r>
              <w:rPr>
                <w:rFonts w:ascii="Arial" w:cs="Arial" w:eastAsia="Arial" w:hAnsi="Arial"/>
                <w:sz w:val="18"/>
                <w:szCs w:val="18"/>
                <w:color w:val="auto"/>
              </w:rPr>
              <w:t>Total gross proceeds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766,000,000</w:t>
            </w:r>
          </w:p>
        </w:tc>
        <w:tc>
          <w:tcPr>
            <w:tcW w:w="100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880,750,000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980" w:type="dxa"/>
            <w:vAlign w:val="bottom"/>
            <w:tcBorders>
              <w:top w:val="single" w:sz="8" w:color="CCEEFF"/>
              <w:right w:val="single" w:sz="8" w:color="CCEEFF"/>
            </w:tcBorders>
            <w:shd w:val="clear" w:color="auto" w:fill="CCEEFF"/>
          </w:tcPr>
          <w:p>
            <w:pPr>
              <w:spacing w:after="0" w:line="183" w:lineRule="exact"/>
              <w:rPr>
                <w:sz w:val="20"/>
                <w:szCs w:val="20"/>
                <w:color w:val="auto"/>
              </w:rPr>
            </w:pPr>
            <w:r>
              <w:rPr>
                <w:rFonts w:ascii="Arial" w:cs="Arial" w:eastAsia="Arial" w:hAnsi="Arial"/>
                <w:sz w:val="15"/>
                <w:szCs w:val="15"/>
                <w:b w:val="1"/>
                <w:bCs w:val="1"/>
                <w:color w:val="auto"/>
              </w:rPr>
              <w:t>Estimated offering expenses</w:t>
            </w:r>
            <w:r>
              <w:rPr>
                <w:rFonts w:ascii="Arial" w:cs="Arial" w:eastAsia="Arial" w:hAnsi="Arial"/>
                <w:sz w:val="21"/>
                <w:szCs w:val="21"/>
                <w:color w:val="auto"/>
                <w:vertAlign w:val="superscript"/>
              </w:rPr>
              <w:t>(2)</w:t>
            </w: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980" w:type="dxa"/>
            <w:vAlign w:val="bottom"/>
          </w:tcPr>
          <w:p>
            <w:pPr>
              <w:spacing w:after="0" w:line="192" w:lineRule="exact"/>
              <w:rPr>
                <w:sz w:val="20"/>
                <w:szCs w:val="20"/>
                <w:color w:val="auto"/>
              </w:rPr>
            </w:pPr>
            <w:r>
              <w:rPr>
                <w:rFonts w:ascii="Arial" w:cs="Arial" w:eastAsia="Arial" w:hAnsi="Arial"/>
                <w:sz w:val="18"/>
                <w:szCs w:val="18"/>
                <w:color w:val="auto"/>
              </w:rPr>
              <w:t>Underwriting commissions (2.0% of gross proceeds from units offered to</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5980" w:type="dxa"/>
            <w:vAlign w:val="bottom"/>
          </w:tcPr>
          <w:p>
            <w:pPr>
              <w:ind w:left="180"/>
              <w:spacing w:after="0" w:line="281" w:lineRule="exact"/>
              <w:rPr>
                <w:sz w:val="20"/>
                <w:szCs w:val="20"/>
                <w:color w:val="auto"/>
              </w:rPr>
            </w:pPr>
            <w:r>
              <w:rPr>
                <w:rFonts w:ascii="Arial" w:cs="Arial" w:eastAsia="Arial" w:hAnsi="Arial"/>
                <w:sz w:val="18"/>
                <w:szCs w:val="18"/>
                <w:color w:val="auto"/>
              </w:rPr>
              <w:t>public, excluding deferred portion)</w:t>
            </w:r>
            <w:r>
              <w:rPr>
                <w:rFonts w:ascii="Arial" w:cs="Arial" w:eastAsia="Arial" w:hAnsi="Arial"/>
                <w:sz w:val="26"/>
                <w:szCs w:val="26"/>
                <w:color w:val="auto"/>
                <w:vertAlign w:val="superscript"/>
              </w:rPr>
              <w:t>(3)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15,000,000</w:t>
            </w:r>
          </w:p>
        </w:tc>
        <w:tc>
          <w:tcPr>
            <w:tcW w:w="1000" w:type="dxa"/>
            <w:vAlign w:val="bottom"/>
          </w:tcPr>
          <w:p>
            <w:pPr>
              <w:jc w:val="right"/>
              <w:spacing w:after="0"/>
              <w:rPr>
                <w:sz w:val="20"/>
                <w:szCs w:val="20"/>
                <w:color w:val="auto"/>
              </w:rPr>
            </w:pPr>
            <w:r>
              <w:rPr>
                <w:rFonts w:ascii="Arial" w:cs="Arial" w:eastAsia="Arial" w:hAnsi="Arial"/>
                <w:sz w:val="18"/>
                <w:szCs w:val="18"/>
                <w:color w:val="auto"/>
              </w:rPr>
              <w:t>17,250,000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000" w:type="dxa"/>
            <w:vAlign w:val="bottom"/>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SEC/FINRA Expenses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241,828</w:t>
            </w:r>
          </w:p>
        </w:tc>
        <w:tc>
          <w:tcPr>
            <w:tcW w:w="1000" w:type="dxa"/>
            <w:vAlign w:val="bottom"/>
          </w:tcPr>
          <w:p>
            <w:pPr>
              <w:jc w:val="right"/>
              <w:spacing w:after="0"/>
              <w:rPr>
                <w:sz w:val="20"/>
                <w:szCs w:val="20"/>
                <w:color w:val="auto"/>
              </w:rPr>
            </w:pPr>
            <w:r>
              <w:rPr>
                <w:rFonts w:ascii="Arial" w:cs="Arial" w:eastAsia="Arial" w:hAnsi="Arial"/>
                <w:sz w:val="18"/>
                <w:szCs w:val="18"/>
                <w:color w:val="auto"/>
              </w:rPr>
              <w:t>241,828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Travel and road show</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Directors and officers insurance premiums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285,000</w:t>
            </w:r>
          </w:p>
        </w:tc>
        <w:tc>
          <w:tcPr>
            <w:tcW w:w="1000" w:type="dxa"/>
            <w:vAlign w:val="bottom"/>
          </w:tcPr>
          <w:p>
            <w:pPr>
              <w:jc w:val="right"/>
              <w:spacing w:after="0"/>
              <w:rPr>
                <w:sz w:val="20"/>
                <w:szCs w:val="20"/>
                <w:color w:val="auto"/>
              </w:rPr>
            </w:pPr>
            <w:r>
              <w:rPr>
                <w:rFonts w:ascii="Arial" w:cs="Arial" w:eastAsia="Arial" w:hAnsi="Arial"/>
                <w:sz w:val="18"/>
                <w:szCs w:val="18"/>
                <w:color w:val="auto"/>
              </w:rPr>
              <w:t>285,000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80" w:type="dxa"/>
            <w:vAlign w:val="bottom"/>
          </w:tcPr>
          <w:p>
            <w:pPr>
              <w:spacing w:after="0" w:line="270" w:lineRule="exact"/>
              <w:rPr>
                <w:sz w:val="20"/>
                <w:szCs w:val="20"/>
                <w:color w:val="auto"/>
              </w:rPr>
            </w:pPr>
            <w:r>
              <w:rPr>
                <w:rFonts w:ascii="Arial" w:cs="Arial" w:eastAsia="Arial" w:hAnsi="Arial"/>
                <w:sz w:val="18"/>
                <w:szCs w:val="18"/>
                <w:color w:val="auto"/>
              </w:rPr>
              <w:t>Miscellaneous expenses</w:t>
            </w:r>
            <w:r>
              <w:rPr>
                <w:rFonts w:ascii="Arial" w:cs="Arial" w:eastAsia="Arial" w:hAnsi="Arial"/>
                <w:sz w:val="26"/>
                <w:szCs w:val="26"/>
                <w:color w:val="auto"/>
                <w:vertAlign w:val="superscript"/>
              </w:rPr>
              <w:t>(4)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8,172</w:t>
            </w:r>
          </w:p>
        </w:tc>
        <w:tc>
          <w:tcPr>
            <w:tcW w:w="1000" w:type="dxa"/>
            <w:vAlign w:val="bottom"/>
          </w:tcPr>
          <w:p>
            <w:pPr>
              <w:jc w:val="right"/>
              <w:spacing w:after="0"/>
              <w:rPr>
                <w:sz w:val="20"/>
                <w:szCs w:val="20"/>
                <w:color w:val="auto"/>
              </w:rPr>
            </w:pPr>
            <w:r>
              <w:rPr>
                <w:rFonts w:ascii="Arial" w:cs="Arial" w:eastAsia="Arial" w:hAnsi="Arial"/>
                <w:sz w:val="18"/>
                <w:szCs w:val="18"/>
                <w:color w:val="auto"/>
              </w:rPr>
              <w:t>8,172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8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estimated offering expenses (other than underwriting commissions)</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750,000,000</w:t>
            </w:r>
          </w:p>
        </w:tc>
        <w:tc>
          <w:tcPr>
            <w:tcW w:w="100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862,500,000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Borders>
              <w:right w:val="single" w:sz="8" w:color="CCEEFF"/>
            </w:tcBorders>
            <w:vMerge w:val="restart"/>
            <w:shd w:val="clear" w:color="auto" w:fill="CCEEFF"/>
          </w:tcPr>
          <w:p>
            <w:pPr>
              <w:spacing w:after="0" w:line="270" w:lineRule="exact"/>
              <w:rPr>
                <w:sz w:val="20"/>
                <w:szCs w:val="20"/>
                <w:color w:val="auto"/>
              </w:rPr>
            </w:pPr>
            <w:r>
              <w:rPr>
                <w:rFonts w:ascii="Arial" w:cs="Arial" w:eastAsia="Arial" w:hAnsi="Arial"/>
                <w:sz w:val="18"/>
                <w:szCs w:val="18"/>
                <w:color w:val="auto"/>
              </w:rPr>
              <w:t>Held in trust account</w:t>
            </w:r>
            <w:r>
              <w:rPr>
                <w:rFonts w:ascii="Arial" w:cs="Arial" w:eastAsia="Arial" w:hAnsi="Arial"/>
                <w:sz w:val="26"/>
                <w:szCs w:val="26"/>
                <w:color w:val="auto"/>
                <w:vertAlign w:val="superscript"/>
              </w:rPr>
              <w:t>(3)</w:t>
            </w: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right w:val="single" w:sz="8" w:color="CCEEFF"/>
            </w:tcBorders>
            <w:vMerge w:val="continue"/>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$750,000,000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$862,500,000</w:t>
            </w:r>
          </w:p>
        </w:tc>
        <w:tc>
          <w:tcPr>
            <w:tcW w:w="1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0"/>
                <w:szCs w:val="20"/>
                <w:color w:val="auto"/>
              </w:rPr>
            </w:pPr>
            <w:r>
              <w:rPr>
                <w:rFonts w:ascii="Arial" w:cs="Arial" w:eastAsia="Arial" w:hAnsi="Arial"/>
                <w:sz w:val="18"/>
                <w:szCs w:val="18"/>
                <w:color w:val="auto"/>
              </w:rPr>
              <w:t>Percent of public offering size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-334010</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-334010</wp:posOffset>
            </wp:positionV>
            <wp:extent cx="45688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-659765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-659765</wp:posOffset>
            </wp:positionV>
            <wp:extent cx="45688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-2510790</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-3128645</wp:posOffset>
            </wp:positionV>
            <wp:extent cx="45605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6057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right="819" w:hanging="352"/>
        <w:spacing w:after="0" w:line="261"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amounts payable to public stockholders who properly redeem their shares in connection with our successful completion of our initial business combination.</w:t>
      </w:r>
    </w:p>
    <w:p>
      <w:pPr>
        <w:spacing w:after="0" w:line="76" w:lineRule="exact"/>
        <w:rPr>
          <w:rFonts w:ascii="Arial" w:cs="Arial" w:eastAsia="Arial" w:hAnsi="Arial"/>
          <w:sz w:val="18"/>
          <w:szCs w:val="18"/>
          <w:color w:val="auto"/>
        </w:rPr>
      </w:pPr>
    </w:p>
    <w:p>
      <w:pPr>
        <w:ind w:left="1620" w:right="779" w:hanging="352"/>
        <w:spacing w:after="0" w:line="274" w:lineRule="auto"/>
        <w:tabs>
          <w:tab w:leader="none" w:pos="1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sponsor has agreed to loan us up to $600,000 as described in this prospectus. As of May 22, 2020, there were no amounts outstanding under such promissory note. These loans will be repaid upon completion of this offering out of the $1,000,000 of offering proceeds that has been allocated for the payment of offering expenses (other than underwriting commissions) not held in the trust account. In the event that offering expenses are less than as set forth in this table, any such amounts will be used for post-closing working capital expenses. In the event that the offering expenses are more than as set forth in this table, we may fund such excess with loans or additional investments from our sponsor.</w:t>
      </w:r>
    </w:p>
    <w:p>
      <w:pPr>
        <w:spacing w:after="0" w:line="68" w:lineRule="exact"/>
        <w:rPr>
          <w:rFonts w:ascii="Arial" w:cs="Arial" w:eastAsia="Arial" w:hAnsi="Arial"/>
          <w:sz w:val="16"/>
          <w:szCs w:val="16"/>
          <w:color w:val="auto"/>
        </w:rPr>
      </w:pPr>
    </w:p>
    <w:p>
      <w:pPr>
        <w:ind w:left="1620" w:right="859" w:hanging="352"/>
        <w:spacing w:after="0" w:line="23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underwriters have agreed to defer underwriting commissions equal to 3.5% of the gross proceeds of this offering. Upon completion of our initial business combination, $26,250,000, which constitutes the underwriters’ deferred commissions (or up to $30,187,500 if the underwriters’ option to purchase additional units is exercised in full) will be paid to the underwriters from the funds held in the trust account and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46" w:lineRule="exact"/>
        <w:rPr>
          <w:rFonts w:ascii="Arial" w:cs="Arial" w:eastAsia="Arial" w:hAnsi="Arial"/>
          <w:sz w:val="18"/>
          <w:szCs w:val="18"/>
          <w:color w:val="auto"/>
        </w:rPr>
      </w:pPr>
    </w:p>
    <w:p>
      <w:pPr>
        <w:ind w:left="1620" w:right="879" w:hanging="352"/>
        <w:spacing w:after="0" w:line="261"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organizational and administrative expenses and may include amounts related to above-listed expenses in the event actual amounts exceed estimates.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firstLine="360"/>
        <w:spacing w:after="0" w:line="251" w:lineRule="auto"/>
        <w:rPr>
          <w:sz w:val="20"/>
          <w:szCs w:val="20"/>
          <w:color w:val="auto"/>
        </w:rPr>
      </w:pPr>
      <w:r>
        <w:rPr>
          <w:rFonts w:ascii="Arial" w:cs="Arial" w:eastAsia="Arial" w:hAnsi="Arial"/>
          <w:sz w:val="18"/>
          <w:szCs w:val="18"/>
          <w:color w:val="auto"/>
        </w:rPr>
        <w:t>The rules of NYSE provide that at least 90% of the gross proceeds from this offering and the sale of the private placement warrants be deposited in a trust account. Of the net proceeds of this offering and the sale of the private placement warrants, $750,000,000 (or $862,500,000 if the underwriters’ over-allotment option is exercised in full), including $26,250,000 (or $30,187,500 if the underwriters’ over-allotment option is exercised in full) of deferred underwriting commissions, will, upon the consummation of this offering, be placed in a U.S.-based trust account with Continental Stock Transfer &amp; Trust Company acting as trustee. The funds in the trust account will be invested only in U.S. government treasury bills with a maturity of 185 days or less or in money market funds that meet certain conditions under Rule 2a-7 under the Investment Company Act and that invest only in direct U.S. government obligations. Based on current interest rates, we estimate that the interest earned on the trust account will be approximately $3,750,000 per year, assuming an interest rate of 0.50% per year. We will not be permitted to withdraw any of the principal or interest held in the trust account, except with respect to permitted withdrawals. The funds held in the trust account will not be released from the trust account until the earliest of: (1) the completion of our initial business combination; (2) the redemption of any public shares properly submitted in connection with a stockholder vote to amend our amended and restated certificate of incorporation to modify the substance and timing of our obligation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Based on current interest rates, we expect that interest earned on the trust account will be sufficient to pay taxes.</w:t>
      </w:r>
    </w:p>
    <w:p>
      <w:pPr>
        <w:spacing w:after="0" w:line="99"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7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Following this offering and prior to the completion of our initial business combination, our principal use of working capital will be to fund our activities to identify and evaluate target businesses, perform business due diligence on prospective target businesses, travel to and from the offices or similar locations of prospective target businesses or their representatives or owners, review corporate documents and material agreements of prospective target businesses, structure, negotiate and complete a business combination. During that period, we expect our other principal expenses to include franchise and income taxes; regulatory reporting requirements; NYSE continued listing fees; and office space, administrative and support services. We will enter into the Administrative Services Agreement, pursuant to which we will pay an affiliate of our sponsor a total of $50,000 per month for office space, administrative and support services. Upon completion of our initial business combination or our liquidation, we will cease paying these monthly fees.</w:t>
      </w:r>
    </w:p>
    <w:p>
      <w:pPr>
        <w:spacing w:after="0" w:line="77"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We expect to fund our working capital requirements prior to the time of our initial business combination with permitted withdrawals from the interest earned on the trust account, subject to an annual limit of $1,000,000, and permitted withdrawals to pay taxes. In addition,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color w:val="auto"/>
        </w:rPr>
        <w:t>do not believe third parties will be willing to loan such funds and provide a waiver against any and all rights to seek access to funds in our trust account.</w:t>
      </w:r>
    </w:p>
    <w:p>
      <w:pPr>
        <w:spacing w:after="0" w:line="62"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also purchase shares in privately negotiated transactions or in the open market either prior to or following the completion of our initial business combination. Please see “Proposed Business — Permitted purchases of our securities” for a description of how such persons will determine from which stockholders to seek to acquire shares. The price per share paid in any such transaction may be different than the amount per share a public stockholder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72"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We may not redeem our public shares in an amount that would cause our net tangible assets, after payment of the deferred underwriting commissions, to be less than $5,000,001 (so that we do not then become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business combination, and instead may search for an alternate business combination.</w:t>
      </w:r>
    </w:p>
    <w:p>
      <w:pPr>
        <w:spacing w:after="0" w:line="69"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A public stockholder will be entitled to receive funds from the trust account only upon the earlier to occur of: (1) the completion of our initial business combination and then, only in connection with those public shares that such stockholder has properly elected to redeem, subject to the limitations described in this prospectus; (2)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In no other circumstances will a public stockholder have any right or interest of any kind to or in the trust account.</w:t>
      </w:r>
    </w:p>
    <w:p>
      <w:pPr>
        <w:spacing w:after="0" w:line="8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agreed to (1) waive their redemption rights with respect to any founder shares and any public shares held by them in connection with the completion of our initial business combination and (2)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In addition, our initial stockholders, officers and directors have agreed to waive their rights to liquidating distributions from the trust account with respect to any founder shares held by them if we fail to complete our initial business combination within the completion window. However, if our sponsor or any of our officers or directors acquires public shares in or after this offering, they will be entitled to liquidating distributions from the trust account with respect to such public shares if we fail to complete our initial business combination within the completion window.</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stock dividends in the foreseeable future, except if we increase the size of this offering, in which case we will effect a stock dividend or other appropriate mechanism immediately prior to the consummation of this offering in an amount as to maintain the ownership of our initial stockholders prior to this offering at 20% of our issued and outstanding shares of common stock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08" w:lineRule="exact"/>
        <w:rPr>
          <w:sz w:val="20"/>
          <w:szCs w:val="20"/>
          <w:color w:val="auto"/>
        </w:rPr>
      </w:pPr>
    </w:p>
    <w:p>
      <w:pPr>
        <w:ind w:left="1260" w:right="1240" w:firstLine="360"/>
        <w:spacing w:after="0" w:line="270" w:lineRule="auto"/>
        <w:rPr>
          <w:sz w:val="20"/>
          <w:szCs w:val="20"/>
          <w:color w:val="auto"/>
        </w:rPr>
      </w:pPr>
      <w:r>
        <w:rPr>
          <w:rFonts w:ascii="Arial" w:cs="Arial" w:eastAsia="Arial" w:hAnsi="Arial"/>
          <w:sz w:val="17"/>
          <w:szCs w:val="17"/>
          <w:color w:val="auto"/>
        </w:rPr>
        <w:t>The difference between the public offering price per share of Class A common stock, assuming no value is attributed to the warrants included in the units we are offering pursuant to this prospectus or the private placement warrants, and the pro forma net tangible book value per share of our Class A common stock after this offering constitutes the dilution to investors in this offering. Such calculation does not reflect any dilution associated with the sale and exercise of warrants, including the private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Class A common stock which may be redeemed for cash), by the number of outstanding shares of our Class A common stock.</w:t>
      </w:r>
    </w:p>
    <w:p>
      <w:pPr>
        <w:spacing w:after="0" w:line="73" w:lineRule="exact"/>
        <w:rPr>
          <w:sz w:val="20"/>
          <w:szCs w:val="20"/>
          <w:color w:val="auto"/>
        </w:rPr>
      </w:pPr>
    </w:p>
    <w:p>
      <w:pPr>
        <w:ind w:left="1260" w:right="1340" w:firstLine="360"/>
        <w:spacing w:after="0" w:line="252" w:lineRule="auto"/>
        <w:rPr>
          <w:sz w:val="20"/>
          <w:szCs w:val="20"/>
          <w:color w:val="auto"/>
        </w:rPr>
      </w:pPr>
      <w:r>
        <w:rPr>
          <w:rFonts w:ascii="Arial" w:cs="Arial" w:eastAsia="Arial" w:hAnsi="Arial"/>
          <w:sz w:val="18"/>
          <w:szCs w:val="18"/>
          <w:color w:val="auto"/>
        </w:rPr>
        <w:t>At May 22, 2020, our net tangible book value deficit was $34,000, or approximately $(0.00) per share of Class B common stock. After giving effect to the sale of 75,000,000 shares of Class A common stock included in the units we are offering by this prospectus, the sale of the private placement warrants and the deduction of underwriting commissions and estimated expenses of this offering, our pro forma net tangible book value at May 22, 2020 would have been $5,000,010 or $0.23 per share, representing an immediate increase in net tangible book value (as decreased by the value of the 71,877,399 shares of Class A common stock that may be redeemed for cash in connection with our initial business combination and assuming no exercise of the underwriters’ option to purchase additional units) of $0.23 per share to our initial stockholders as of the date of this prospectus and an immediate dilution of $9.77 per share or 97.7% to our public stockholders not exercising their redemption rights. The dilution to new investors if the underwriters exercise their option to purchase additional units in full would be an immediate dilution of $9.80 per share or 98.0%.</w:t>
      </w:r>
    </w:p>
    <w:p>
      <w:pPr>
        <w:spacing w:after="0" w:line="92" w:lineRule="exact"/>
        <w:rPr>
          <w:sz w:val="20"/>
          <w:szCs w:val="20"/>
          <w:color w:val="auto"/>
        </w:rPr>
      </w:pPr>
    </w:p>
    <w:p>
      <w:pPr>
        <w:ind w:left="1260" w:right="1340" w:firstLine="360"/>
        <w:spacing w:after="0" w:line="308" w:lineRule="auto"/>
        <w:rPr>
          <w:sz w:val="20"/>
          <w:szCs w:val="20"/>
          <w:color w:val="auto"/>
        </w:rPr>
      </w:pPr>
      <w:r>
        <w:rPr>
          <w:rFonts w:ascii="Arial" w:cs="Arial" w:eastAsia="Arial" w:hAnsi="Arial"/>
          <w:sz w:val="17"/>
          <w:szCs w:val="17"/>
          <w:color w:val="auto"/>
        </w:rPr>
        <w:t>The following table illustrates the dilution to the public stockholders on a per share basis, assuming no value is attributed to the warrants included in the units or the private placement warrants:</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243"/>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40" w:type="dxa"/>
            <w:vAlign w:val="bottom"/>
          </w:tcPr>
          <w:p>
            <w:pPr>
              <w:spacing w:after="0"/>
              <w:rPr>
                <w:sz w:val="21"/>
                <w:szCs w:val="21"/>
                <w:color w:val="auto"/>
              </w:rPr>
            </w:pPr>
          </w:p>
        </w:tc>
      </w:tr>
      <w:tr>
        <w:trPr>
          <w:trHeight w:val="277"/>
        </w:trPr>
        <w:tc>
          <w:tcPr>
            <w:tcW w:w="772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(0.00)</w:t>
            </w:r>
          </w:p>
        </w:tc>
      </w:tr>
      <w:tr>
        <w:trPr>
          <w:trHeight w:val="290"/>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8"/>
                <w:szCs w:val="18"/>
                <w:color w:val="auto"/>
                <w:w w:val="98"/>
              </w:rPr>
              <w:t>Pro forma net tangible book value after this offering and the sale of the private placement 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r>
      <w:tr>
        <w:trPr>
          <w:trHeight w:val="27"/>
        </w:trPr>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r>
      <w:tr>
        <w:trPr>
          <w:trHeight w:val="298"/>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40" w:type="dxa"/>
            <w:vAlign w:val="bottom"/>
          </w:tcPr>
          <w:p>
            <w:pPr>
              <w:spacing w:after="0"/>
              <w:rPr>
                <w:sz w:val="24"/>
                <w:szCs w:val="24"/>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1"/>
        </w:trPr>
        <w:tc>
          <w:tcPr>
            <w:tcW w:w="7720" w:type="dxa"/>
            <w:vAlign w:val="bottom"/>
          </w:tcPr>
          <w:p>
            <w:pPr>
              <w:spacing w:after="0"/>
              <w:rPr>
                <w:sz w:val="20"/>
                <w:szCs w:val="20"/>
                <w:color w:val="auto"/>
              </w:rPr>
            </w:pPr>
            <w:r>
              <w:rPr>
                <w:rFonts w:ascii="Arial" w:cs="Arial" w:eastAsia="Arial" w:hAnsi="Arial"/>
                <w:sz w:val="18"/>
                <w:szCs w:val="18"/>
                <w:color w:val="auto"/>
              </w:rPr>
              <w:t>Percentage of dilution to new investors</w:t>
            </w: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-410845</wp:posOffset>
            </wp:positionV>
            <wp:extent cx="4894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894580" cy="8890"/>
                    </a:xfrm>
                    <a:prstGeom prst="rect">
                      <a:avLst/>
                    </a:prstGeom>
                    <a:noFill/>
                  </pic:spPr>
                </pic:pic>
              </a:graphicData>
            </a:graphic>
          </wp:anchor>
        </w:drawing>
      </w:r>
    </w:p>
    <w:p>
      <w:pPr>
        <w:spacing w:after="0" w:line="141" w:lineRule="exact"/>
        <w:rPr>
          <w:sz w:val="20"/>
          <w:szCs w:val="20"/>
          <w:color w:val="auto"/>
        </w:rPr>
      </w:pPr>
    </w:p>
    <w:p>
      <w:pPr>
        <w:ind w:left="1260" w:right="1300" w:firstLine="360"/>
        <w:spacing w:after="0" w:line="254"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option to purchase additional units) by $718,773,990 because holders of up to approximately 95.8%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(net of permitted withdrawals) divided by the number of shares of Class A common stock sold in this offering).</w:t>
      </w:r>
    </w:p>
    <w:p>
      <w:pPr>
        <w:spacing w:after="0" w:line="84" w:lineRule="exact"/>
        <w:rPr>
          <w:sz w:val="20"/>
          <w:szCs w:val="20"/>
          <w:color w:val="auto"/>
        </w:rPr>
      </w:pPr>
    </w:p>
    <w:p>
      <w:pPr>
        <w:ind w:left="1260" w:right="1840" w:firstLine="360"/>
        <w:spacing w:after="0" w:line="277" w:lineRule="auto"/>
        <w:rPr>
          <w:sz w:val="20"/>
          <w:szCs w:val="20"/>
          <w:color w:val="auto"/>
        </w:rPr>
      </w:pPr>
      <w:r>
        <w:rPr>
          <w:rFonts w:ascii="Arial" w:cs="Arial" w:eastAsia="Arial" w:hAnsi="Arial"/>
          <w:sz w:val="18"/>
          <w:szCs w:val="18"/>
          <w:color w:val="auto"/>
        </w:rPr>
        <w:t>The following table sets forth information with respect to our initial stockholders and the public stockholders: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94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200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126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94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gridSpan w:val="6"/>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Price per</w:t>
            </w: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2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9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4"/>
              </w:rPr>
              <w:t>Percentage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3600" w:type="dxa"/>
            <w:vAlign w:val="bottom"/>
            <w:shd w:val="clear" w:color="auto" w:fill="CCEEFF"/>
          </w:tcPr>
          <w:p>
            <w:pPr>
              <w:spacing w:after="0" w:line="236" w:lineRule="exact"/>
              <w:rPr>
                <w:sz w:val="20"/>
                <w:szCs w:val="20"/>
                <w:color w:val="auto"/>
              </w:rPr>
            </w:pPr>
            <w:r>
              <w:rPr>
                <w:rFonts w:ascii="Arial" w:cs="Arial" w:eastAsia="Arial" w:hAnsi="Arial"/>
                <w:sz w:val="18"/>
                <w:szCs w:val="18"/>
                <w:color w:val="auto"/>
              </w:rPr>
              <w:t>Initial Stockholders</w:t>
            </w:r>
            <w:r>
              <w:rPr>
                <w:rFonts w:ascii="Arial" w:cs="Arial" w:eastAsia="Arial" w:hAnsi="Arial"/>
                <w:sz w:val="26"/>
                <w:szCs w:val="26"/>
                <w:color w:val="auto"/>
                <w:vertAlign w:val="superscript"/>
              </w:rPr>
              <w:t>(1)(2)</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18,750,000</w:t>
            </w:r>
          </w:p>
        </w:tc>
        <w:tc>
          <w:tcPr>
            <w:tcW w:w="90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0.003%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$0.001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Public Stockholders</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75,000,000</w:t>
            </w: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80.00%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750,000,000</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w w:val="98"/>
              </w:rPr>
              <w:t>99.997%</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$10.00</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36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93,750,000</w:t>
            </w:r>
          </w:p>
        </w:tc>
        <w:tc>
          <w:tcPr>
            <w:tcW w:w="90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750,025,000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580" w:type="dxa"/>
            <w:vAlign w:val="bottom"/>
            <w:shd w:val="clear" w:color="auto" w:fill="CCEEFF"/>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820" w:type="dxa"/>
            <w:vAlign w:val="bottom"/>
          </w:tcPr>
          <w:p>
            <w:pPr>
              <w:jc w:val="right"/>
              <w:ind w:right="136"/>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-788035</wp:posOffset>
            </wp:positionV>
            <wp:extent cx="5575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-788035</wp:posOffset>
            </wp:positionV>
            <wp:extent cx="1885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-788035</wp:posOffset>
            </wp:positionV>
            <wp:extent cx="231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-788035</wp:posOffset>
            </wp:positionV>
            <wp:extent cx="3025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2577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-1122045</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-1122045</wp:posOffset>
            </wp:positionV>
            <wp:extent cx="137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-1122045</wp:posOffset>
            </wp:positionV>
            <wp:extent cx="29400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-1122045</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520065</wp:posOffset>
            </wp:positionV>
            <wp:extent cx="12344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right="799" w:hanging="352"/>
        <w:spacing w:after="0" w:line="308" w:lineRule="auto"/>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Assumes the full forfeiture of 2,812,500 shares that are subject to forfeiture by our sponsor depending on the extent to which the underwriters’ option to purchase additional units is exercised.</w:t>
      </w:r>
    </w:p>
    <w:p>
      <w:pPr>
        <w:spacing w:after="0" w:line="105" w:lineRule="exact"/>
        <w:rPr>
          <w:rFonts w:ascii="Arial" w:cs="Arial" w:eastAsia="Arial" w:hAnsi="Arial"/>
          <w:sz w:val="17"/>
          <w:szCs w:val="17"/>
          <w:color w:val="auto"/>
        </w:rPr>
      </w:pPr>
    </w:p>
    <w:p>
      <w:pPr>
        <w:ind w:left="1620" w:right="759" w:hanging="352"/>
        <w:spacing w:after="0" w:line="259"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Assumes conversion of Class B common stock into Class A common stock on a one-for-one basis. The dilution to public stockholders would increase to the extent that the anti-dilution provisions of the Class B common stock result in the issuance of shares of Class A common stock on a greater than one-to-one basis upon such conversion.</w:t>
      </w:r>
    </w:p>
    <w:p>
      <w:pPr>
        <w:spacing w:after="0" w:line="173"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pro forma net tangible book value per share as of May 22, 2020 giving effect to the offering is calculated as follows:</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57"/>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this offering and sale of the private placement warrants, net of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750,000,000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Plus: offering costs paid for in advance</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Less: deferred underwriters’ commissions payable</w:t>
            </w: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(26,250,000)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260" w:type="dxa"/>
            <w:vAlign w:val="bottom"/>
            <w:gridSpan w:val="3"/>
          </w:tcPr>
          <w:p>
            <w:pPr>
              <w:spacing w:after="0"/>
              <w:rPr>
                <w:sz w:val="20"/>
                <w:szCs w:val="20"/>
                <w:color w:val="auto"/>
              </w:rPr>
            </w:pPr>
            <w:r>
              <w:rPr>
                <w:rFonts w:ascii="Arial" w:cs="Arial" w:eastAsia="Arial" w:hAnsi="Arial"/>
                <w:sz w:val="18"/>
                <w:szCs w:val="18"/>
                <w:color w:val="auto"/>
              </w:rPr>
              <w:t>Less: amount of Class A common stock subject to redemption to maintain net tangible</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assets of $5,000,001</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(718,773,990)</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spacing w:after="0"/>
              <w:rPr>
                <w:sz w:val="22"/>
                <w:szCs w:val="22"/>
                <w:color w:val="auto"/>
              </w:rPr>
            </w:pP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of Class B common stock outstanding prior to this offering</w:t>
            </w:r>
          </w:p>
        </w:tc>
        <w:tc>
          <w:tcPr>
            <w:tcW w:w="1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21,562,500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gridSpan w:val="3"/>
          </w:tcPr>
          <w:p>
            <w:pPr>
              <w:spacing w:after="0"/>
              <w:rPr>
                <w:sz w:val="20"/>
                <w:szCs w:val="20"/>
                <w:color w:val="auto"/>
              </w:rPr>
            </w:pPr>
            <w:r>
              <w:rPr>
                <w:rFonts w:ascii="Arial" w:cs="Arial" w:eastAsia="Arial" w:hAnsi="Arial"/>
                <w:sz w:val="18"/>
                <w:szCs w:val="18"/>
                <w:color w:val="auto"/>
              </w:rPr>
              <w:t>Shares forfeited if option to purchase additional units is not exercised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(2,812,500)</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Shares of Class A common stock included in the units offered</w:t>
            </w:r>
          </w:p>
        </w:tc>
        <w:tc>
          <w:tcPr>
            <w:tcW w:w="1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180" w:type="dxa"/>
            <w:vAlign w:val="bottom"/>
          </w:tcPr>
          <w:p>
            <w:pPr>
              <w:spacing w:after="0"/>
              <w:rPr>
                <w:sz w:val="20"/>
                <w:szCs w:val="20"/>
                <w:color w:val="auto"/>
              </w:rPr>
            </w:pPr>
            <w:r>
              <w:rPr>
                <w:rFonts w:ascii="Arial" w:cs="Arial" w:eastAsia="Arial" w:hAnsi="Arial"/>
                <w:sz w:val="18"/>
                <w:szCs w:val="18"/>
                <w:color w:val="auto"/>
                <w:w w:val="94"/>
              </w:rPr>
              <w:t>Less: shares subject to redemption to maintain net tangible assets of</w:t>
            </w:r>
          </w:p>
        </w:tc>
        <w:tc>
          <w:tcPr>
            <w:tcW w:w="1960" w:type="dxa"/>
            <w:vAlign w:val="bottom"/>
          </w:tcPr>
          <w:p>
            <w:pPr>
              <w:jc w:val="right"/>
              <w:ind w:right="970"/>
              <w:spacing w:after="0"/>
              <w:rPr>
                <w:sz w:val="20"/>
                <w:szCs w:val="20"/>
                <w:color w:val="auto"/>
              </w:rPr>
            </w:pPr>
            <w:r>
              <w:rPr>
                <w:rFonts w:ascii="Arial" w:cs="Arial" w:eastAsia="Arial" w:hAnsi="Arial"/>
                <w:sz w:val="18"/>
                <w:szCs w:val="18"/>
                <w:color w:val="auto"/>
                <w:w w:val="97"/>
              </w:rPr>
              <w:t>$5,000,001</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(71,877,399)</w:t>
            </w:r>
          </w:p>
        </w:tc>
        <w:tc>
          <w:tcPr>
            <w:tcW w:w="0" w:type="dxa"/>
            <w:vAlign w:val="bottom"/>
          </w:tcPr>
          <w:p>
            <w:pPr>
              <w:spacing w:after="0"/>
              <w:rPr>
                <w:sz w:val="1"/>
                <w:szCs w:val="1"/>
                <w:color w:val="auto"/>
              </w:rPr>
            </w:pPr>
          </w:p>
        </w:tc>
      </w:tr>
      <w:tr>
        <w:trPr>
          <w:trHeight w:val="277"/>
        </w:trPr>
        <w:tc>
          <w:tcPr>
            <w:tcW w:w="5180" w:type="dxa"/>
            <w:vAlign w:val="bottom"/>
            <w:tcBorders>
              <w:top w:val="single" w:sz="8" w:color="CCEEFF"/>
              <w:bottom w:val="single" w:sz="8" w:color="CCEEFF"/>
            </w:tcBorders>
            <w:shd w:val="clear" w:color="auto" w:fill="CCEEFF"/>
          </w:tcPr>
          <w:p>
            <w:pPr>
              <w:spacing w:after="0"/>
              <w:rPr>
                <w:sz w:val="24"/>
                <w:szCs w:val="24"/>
                <w:color w:val="auto"/>
              </w:rPr>
            </w:pPr>
          </w:p>
        </w:tc>
        <w:tc>
          <w:tcPr>
            <w:tcW w:w="196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21,872,601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-213995</wp:posOffset>
            </wp:positionV>
            <wp:extent cx="45345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3453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-1259205</wp:posOffset>
            </wp:positionV>
            <wp:extent cx="45345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following table sets forth our capitalization at May 22, 2020 and as adjusted to give effect to the sale of our 75,000,000 units in this offering for $750,000,000 (or $10.00 per unit) and the sale of 16,000,000 private placement warrants for $16,000,000 (or $1.00 per warrant) and the application of the estimated net proceeds derived from the sale of such securities:</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May 22, 2020</w:t>
            </w:r>
          </w:p>
        </w:tc>
        <w:tc>
          <w:tcPr>
            <w:tcW w:w="0" w:type="dxa"/>
            <w:vAlign w:val="bottom"/>
          </w:tcPr>
          <w:p>
            <w:pPr>
              <w:spacing w:after="0"/>
              <w:rPr>
                <w:sz w:val="1"/>
                <w:szCs w:val="1"/>
                <w:color w:val="auto"/>
              </w:rPr>
            </w:pPr>
          </w:p>
        </w:tc>
      </w:tr>
      <w:tr>
        <w:trPr>
          <w:trHeight w:val="216"/>
        </w:trPr>
        <w:tc>
          <w:tcPr>
            <w:tcW w:w="194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Actual</w:t>
            </w:r>
          </w:p>
        </w:tc>
        <w:tc>
          <w:tcPr>
            <w:tcW w:w="22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line="216"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21"/>
                <w:szCs w:val="21"/>
                <w:b w:val="1"/>
                <w:bCs w:val="1"/>
                <w:color w:val="auto"/>
                <w:w w:val="91"/>
                <w:vertAlign w:val="superscript"/>
              </w:rPr>
              <w:t>(1)</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Promissory note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20" w:type="dxa"/>
            <w:vAlign w:val="bottom"/>
            <w:gridSpan w:val="3"/>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26,250,000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shd w:val="clear" w:color="auto" w:fill="CCEEFF"/>
          </w:tcPr>
          <w:p>
            <w:pPr>
              <w:spacing w:after="0" w:line="270" w:lineRule="exact"/>
              <w:rPr>
                <w:sz w:val="20"/>
                <w:szCs w:val="20"/>
                <w:color w:val="auto"/>
              </w:rPr>
            </w:pPr>
            <w:r>
              <w:rPr>
                <w:rFonts w:ascii="Arial" w:cs="Arial" w:eastAsia="Arial" w:hAnsi="Arial"/>
                <w:sz w:val="18"/>
                <w:szCs w:val="18"/>
                <w:color w:val="auto"/>
              </w:rPr>
              <w:t>Class A common stock, subject to redemption</w:t>
            </w:r>
            <w:r>
              <w:rPr>
                <w:rFonts w:ascii="Arial" w:cs="Arial" w:eastAsia="Arial" w:hAnsi="Arial"/>
                <w:sz w:val="26"/>
                <w:szCs w:val="26"/>
                <w:color w:val="auto"/>
                <w:vertAlign w:val="superscript"/>
              </w:rPr>
              <w:t>(2)</w:t>
            </w: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gridSpan w:val="2"/>
            <w:vMerge w:val="continue"/>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718,773,990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6"/>
              </w:rPr>
              <w:t>Preferred stock, $0.0001 par value, 1,000,000 shares authorized; no shares issued</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or outstanding</w:t>
            </w: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2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420" w:type="dxa"/>
            <w:vAlign w:val="bottom"/>
            <w:tcBorders>
              <w:right w:val="single" w:sz="8" w:color="CCEEFF"/>
            </w:tcBorders>
            <w:gridSpan w:val="3"/>
            <w:shd w:val="clear" w:color="auto" w:fill="CCEEFF"/>
          </w:tcPr>
          <w:p>
            <w:pPr>
              <w:spacing w:after="0" w:line="192" w:lineRule="exact"/>
              <w:rPr>
                <w:sz w:val="20"/>
                <w:szCs w:val="20"/>
                <w:color w:val="auto"/>
              </w:rPr>
            </w:pPr>
            <w:r>
              <w:rPr>
                <w:rFonts w:ascii="Arial" w:cs="Arial" w:eastAsia="Arial" w:hAnsi="Arial"/>
                <w:sz w:val="18"/>
                <w:szCs w:val="18"/>
                <w:color w:val="auto"/>
                <w:w w:val="97"/>
              </w:rPr>
              <w:t>Class A common stock, $0.0001 par value, 240,000,000 shares authorized (actual</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6420" w:type="dxa"/>
            <w:vAlign w:val="bottom"/>
            <w:tcBorders>
              <w:right w:val="single" w:sz="8" w:color="CCEEFF"/>
            </w:tcBorders>
            <w:gridSpan w:val="3"/>
            <w:shd w:val="clear" w:color="auto" w:fill="CCEEFF"/>
          </w:tcPr>
          <w:p>
            <w:pPr>
              <w:ind w:left="180"/>
              <w:spacing w:after="0" w:line="266" w:lineRule="exact"/>
              <w:rPr>
                <w:sz w:val="20"/>
                <w:szCs w:val="20"/>
                <w:color w:val="auto"/>
              </w:rPr>
            </w:pPr>
            <w:r>
              <w:rPr>
                <w:rFonts w:ascii="Arial" w:cs="Arial" w:eastAsia="Arial" w:hAnsi="Arial"/>
                <w:sz w:val="18"/>
                <w:szCs w:val="18"/>
                <w:color w:val="auto"/>
                <w:w w:val="97"/>
              </w:rPr>
              <w:t>and as adjusted); no shares issued or outstanding (actual); 3,122,601</w:t>
            </w:r>
            <w:r>
              <w:rPr>
                <w:rFonts w:ascii="Arial" w:cs="Arial" w:eastAsia="Arial" w:hAnsi="Arial"/>
                <w:sz w:val="26"/>
                <w:szCs w:val="26"/>
                <w:color w:val="auto"/>
                <w:w w:val="97"/>
                <w:vertAlign w:val="superscript"/>
              </w:rPr>
              <w:t>(3)</w:t>
            </w:r>
            <w:r>
              <w:rPr>
                <w:rFonts w:ascii="Arial" w:cs="Arial" w:eastAsia="Arial" w:hAnsi="Arial"/>
                <w:sz w:val="18"/>
                <w:szCs w:val="18"/>
                <w:color w:val="auto"/>
                <w:w w:val="97"/>
              </w:rPr>
              <w:t xml:space="preserve"> shares</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4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6"/>
              </w:rPr>
              <w:t>issued and outstanding (excluding 71,877,399 shares subject to redemption) (as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6420" w:type="dxa"/>
            <w:vAlign w:val="bottom"/>
            <w:gridSpan w:val="3"/>
          </w:tcPr>
          <w:p>
            <w:pPr>
              <w:spacing w:after="0" w:line="192" w:lineRule="exact"/>
              <w:rPr>
                <w:sz w:val="20"/>
                <w:szCs w:val="20"/>
                <w:color w:val="auto"/>
              </w:rPr>
            </w:pPr>
            <w:r>
              <w:rPr>
                <w:rFonts w:ascii="Arial" w:cs="Arial" w:eastAsia="Arial" w:hAnsi="Arial"/>
                <w:sz w:val="18"/>
                <w:szCs w:val="18"/>
                <w:color w:val="auto"/>
                <w:w w:val="99"/>
              </w:rPr>
              <w:t>Class B common stock, $0.0001 par value, 60,000,000 shares authorized (actual</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20" w:type="dxa"/>
            <w:vAlign w:val="bottom"/>
            <w:gridSpan w:val="3"/>
          </w:tcPr>
          <w:p>
            <w:pPr>
              <w:ind w:left="180"/>
              <w:spacing w:after="0" w:line="230" w:lineRule="exact"/>
              <w:rPr>
                <w:sz w:val="20"/>
                <w:szCs w:val="20"/>
                <w:color w:val="auto"/>
              </w:rPr>
            </w:pPr>
            <w:r>
              <w:rPr>
                <w:rFonts w:ascii="Arial" w:cs="Arial" w:eastAsia="Arial" w:hAnsi="Arial"/>
                <w:sz w:val="18"/>
                <w:szCs w:val="18"/>
                <w:color w:val="auto"/>
              </w:rPr>
              <w:t>and as adjusted); 21,562,500</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shares issued and outstanding (actual);</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420" w:type="dxa"/>
            <w:vAlign w:val="bottom"/>
            <w:gridSpan w:val="3"/>
          </w:tcPr>
          <w:p>
            <w:pPr>
              <w:ind w:left="180"/>
              <w:spacing w:after="0" w:line="281" w:lineRule="exact"/>
              <w:rPr>
                <w:sz w:val="20"/>
                <w:szCs w:val="20"/>
                <w:color w:val="auto"/>
              </w:rPr>
            </w:pPr>
            <w:r>
              <w:rPr>
                <w:rFonts w:ascii="Arial" w:cs="Arial" w:eastAsia="Arial" w:hAnsi="Arial"/>
                <w:sz w:val="18"/>
                <w:szCs w:val="18"/>
                <w:color w:val="auto"/>
              </w:rPr>
              <w:t>18,750,000</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shares issued and outstanding (as adjusted)</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20" w:type="dxa"/>
            <w:vAlign w:val="bottom"/>
            <w:tcBorders>
              <w:right w:val="single" w:sz="8" w:color="CCEEFF"/>
            </w:tcBorders>
            <w:gridSpan w:val="3"/>
            <w:shd w:val="clear" w:color="auto" w:fill="CCEEFF"/>
          </w:tcPr>
          <w:p>
            <w:pPr>
              <w:spacing w:after="0" w:line="256" w:lineRule="exact"/>
              <w:rPr>
                <w:sz w:val="20"/>
                <w:szCs w:val="20"/>
                <w:color w:val="auto"/>
              </w:rPr>
            </w:pPr>
            <w:r>
              <w:rPr>
                <w:rFonts w:ascii="Arial" w:cs="Arial" w:eastAsia="Arial" w:hAnsi="Arial"/>
                <w:sz w:val="18"/>
                <w:szCs w:val="18"/>
                <w:color w:val="auto"/>
              </w:rPr>
              <w:t>Additional paid-in capital</w:t>
            </w:r>
            <w:r>
              <w:rPr>
                <w:rFonts w:ascii="Arial" w:cs="Arial" w:eastAsia="Arial" w:hAnsi="Arial"/>
                <w:sz w:val="26"/>
                <w:szCs w:val="26"/>
                <w:color w:val="auto"/>
                <w:vertAlign w:val="superscript"/>
              </w:rPr>
              <w:t>(4)</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22,844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4,998,823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2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24,000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2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750,024,000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940" w:type="dxa"/>
            <w:vAlign w:val="bottom"/>
            <w:tcBorders>
              <w:bottom w:val="single" w:sz="8" w:color="auto"/>
            </w:tcBorders>
          </w:tcPr>
          <w:p>
            <w:pPr>
              <w:spacing w:after="0"/>
              <w:rPr>
                <w:sz w:val="12"/>
                <w:szCs w:val="12"/>
                <w:color w:val="auto"/>
              </w:rPr>
            </w:pPr>
          </w:p>
        </w:tc>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-436245</wp:posOffset>
            </wp:positionV>
            <wp:extent cx="45777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-2553970</wp:posOffset>
            </wp:positionV>
            <wp:extent cx="45777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-2871470</wp:posOffset>
            </wp:positionV>
            <wp:extent cx="45688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114" w:lineRule="exact"/>
        <w:rPr>
          <w:sz w:val="20"/>
          <w:szCs w:val="20"/>
          <w:color w:val="auto"/>
        </w:rPr>
      </w:pPr>
    </w:p>
    <w:p>
      <w:pPr>
        <w:ind w:left="1620" w:right="759" w:hanging="352"/>
        <w:spacing w:after="0" w:line="25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Assumes the full forfeiture of 2,812,500 shares that are subject to forfeiture by our sponsor depending on the extent to which the underwriters’ option to purchase additional units is exercised. The proceeds of the sale of such shares will not be deposited into the trust account, the shares will not be eligible for redemption from the trust account nor will they be eligible to vote upon the initial business combination.</w:t>
      </w:r>
    </w:p>
    <w:p>
      <w:pPr>
        <w:spacing w:after="0" w:line="93" w:lineRule="exact"/>
        <w:rPr>
          <w:rFonts w:ascii="Arial" w:cs="Arial" w:eastAsia="Arial" w:hAnsi="Arial"/>
          <w:sz w:val="18"/>
          <w:szCs w:val="18"/>
          <w:color w:val="auto"/>
        </w:rPr>
      </w:pPr>
    </w:p>
    <w:p>
      <w:pPr>
        <w:ind w:left="1620" w:right="679" w:hanging="352"/>
        <w:spacing w:after="0" w:line="268" w:lineRule="auto"/>
        <w:tabs>
          <w:tab w:leader="none" w:pos="1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the completion of our initial business combination, we will provide our public stockholders with the opportunity to redeem their public shares for cash equal to their pro rata share of the aggregate amount then on deposit in the trust account as of two business days prior to the consummation of the initial business combination, including interest (which interest shall be net of permitted withdrawals), subject to the limitations described herein whereby our net tangible assets will be maintained at a minimum of $5,000,001 and any limitations (including, but not limited to, cash requirements) created by the terms of the proposed business combination. The “as adjusted” amount of Class A common stock, subject to redemption equals the “as adjusted” total assets of $750,024,000, less the “as adjusted” total liabilities of $26,250,000 less “as adjusted” total stockholder’s equity. The value of Class A common stock that may be redeemed is equal to $10.00 per share (which is the assumed redemption price) multiplied by 71,877,399 shares of Class A common stock, which is the maximum number of shares of Class A common stock that may be redeemed for a $10.00 purchase price per share and still maintain at least $5,000,001 of net tangible assets.</w:t>
      </w:r>
    </w:p>
    <w:p>
      <w:pPr>
        <w:spacing w:after="0" w:line="91" w:lineRule="exact"/>
        <w:rPr>
          <w:rFonts w:ascii="Arial" w:cs="Arial" w:eastAsia="Arial" w:hAnsi="Arial"/>
          <w:sz w:val="17"/>
          <w:szCs w:val="17"/>
          <w:color w:val="auto"/>
        </w:rPr>
      </w:pPr>
    </w:p>
    <w:p>
      <w:pPr>
        <w:ind w:left="1620" w:right="919" w:hanging="352"/>
        <w:spacing w:after="0" w:line="263"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by our sponsor and the “as adjusted” share amount assumes no exercise of the underwriters’ option to purchase additional units and the forfeiture of 2,812,500 founder shares by our sponsor.</w:t>
      </w:r>
    </w:p>
    <w:p>
      <w:pPr>
        <w:spacing w:after="0" w:line="89" w:lineRule="exact"/>
        <w:rPr>
          <w:rFonts w:ascii="Arial" w:cs="Arial" w:eastAsia="Arial" w:hAnsi="Arial"/>
          <w:sz w:val="18"/>
          <w:szCs w:val="18"/>
          <w:color w:val="auto"/>
        </w:rPr>
      </w:pPr>
    </w:p>
    <w:p>
      <w:pPr>
        <w:ind w:left="1620" w:right="739" w:hanging="352"/>
        <w:spacing w:after="0" w:line="263"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“as adjusted” additional paid-in capital calculation is equal to the “as adjusted” total stockholders’ equity of $5,000,010, less common stock (par value) of $2,187 plus the accumulated deficit of $(1,000).</w:t>
      </w: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are a newly incorporated blank check company incorporated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intend to effectuate our initial business combination using cash from the proceeds of this offering and the sale of the private placement warrants, our capital stock, debt or a combination of cash, stock and debt.</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issuance of additional shares of our stock in a business combination:</w:t>
      </w:r>
    </w:p>
    <w:p>
      <w:pPr>
        <w:spacing w:after="0" w:line="144" w:lineRule="exact"/>
        <w:rPr>
          <w:sz w:val="20"/>
          <w:szCs w:val="20"/>
          <w:color w:val="auto"/>
        </w:rPr>
      </w:pPr>
    </w:p>
    <w:p>
      <w:pPr>
        <w:ind w:left="1980" w:right="839" w:hanging="352"/>
        <w:spacing w:after="0" w:line="311" w:lineRule="auto"/>
        <w:tabs>
          <w:tab w:leader="none" w:pos="1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in the Class B common stock resulted in the issuance of Class A shares on a greater than one-to-one basis upon conversion of the Class B common stock;</w:t>
      </w:r>
    </w:p>
    <w:p>
      <w:pPr>
        <w:spacing w:after="0" w:line="54" w:lineRule="exact"/>
        <w:rPr>
          <w:rFonts w:ascii="Arial" w:cs="Arial" w:eastAsia="Arial" w:hAnsi="Arial"/>
          <w:sz w:val="16"/>
          <w:szCs w:val="16"/>
          <w:color w:val="auto"/>
        </w:rPr>
      </w:pPr>
    </w:p>
    <w:p>
      <w:pPr>
        <w:ind w:left="1980" w:right="107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75" w:lineRule="exact"/>
        <w:rPr>
          <w:rFonts w:ascii="Arial" w:cs="Arial" w:eastAsia="Arial" w:hAnsi="Arial"/>
          <w:sz w:val="18"/>
          <w:szCs w:val="18"/>
          <w:color w:val="auto"/>
        </w:rPr>
      </w:pPr>
    </w:p>
    <w:p>
      <w:pPr>
        <w:ind w:left="1980" w:right="779" w:hanging="352"/>
        <w:spacing w:after="0" w:line="311" w:lineRule="auto"/>
        <w:tabs>
          <w:tab w:leader="none" w:pos="1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w:t>
      </w:r>
    </w:p>
    <w:p>
      <w:pPr>
        <w:spacing w:after="0" w:line="67" w:lineRule="exact"/>
        <w:rPr>
          <w:rFonts w:ascii="Arial" w:cs="Arial" w:eastAsia="Arial" w:hAnsi="Arial"/>
          <w:sz w:val="16"/>
          <w:szCs w:val="16"/>
          <w:color w:val="auto"/>
        </w:rPr>
      </w:pPr>
    </w:p>
    <w:p>
      <w:pPr>
        <w:ind w:left="1980" w:right="119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75" w:lineRule="exact"/>
        <w:rPr>
          <w:rFonts w:ascii="Arial" w:cs="Arial" w:eastAsia="Arial" w:hAnsi="Arial"/>
          <w:sz w:val="18"/>
          <w:szCs w:val="18"/>
          <w:color w:val="auto"/>
        </w:rPr>
      </w:pPr>
    </w:p>
    <w:p>
      <w:pPr>
        <w:jc w:val="both"/>
        <w:ind w:left="1620" w:right="1079" w:firstLine="8"/>
        <w:spacing w:after="0" w:line="406" w:lineRule="auto"/>
        <w:tabs>
          <w:tab w:leader="none" w:pos="1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our Class A common stock and/or warrants. Similarly, if we issue debt securities or otherwise incur significant indebtedness, it could result in:</w:t>
      </w:r>
    </w:p>
    <w:p>
      <w:pPr>
        <w:ind w:left="1980" w:right="163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89" w:lineRule="exact"/>
        <w:rPr>
          <w:rFonts w:ascii="Arial" w:cs="Arial" w:eastAsia="Arial" w:hAnsi="Arial"/>
          <w:sz w:val="18"/>
          <w:szCs w:val="18"/>
          <w:color w:val="auto"/>
        </w:rPr>
      </w:pPr>
    </w:p>
    <w:p>
      <w:pPr>
        <w:ind w:left="1980" w:right="719" w:hanging="352"/>
        <w:spacing w:after="0" w:line="263"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89"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75"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30" w:lineRule="exact"/>
        <w:rPr>
          <w:rFonts w:ascii="Arial" w:cs="Arial" w:eastAsia="Arial" w:hAnsi="Arial"/>
          <w:sz w:val="18"/>
          <w:szCs w:val="18"/>
          <w:color w:val="auto"/>
        </w:rPr>
      </w:pPr>
    </w:p>
    <w:p>
      <w:pPr>
        <w:ind w:left="1980" w:right="919" w:hanging="352"/>
        <w:spacing w:after="0" w:line="263"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expenses, capital expenditures, acquisitions and other general corporate purposes;</w:t>
      </w:r>
    </w:p>
    <w:p>
      <w:pPr>
        <w:spacing w:after="0" w:line="89"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75"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89" w:lineRule="exact"/>
        <w:rPr>
          <w:rFonts w:ascii="Arial" w:cs="Arial" w:eastAsia="Arial" w:hAnsi="Arial"/>
          <w:sz w:val="18"/>
          <w:szCs w:val="18"/>
          <w:color w:val="auto"/>
        </w:rPr>
      </w:pPr>
    </w:p>
    <w:p>
      <w:pPr>
        <w:ind w:left="1980" w:right="999" w:hanging="352"/>
        <w:spacing w:after="0" w:line="263"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59" w:firstLine="360"/>
        <w:spacing w:after="0" w:line="286" w:lineRule="auto"/>
        <w:rPr>
          <w:sz w:val="20"/>
          <w:szCs w:val="20"/>
          <w:color w:val="auto"/>
        </w:rPr>
      </w:pPr>
      <w:r>
        <w:rPr>
          <w:rFonts w:ascii="Arial" w:cs="Arial" w:eastAsia="Arial" w:hAnsi="Arial"/>
          <w:sz w:val="17"/>
          <w:szCs w:val="17"/>
          <w:color w:val="auto"/>
        </w:rPr>
        <w:t>As of May 22, 2020, we had cash of $25,000 and working capital deficit of $34,000. Further, we expect to continue to incur significant costs in the pursuit of our acquisition plans. We cannot assure you that our plans to raise capital or to complete our initial business combination will be successful.</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liquidity needs have been satisfied prior to the completion of this offering through receipt of $25,000 from the sale of the founder shares and up to $600,000 in loans from our sponsor under an unsecured promissory note. We estimate that the net proceeds from: (1) the sale of the units in this offering, after deducting offering expenses of approximately $1,000,000 and underwriting commissions of $15,000,000 ($17,250,000 if the underwriters’ option to purchase additional units is exercised in full) (excluding deferred underwriting commissions of $26,250,000 (or up to $30,187,500 if the underwriters’ option to purchase additional units is exercised in full)); and (2) the sale of the private placement warrants for a purchase price of $16,000,000 (or $18,250,000 if the underwriters’ option to purchase additional units is exercised in full), will be $750,000,000 (or $862,500,000 if the underwriters’ option to purchase additional units is exercised in full). Of this amount, $750,000,000 (or $862,500,000 if the underwriters’ option to purchase additional units is exercised in full), which includes $26,250,000 (or up to $30,187,500 if the underwriters’ option to purchase additional units is exercised in full) of deferred underwriting commissions, will be deposited into the trust account. The funds in the trust account will be invested only in U.S. government treasury bills with a maturity of 185 days or less or in money market funds that meet certain conditions under Rule 2a-7 under the Investment Company Act of 1940 and that invest only in direct U.S. government obligations. In the event that our offering expenses exceed our estimate of $1,000,000, we may fund such excess with loans or additional investments from our sponsor, members of our management team or any of their respective affiliates or other third parties. Conversely, in the event that the offering expenses are less than our estimate of $1,000,000, the excess would be held outside of the trust account.</w:t>
      </w:r>
    </w:p>
    <w:p>
      <w:pPr>
        <w:spacing w:after="0" w:line="80"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(which interest shall be net of permitted withdrawals) to complete our initial business combination. We will make permitted withdrawals from the trust account to pay our taxes, including franchise taxes and income taxes. Delaware franchise tax is based on our authorized shares or on our assumed par and non-par capital, whichever yields a lower result. Under the authorized shares method, each share is taxed at a graduated rate based on the number of authorized shares with a maximum aggregate tax of $200,000 per year. Under the assumed par value capital method, Delaware taxes each $1,000,000 of assumed par value capital at the rate of $400; where assumed par value would be (1) our total gross assets following this offering, divided by (2) our total issued shares of common stock following this offering, multiplied by (3) the number of our authorized shares following this offering. Based on the number of shares of our common stock authorized and outstanding and our estimated total gross proceeds after the completion of this offering, our annual franchise tax obligation is expected to be capped at the maximum amount of annual franchise taxes payable by us as a Delaware corporation of $200,000. Our annual income tax obligations will depend on the amount of interest and other income earned on the amounts held in the trust account. We expect the only taxes payable by us out of the funds in the trust account will be income and franchise taxes. We expect the interest earned on the amount in the trust account will be sufficient to pay our taxes. To the extent that our capital stock or debt is used, in whole</w:t>
      </w: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3" w:lineRule="auto"/>
        <w:rPr>
          <w:sz w:val="20"/>
          <w:szCs w:val="20"/>
          <w:color w:val="auto"/>
        </w:rPr>
      </w:pPr>
      <w:r>
        <w:rPr>
          <w:rFonts w:ascii="Arial" w:cs="Arial" w:eastAsia="Arial" w:hAnsi="Arial"/>
          <w:sz w:val="18"/>
          <w:szCs w:val="18"/>
          <w:color w:val="auto"/>
        </w:rPr>
        <w:t>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76"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Prior to the completion of our initial business combination, our principal use of working capital will be to fund our activities to identify and evaluate target businesses, perform business due diligence on prospective target businesses, travel to and from the offices or similar locations of prospective target businesses or their representatives or owners, review corporate documents and material agreements of prospective target businesses, structure, negotiate and complete a business combination, and to pay taxes to the extent the interest earned on the trust account is not sufficient to pay our taxes.</w:t>
      </w:r>
    </w:p>
    <w:p>
      <w:pPr>
        <w:spacing w:after="0" w:line="84" w:lineRule="exact"/>
        <w:rPr>
          <w:sz w:val="20"/>
          <w:szCs w:val="20"/>
          <w:color w:val="auto"/>
        </w:rPr>
      </w:pPr>
    </w:p>
    <w:p>
      <w:pPr>
        <w:ind w:left="1260" w:right="979" w:firstLine="360"/>
        <w:spacing w:after="0" w:line="257" w:lineRule="auto"/>
        <w:rPr>
          <w:sz w:val="20"/>
          <w:szCs w:val="20"/>
          <w:color w:val="auto"/>
        </w:rPr>
      </w:pPr>
      <w:r>
        <w:rPr>
          <w:rFonts w:ascii="Arial" w:cs="Arial" w:eastAsia="Arial" w:hAnsi="Arial"/>
          <w:sz w:val="18"/>
          <w:szCs w:val="18"/>
          <w:color w:val="auto"/>
        </w:rPr>
        <w:t>We expect our primary liquidity requirements during that period to include legal, accounting, due diligence, travel and other expenses in connection with any business combinations; regulatory reporting requirements; NYSE continued listing fees; office space, administrative and support services, including under the Administrative Services Agreement; reserve for liquidation expenses; and other miscellaneous expenses.</w:t>
      </w:r>
    </w:p>
    <w:p>
      <w:pPr>
        <w:spacing w:after="0" w:line="80"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addition, we may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7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As indicated in the accompanying financial statements, at May 22, 2020, we had $25,000 in cash and a working capital deficiency of $34,000. Further, we have incurred and expect to continue to incur significant costs in pursuit of our financing and acquisition plans. Management’s plans to address this uncertainty through this offering are discussed below. We cannot assure you that our plans to raise capital or to consummate an initial business combination will be successful. These factors, among others, raise substantial doubt about our ability to continue as a going concern.</w:t>
      </w:r>
    </w:p>
    <w:p>
      <w:pPr>
        <w:spacing w:after="0" w:line="8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We expect to fund our working capital requirements prior to the time of our initial business combination with permitted withdrawals from the interest earned on the trust account, subject to an annual limit of $1,000,000. In addition, our sponsor, an affiliate of our sponsor or our officers and directors may, but none of them is obligated to, loan us funds as may be required to fund our working capital requirements.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8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w:t>
      </w: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the consummation of this offering.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Controls and Procedures</w:t>
      </w:r>
    </w:p>
    <w:p>
      <w:pPr>
        <w:spacing w:after="0" w:line="10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w:t>
      </w:r>
    </w:p>
    <w:p>
      <w:pPr>
        <w:spacing w:after="0" w:line="84"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63"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65" w:lineRule="exact"/>
        <w:rPr>
          <w:sz w:val="20"/>
          <w:szCs w:val="20"/>
          <w:color w:val="auto"/>
        </w:rPr>
      </w:pPr>
    </w:p>
    <w:p>
      <w:pPr>
        <w:ind w:left="1980" w:hanging="352"/>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96" w:lineRule="exact"/>
        <w:rPr>
          <w:rFonts w:ascii="Arial" w:cs="Arial" w:eastAsia="Arial" w:hAnsi="Arial"/>
          <w:sz w:val="17"/>
          <w:szCs w:val="17"/>
          <w:color w:val="auto"/>
        </w:rPr>
      </w:pPr>
    </w:p>
    <w:p>
      <w:pPr>
        <w:ind w:left="1980" w:hanging="352"/>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17"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 Once our management’s report on internal controls is</w:t>
      </w: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complete, we will retain our independent auditors to audit and render an opinion on such report when required by Section 404 of the Sarbanes-Oxley Act. The independent auditors may identify additional issues concerning a target business’s internal controls while performing their audit of internal control over financial reporting.</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net proceeds of this offering and the sale of the private placement warrants held in the trust account will be invested in U.S. government treasury bills with a maturity of 185 days or less or in money market funds that meet certain conditions under Rule 2a-7 under the Investment Company Act of 1940 and that invest only in direct U.S. government obligations. Due to the short-term nature of these investments, we believe there will be no associated material exposure to interest rate risk.</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 Commitments and Contractual Obligations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May 22, 2020, we did not have any off-balance sheet arrangements as defined in Item 303(a)(4)</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(ii) of Regulation S-K and did not have any commitments or contractual obligations.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w:t>
      </w:r>
    </w:p>
    <w:p>
      <w:pPr>
        <w:spacing w:after="0" w:line="108"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In May 2020, our sponsor purchased an aggregate of 21,562,500 founder shares for an aggregate purchase price of $25,000, or approximately $0.001 per share. The number of founder shares issued was determined based on the expectation that the founder shares would represent 20% of the outstanding shares of common stock upon the completion of this offering. The purchase price of the founder shares was determined by dividing the amount of cash contributed to us by the number of founder shares issued.</w:t>
      </w:r>
    </w:p>
    <w:p>
      <w:pPr>
        <w:spacing w:after="0" w:line="6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We will enter into an Administrative Services Agreement pursuant to which we will also pay an affiliate of our sponsor a total of $50,000 per month for office space, administrative and support services. Upon completion of our initial business combination or our liquidation, we will cease paying these monthly fees.</w:t>
      </w:r>
    </w:p>
    <w:p>
      <w:pPr>
        <w:spacing w:after="0" w:line="79"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and will determine which expenses and the amount of expenses that will be reimbursed. There is no cap or ceiling on the reimbursement of out-of-pocket expenses incurred by such persons in connection with activities on our behalf.</w:t>
      </w:r>
    </w:p>
    <w:p>
      <w:pPr>
        <w:spacing w:after="0" w:line="87"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sponsor has agreed to loan us up to $600,000 under an unsecured promissory note to be used for a portion of the expenses of this offering. As of May 22, 2020, there was no outstanding amount under such promissory note. These loans are non-interest bearing, unsecured and are due at the earlier of December 31, 2020 and the closing of this offering. These loans will be repaid upon completion of this offering out of the $1,000,000 of offering proceeds that has been allocated for the payment of offering expenses (other than underwriting commissions) not held in the trust account.</w:t>
      </w:r>
    </w:p>
    <w:p>
      <w:pPr>
        <w:spacing w:after="0" w:line="8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79"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an affiliate of our sponsor or our officers and directors may, but is not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w:t>
      </w:r>
    </w:p>
    <w:p>
      <w:pPr>
        <w:sectPr>
          <w:pgSz w:w="11900" w:h="16838" w:orient="portrait"/>
          <w:cols w:equalWidth="0" w:num="1">
            <w:col w:w="10139"/>
          </w:cols>
          <w:pgMar w:left="320" w:top="131" w:right="1440" w:bottom="1440" w:gutter="0" w:footer="0" w:header="0"/>
        </w:sectPr>
      </w:pP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79"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Our sponsor has subscribed to purchase an aggregate of 16,000,000 (or 18,250,000 if the underwriters’ option to purchase additional units is exercised in full) private placement warrants at a price of $1.00 per warrant ($16,000,000 in the aggregate or $18,250,000 in the aggregate if the underwriters’ option to purchase additional units is exercised in full) in the Private Placement. Each private placement warrant entitles the holder thereof to purchase one share of our Class A common stock at a price of $11.50 per share, subject to adjustment as provided herein. Our sponsor will be permitted to transfer the private placement warrants held by it to certain permitted transferees, including our officers and directors and other persons or entities affiliated with or related to them, but the transferees receiving such securities will be subject to the same agreements with respect to such securities as our sponsor. Otherwise, these warrants will not, subject to certain limited exceptions, be transferable or salable until 30 days after the completion of our initial business combination. The private placement warrants will be non-redeemable so long as they are held by our sponsor or its permitted transferees (except as described below under “Principal Stockholders</w:t>
      </w:r>
    </w:p>
    <w:p>
      <w:pPr>
        <w:spacing w:after="0" w:line="7"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 Transfers of Founder Shares and Private Placement Warrants”). The private placement warrants may also be exercised by our sponsor or its permitted transferees for cash or on a cashless basis. Otherwise, the private placement warrants have terms and provisions that are identical to those of the warrants being sold as part of the units in this offering.</w:t>
      </w:r>
    </w:p>
    <w:p>
      <w:pPr>
        <w:spacing w:after="0" w:line="85"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Pursuant to a registration rights agreement we will enter into with our initial stockholders on or prior to the closing of this offering, we may be required to register certain securities for sale under the Securities Act. Our initial stockholders, and holders of warrants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We will bear the costs and expenses of filing any such registration statements. Please see “Certain Relationships and Related Party Transactions.”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JOBS Act</w:t>
      </w:r>
    </w:p>
    <w:p>
      <w:pPr>
        <w:spacing w:after="0" w:line="108"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88"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 of internal controls over financial reporting pursuant to Section 404 of the Sarbanes-Oxley Act; (2) provide all of the compensation disclosure that may be required of non-emerging growth public companies under the Dodd-Frank Wall Street Reform and Consumer Protection Act; (3) comply with any requirement that may be adopted by the PCAOB regarding mandatory audit firm rotation or a supplement to the auditor’s report providing additional information about the audit and the financial statements (auditor discussion and analysis); and (4)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PROPOSED BUSINESS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We are a newly incorporated blank check company formed as a Delaware corporation for the purpose of effecting a merger, share exchange, asset acquisition, share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in any business or industry but expect to focus on a target in an industry where we believe our management team and founder’s expertise will provide us with a competitive advantage.</w:t>
      </w:r>
    </w:p>
    <w:p>
      <w:pPr>
        <w:spacing w:after="0" w:line="7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founder, Michael Klein, is also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35-year career, including more than two decades at Citi and its predecessors, during which he initiated and executed strategic advisory transactions. He began his career as an investment banker in the M&amp;A Advisory Group at Salomon Brothers and subsequently became Chairman and Co-Chief Executive Officer of Citi Markets and Banking, with responsibilities for Global Corporate and Investment Banking and Global Transaction Services across Citi. In his role as Co-CEO, he was responsible for all relationship, advisory, underwriting, and capital markets issuance activity.</w:t>
      </w:r>
    </w:p>
    <w:p>
      <w:pPr>
        <w:spacing w:after="0" w:line="77"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Mr. Klein was previously Chief Executive Officer of Global Banking at Citi, CEO of Citi Markets &amp; Banking, Europe, and Co-Head of Global Investment Banking for Salomon Smith Barney for the decade prior. In early 1999, he was given responsibility for the expansion of the firm’s European investment banking business. A major step in that development was the merger, in May 2000, of Salomon Smith Barney’s European operation with Schroders, a leading UK and European Merchant Bank. Prior to becoming Co-Head of the Global Investment Bank, he had been responsible for the firm’s Global Financial Entrepreneurs and Private Equity Groups, a leading provider of acquisition ideas and financing for leading private equity sponsors. We will seek to capitalize on the experience and expertise of our founder.</w:t>
      </w:r>
    </w:p>
    <w:p>
      <w:pPr>
        <w:spacing w:after="0" w:line="70"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Mr. Klein has significant experience running investment banking and advisory organizations with an overarching mission of providing high quality deal sourcing and transactional advice to a broad range of clients. For example, in 2018, Mr. Klein co-founded and became Chairman of the Board of Directors of CCC, a special purpose acquisition company that completed a $690 million initial public offering in September 2018 and merged in May 2019 with Clarivate, a leading provider of comprehensive intellectual property and scientific information, analytical tools, and services.</w:t>
      </w:r>
    </w:p>
    <w:p>
      <w:pPr>
        <w:spacing w:after="0" w:line="8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The CCC board of directors believed that of the several transactions that CCC considered, the Clarivate merger provided CCC investors with an attractive investment opportunity that was characterized by an industry-leading, world-class management team with a history of creating significant shareholder value through superior operational performance, positive long-term trends in each of the Clarivate’s operating markets, significant organic and accretive growth opportunities, a clear path to meaningfully reduced balance sheet leverage, and a compelling valuation relative to its peers. In sourcing and executing a business combination transaction, we hope to find a target with similar characteristics.</w:t>
      </w:r>
    </w:p>
    <w:p>
      <w:pPr>
        <w:spacing w:after="0" w:line="69"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Investors in CCC’s initial public offering who held the stock and warrants through May 13, 2019, the closing date of the initial business combination, saw a total return of approximately 51% and a 1.5x multiple on their invested capital over the eight month hold period.</w:t>
      </w:r>
    </w:p>
    <w:p>
      <w:pPr>
        <w:spacing w:after="0" w:line="76"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In April 2019, Mr. Klein founded and became Chief Executive Officer and Chairman of the Board of Directors of Churchill Capital Corp II, a special purpose acquisition company that completed a $690 million initial public offering in July 2019. Additionally in October 2019, Mr. Klein founded and became Chief Executive Officer, President and Chairman of the Board of Directors of Churchill Capital Corp III, a special purpose acquisition company that completed a $1,100 million initial public offering in February 2020.</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Our Chief Financial Officer, Jay Taragin, has held this position since May 2020 and is also the Chief Financial Officer of Churchill Capital Corp III since December 2019 and M. Klein and Company which he joined in May 2019. Prior to joining M. Klein and Company, Mr. Taragin served as the US Scotiabank Chief Financial Officer from 2013 to 2017. Prior to Scotiabank, Mr. Taragin held a Chief Operating and Financial Officer role from 2009 to 2012 at a mortgage hedge fund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8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believe that our management team and M. Klein and Company, which is an affiliate of our sponsor, are well positioned to identify and execute attractive business combination opportunities. Our objectives are to generate attractive returns for shareholders and enhance value through selecting a high quality target at an attractive valuation, negotiating favorable acquisition terms for our stockholders and improving operational performance of the acquired company. We expect to favor potential target companies with certain industry and business characteristics. Key industry characteristics include compelling long-term growth prospects, opportunities to affect valuation improvements at the company, attractive competitive dynamics and consolidation opportunities. Key business characteristics include competitive advantages, significant streams of recurring revenue, opportunity for operational improvement, attractive steady-state margins, high incremental margins and attractive free cash flow characteristics.</w:t>
      </w:r>
    </w:p>
    <w:p>
      <w:pPr>
        <w:spacing w:after="0" w:line="77"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M. Klein and Company has established strategic relationships with selected leading investors and financing providers. Such Strategic Partners may invest in our sponsor, thereby sharing in the appreciation of founder shares and private placement warrants, and assist M. Klein and Company in evaluating potential acquisition targets. In addition, Glenn R. August, the CEO and Founder of OHA, a Strategic Partner, will join the Company’s board of directors. OHA is a leading alternative investment firm with approximately $37 billion of capital under management and over 300 professionals that invest across multiple sectors and industries.</w:t>
      </w:r>
    </w:p>
    <w:p>
      <w:pPr>
        <w:spacing w:after="0" w:line="87"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M. Klein and Company has established an entity within the firm, Archimedes Advisors LLC, which will invest in our sponsor and which consists of Operating Partners who will assist us in sourcing potential acquisition targets, and creating long-term value in the business combination for us. M. Klein and Company’s Operating Partners are comprised of former senior operating executives of leading S&amp;P 500 companies across multiple sectors and industries, including consumer, industrial, materials, energy, mining, chemicals, finance, data, software, enterprise technology, and media. With our breadth of sector coverage and deep operational expertise, we believe we can review a wide range of targets to find the most attractive target for our stockholders. Each Operating Partner has held senior leadership positions with companies where they have a proven strong track record of creating shareholder value, organically and through transformational acquisitions or corporate restructurings, as well as extensive relationships with owners and operators of companies within their respective industries. In addition to assisting in the sourcing of a potential transaction, one Operating Partner is expected to join the acquired company as an executive chairman or in another senior executive capacity in order to enhance stockholder value by improving the operational performance of the company and undertaking broader strategic initiatives.</w:t>
      </w:r>
    </w:p>
    <w:p>
      <w:pPr>
        <w:spacing w:after="0" w:line="76"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To best align the incentives of Operating Partners with our stockholders, each Operating Partner will invest in our sponsor and be eligible to share in a portion of the appreciation in founder shares and private placement warrants, provided that we successfully complete a business combination. The Operating Partner that takes on a substantial senior executive or operating role at the acquired company, on a post-business combination basis, will acquire additional founder shares from M. Klein and Company and will have a vesting schedule that is highly aligned with stockholder interests by requiring value creation for stockholders. Operating Partners will not receive any cash compensation from us prior to a business combination. We believe that the combination of our management team, M. Klein and Company and its Operating Partners and our board of directors is an innovative approach to identifying potential high quality business combination targets and aligns incentives with our stockholders, providing us with distinctive and differentiated capabilities to create stockholder value.</w:t>
      </w:r>
    </w:p>
    <w:p>
      <w:pPr>
        <w:spacing w:after="0" w:line="20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firstLine="360"/>
        <w:spacing w:after="0" w:line="272" w:lineRule="auto"/>
        <w:rPr>
          <w:sz w:val="20"/>
          <w:szCs w:val="20"/>
          <w:color w:val="auto"/>
        </w:rPr>
      </w:pPr>
      <w:r>
        <w:rPr>
          <w:rFonts w:ascii="Arial" w:cs="Arial" w:eastAsia="Arial" w:hAnsi="Arial"/>
          <w:sz w:val="17"/>
          <w:szCs w:val="17"/>
          <w:color w:val="auto"/>
        </w:rPr>
        <w:t>With respect to the foregoing experiences of our management, M. Klein and Company and our Strategic and Operating Partners, past performance is not a guarantee (i) that we will be able to identify a suitable candidate for our initial business combination or (ii) of success with respect to any business combination we may consummate. You should not rely on the historical record of our management’s, M. Klein and Company’s or our Strategic Operating Partners’ performance as indicative of our future performance. For more information on the experience and background of our management team and the Operating Partners, see the sections entitled “Management” and “Proposed Business.”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Strategy</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strategy is to:</w:t>
      </w:r>
    </w:p>
    <w:p>
      <w:pPr>
        <w:spacing w:after="0" w:line="198" w:lineRule="exact"/>
        <w:rPr>
          <w:sz w:val="20"/>
          <w:szCs w:val="20"/>
          <w:color w:val="auto"/>
        </w:rPr>
      </w:pPr>
    </w:p>
    <w:p>
      <w:pPr>
        <w:ind w:left="1980" w:right="79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founder to bring advice and attention to potential business combination targets;</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 and</w:t>
      </w:r>
    </w:p>
    <w:p>
      <w:pPr>
        <w:spacing w:after="0" w:line="184"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w:t>
      </w:r>
    </w:p>
    <w:p>
      <w:pPr>
        <w:spacing w:after="0" w:line="62"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selection process will leverage our founder’s and our Strategic and Operating Partners’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 Upon completion of this offering, members of our management team, M. Klein and Company, our Strategic and Operating Partners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7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management team and M. Klein and Company have experience in:</w:t>
      </w:r>
    </w:p>
    <w:p>
      <w:pPr>
        <w:spacing w:after="0" w:line="198" w:lineRule="exact"/>
        <w:rPr>
          <w:sz w:val="20"/>
          <w:szCs w:val="20"/>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negotiating transactions favorable to investors;</w:t>
      </w:r>
    </w:p>
    <w:p>
      <w:pPr>
        <w:spacing w:after="0" w:line="184" w:lineRule="exact"/>
        <w:rPr>
          <w:rFonts w:ascii="Arial" w:cs="Arial" w:eastAsia="Arial" w:hAnsi="Arial"/>
          <w:sz w:val="18"/>
          <w:szCs w:val="18"/>
          <w:color w:val="auto"/>
        </w:rPr>
      </w:pPr>
    </w:p>
    <w:p>
      <w:pPr>
        <w:ind w:left="1980" w:right="83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 and</w:t>
      </w:r>
    </w:p>
    <w:p>
      <w:pPr>
        <w:spacing w:after="0" w:line="143"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 Klein and Company’s Operating Partners have experience in:</w:t>
      </w:r>
    </w:p>
    <w:p>
      <w:pPr>
        <w:spacing w:after="0" w:line="185" w:lineRule="exact"/>
        <w:rPr>
          <w:sz w:val="20"/>
          <w:szCs w:val="20"/>
          <w:color w:val="auto"/>
        </w:rPr>
      </w:pPr>
    </w:p>
    <w:p>
      <w:pPr>
        <w:ind w:left="1980" w:right="879" w:hanging="352"/>
        <w:spacing w:after="0" w:line="277"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acquiring and integrating companies; and</w:t>
      </w:r>
    </w:p>
    <w:p>
      <w:pPr>
        <w:spacing w:after="0" w:line="198" w:lineRule="exact"/>
        <w:rPr>
          <w:rFonts w:ascii="Arial" w:cs="Arial" w:eastAsia="Arial" w:hAnsi="Arial"/>
          <w:sz w:val="18"/>
          <w:szCs w:val="18"/>
          <w:color w:val="auto"/>
        </w:rPr>
      </w:pPr>
    </w:p>
    <w:p>
      <w:pPr>
        <w:jc w:val="both"/>
        <w:ind w:left="1980" w:right="1179" w:hanging="352"/>
        <w:spacing w:after="0" w:line="263"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The sourcing, valuation, diligence and execution capabilities of our management team, M. Klein and Company and our Strategic and Operating Partners will provide us with a significant pipeline of opportunities from which to evaluate and select a business that will benefit from our expertise. We may also have the benefit of using M. Klein and Company, or another affiliate of our sponsor, as our lead financial advisor on our business combinations and other transactions. Our competitive strengths include the following:</w:t>
      </w:r>
    </w:p>
    <w:p>
      <w:pPr>
        <w:spacing w:after="0" w:line="138" w:lineRule="exact"/>
        <w:rPr>
          <w:sz w:val="20"/>
          <w:szCs w:val="20"/>
          <w:color w:val="auto"/>
        </w:rPr>
      </w:pPr>
    </w:p>
    <w:p>
      <w:pPr>
        <w:ind w:left="1980" w:right="739" w:hanging="352"/>
        <w:spacing w:after="0" w:line="259"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Experience of Operating Partners. </w:t>
      </w:r>
      <w:r>
        <w:rPr>
          <w:rFonts w:ascii="Arial" w:cs="Arial" w:eastAsia="Arial" w:hAnsi="Arial"/>
          <w:sz w:val="18"/>
          <w:szCs w:val="18"/>
          <w:color w:val="auto"/>
        </w:rPr>
        <w:t>We believe that our ability to leverage the experience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Operating Partners, who comprise former senior operating executives of S&amp;P500 companies across multiple sectors and industries, will provide us a distinct advantage in being able to source, evaluate and consummate an attractive transaction.</w:t>
      </w:r>
    </w:p>
    <w:p>
      <w:pPr>
        <w:spacing w:after="0" w:line="119" w:lineRule="exact"/>
        <w:rPr>
          <w:rFonts w:ascii="Arial" w:cs="Arial" w:eastAsia="Arial" w:hAnsi="Arial"/>
          <w:sz w:val="18"/>
          <w:szCs w:val="18"/>
          <w:color w:val="auto"/>
        </w:rPr>
      </w:pPr>
    </w:p>
    <w:p>
      <w:pPr>
        <w:ind w:left="1980" w:right="719" w:hanging="352"/>
        <w:spacing w:after="0" w:line="254"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Sourcing Channels and Leading Industry Relationships. </w:t>
      </w:r>
      <w:r>
        <w:rPr>
          <w:rFonts w:ascii="Arial" w:cs="Arial" w:eastAsia="Arial" w:hAnsi="Arial"/>
          <w:sz w:val="18"/>
          <w:szCs w:val="18"/>
          <w:color w:val="auto"/>
        </w:rPr>
        <w:t>We believe the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connections associated with our management team, in combination with those of M. Klein and Company and our Strategic and Operating Partners, will provide us with a differentiated pipeline of acquisition opportunities that would be difficult for other participants in the market to replicate. We expect these sourcing capabilities will be further bolstered by our management team’s, M. Klein and Company’s and our Strategic and Operating Partners’ reputation and deep industry relationships.</w:t>
      </w:r>
    </w:p>
    <w:p>
      <w:pPr>
        <w:spacing w:after="0" w:line="140" w:lineRule="exact"/>
        <w:rPr>
          <w:rFonts w:ascii="Arial" w:cs="Arial" w:eastAsia="Arial" w:hAnsi="Arial"/>
          <w:sz w:val="18"/>
          <w:szCs w:val="18"/>
          <w:color w:val="auto"/>
        </w:rPr>
      </w:pPr>
    </w:p>
    <w:p>
      <w:pPr>
        <w:ind w:left="1980" w:right="739" w:hanging="352"/>
        <w:spacing w:after="0" w:line="263"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Experience. </w:t>
      </w:r>
      <w:r>
        <w:rPr>
          <w:rFonts w:ascii="Arial" w:cs="Arial" w:eastAsia="Arial" w:hAnsi="Arial"/>
          <w:sz w:val="18"/>
          <w:szCs w:val="18"/>
          <w:color w:val="auto"/>
        </w:rPr>
        <w:t>We believe that our management’s track record of identifying and sourcing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positions us well to appropriately evaluate potential business combinations and select one that will be well received by the public markets.</w:t>
      </w:r>
    </w:p>
    <w:p>
      <w:pPr>
        <w:spacing w:after="0" w:line="129" w:lineRule="exact"/>
        <w:rPr>
          <w:rFonts w:ascii="Arial" w:cs="Arial" w:eastAsia="Arial" w:hAnsi="Arial"/>
          <w:sz w:val="18"/>
          <w:szCs w:val="18"/>
          <w:color w:val="auto"/>
        </w:rPr>
      </w:pPr>
    </w:p>
    <w:p>
      <w:pPr>
        <w:ind w:left="1980" w:right="679" w:hanging="352"/>
        <w:spacing w:after="0" w:line="254"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Execution and Structuring Capability. </w:t>
      </w:r>
      <w:r>
        <w:rPr>
          <w:rFonts w:ascii="Arial" w:cs="Arial" w:eastAsia="Arial" w:hAnsi="Arial"/>
          <w:sz w:val="18"/>
          <w:szCs w:val="18"/>
          <w:color w:val="auto"/>
        </w:rPr>
        <w:t>Our management team and sponsor believe that our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Partners’ combined expertise and reputation will allow us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Criteria</w:t>
      </w:r>
    </w:p>
    <w:p>
      <w:pPr>
        <w:spacing w:after="0" w:line="108"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We have developed the following high level, non-exclusive investment criteria that we will use to screen for and evaluate target businesses. We will seek to acquire a business that:</w:t>
      </w:r>
    </w:p>
    <w:p>
      <w:pPr>
        <w:spacing w:after="0" w:line="116" w:lineRule="exact"/>
        <w:rPr>
          <w:sz w:val="20"/>
          <w:szCs w:val="20"/>
          <w:color w:val="auto"/>
        </w:rPr>
      </w:pPr>
    </w:p>
    <w:p>
      <w:pPr>
        <w:ind w:left="1980" w:right="1299" w:hanging="352"/>
        <w:spacing w:after="0" w:line="342" w:lineRule="auto"/>
        <w:tabs>
          <w:tab w:leader="none" w:pos="19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Generates Stable Free Cash-Flow. </w:t>
      </w:r>
      <w:r>
        <w:rPr>
          <w:rFonts w:ascii="Arial" w:cs="Arial" w:eastAsia="Arial" w:hAnsi="Arial"/>
          <w:sz w:val="16"/>
          <w:szCs w:val="16"/>
          <w:color w:val="auto"/>
        </w:rPr>
        <w:t>We will seek to acquire a business that has historically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generated, or has the near-term potential to generate, strong and sustainable free cash flow.</w:t>
      </w:r>
    </w:p>
    <w:p>
      <w:pPr>
        <w:spacing w:after="0" w:line="56" w:lineRule="exact"/>
        <w:rPr>
          <w:rFonts w:ascii="Arial" w:cs="Arial" w:eastAsia="Arial" w:hAnsi="Arial"/>
          <w:sz w:val="16"/>
          <w:szCs w:val="16"/>
          <w:color w:val="auto"/>
        </w:rPr>
      </w:pPr>
    </w:p>
    <w:p>
      <w:pPr>
        <w:ind w:left="1980" w:right="919" w:hanging="352"/>
        <w:spacing w:after="0" w:line="263"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pacing w:after="0" w:line="129" w:lineRule="exact"/>
        <w:rPr>
          <w:rFonts w:ascii="Arial" w:cs="Arial" w:eastAsia="Arial" w:hAnsi="Arial"/>
          <w:sz w:val="18"/>
          <w:szCs w:val="18"/>
          <w:color w:val="auto"/>
        </w:rPr>
      </w:pPr>
    </w:p>
    <w:p>
      <w:pPr>
        <w:ind w:left="1980" w:right="759" w:hanging="352"/>
        <w:spacing w:after="0" w:line="263"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do not expect to participate in broadly marketed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but rather will aim to leverage our extensive network to source our business combination.</w:t>
      </w:r>
    </w:p>
    <w:p>
      <w:pPr>
        <w:spacing w:after="0" w:line="129" w:lineRule="exact"/>
        <w:rPr>
          <w:rFonts w:ascii="Arial" w:cs="Arial" w:eastAsia="Arial" w:hAnsi="Arial"/>
          <w:sz w:val="18"/>
          <w:szCs w:val="18"/>
          <w:color w:val="auto"/>
        </w:rPr>
      </w:pPr>
    </w:p>
    <w:p>
      <w:pPr>
        <w:ind w:left="1980" w:right="819" w:hanging="352"/>
        <w:spacing w:after="0" w:line="257"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Committed and Capable Management Team. </w:t>
      </w:r>
      <w:r>
        <w:rPr>
          <w:rFonts w:ascii="Arial" w:cs="Arial" w:eastAsia="Arial" w:hAnsi="Arial"/>
          <w:sz w:val="18"/>
          <w:szCs w:val="18"/>
          <w:color w:val="auto"/>
        </w:rPr>
        <w:t>We will seek to acquire a business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management team whose interests are aligned with those of our investors and complement the expertise of our founder. Where necessary, we may also look to complement and enhance the capabilities of the target business’s management team by recruiting additional talent through our network of contacts.</w:t>
      </w:r>
    </w:p>
    <w:p>
      <w:pPr>
        <w:spacing w:after="0" w:line="120" w:lineRule="exact"/>
        <w:rPr>
          <w:rFonts w:ascii="Arial" w:cs="Arial" w:eastAsia="Arial" w:hAnsi="Arial"/>
          <w:sz w:val="18"/>
          <w:szCs w:val="18"/>
          <w:color w:val="auto"/>
        </w:rPr>
      </w:pPr>
    </w:p>
    <w:p>
      <w:pPr>
        <w:ind w:left="1980" w:right="1079" w:hanging="352"/>
        <w:spacing w:after="0" w:line="308" w:lineRule="auto"/>
        <w:tabs>
          <w:tab w:leader="none" w:pos="198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Has the Potential to Grow Through Further Acquisition Opportunities. </w:t>
      </w:r>
      <w:r>
        <w:rPr>
          <w:rFonts w:ascii="Arial" w:cs="Arial" w:eastAsia="Arial" w:hAnsi="Arial"/>
          <w:sz w:val="17"/>
          <w:szCs w:val="17"/>
          <w:color w:val="auto"/>
        </w:rPr>
        <w:t>We will seek to acquire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that has the potential to grow inorganically through additional acquisitions.</w:t>
      </w:r>
    </w:p>
    <w:p>
      <w:pPr>
        <w:sectPr>
          <w:pgSz w:w="11900" w:h="16838" w:orient="portrait"/>
          <w:cols w:equalWidth="0" w:num="1">
            <w:col w:w="10139"/>
          </w:cols>
          <w:pgMar w:left="320" w:top="131" w:right="1440" w:bottom="1440" w:gutter="0" w:footer="0" w:header="0"/>
        </w:sectPr>
      </w:pPr>
    </w:p>
    <w:p>
      <w:pPr>
        <w:spacing w:after="0" w:line="21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on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tender offer documents or proxy solicitation materials that we would file with the SEC.</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Acquisition Process</w:t>
      </w:r>
    </w:p>
    <w:p>
      <w:pPr>
        <w:spacing w:after="0" w:line="108" w:lineRule="exact"/>
        <w:rPr>
          <w:sz w:val="20"/>
          <w:szCs w:val="20"/>
          <w:color w:val="auto"/>
        </w:rPr>
      </w:pPr>
    </w:p>
    <w:p>
      <w:pPr>
        <w:ind w:left="1260" w:right="1119" w:firstLine="360"/>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79"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founder, officers or directors. In the event we seek to complete our initial business combination with a business that is affiliated with our sponsor, founder, officers or directors, we, or a committee of independent and disinterested directors, will obtain an opinion from an independent investment banking firm that is a member of the Financial Industry Regulatory Authority, or FINRA, or from an independent accounting firm, that such an initial business combination is fair to our company from a financial point of view.</w:t>
      </w:r>
    </w:p>
    <w:p>
      <w:pPr>
        <w:spacing w:after="0" w:line="8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Members of our management team may directly or indirectly own our securities following this offering, and accordingly, they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84"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Our sponsor and its principals may from time to time become aware of potential business opportunities, one or more of which we may desire to pursue, for a business combination, but we have not (nor has anyone on our behalf) engaged in any substantive discussions, directly or indirectly, with any business combination target with respect to a business combination transaction with us.</w:t>
      </w:r>
    </w:p>
    <w:p>
      <w:pPr>
        <w:spacing w:after="0" w:line="79"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76" w:lineRule="exact"/>
        <w:rPr>
          <w:sz w:val="20"/>
          <w:szCs w:val="20"/>
          <w:color w:val="auto"/>
        </w:rPr>
      </w:pPr>
    </w:p>
    <w:p>
      <w:pPr>
        <w:ind w:left="1260" w:right="1179" w:firstLine="360"/>
        <w:spacing w:after="0" w:line="274" w:lineRule="auto"/>
        <w:rPr>
          <w:sz w:val="20"/>
          <w:szCs w:val="20"/>
          <w:color w:val="auto"/>
        </w:rPr>
      </w:pPr>
      <w:r>
        <w:rPr>
          <w:rFonts w:ascii="Arial" w:cs="Arial" w:eastAsia="Arial" w:hAnsi="Arial"/>
          <w:sz w:val="17"/>
          <w:szCs w:val="17"/>
          <w:color w:val="auto"/>
        </w:rPr>
        <w:t>In addition, none of the Strategic Partners or Operating Partners or their personnel (other than Mr. August) are officers or directors of our company and therefore owe us no fiduciary duties as such.</w:t>
      </w:r>
    </w:p>
    <w:p>
      <w:pPr>
        <w:ind w:left="1260" w:right="719"/>
        <w:spacing w:after="0" w:line="271" w:lineRule="auto"/>
        <w:rPr>
          <w:sz w:val="20"/>
          <w:szCs w:val="20"/>
          <w:color w:val="auto"/>
        </w:rPr>
      </w:pPr>
      <w:r>
        <w:rPr>
          <w:rFonts w:ascii="Arial" w:cs="Arial" w:eastAsia="Arial" w:hAnsi="Arial"/>
          <w:sz w:val="17"/>
          <w:szCs w:val="17"/>
          <w:color w:val="auto"/>
        </w:rPr>
        <w:t>Mr. August’s fiduciary duties to us are limited to his service as one of our directors, and the Company is not a client of OHA. While we expect that they will assist us in identifying business combination targets, they have no obligation to do so and may devote a substantial portion of their business time to activities unrelated to us. Our Strategic and Operating Partner may have fiduciary, contractual or other obligations or duties to other organizations to present business combination opportunities to such other organizations</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4" w:lineRule="auto"/>
        <w:rPr>
          <w:sz w:val="20"/>
          <w:szCs w:val="20"/>
          <w:color w:val="auto"/>
        </w:rPr>
      </w:pPr>
      <w:r>
        <w:rPr>
          <w:rFonts w:ascii="Arial" w:cs="Arial" w:eastAsia="Arial" w:hAnsi="Arial"/>
          <w:sz w:val="18"/>
          <w:szCs w:val="18"/>
          <w:color w:val="auto"/>
        </w:rPr>
        <w:t>rather than to us. Accordingly, if any Strategic or Operating Partner becomes aware of a business combination opportunity which is suitable for one or more entities to which he, she or it has fiduciary, contractual or other obligations or duties, he, she or it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87"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While neither M. Klein and Company nor any of our Strategic and Operating Partners will have any duty to offer acquisition opportunities to us, they may become aware of a potential transaction that is an attractive opportunity for us, which they may decide to share with us. Conflicts may arise from their affiliation with our company, their provision of services both to us and to third-party clients, as well as from actions undertaken by them for their own account. In performing services for other clients and also when acting for their own account, they may take commercial steps which may have an adverse effect on us. Any of M. Klein and Company’s or our Strategic and Operating Partners’ other activities may, individually or in the aggregate, have an adverse effect on us, and the interests of M. Klein and Company and our Strategic and Operating Partners or their respective clients or counterparties may at times be averse to ours. Please see “Proposed Business — Certain Potential Conflicts of Interest Relating to M. Klein and Company” for additional information regarding certain potential conflicts of interest relating to M. Klein and Company and our Strategic and Operating Partners.</w:t>
      </w:r>
    </w:p>
    <w:p>
      <w:pPr>
        <w:spacing w:after="0" w:line="92"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do not believe, however, that the fiduciary, contractual or other obligations or duties of our officers or directors, or of M. Klein and Company and our Strategic and Operating Partners, or policies applicable to M. Klein and Company or any of our Strategic and Operating, will materially affect our ability to complete our initial business combination.</w:t>
      </w:r>
    </w:p>
    <w:p>
      <w:pPr>
        <w:spacing w:after="0" w:line="79"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sponsor, officers, directors, M. Klein and Company and our Strategic and Operating Partners may participate in the formation of, or become an officer or director of, any other blank check company prior to completion of our initial business combination. As a result, our sponsor, officers, directors, M. Klein and Company and our Strategic and Operating Partners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Business Combination</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8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w:t>
      </w:r>
    </w:p>
    <w:p>
      <w:pPr>
        <w:sectPr>
          <w:pgSz w:w="11900" w:h="16838" w:orient="portrait"/>
          <w:cols w:equalWidth="0" w:num="1">
            <w:col w:w="10139"/>
          </w:cols>
          <w:pgMar w:left="320" w:top="131" w:right="1440" w:bottom="1440" w:gutter="0" w:footer="0" w:header="0"/>
        </w:sectPr>
      </w:pP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acquires 50% or more of the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of the target businesses.</w:t>
      </w:r>
    </w:p>
    <w:p>
      <w:pPr>
        <w:spacing w:after="0" w:line="7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Our amended and restated certificate of incorporation will require the affirmative vote of a majority of our board of directors, which must include a majority of our independent directors to approve our initial business combination (or such other vote as the applicable law or stock exchange rules then in effect may require).</w:t>
      </w:r>
    </w:p>
    <w:p>
      <w:pPr>
        <w:spacing w:after="0" w:line="79"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the consummation of this offering.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74"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5" w:lineRule="auto"/>
        <w:rPr>
          <w:sz w:val="20"/>
          <w:szCs w:val="20"/>
          <w:color w:val="auto"/>
        </w:rPr>
      </w:pPr>
      <w:r>
        <w:rPr>
          <w:rFonts w:ascii="Arial" w:cs="Arial" w:eastAsia="Arial" w:hAnsi="Arial"/>
          <w:sz w:val="17"/>
          <w:szCs w:val="17"/>
          <w:color w:val="auto"/>
        </w:rPr>
        <w:t>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68"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60" w:right="659" w:firstLine="8"/>
        <w:spacing w:after="0" w:line="265" w:lineRule="auto"/>
        <w:tabs>
          <w:tab w:leader="none" w:pos="1519"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60" w:right="1039"/>
        <w:spacing w:after="0" w:line="260" w:lineRule="auto"/>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 References herein to “emerging growth company” shall have the meaning associated with it in the JOBS Act.</w:t>
      </w:r>
    </w:p>
    <w:p>
      <w:pPr>
        <w:spacing w:after="0" w:line="54"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7"/>
          <w:szCs w:val="17"/>
          <w:color w:val="auto"/>
        </w:rPr>
        <w:t>Our executive offices are located at 640 Fifth Avenue, 12</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NY 10019 and our telephone number is (212) 380-7500. Upon completion of this offering, our corporate website address will be [•]. Our website and the information contained on, or that can be accessed through, the website is not deemed to be incorporated by reference in, and is not considered part of, this prospectus. You should not rely on any such information in making your decision whether to invest in our securities.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Sourcing of Potential Business Combination Targets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M. Klein and Company or any of our Strategic and Operating Partners may compete with us for acquisition opportunities that we may target for our initial business combination. If M. Klein and Company or any of our Strategic and Operating Partners decides to pursue any such opportunity or determines in its sole discretion not to offer such opportunity to us, we may be precluded from procuring such opportunities. In addition, investment ideas generated within M. Klein and Company or any of our Strategic and Operating Partners or by persons who may make decisions for us or any of our Strategic and Operating Partners may be suitable for both us and for M. Klein and Company or the relevant Strategic and Operating Partner and may be directed to M. Klein and Company, the relevant Strategic and Operating Partner or other third parties rather than to us. Neither M. Klein and Company nor any of our Strategic and Operating Partners has any fiduciary, contractual or other obligations or duties to our company, including, without limitation, to present us with any opportunity for a potential business combination of which they become aware.</w:t>
      </w:r>
    </w:p>
    <w:p>
      <w:pPr>
        <w:spacing w:after="0" w:line="7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Our management team, in their other endeavors (including any affiliation they may have with M. Klein and Company or any of our Strategic and Operating Partners), may choose or be required to present potential business combinations or other transactions to M. Klein and Company, the relevant Strategic and Operating Partner or third parties, before they present such opportunities to us. Please see “Risk Factors — 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8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M. Klein and Company, any of our Strategic and Operating Partners, our sponsor, officers or directors, nor are we prohibited from doing so with a business that is affiliated with any M. Klein and Company or any of our Strategic and Operating Partners. In the event we seek to complete our initial business combination with a business that is affiliated with M. Klein and Company, any of our Strategic and Operating Partners, our sponsor, officers or directors, we, or a committee of independent and</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disinterested directors, will obtain an opinion from an independent investment banking firm that is a member of FINRA or from an independent accounting firm, that such initial business combination is fair to our company from a financial point of view. We are not required to obtain such an opinion in any other context.</w:t>
      </w:r>
    </w:p>
    <w:p>
      <w:pPr>
        <w:spacing w:after="0" w:line="79"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79"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As discussed above and in “Management — Conflicts of Interest,” if any of our officers or directors becomes aware of a business combination opportunity that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above).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Status as a Public Company</w:t>
      </w:r>
    </w:p>
    <w:p>
      <w:pPr>
        <w:spacing w:after="0" w:line="108"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We believe our structure will make us an attractive business combination partner to target businesses. As an existing public company, we offer target businesses an alternative to the traditional initial public offering through a merger, capital stock exchange, asset acquisition, stock purchase, reorganization or similar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Although there are various costs and obligations associated with being a public company, we believe target businesses will find this method a more certain and cost effective method to becoming a public company than the typical initial public offering. In a typical initial public offering, there are additional expenses incurred in marketing, road show and public reporting efforts that may not be present to the same extent in connection with a business combination with us.</w:t>
      </w:r>
    </w:p>
    <w:p>
      <w:pPr>
        <w:spacing w:after="0" w:line="8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Once public, we believe the target business would then have greater access to capital and an additional means of providing management incentives consistent with stockholders’ interests. It can offer further benefits by augmenting a company’s profile among potential new customers and vendors and aid in attracting talented employees.</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60" w:right="659" w:firstLine="8"/>
        <w:spacing w:after="0" w:line="265" w:lineRule="auto"/>
        <w:tabs>
          <w:tab w:leader="none" w:pos="1519"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60"/>
        <w:spacing w:after="0"/>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Position</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With funds available for a business combination initially in the amount of $723,750,000 assuming no redemptions and after payment of $26,250,000 of deferred underwriting fees (or $832,312,500 assuming no redemptions and after payment of up to $30,187,500 of deferred underwriting fees if the underwriters’ option to purchase additional units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sale of the private placement warrants, our capital stock,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87"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87"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Members of our management team, M. Klein and Company and our Strategic and Operating Partners are from time to time made aware of potential business opportunities, one or more of which we may desire to pursue, for a business combination, but we have not (nor has anyone on our behalf) engaged in any substantive discussions with a business combination target, with respect to a business combination transaction with us. Please see “— Sourcing of Potential Business Combination Targets” for additional information regarding limitations on our access to investment opportunities sourced by M. Klein and Company and our Strategic and Operating Partners.</w:t>
      </w:r>
    </w:p>
    <w:p>
      <w:pPr>
        <w:spacing w:after="0" w:line="87"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We may seek to raise additional funds in connection with the completion of our initial business combination through a private offering of equity securities or debt securities or loans, and we may effectuate our initial business combination using the proceeds of such offerings or loans rather than using the amounts held in the trust account.</w:t>
      </w:r>
    </w:p>
    <w:p>
      <w:pPr>
        <w:spacing w:after="0" w:line="79"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In the case of an initial business combination funded with assets other than the trust account assets, our tender offer documents or proxy materials disclosing the business combination would disclose the terms of the financing and, only if required by applicable law,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108"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The fair market value of the target or targets will be determined by our board of directors based upon one or more standards generally accepted by the financial community, such as discounted cash flow valuation or value of comparable businesses. If our board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76"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In any case, we will only complete an initial business combination in which we own or acquire 50% or more of the outstanding voting securities of the target or otherwise acquire a controlling interest in the target business sufficient for it not to be required to register as an investment company under the Investment Company Act. If we own or acquire less than 100% of the equity interests or assets of a target</w:t>
      </w:r>
    </w:p>
    <w:p>
      <w:pPr>
        <w:sectPr>
          <w:pgSz w:w="11900" w:h="16838" w:orient="portrait"/>
          <w:cols w:equalWidth="0" w:num="1">
            <w:col w:w="10139"/>
          </w:cols>
          <w:pgMar w:left="320" w:top="131" w:right="1440" w:bottom="1440" w:gutter="0" w:footer="0" w:header="0"/>
        </w:sect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59" w:lineRule="auto"/>
        <w:rPr>
          <w:sz w:val="20"/>
          <w:szCs w:val="20"/>
          <w:color w:val="auto"/>
        </w:rPr>
      </w:pPr>
      <w:r>
        <w:rPr>
          <w:rFonts w:ascii="Arial" w:cs="Arial" w:eastAsia="Arial" w:hAnsi="Arial"/>
          <w:sz w:val="18"/>
          <w:szCs w:val="18"/>
          <w:color w:val="auto"/>
        </w:rPr>
        <w:t>business or businesses, the portion of such business or businesses that are owned or acquired by the post-transaction company is what will be valued for purposes of the 80% of net assets test. There is no basis for investors in this offering to evaluate the possible merits or risks of any target business with which we may ultimately complete our initial business combination.</w:t>
      </w:r>
    </w:p>
    <w:p>
      <w:pPr>
        <w:spacing w:after="0" w:line="79"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80"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 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87" w:lineRule="exact"/>
        <w:rPr>
          <w:sz w:val="20"/>
          <w:szCs w:val="20"/>
          <w:color w:val="auto"/>
        </w:rPr>
      </w:pPr>
    </w:p>
    <w:p>
      <w:pPr>
        <w:ind w:left="1260" w:right="939" w:firstLine="360"/>
        <w:spacing w:after="0" w:line="296"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Lack of business diversification</w:t>
      </w:r>
    </w:p>
    <w:p>
      <w:pPr>
        <w:spacing w:after="0" w:line="10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w:t>
      </w:r>
    </w:p>
    <w:p>
      <w:pPr>
        <w:spacing w:after="0" w:line="62"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60" w:lineRule="exact"/>
        <w:rPr>
          <w:sz w:val="20"/>
          <w:szCs w:val="20"/>
          <w:color w:val="auto"/>
        </w:rPr>
      </w:pPr>
    </w:p>
    <w:p>
      <w:pPr>
        <w:jc w:val="both"/>
        <w:ind w:left="1980" w:right="999" w:hanging="352"/>
        <w:spacing w:after="0" w:line="263"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43"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10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highly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86" w:lineRule="exact"/>
        <w:rPr>
          <w:sz w:val="20"/>
          <w:szCs w:val="20"/>
          <w:color w:val="auto"/>
        </w:rPr>
      </w:pPr>
    </w:p>
    <w:p>
      <w:pPr>
        <w:ind w:left="1260" w:right="1099" w:firstLine="360"/>
        <w:spacing w:after="0" w:line="286"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may not have the ability to approve our initial business combination</w:t>
      </w:r>
    </w:p>
    <w:p>
      <w:pPr>
        <w:spacing w:after="0" w:line="10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However, we will seek stockholder approval if it is required by applicable law or stock exchange rule, or we may decide to seek stockholder approval for business or other reasons. Presented in the table below is a graphic explanation of the types of initial business combinations we may consider and whether stockholder approval is currently required under Delaware law for each such transaction.</w:t>
      </w:r>
    </w:p>
    <w:p>
      <w:pPr>
        <w:spacing w:after="0" w:line="11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Whether</w:t>
            </w:r>
          </w:p>
        </w:tc>
      </w:t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Stockholder</w:t>
            </w:r>
          </w:p>
        </w:tc>
      </w:t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Approval is</w:t>
            </w:r>
          </w:p>
        </w:tc>
      </w:tr>
      <w:tr>
        <w:trPr>
          <w:trHeight w:val="186"/>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Type of Transaction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Required</w:t>
            </w:r>
          </w:p>
        </w:tc>
      </w:tr>
      <w:tr>
        <w:trPr>
          <w:trHeight w:val="26"/>
        </w:trPr>
        <w:tc>
          <w:tcPr>
            <w:tcW w:w="6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6740" w:type="dxa"/>
            <w:vAlign w:val="bottom"/>
            <w:gridSpan w:val="2"/>
          </w:tcPr>
          <w:p>
            <w:pPr>
              <w:spacing w:after="0"/>
              <w:rPr>
                <w:sz w:val="20"/>
                <w:szCs w:val="20"/>
                <w:color w:val="auto"/>
              </w:rPr>
            </w:pPr>
            <w:r>
              <w:rPr>
                <w:rFonts w:ascii="Arial" w:cs="Arial" w:eastAsia="Arial" w:hAnsi="Arial"/>
                <w:sz w:val="18"/>
                <w:szCs w:val="18"/>
                <w:color w:val="auto"/>
              </w:rPr>
              <w:t>Purchase of stock of target not involving a merger with the company</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of target into a subsidiary of the company</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6740" w:type="dxa"/>
            <w:vAlign w:val="bottom"/>
            <w:gridSpan w:val="2"/>
          </w:tcPr>
          <w:p>
            <w:pPr>
              <w:spacing w:after="0"/>
              <w:rPr>
                <w:sz w:val="20"/>
                <w:szCs w:val="20"/>
                <w:color w:val="auto"/>
              </w:rPr>
            </w:pPr>
            <w:r>
              <w:rPr>
                <w:rFonts w:ascii="Arial" w:cs="Arial" w:eastAsia="Arial" w:hAnsi="Arial"/>
                <w:sz w:val="18"/>
                <w:szCs w:val="18"/>
                <w:color w:val="auto"/>
              </w:rPr>
              <w:t>Merger of the company with a target</w:t>
            </w: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-659765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Under the NYSE’s listing rules, stockholder approval would be required for our initial business combination if, for example:</w:t>
      </w:r>
    </w:p>
    <w:p>
      <w:pPr>
        <w:spacing w:after="0" w:line="130" w:lineRule="exact"/>
        <w:rPr>
          <w:sz w:val="20"/>
          <w:szCs w:val="20"/>
          <w:color w:val="auto"/>
        </w:rPr>
      </w:pPr>
    </w:p>
    <w:p>
      <w:pPr>
        <w:ind w:left="1980" w:right="919" w:hanging="352"/>
        <w:spacing w:after="0" w:line="274" w:lineRule="auto"/>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issue (other than in a public offering for cash) shares of common stock that will either (a) be equal to or in excess of 20% of the number of shares of common stock then outstanding or</w:t>
      </w:r>
    </w:p>
    <w:p>
      <w:pPr>
        <w:ind w:left="1980"/>
        <w:spacing w:after="0"/>
        <w:rPr>
          <w:rFonts w:ascii="Arial" w:cs="Arial" w:eastAsia="Arial" w:hAnsi="Arial"/>
          <w:sz w:val="17"/>
          <w:szCs w:val="17"/>
          <w:color w:val="auto"/>
        </w:rPr>
      </w:pPr>
      <w:r>
        <w:rPr>
          <w:rFonts w:ascii="Arial" w:cs="Arial" w:eastAsia="Arial" w:hAnsi="Arial"/>
          <w:sz w:val="18"/>
          <w:szCs w:val="18"/>
          <w:color w:val="auto"/>
        </w:rPr>
        <w:t>(b) have voting power equal to or in excess of 20% of the voting power then outstanding;</w:t>
      </w:r>
    </w:p>
    <w:p>
      <w:pPr>
        <w:spacing w:after="0" w:line="183" w:lineRule="exact"/>
        <w:rPr>
          <w:rFonts w:ascii="Arial" w:cs="Arial" w:eastAsia="Arial" w:hAnsi="Arial"/>
          <w:sz w:val="17"/>
          <w:szCs w:val="17"/>
          <w:color w:val="auto"/>
        </w:rPr>
      </w:pPr>
    </w:p>
    <w:p>
      <w:pPr>
        <w:ind w:left="1980" w:right="679" w:hanging="352"/>
        <w:spacing w:after="0" w:line="272" w:lineRule="auto"/>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of our directors, officers or substantial security holders (as defined by the NYSE rules) has a 5% or greater interest, directly or indirectly, in the target business or assets to be acquired and if the number of shares of common stock to be issued, or if the number of shares of common stock into which the securities may be convertible or exercisable, exceeds either (a) 1% of the number of shares of common stock or 1% of the voting power outstanding before the issuance in the case of any of our directors and officers or (b) 5% of the number of shares of common stock or 5% of the voting power outstanding before the issuance in the case of any substantial securityholders; or</w:t>
      </w:r>
    </w:p>
    <w:p>
      <w:pPr>
        <w:spacing w:after="0" w:line="136" w:lineRule="exact"/>
        <w:rPr>
          <w:rFonts w:ascii="Arial" w:cs="Arial" w:eastAsia="Arial" w:hAnsi="Arial"/>
          <w:sz w:val="17"/>
          <w:szCs w:val="17"/>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or potential issuance will result in our undergoing a change of control.</w:t>
      </w:r>
    </w:p>
    <w:p>
      <w:pPr>
        <w:spacing w:after="0" w:line="117"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The decision as to whether we will seek stockholder approval of a proposed business combination in those instances in which stockholder approval is not required by law will be made by us, solely in our discretion, and will be based on business and legal reasons, which include a variety of factors, including, but not limited to:</w:t>
      </w:r>
    </w:p>
    <w:p>
      <w:pPr>
        <w:spacing w:after="0" w:line="146" w:lineRule="exact"/>
        <w:rPr>
          <w:sz w:val="20"/>
          <w:szCs w:val="20"/>
          <w:color w:val="auto"/>
        </w:rPr>
      </w:pPr>
    </w:p>
    <w:p>
      <w:pPr>
        <w:ind w:left="1980" w:right="859" w:hanging="352"/>
        <w:spacing w:after="0" w:line="259"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of the transaction, including in the event we determine stockholder approval would require additional time and there is either not enough time to seek stockholder approval or doing so would place the company at a disadvantage in the transaction or result in other additional burdens on the company;</w:t>
      </w:r>
    </w:p>
    <w:p>
      <w:pPr>
        <w:spacing w:after="0" w:line="146"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expected cost of holding a stockholder vote;</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risk that the stockholders would fail to approve the proposed business combination;</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184"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additional legal complexities of a proposed business combination that would be time-consuming and burdensome to present to stockholders.</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108" w:lineRule="exact"/>
        <w:rPr>
          <w:sz w:val="20"/>
          <w:szCs w:val="20"/>
          <w:color w:val="auto"/>
        </w:rPr>
      </w:pPr>
    </w:p>
    <w:p>
      <w:pPr>
        <w:ind w:left="1260" w:right="779" w:firstLine="360"/>
        <w:spacing w:after="0" w:line="266" w:lineRule="auto"/>
        <w:rPr>
          <w:sz w:val="20"/>
          <w:szCs w:val="20"/>
          <w:color w:val="auto"/>
        </w:rPr>
      </w:pPr>
      <w:r>
        <w:rPr>
          <w:rFonts w:ascii="Arial" w:cs="Arial" w:eastAsia="Arial" w:hAnsi="Arial"/>
          <w:sz w:val="17"/>
          <w:szCs w:val="17"/>
          <w:color w:val="auto"/>
        </w:rPr>
        <w:t>In the event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There is no limit on the number of shares or warrants such persons may purchase. However, they have no current commitments, plans or intentions to engage in such transactions and have not formulated any terms or conditions for any such transactions. 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None of the funds in the trust account will be used to purchase public shares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Such a purchase may include a contractual acknowledgement that such stockholder, although still the record holder of our shares, is no longer the beneficial owner thereof and therefore agrees not to exercise its redemption rights. Prior to the consummation of this offering, we will adopt an insider trading policy which will require insiders to</w:t>
      </w:r>
    </w:p>
    <w:p>
      <w:pPr>
        <w:spacing w:after="0" w:line="3" w:lineRule="exact"/>
        <w:rPr>
          <w:sz w:val="20"/>
          <w:szCs w:val="20"/>
          <w:color w:val="auto"/>
        </w:rPr>
      </w:pPr>
    </w:p>
    <w:p>
      <w:pPr>
        <w:ind w:left="1260" w:right="699" w:firstLine="8"/>
        <w:spacing w:after="0" w:line="252" w:lineRule="auto"/>
        <w:tabs>
          <w:tab w:leader="none" w:pos="1529"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refrain from purchasing securities when they are in possession of any material non-public information and (2) to clear all trades with our compliance personnel or legal counsel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86"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In the event that our sponsor, directors, officers, advisors or any of their respective affiliates purchase public shares in privately negotiated transactions from public stockholders who have already elected to exercise their redemption rights or submitted a proxy to vote against our initial business combination, such selling stockholders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88"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The purpose of such purchases could be to vote such shares in favor of the business combination and 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This may result in the completion of our initial business combination that may not otherwise have been possible.</w:t>
      </w:r>
    </w:p>
    <w:p>
      <w:pPr>
        <w:spacing w:after="0" w:line="84"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In addition, if such purchases are made, the public “float” of our common stock may be reduced and the number of beneficial holders of our securities may be reduced, which may make it difficult to maintain or obtain the quotation, listing or trading of our securities on a national securities exchange.</w:t>
      </w:r>
    </w:p>
    <w:p>
      <w:pPr>
        <w:spacing w:after="0" w:line="76"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Our sponsor, officers, directors, advisors and/or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any of their respective affiliates enter into a private purchase, they would identify and contact only potential selling stockholders who have expressed their election to redeem their shares for a pro rata share of the trust account or vote against our initial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w:t>
      </w:r>
    </w:p>
    <w:p>
      <w:pPr>
        <w:sectPr>
          <w:pgSz w:w="11900" w:h="16838" w:orient="portrait"/>
          <w:cols w:equalWidth="0" w:num="1">
            <w:col w:w="10139"/>
          </w:cols>
          <w:pgMar w:left="320" w:top="131" w:right="1440" w:bottom="1440" w:gutter="0" w:footer="0" w:header="0"/>
        </w:sect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86" w:lineRule="auto"/>
        <w:rPr>
          <w:sz w:val="20"/>
          <w:szCs w:val="20"/>
          <w:color w:val="auto"/>
        </w:rPr>
      </w:pPr>
      <w:r>
        <w:rPr>
          <w:rFonts w:ascii="Arial" w:cs="Arial" w:eastAsia="Arial" w:hAnsi="Arial"/>
          <w:sz w:val="17"/>
          <w:szCs w:val="17"/>
          <w:color w:val="auto"/>
        </w:rPr>
        <w:t>receive if it elected to redeem its shares in connection with our initial business combination. Our sponsor, officers, directors, advisors or any of their respective affiliates will purchase shares only if such purchases comply with Regulation M under the Exchange Act and the other federal securities laws.</w:t>
      </w:r>
    </w:p>
    <w:p>
      <w:pPr>
        <w:spacing w:after="0" w:line="57"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Any purchases by our sponsor, officers, directors and/or any of their respective affiliates who are affiliated purchasers under Rule 10b-18 under the Exchange Act will only be made to the extent such purchases are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any of their respective affiliates will be restricted from making purchases of common stock if such purchases would violate Section 9(a)(2) or Rule 10b-5 of the Exchange Act.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 share price, payable in cash, equal to the aggregate amount then on deposit in the trust account as of two business days prior to the consummation of our initial business combination, including interest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 will include the requirement that any beneficial owner on whose behalf a redemption right is being exercised must identify itself in order to validly redeem its shares. Each public stockholder may elect to redeem its public shares without voting, and if they do vote, irrespective of whether they vote for or against the proposed transaction.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Manner of conducting redemptions</w:t>
      </w:r>
    </w:p>
    <w:p>
      <w:pPr>
        <w:spacing w:after="0" w:line="108" w:lineRule="exact"/>
        <w:rPr>
          <w:sz w:val="20"/>
          <w:szCs w:val="20"/>
          <w:color w:val="auto"/>
        </w:rPr>
      </w:pPr>
    </w:p>
    <w:p>
      <w:pPr>
        <w:jc w:val="both"/>
        <w:ind w:left="1260" w:right="799" w:firstLine="360"/>
        <w:spacing w:after="0" w:line="271"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of Class A common stock upon the completion of our initial business combination either: (1) in connection with a stockholder meeting called to approve the business combination; or (2) by means of a tender offer.</w:t>
      </w:r>
    </w:p>
    <w:p>
      <w:pPr>
        <w:ind w:left="1260" w:right="739"/>
        <w:spacing w:after="0" w:line="251" w:lineRule="auto"/>
        <w:rPr>
          <w:sz w:val="20"/>
          <w:szCs w:val="20"/>
          <w:color w:val="auto"/>
        </w:rPr>
      </w:pPr>
      <w:r>
        <w:rPr>
          <w:rFonts w:ascii="Arial" w:cs="Arial" w:eastAsia="Arial" w:hAnsi="Arial"/>
          <w:sz w:val="18"/>
          <w:szCs w:val="18"/>
          <w:color w:val="auto"/>
        </w:rPr>
        <w:t>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If we structure a business combination transaction with a target company in a manner that requires stockholder approval, we will not have discretion as to whether to seek a stockholder vote to approve the proposed business combination. We currently intend to conduct redemptions pursuant to a stockholder vote unless stockholder approval is not required by applicable law or stock exchange listing requirement and we choose to conduct redemptions pursuant to the tender offer rules of the SEC for business or other reasons.</w:t>
      </w:r>
    </w:p>
    <w:p>
      <w:pPr>
        <w:spacing w:after="0" w:line="88" w:lineRule="exact"/>
        <w:rPr>
          <w:sz w:val="20"/>
          <w:szCs w:val="20"/>
          <w:color w:val="auto"/>
        </w:rPr>
      </w:pPr>
    </w:p>
    <w:p>
      <w:pPr>
        <w:ind w:left="1260" w:right="999" w:firstLine="360"/>
        <w:spacing w:after="0" w:line="308" w:lineRule="auto"/>
        <w:rPr>
          <w:sz w:val="20"/>
          <w:szCs w:val="20"/>
          <w:color w:val="auto"/>
        </w:rPr>
      </w:pPr>
      <w:r>
        <w:rPr>
          <w:rFonts w:ascii="Arial" w:cs="Arial" w:eastAsia="Arial" w:hAnsi="Arial"/>
          <w:sz w:val="17"/>
          <w:szCs w:val="17"/>
          <w:color w:val="auto"/>
        </w:rPr>
        <w:t>If a stockholder vote is not required and we do not decide to hold a stockholder vote for business or other reasons, we will, pursuant to our amended and restated certificate of incorporation:</w:t>
      </w:r>
    </w:p>
    <w:p>
      <w:pPr>
        <w:spacing w:after="0" w:line="25" w:lineRule="exact"/>
        <w:rPr>
          <w:sz w:val="20"/>
          <w:szCs w:val="20"/>
          <w:color w:val="auto"/>
        </w:rPr>
      </w:pPr>
    </w:p>
    <w:p>
      <w:pPr>
        <w:ind w:left="1980" w:right="839" w:hanging="352"/>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35"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ectPr>
          <w:pgSz w:w="11900" w:h="16838" w:orient="portrait"/>
          <w:cols w:equalWidth="0" w:num="1">
            <w:col w:w="10139"/>
          </w:cols>
          <w:pgMar w:left="320" w:top="131" w:right="1440" w:bottom="1440" w:gutter="0" w:footer="0" w:header="0"/>
        </w:sectPr>
      </w:pPr>
    </w:p>
    <w:p>
      <w:pPr>
        <w:spacing w:after="0" w:line="24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Upon the public announcement of our initial business combination, we and our sponsor will terminate any plan established in accordance with Rule 10b5-1 to purchase shares of our Class A common stock in the open market if we elect to redeem our public shares through a tender offer, to comply with Rule 14e-5 under the Exchange Act.</w:t>
      </w:r>
    </w:p>
    <w:p>
      <w:pPr>
        <w:spacing w:after="0" w:line="79"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after payment of the deferred underwriting commissions, to be less than $5,000,001 (so that we do not then become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such initial business combination.</w:t>
      </w:r>
    </w:p>
    <w:p>
      <w:pPr>
        <w:spacing w:after="0" w:line="77"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If, however, stockholder approval of the transaction is required by applicable law or stock exchange listing requirement, or we decide to obtain stockholder approval for business or other reasons, we will, pursuant to our amended and restated certificate of incorporation:</w:t>
      </w:r>
    </w:p>
    <w:p>
      <w:pPr>
        <w:spacing w:after="0" w:line="130" w:lineRule="exact"/>
        <w:rPr>
          <w:sz w:val="20"/>
          <w:szCs w:val="20"/>
          <w:color w:val="auto"/>
        </w:rPr>
      </w:pPr>
    </w:p>
    <w:p>
      <w:pPr>
        <w:ind w:left="1980" w:right="799" w:hanging="352"/>
        <w:spacing w:after="0" w:line="263"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17"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We expect that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stockholder vote even if we are not able to maintain our NYSE listing or Exchange Act registration.</w:t>
      </w:r>
    </w:p>
    <w:p>
      <w:pPr>
        <w:spacing w:after="0" w:line="70" w:lineRule="exact"/>
        <w:rPr>
          <w:sz w:val="20"/>
          <w:szCs w:val="20"/>
          <w:color w:val="auto"/>
        </w:rPr>
      </w:pPr>
    </w:p>
    <w:p>
      <w:pPr>
        <w:jc w:val="both"/>
        <w:ind w:left="1260" w:right="919" w:firstLine="360"/>
        <w:spacing w:after="0" w:line="263"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76"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If we seek stockholder approval, unless otherwise required by applicable law, regulation or stock exchange rules, we will complete our initial business combination only if a majority of the outstanding shares of common stock voted are voted in favor of the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officers and directors will count towards this quorum and have agreed to vote any founder shares and any public shares held by them in favor of our initial business combination. These quorum and voting thresholds and agreements, may make it more likely that we will consummate our initial business combination. Each public stockholder may elect to redeem its public shares without voting, and if they do vote, irrespective of whether they vote for or against the proposed transaction. In addition, our sponsor, officers and directors have entered into a letter agreement with us, pursuant to which they have agreed to waive their redemption rights with respect to any founder shares and any public shares held by them in connection with the completion of a business combination.</w:t>
      </w:r>
    </w:p>
    <w:p>
      <w:pPr>
        <w:spacing w:after="0" w:line="7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provide that in no event will we redeem our public shares in an amount that would cause our net tangible assets, after payment of the deferred underwriting commissions, to be less than $5,000,001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w:t>
      </w:r>
    </w:p>
    <w:p>
      <w:pPr>
        <w:spacing w:after="0" w:line="1" w:lineRule="exact"/>
        <w:rPr>
          <w:sz w:val="20"/>
          <w:szCs w:val="20"/>
          <w:color w:val="auto"/>
        </w:rPr>
      </w:pPr>
    </w:p>
    <w:p>
      <w:pPr>
        <w:ind w:left="5280" w:right="1759" w:hanging="4012"/>
        <w:spacing w:after="0" w:line="573" w:lineRule="auto"/>
        <w:tabs>
          <w:tab w:leader="none" w:pos="15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to be transferred to the target for working capital or other general corporate purposes;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68065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73" w:lineRule="auto"/>
        <w:rPr>
          <w:sz w:val="20"/>
          <w:szCs w:val="20"/>
          <w:color w:val="auto"/>
        </w:rPr>
      </w:pPr>
      <w:r>
        <w:rPr>
          <w:rFonts w:ascii="Arial" w:cs="Arial" w:eastAsia="Arial" w:hAnsi="Arial"/>
          <w:sz w:val="17"/>
          <w:szCs w:val="17"/>
          <w:color w:val="auto"/>
        </w:rPr>
        <w:t>or (3) the retention of cash to satisfy other conditions in accordance with the terms of the proposed business combination.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shares of Class A common stock submitted for redemption will be returned to the holders thereof.</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Limitation on redemption upon completion of our initial business combination if we seek stockholder approval</w:t>
      </w:r>
    </w:p>
    <w:p>
      <w:pPr>
        <w:spacing w:after="0" w:line="142"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We believe this restriction will discourage stockholders from accumulating large blocks of shares, and subsequent attempts by such holders to use their ability to exercise their redemption rights against a proposed business combination as a means to force us or our affiliates to purchase their shares at a significant premium to the then-current market price or on other undesirable terms. Absent this provision, a public stockholder holding more than an aggregate of 15% of the shares sold in this offering could threaten to exercise its redemption rights if such holder’s shares are not purchased by us or our affiliates at a premium to the then-current market price or on other undesirable terms. By limiting our stockholders’ ability to redeem no more than 15%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Tendering stock certificates in connection with a tender offer or redemption rights</w:t>
      </w:r>
    </w:p>
    <w:p>
      <w:pPr>
        <w:spacing w:after="0" w:line="108"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the business combination in the event we distribute proxy materials or to deliver their shares to the transfer agent electronically using The Depository Trust Company’s DWAC (Deposit/Withdrawal At Custodian) System, rather than simply voting against the initial business combination at the holder’s option. The tender offer or proxy materials, as applicable, that we will furnish to holders of our public shares in connection with our initial business combination will indicate whether we are requiring public stockholders to satisfy such delivery requirements, which will include the requirement that any beneficial owner on whose behalf a redemption right is being exercised must identify itself in order to validly redeem its shares. Accordingly, a public stockholder would have from the time we send out our tender offer materials until the close of the tender offer period, or up to two business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stockholder vote,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Given the relatively short exercise period, it is advisable for stockholders to use electronic delivery of their public shares.</w:t>
      </w:r>
    </w:p>
    <w:p>
      <w:pPr>
        <w:spacing w:after="0" w:line="79"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There is a nominal cost associated with the above-referenced tendering process and the act of certificating the shares or delivering them through The Depository Trust Company’s DWAC (Deposit/ Withdrawal At Custodian) System. The transfer agent will typically charge the tendering broker $80.00 and</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79"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stockholder to arrange for him or her to deliver his or her certificate to verify ownership. As a result, the stockholder then had an “option window” after the completion of the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88"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tender offer materials or the date of the stockholder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69"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79"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the end of the completion window.</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10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Our amended and restated certificate of incorporation provides that we will have only the time of the completion window to complete our initial business combination. If we are unable to complete our initial business combination within such period,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completion window.</w:t>
      </w:r>
    </w:p>
    <w:p>
      <w:pPr>
        <w:spacing w:after="0" w:line="89"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Our initial stockholders,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the completion</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39"/>
        <w:spacing w:after="0" w:line="263" w:lineRule="auto"/>
        <w:rPr>
          <w:sz w:val="20"/>
          <w:szCs w:val="20"/>
          <w:color w:val="auto"/>
        </w:rPr>
      </w:pPr>
      <w:r>
        <w:rPr>
          <w:rFonts w:ascii="Arial" w:cs="Arial" w:eastAsia="Arial" w:hAnsi="Arial"/>
          <w:sz w:val="18"/>
          <w:szCs w:val="18"/>
          <w:color w:val="auto"/>
        </w:rPr>
        <w:t>window. However, if our sponsor or any of our officers and directors acquires public shares after this offering, it will be entitled to liquidating distributions from the trust account with respect to such public shares if we fail to complete our initial business combination within the completion window.</w:t>
      </w:r>
    </w:p>
    <w:p>
      <w:pPr>
        <w:spacing w:after="0" w:line="76"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Class A common stock upon approval of any such amendment at a per share price, payable in cash, equal to the aggregate amount then on deposit in the trust account, including interest (net of permitted withdrawals), divided by the number of then outstanding public shares. However, we may not redeem our public shares in an amount that would cause our net tangible assets, after payment of the deferred underwriting commissions, to be less than $5,000,001 (so that we do not then become subject to the SEC’s “penny stock” rules).</w:t>
      </w:r>
    </w:p>
    <w:p>
      <w:pPr>
        <w:spacing w:after="0" w:line="84"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70"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If we were to expend all of the net proceeds of this offering and the sale of the private placement warrants, other than the proceeds deposited in the trust account, and without taking into account interest, if any, earned on the trust account and any tax payments or expenses for the dissolution of the trust, the per share redemption amount received by stockholders upon our dissolution would be $10.00. The proceeds deposited in the trust account could, however, become subject to the claims of our creditors which would have higher priority than the claims of our public stockholders. We cannot assure you that the actual per share redemption amount received by stockholders will not be substantially less than $10.00. Please see “Risk Factors — If third parties bring claims against us, the proceeds held in the trust account could be reduced and the per share redemption amount received by stockholders may be less than $10.00 per share” and other risk factors described above.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76"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w:t>
      </w: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will indemnify us for claims by third parties including, without limitation, claims by vendors and prospective target businesses. None of our other officers will indemnify us for claims by third parties including, without limitation, claims by vendors and prospective target businesses.</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event that the proceeds in the trust account are reduced below: (1) $10.00 per public share; or</w:t>
      </w:r>
    </w:p>
    <w:p>
      <w:pPr>
        <w:spacing w:after="0" w:line="35" w:lineRule="exact"/>
        <w:rPr>
          <w:sz w:val="20"/>
          <w:szCs w:val="20"/>
          <w:color w:val="auto"/>
        </w:rPr>
      </w:pPr>
    </w:p>
    <w:p>
      <w:pPr>
        <w:ind w:left="1260" w:right="699" w:firstLine="8"/>
        <w:spacing w:after="0" w:line="267" w:lineRule="auto"/>
        <w:tabs>
          <w:tab w:leader="none" w:pos="1529"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actual amount per public share held in the trust account as of the date of the liquidation of the trust account, if less than $10.00 per share due to reductions in the value of the trust assets, in each case net of permitted withdrawals,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certain instances. For example, the cost of such legal action may be deemed by the independent directors to be too high relative to the amount recoverable or the independent directors may determine that a favorable outcome is not likely. Accordingly, we cannot assure you that due to claims of creditors the actual value of the per share redemption price will not be substantially less than $10.00 per share. Please see “Risk Factors — If third parties bring claims against us, the proceeds held in the trust account could be reduced and the per share redemption amount received by stockholders may be less than $10.00 per share” and other risk factors described above.</w:t>
      </w:r>
    </w:p>
    <w:p>
      <w:pPr>
        <w:spacing w:after="0" w:line="73"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(other than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In the event that we liquidate and it is subsequently determined that the reserve for claims and liabilities is insufficient, stockholders who received funds from our trust account could be liable for claims made by creditors.</w:t>
      </w:r>
    </w:p>
    <w:p>
      <w:pPr>
        <w:spacing w:after="0" w:line="70"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the completion window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w:t>
      </w:r>
    </w:p>
    <w:p>
      <w:pPr>
        <w:spacing w:after="0" w:line="26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76"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our public shares in the event we do not complete our initial business combination within the completion window,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w:t>
      </w:r>
    </w:p>
    <w:p>
      <w:pPr>
        <w:spacing w:after="0" w:line="3"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three years, as in the case of a liquidating distribution. If we are unable to complete our initial business combination within the completion window,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8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w:t>
      </w:r>
    </w:p>
    <w:p>
      <w:pPr>
        <w:spacing w:after="0" w:line="77"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7"/>
          <w:szCs w:val="17"/>
          <w:color w:val="auto"/>
        </w:rPr>
        <w:t>As a result of this obligation, the claims that could be made against us are significantly limited and the likelihood that any claim that would result in any liability extending to the trust account is remote.</w:t>
      </w:r>
    </w:p>
    <w:p>
      <w:pPr>
        <w:spacing w:after="0" w:line="3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Further, our sponsor may be liable only to the extent necessary to ensure that the amounts in the trust account are not reduced below: (1) $10.00 per public share; or (2) the actual amount per public share held in the trust account as of the date of the liquidation of the trust account, if less than $10.00 per share due to reductions in value of the trust assets, in each case net of permitted withdrawals and will not be liable as to any claims under our indemnity of the underwriters of this offering against certain liabilities, including liabilities under the Securities Act.</w:t>
      </w:r>
    </w:p>
    <w:p>
      <w:pPr>
        <w:spacing w:after="0" w:line="84"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may be viewed as having breached its fiduciary duty to our creditors and/or may have acted in bad faith, and thereby exposing itself and our company to claims of punitive damages, by paying public stockholders from the trust account</w:t>
      </w: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73" w:lineRule="auto"/>
        <w:rPr>
          <w:sz w:val="20"/>
          <w:szCs w:val="20"/>
          <w:color w:val="auto"/>
        </w:rPr>
      </w:pPr>
      <w:r>
        <w:rPr>
          <w:rFonts w:ascii="Arial" w:cs="Arial" w:eastAsia="Arial" w:hAnsi="Arial"/>
          <w:sz w:val="17"/>
          <w:szCs w:val="17"/>
          <w:color w:val="auto"/>
        </w:rPr>
        <w:t>prior to addressing the claims of creditors. We cannot assure you that claims will not be brought against us for these reasons. Please see “Risk Factors — 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Our public stockholders will be entitled to receive funds from the trust account only in the event of the redemption of our public shares if we do not complete our initial business combination within the completion window or if they redeem their respective shares for cash upon the completion of the initial business combination. In no other circumstances will a stockholder have any right or interest of any kind to or in the trust account. In the event we seek stockholder approval in connection with our initial business combination, a stockholder’s voting in connection with our initial business combination alone will not result in a stockholder’s redeeming its shares to us for an applicable pro rata share of the trust account. Such stockholder must have also exercised its redemption rights described above.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consummation of our initial business combination. If we seek to amend any provisions of our amended and restated certificate of incorporation to modify the substance or timing of our obligation to provide for the redemption of our public shares in complete our initial business combination within the completion window or with respect to any other material provisions relating to the rights of holders of our Class A Common Stock or pre-initial business combination business activity, we will provide public stockholders with the opportunity to redeem their public shares in connection with any such vote. Our initial stockholders, officers and directors have agreed to waive any redemption rights with respect to any founder shares and any public shares held by them in connection with the completion of our initial business combination. Specifically, our amended and restated certificate of incorporation will provide, among other things, that:</w:t>
      </w:r>
    </w:p>
    <w:p>
      <w:pPr>
        <w:spacing w:after="0" w:line="74" w:lineRule="exact"/>
        <w:rPr>
          <w:sz w:val="20"/>
          <w:szCs w:val="20"/>
          <w:color w:val="auto"/>
        </w:rPr>
      </w:pPr>
    </w:p>
    <w:p>
      <w:pPr>
        <w:ind w:left="1980" w:right="779" w:hanging="352"/>
        <w:spacing w:after="0" w:line="269" w:lineRule="auto"/>
        <w:tabs>
          <w:tab w:leader="none" w:pos="1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stockholders may seek to redeem their shares, regardless of whether they vote for or against, or abstain from voting on, the proposed business combination, into their pro rata share of the aggregate amount on deposit in the trust account as of two business days prior to the consummation of our initial business combination, including interest (net of permitted withdrawals); or (2) provide our public stockholders with the opportunity to tender their shares to us by means of a tender offer (and thereby avoid the need for a stockholder vote) for an amount equal to their pro rata share of the aggregate amount on deposit in the trust account as of two business days prior to the consummation of our initial business combination, including interest (net of permitted withdrawals), in each case subject to the limitations described herein;</w:t>
      </w:r>
    </w:p>
    <w:p>
      <w:pPr>
        <w:spacing w:after="0" w:line="73" w:lineRule="exact"/>
        <w:rPr>
          <w:rFonts w:ascii="Arial" w:cs="Arial" w:eastAsia="Arial" w:hAnsi="Arial"/>
          <w:sz w:val="17"/>
          <w:szCs w:val="17"/>
          <w:color w:val="auto"/>
        </w:rPr>
      </w:pPr>
    </w:p>
    <w:p>
      <w:pPr>
        <w:jc w:val="both"/>
        <w:ind w:left="1980" w:right="679" w:hanging="352"/>
        <w:spacing w:after="0" w:line="259"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of at least $5,000,001 upon such consummation and, solely if we seek stockholder approval, a majority of the outstanding shares of common stock voted are voted in favor of the business combination at a duly held stockholders meeting;</w:t>
      </w:r>
    </w:p>
    <w:p>
      <w:pPr>
        <w:spacing w:after="0" w:line="78"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the completion window, then our existence will terminate and we will distribute all amounts in the trust account; and</w:t>
      </w:r>
    </w:p>
    <w:p>
      <w:pPr>
        <w:spacing w:after="0" w:line="62" w:lineRule="exact"/>
        <w:rPr>
          <w:rFonts w:ascii="Arial" w:cs="Arial" w:eastAsia="Arial" w:hAnsi="Arial"/>
          <w:sz w:val="18"/>
          <w:szCs w:val="18"/>
          <w:color w:val="auto"/>
        </w:rPr>
      </w:pPr>
    </w:p>
    <w:p>
      <w:pPr>
        <w:ind w:left="1980" w:right="859" w:hanging="352"/>
        <w:spacing w:after="0" w:line="263"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(1) receive funds from the trust account or (2) vote on any initial business combination.</w:t>
      </w:r>
    </w:p>
    <w:p>
      <w:pPr>
        <w:spacing w:after="0" w:line="76"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These provisions cannot be amended without the approval of holders of 65% of our common stock. In the event we seek stockholder approval in connection with our initial business combination, our amended and restated certificate of incorporation will provide that, unless otherwise required by applicable law or stock exchange rules, we may consummate our initial business combination only if approved by a majority of the shares of common stock voted by our stockholders at a duly held stockholders meeting.</w:t>
      </w:r>
    </w:p>
    <w:p>
      <w:pPr>
        <w:sectPr>
          <w:pgSz w:w="11900" w:h="16838" w:orient="portrait"/>
          <w:cols w:equalWidth="0" w:num="1">
            <w:col w:w="10139"/>
          </w:cols>
          <w:pgMar w:left="320" w:top="131" w:right="1440" w:bottom="1440" w:gutter="0" w:footer="0" w:header="0"/>
        </w:sectPr>
      </w:pP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739"/>
        <w:spacing w:after="0" w:line="250"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72"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are unable to complete our initial business combination within the completion window.</w:t>
      </w:r>
    </w:p>
    <w:p>
      <w:pPr>
        <w:spacing w:after="0" w:line="108" w:lineRule="exact"/>
        <w:rPr>
          <w:sz w:val="20"/>
          <w:szCs w:val="20"/>
          <w:color w:val="auto"/>
        </w:rPr>
      </w:pPr>
    </w:p>
    <w:p>
      <w:pPr>
        <w:ind w:left="2800"/>
        <w:spacing w:after="0"/>
        <w:tabs>
          <w:tab w:leader="none" w:pos="5140" w:val="left"/>
          <w:tab w:leader="none" w:pos="7300" w:val="left"/>
        </w:tabs>
        <w:rPr>
          <w:sz w:val="20"/>
          <w:szCs w:val="20"/>
          <w:color w:val="auto"/>
        </w:rPr>
      </w:pPr>
      <w:r>
        <w:rPr>
          <w:rFonts w:ascii="Arial" w:cs="Arial" w:eastAsia="Arial" w:hAnsi="Arial"/>
          <w:sz w:val="14"/>
          <w:szCs w:val="14"/>
          <w:b w:val="1"/>
          <w:bCs w:val="1"/>
          <w:color w:val="auto"/>
        </w:rPr>
        <w:t>Redemptions in Connection with</w:t>
      </w:r>
      <w:r>
        <w:rPr>
          <w:sz w:val="20"/>
          <w:szCs w:val="20"/>
          <w:color w:val="auto"/>
        </w:rPr>
        <w:tab/>
      </w:r>
      <w:r>
        <w:rPr>
          <w:rFonts w:ascii="Arial" w:cs="Arial" w:eastAsia="Arial" w:hAnsi="Arial"/>
          <w:sz w:val="14"/>
          <w:szCs w:val="14"/>
          <w:b w:val="1"/>
          <w:bCs w:val="1"/>
          <w:color w:val="auto"/>
        </w:rPr>
        <w:t>Other Permitted Purchases of</w:t>
      </w:r>
      <w:r>
        <w:rPr>
          <w:sz w:val="20"/>
          <w:szCs w:val="20"/>
          <w:color w:val="auto"/>
        </w:rPr>
        <w:tab/>
      </w:r>
      <w:r>
        <w:rPr>
          <w:rFonts w:ascii="Arial" w:cs="Arial" w:eastAsia="Arial" w:hAnsi="Arial"/>
          <w:sz w:val="12"/>
          <w:szCs w:val="12"/>
          <w:b w:val="1"/>
          <w:bCs w:val="1"/>
          <w:color w:val="auto"/>
        </w:rPr>
        <w:t>Redemptions if we fail to Complete</w:t>
      </w:r>
    </w:p>
    <w:p>
      <w:pPr>
        <w:spacing w:after="0" w:line="17" w:lineRule="exact"/>
        <w:rPr>
          <w:sz w:val="20"/>
          <w:szCs w:val="20"/>
          <w:color w:val="auto"/>
        </w:rPr>
      </w:pPr>
    </w:p>
    <w:p>
      <w:pPr>
        <w:ind w:left="2800"/>
        <w:spacing w:after="0"/>
        <w:tabs>
          <w:tab w:leader="none" w:pos="5140" w:val="left"/>
          <w:tab w:leader="none" w:pos="7400" w:val="left"/>
        </w:tabs>
        <w:rPr>
          <w:sz w:val="20"/>
          <w:szCs w:val="20"/>
          <w:color w:val="auto"/>
        </w:rPr>
      </w:pPr>
      <w:r>
        <w:rPr>
          <w:rFonts w:ascii="Arial" w:cs="Arial" w:eastAsia="Arial" w:hAnsi="Arial"/>
          <w:sz w:val="14"/>
          <w:szCs w:val="14"/>
          <w:b w:val="1"/>
          <w:bCs w:val="1"/>
          <w:color w:val="auto"/>
        </w:rPr>
        <w:t>our Initial Business Combination</w:t>
      </w:r>
      <w:r>
        <w:rPr>
          <w:sz w:val="20"/>
          <w:szCs w:val="20"/>
          <w:color w:val="auto"/>
        </w:rPr>
        <w:tab/>
      </w:r>
      <w:r>
        <w:rPr>
          <w:rFonts w:ascii="Arial" w:cs="Arial" w:eastAsia="Arial" w:hAnsi="Arial"/>
          <w:sz w:val="14"/>
          <w:szCs w:val="14"/>
          <w:b w:val="1"/>
          <w:bCs w:val="1"/>
          <w:color w:val="auto"/>
        </w:rPr>
        <w:t>Public Shares by our Affiliates</w:t>
      </w:r>
      <w:r>
        <w:rPr>
          <w:sz w:val="20"/>
          <w:szCs w:val="20"/>
          <w:color w:val="auto"/>
        </w:rPr>
        <w:tab/>
      </w:r>
      <w:r>
        <w:rPr>
          <w:rFonts w:ascii="Arial" w:cs="Arial" w:eastAsia="Arial" w:hAnsi="Arial"/>
          <w:sz w:val="12"/>
          <w:szCs w:val="12"/>
          <w:b w:val="1"/>
          <w:bCs w:val="1"/>
          <w:color w:val="auto"/>
        </w:rPr>
        <w:t>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22225</wp:posOffset>
            </wp:positionV>
            <wp:extent cx="42519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70" w:lineRule="exact"/>
        <w:rPr>
          <w:sz w:val="20"/>
          <w:szCs w:val="20"/>
          <w:color w:val="auto"/>
        </w:rPr>
      </w:pPr>
    </w:p>
    <w:p>
      <w:pPr>
        <w:ind w:left="1260"/>
        <w:spacing w:after="0" w:line="246" w:lineRule="auto"/>
        <w:rPr>
          <w:sz w:val="20"/>
          <w:szCs w:val="20"/>
          <w:color w:val="auto"/>
        </w:rPr>
      </w:pPr>
      <w:r>
        <w:rPr>
          <w:rFonts w:ascii="Arial" w:cs="Arial" w:eastAsia="Arial" w:hAnsi="Arial"/>
          <w:sz w:val="18"/>
          <w:szCs w:val="18"/>
          <w:b w:val="1"/>
          <w:bCs w:val="1"/>
          <w:color w:val="auto"/>
        </w:rPr>
        <w:t xml:space="preserve">Calculation of </w:t>
      </w:r>
      <w:r>
        <w:rPr>
          <w:rFonts w:ascii="Arial" w:cs="Arial" w:eastAsia="Arial" w:hAnsi="Arial"/>
          <w:sz w:val="18"/>
          <w:szCs w:val="18"/>
          <w:color w:val="auto"/>
        </w:rPr>
        <w:t>Redemptions at the time of</w:t>
      </w:r>
      <w:r>
        <w:rPr>
          <w:rFonts w:ascii="Arial" w:cs="Arial" w:eastAsia="Arial" w:hAnsi="Arial"/>
          <w:sz w:val="18"/>
          <w:szCs w:val="18"/>
          <w:b w:val="1"/>
          <w:bCs w:val="1"/>
          <w:color w:val="auto"/>
        </w:rPr>
        <w:t xml:space="preserve"> redemption price </w:t>
      </w:r>
      <w:r>
        <w:rPr>
          <w:rFonts w:ascii="Arial" w:cs="Arial" w:eastAsia="Arial" w:hAnsi="Arial"/>
          <w:sz w:val="18"/>
          <w:szCs w:val="18"/>
          <w:color w:val="auto"/>
        </w:rPr>
        <w:t>our initial business</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combination may be made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pursuant to a tender offer</w:t>
      </w:r>
    </w:p>
    <w:p>
      <w:pPr>
        <w:ind w:left="2760"/>
        <w:spacing w:after="0" w:line="234" w:lineRule="auto"/>
        <w:rPr>
          <w:sz w:val="20"/>
          <w:szCs w:val="20"/>
          <w:color w:val="auto"/>
        </w:rPr>
      </w:pPr>
      <w:r>
        <w:rPr>
          <w:rFonts w:ascii="Arial" w:cs="Arial" w:eastAsia="Arial" w:hAnsi="Arial"/>
          <w:sz w:val="18"/>
          <w:szCs w:val="18"/>
          <w:color w:val="auto"/>
        </w:rPr>
        <w:t>or in connection with a</w:t>
      </w:r>
    </w:p>
    <w:p>
      <w:pPr>
        <w:ind w:left="2760"/>
        <w:spacing w:after="0" w:line="235" w:lineRule="auto"/>
        <w:rPr>
          <w:sz w:val="20"/>
          <w:szCs w:val="20"/>
          <w:color w:val="auto"/>
        </w:rPr>
      </w:pPr>
      <w:r>
        <w:rPr>
          <w:rFonts w:ascii="Arial" w:cs="Arial" w:eastAsia="Arial" w:hAnsi="Arial"/>
          <w:sz w:val="18"/>
          <w:szCs w:val="18"/>
          <w:color w:val="auto"/>
        </w:rPr>
        <w:t>stockholder vote. The</w:t>
      </w:r>
    </w:p>
    <w:p>
      <w:pPr>
        <w:ind w:left="2760"/>
        <w:spacing w:after="0" w:line="235" w:lineRule="auto"/>
        <w:rPr>
          <w:sz w:val="20"/>
          <w:szCs w:val="20"/>
          <w:color w:val="auto"/>
        </w:rPr>
      </w:pPr>
      <w:r>
        <w:rPr>
          <w:rFonts w:ascii="Arial" w:cs="Arial" w:eastAsia="Arial" w:hAnsi="Arial"/>
          <w:sz w:val="18"/>
          <w:szCs w:val="18"/>
          <w:color w:val="auto"/>
        </w:rPr>
        <w:t>redemption price will be</w:t>
      </w:r>
    </w:p>
    <w:p>
      <w:pPr>
        <w:ind w:left="2760"/>
        <w:spacing w:after="0" w:line="235" w:lineRule="auto"/>
        <w:rPr>
          <w:sz w:val="20"/>
          <w:szCs w:val="20"/>
          <w:color w:val="auto"/>
        </w:rPr>
      </w:pPr>
      <w:r>
        <w:rPr>
          <w:rFonts w:ascii="Arial" w:cs="Arial" w:eastAsia="Arial" w:hAnsi="Arial"/>
          <w:sz w:val="18"/>
          <w:szCs w:val="18"/>
          <w:color w:val="auto"/>
        </w:rPr>
        <w:t>the same whether we</w:t>
      </w:r>
    </w:p>
    <w:p>
      <w:pPr>
        <w:ind w:left="2760"/>
        <w:spacing w:after="0" w:line="235" w:lineRule="auto"/>
        <w:rPr>
          <w:sz w:val="20"/>
          <w:szCs w:val="20"/>
          <w:color w:val="auto"/>
        </w:rPr>
      </w:pPr>
      <w:r>
        <w:rPr>
          <w:rFonts w:ascii="Arial" w:cs="Arial" w:eastAsia="Arial" w:hAnsi="Arial"/>
          <w:sz w:val="18"/>
          <w:szCs w:val="18"/>
          <w:color w:val="auto"/>
        </w:rPr>
        <w:t>conduct redemptions</w:t>
      </w:r>
    </w:p>
    <w:p>
      <w:pPr>
        <w:ind w:left="2760"/>
        <w:spacing w:after="0" w:line="234" w:lineRule="auto"/>
        <w:rPr>
          <w:sz w:val="20"/>
          <w:szCs w:val="20"/>
          <w:color w:val="auto"/>
        </w:rPr>
      </w:pPr>
      <w:r>
        <w:rPr>
          <w:rFonts w:ascii="Arial" w:cs="Arial" w:eastAsia="Arial" w:hAnsi="Arial"/>
          <w:sz w:val="18"/>
          <w:szCs w:val="18"/>
          <w:color w:val="auto"/>
        </w:rPr>
        <w:t>pursuant to a tender offer</w:t>
      </w:r>
    </w:p>
    <w:p>
      <w:pPr>
        <w:ind w:left="2760"/>
        <w:spacing w:after="0" w:line="235" w:lineRule="auto"/>
        <w:rPr>
          <w:sz w:val="20"/>
          <w:szCs w:val="20"/>
          <w:color w:val="auto"/>
        </w:rPr>
      </w:pPr>
      <w:r>
        <w:rPr>
          <w:rFonts w:ascii="Arial" w:cs="Arial" w:eastAsia="Arial" w:hAnsi="Arial"/>
          <w:sz w:val="18"/>
          <w:szCs w:val="18"/>
          <w:color w:val="auto"/>
        </w:rPr>
        <w:t>or in connection with a</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stockholder vote. In either</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case, our public</w:t>
      </w:r>
    </w:p>
    <w:p>
      <w:pPr>
        <w:ind w:left="2760"/>
        <w:spacing w:after="0"/>
        <w:rPr>
          <w:sz w:val="20"/>
          <w:szCs w:val="20"/>
          <w:color w:val="auto"/>
        </w:rPr>
      </w:pPr>
      <w:r>
        <w:rPr>
          <w:rFonts w:ascii="Arial" w:cs="Arial" w:eastAsia="Arial" w:hAnsi="Arial"/>
          <w:sz w:val="17"/>
          <w:szCs w:val="17"/>
          <w:color w:val="auto"/>
        </w:rPr>
        <w:t>stockholders may redeem</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their public shares for cash</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equal to the aggregate</w:t>
      </w:r>
    </w:p>
    <w:p>
      <w:pPr>
        <w:ind w:left="2760"/>
        <w:spacing w:after="0"/>
        <w:rPr>
          <w:sz w:val="20"/>
          <w:szCs w:val="20"/>
          <w:color w:val="auto"/>
        </w:rPr>
      </w:pPr>
      <w:r>
        <w:rPr>
          <w:rFonts w:ascii="Arial" w:cs="Arial" w:eastAsia="Arial" w:hAnsi="Arial"/>
          <w:sz w:val="17"/>
          <w:szCs w:val="17"/>
          <w:color w:val="auto"/>
        </w:rPr>
        <w:t>amount then on deposit in</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 trust account as of two</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business days prior to the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consummation of the</w:t>
      </w:r>
    </w:p>
    <w:p>
      <w:pPr>
        <w:ind w:left="2760"/>
        <w:spacing w:after="0" w:line="234" w:lineRule="auto"/>
        <w:rPr>
          <w:sz w:val="20"/>
          <w:szCs w:val="20"/>
          <w:color w:val="auto"/>
        </w:rPr>
      </w:pPr>
      <w:r>
        <w:rPr>
          <w:rFonts w:ascii="Arial" w:cs="Arial" w:eastAsia="Arial" w:hAnsi="Arial"/>
          <w:sz w:val="18"/>
          <w:szCs w:val="18"/>
          <w:color w:val="auto"/>
        </w:rPr>
        <w:t>initial business</w:t>
      </w:r>
    </w:p>
    <w:p>
      <w:pPr>
        <w:ind w:left="2760"/>
        <w:spacing w:after="0" w:line="235" w:lineRule="auto"/>
        <w:rPr>
          <w:sz w:val="20"/>
          <w:szCs w:val="20"/>
          <w:color w:val="auto"/>
        </w:rPr>
      </w:pPr>
      <w:r>
        <w:rPr>
          <w:rFonts w:ascii="Arial" w:cs="Arial" w:eastAsia="Arial" w:hAnsi="Arial"/>
          <w:sz w:val="18"/>
          <w:szCs w:val="18"/>
          <w:color w:val="auto"/>
        </w:rPr>
        <w:t>combination (which is</w:t>
      </w:r>
    </w:p>
    <w:p>
      <w:pPr>
        <w:ind w:left="2760"/>
        <w:spacing w:after="0" w:line="235" w:lineRule="auto"/>
        <w:rPr>
          <w:sz w:val="20"/>
          <w:szCs w:val="20"/>
          <w:color w:val="auto"/>
        </w:rPr>
      </w:pPr>
      <w:r>
        <w:rPr>
          <w:rFonts w:ascii="Arial" w:cs="Arial" w:eastAsia="Arial" w:hAnsi="Arial"/>
          <w:sz w:val="18"/>
          <w:szCs w:val="18"/>
          <w:color w:val="auto"/>
        </w:rPr>
        <w:t>initially anticipated to be</w:t>
      </w:r>
    </w:p>
    <w:p>
      <w:pPr>
        <w:ind w:left="2760"/>
        <w:spacing w:after="0" w:line="235" w:lineRule="auto"/>
        <w:rPr>
          <w:sz w:val="20"/>
          <w:szCs w:val="20"/>
          <w:color w:val="auto"/>
        </w:rPr>
      </w:pPr>
      <w:r>
        <w:rPr>
          <w:rFonts w:ascii="Arial" w:cs="Arial" w:eastAsia="Arial" w:hAnsi="Arial"/>
          <w:sz w:val="18"/>
          <w:szCs w:val="18"/>
          <w:color w:val="auto"/>
        </w:rPr>
        <w:t>$10.00 per share),</w:t>
      </w:r>
    </w:p>
    <w:p>
      <w:pPr>
        <w:ind w:left="2760"/>
        <w:spacing w:after="0" w:line="235" w:lineRule="auto"/>
        <w:rPr>
          <w:sz w:val="20"/>
          <w:szCs w:val="20"/>
          <w:color w:val="auto"/>
        </w:rPr>
      </w:pPr>
      <w:r>
        <w:rPr>
          <w:rFonts w:ascii="Arial" w:cs="Arial" w:eastAsia="Arial" w:hAnsi="Arial"/>
          <w:sz w:val="18"/>
          <w:szCs w:val="18"/>
          <w:color w:val="auto"/>
        </w:rPr>
        <w:t>including interest (net of</w:t>
      </w:r>
    </w:p>
    <w:p>
      <w:pPr>
        <w:ind w:left="2760"/>
        <w:spacing w:after="0" w:line="234" w:lineRule="auto"/>
        <w:rPr>
          <w:sz w:val="20"/>
          <w:szCs w:val="20"/>
          <w:color w:val="auto"/>
        </w:rPr>
      </w:pPr>
      <w:r>
        <w:rPr>
          <w:rFonts w:ascii="Arial" w:cs="Arial" w:eastAsia="Arial" w:hAnsi="Arial"/>
          <w:sz w:val="18"/>
          <w:szCs w:val="18"/>
          <w:color w:val="auto"/>
        </w:rPr>
        <w:t>permitted withdrawals),</w:t>
      </w:r>
    </w:p>
    <w:p>
      <w:pPr>
        <w:ind w:left="2760"/>
        <w:spacing w:after="0" w:line="235" w:lineRule="auto"/>
        <w:rPr>
          <w:sz w:val="20"/>
          <w:szCs w:val="20"/>
          <w:color w:val="auto"/>
        </w:rPr>
      </w:pPr>
      <w:r>
        <w:rPr>
          <w:rFonts w:ascii="Arial" w:cs="Arial" w:eastAsia="Arial" w:hAnsi="Arial"/>
          <w:sz w:val="18"/>
          <w:szCs w:val="18"/>
          <w:color w:val="auto"/>
        </w:rPr>
        <w:t>divided by the number of</w:t>
      </w:r>
    </w:p>
    <w:p>
      <w:pPr>
        <w:ind w:left="2760"/>
        <w:spacing w:after="0" w:line="235" w:lineRule="auto"/>
        <w:rPr>
          <w:sz w:val="20"/>
          <w:szCs w:val="20"/>
          <w:color w:val="auto"/>
        </w:rPr>
      </w:pPr>
      <w:r>
        <w:rPr>
          <w:rFonts w:ascii="Arial" w:cs="Arial" w:eastAsia="Arial" w:hAnsi="Arial"/>
          <w:sz w:val="18"/>
          <w:szCs w:val="18"/>
          <w:color w:val="auto"/>
        </w:rPr>
        <w:t>then outstanding public</w:t>
      </w:r>
    </w:p>
    <w:p>
      <w:pPr>
        <w:ind w:left="2760"/>
        <w:spacing w:after="0" w:line="235" w:lineRule="auto"/>
        <w:rPr>
          <w:sz w:val="20"/>
          <w:szCs w:val="20"/>
          <w:color w:val="auto"/>
        </w:rPr>
      </w:pPr>
      <w:r>
        <w:rPr>
          <w:rFonts w:ascii="Arial" w:cs="Arial" w:eastAsia="Arial" w:hAnsi="Arial"/>
          <w:sz w:val="18"/>
          <w:szCs w:val="18"/>
          <w:color w:val="auto"/>
        </w:rPr>
        <w:t>shares, subject to the</w:t>
      </w:r>
    </w:p>
    <w:p>
      <w:pPr>
        <w:ind w:left="2760"/>
        <w:spacing w:after="0" w:line="235" w:lineRule="auto"/>
        <w:rPr>
          <w:sz w:val="20"/>
          <w:szCs w:val="20"/>
          <w:color w:val="auto"/>
        </w:rPr>
      </w:pPr>
      <w:r>
        <w:rPr>
          <w:rFonts w:ascii="Arial" w:cs="Arial" w:eastAsia="Arial" w:hAnsi="Arial"/>
          <w:sz w:val="18"/>
          <w:szCs w:val="18"/>
          <w:color w:val="auto"/>
        </w:rPr>
        <w:t>limitation that no</w:t>
      </w:r>
    </w:p>
    <w:p>
      <w:pPr>
        <w:ind w:left="2760"/>
        <w:spacing w:after="0" w:line="234" w:lineRule="auto"/>
        <w:rPr>
          <w:sz w:val="20"/>
          <w:szCs w:val="20"/>
          <w:color w:val="auto"/>
        </w:rPr>
      </w:pPr>
      <w:r>
        <w:rPr>
          <w:rFonts w:ascii="Arial" w:cs="Arial" w:eastAsia="Arial" w:hAnsi="Arial"/>
          <w:sz w:val="18"/>
          <w:szCs w:val="18"/>
          <w:color w:val="auto"/>
        </w:rPr>
        <w:t>redemptions will take</w:t>
      </w:r>
    </w:p>
    <w:p>
      <w:pPr>
        <w:ind w:left="2760"/>
        <w:spacing w:after="0" w:line="235" w:lineRule="auto"/>
        <w:rPr>
          <w:sz w:val="20"/>
          <w:szCs w:val="20"/>
          <w:color w:val="auto"/>
        </w:rPr>
      </w:pPr>
      <w:r>
        <w:rPr>
          <w:rFonts w:ascii="Arial" w:cs="Arial" w:eastAsia="Arial" w:hAnsi="Arial"/>
          <w:sz w:val="18"/>
          <w:szCs w:val="18"/>
          <w:color w:val="auto"/>
        </w:rPr>
        <w:t>place if all of the</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redemptions would cause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our net tangible assets to</w:t>
      </w:r>
    </w:p>
    <w:p>
      <w:pPr>
        <w:ind w:left="2760"/>
        <w:spacing w:after="0" w:line="234" w:lineRule="auto"/>
        <w:rPr>
          <w:sz w:val="20"/>
          <w:szCs w:val="20"/>
          <w:color w:val="auto"/>
        </w:rPr>
      </w:pPr>
      <w:r>
        <w:rPr>
          <w:rFonts w:ascii="Arial" w:cs="Arial" w:eastAsia="Arial" w:hAnsi="Arial"/>
          <w:sz w:val="18"/>
          <w:szCs w:val="18"/>
          <w:color w:val="auto"/>
        </w:rPr>
        <w:t>be less than $5,000,001</w:t>
      </w:r>
    </w:p>
    <w:p>
      <w:pPr>
        <w:ind w:left="2760"/>
        <w:spacing w:after="0" w:line="235" w:lineRule="auto"/>
        <w:rPr>
          <w:sz w:val="20"/>
          <w:szCs w:val="20"/>
          <w:color w:val="auto"/>
        </w:rPr>
      </w:pPr>
      <w:r>
        <w:rPr>
          <w:rFonts w:ascii="Arial" w:cs="Arial" w:eastAsia="Arial" w:hAnsi="Arial"/>
          <w:sz w:val="18"/>
          <w:szCs w:val="18"/>
          <w:color w:val="auto"/>
        </w:rPr>
        <w:t>and any limitations</w:t>
      </w:r>
    </w:p>
    <w:p>
      <w:pPr>
        <w:ind w:left="2760"/>
        <w:spacing w:after="0" w:line="235" w:lineRule="auto"/>
        <w:rPr>
          <w:sz w:val="20"/>
          <w:szCs w:val="20"/>
          <w:color w:val="auto"/>
        </w:rPr>
      </w:pPr>
      <w:r>
        <w:rPr>
          <w:rFonts w:ascii="Arial" w:cs="Arial" w:eastAsia="Arial" w:hAnsi="Arial"/>
          <w:sz w:val="18"/>
          <w:szCs w:val="18"/>
          <w:color w:val="auto"/>
        </w:rPr>
        <w:t>(including but not limited</w:t>
      </w:r>
    </w:p>
    <w:p>
      <w:pPr>
        <w:ind w:left="2760"/>
        <w:spacing w:after="0" w:line="235" w:lineRule="auto"/>
        <w:rPr>
          <w:sz w:val="20"/>
          <w:szCs w:val="20"/>
          <w:color w:val="auto"/>
        </w:rPr>
      </w:pPr>
      <w:r>
        <w:rPr>
          <w:rFonts w:ascii="Arial" w:cs="Arial" w:eastAsia="Arial" w:hAnsi="Arial"/>
          <w:sz w:val="18"/>
          <w:szCs w:val="18"/>
          <w:color w:val="auto"/>
        </w:rPr>
        <w:t>to cash requirements)</w:t>
      </w:r>
    </w:p>
    <w:p>
      <w:pPr>
        <w:ind w:left="2760"/>
        <w:spacing w:after="0" w:line="235" w:lineRule="auto"/>
        <w:rPr>
          <w:sz w:val="20"/>
          <w:szCs w:val="20"/>
          <w:color w:val="auto"/>
        </w:rPr>
      </w:pPr>
      <w:r>
        <w:rPr>
          <w:rFonts w:ascii="Arial" w:cs="Arial" w:eastAsia="Arial" w:hAnsi="Arial"/>
          <w:sz w:val="18"/>
          <w:szCs w:val="18"/>
          <w:color w:val="auto"/>
        </w:rPr>
        <w:t>agreed to in connection</w:t>
      </w:r>
    </w:p>
    <w:p>
      <w:pPr>
        <w:ind w:left="2760"/>
        <w:spacing w:after="0" w:line="234" w:lineRule="auto"/>
        <w:rPr>
          <w:sz w:val="20"/>
          <w:szCs w:val="20"/>
          <w:color w:val="auto"/>
        </w:rPr>
      </w:pPr>
      <w:r>
        <w:rPr>
          <w:rFonts w:ascii="Arial" w:cs="Arial" w:eastAsia="Arial" w:hAnsi="Arial"/>
          <w:sz w:val="18"/>
          <w:szCs w:val="18"/>
          <w:color w:val="auto"/>
        </w:rPr>
        <w:t>with the negotiation of</w:t>
      </w:r>
    </w:p>
    <w:p>
      <w:pPr>
        <w:ind w:left="2760"/>
        <w:spacing w:after="0" w:line="235" w:lineRule="auto"/>
        <w:rPr>
          <w:sz w:val="20"/>
          <w:szCs w:val="20"/>
          <w:color w:val="auto"/>
        </w:rPr>
      </w:pPr>
      <w:r>
        <w:rPr>
          <w:rFonts w:ascii="Arial" w:cs="Arial" w:eastAsia="Arial" w:hAnsi="Arial"/>
          <w:sz w:val="18"/>
          <w:szCs w:val="18"/>
          <w:color w:val="auto"/>
        </w:rPr>
        <w:t>terms of a proposed</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business combination.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we seek stockholder approval of our initial business combination, our sponsor, directors, officers, advisors or any of their respective affiliates may purchase shares in privately negotiated transactions or in the open market either prior to or following the completion of our initial business combination. Such purchases will only be made to the extent such purchases are made in compliance with Rule 10b-18, which is a safe harbor from liability for manipulation under Section 9(a)(2) and</w:t>
      </w:r>
    </w:p>
    <w:p>
      <w:pPr>
        <w:spacing w:after="0" w:line="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Rule 10b- 5 of the Exchange Act. None of the funds in the trust account will be used to purchase shares in such transactions.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99"/>
        <w:spacing w:after="0" w:line="251" w:lineRule="auto"/>
        <w:rPr>
          <w:sz w:val="20"/>
          <w:szCs w:val="20"/>
          <w:color w:val="auto"/>
        </w:rPr>
      </w:pPr>
      <w:r>
        <w:rPr>
          <w:rFonts w:ascii="Arial" w:cs="Arial" w:eastAsia="Arial" w:hAnsi="Arial"/>
          <w:sz w:val="17"/>
          <w:szCs w:val="17"/>
          <w:color w:val="auto"/>
        </w:rPr>
        <w:t>If we are unable to complete our initial business combination within the completion window, we will redeem all public shares at a per share price, payable in cash, equal to the aggregate amount then on deposit in the trust account, including interest (net of permitted withdrawals and up to $100,000 of interest to pay dissolution expenses), divided by the number of then outstanding public shares.</w:t>
      </w:r>
    </w:p>
    <w:p>
      <w:pPr>
        <w:spacing w:after="0" w:line="5454" w:lineRule="exact"/>
        <w:rPr>
          <w:sz w:val="20"/>
          <w:szCs w:val="20"/>
          <w:color w:val="auto"/>
        </w:rPr>
      </w:pPr>
    </w:p>
    <w:p>
      <w:pPr>
        <w:sectPr>
          <w:pgSz w:w="11900" w:h="16838" w:orient="portrait"/>
          <w:cols w:equalWidth="0" w:num="3">
            <w:col w:w="4800" w:space="220"/>
            <w:col w:w="2040" w:space="220"/>
            <w:col w:w="285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759"/>
        <w:spacing w:after="0"/>
        <w:tabs>
          <w:tab w:leader="none" w:pos="4200" w:val="left"/>
          <w:tab w:leader="none" w:pos="2040" w:val="left"/>
        </w:tabs>
        <w:rPr>
          <w:sz w:val="20"/>
          <w:szCs w:val="20"/>
          <w:color w:val="auto"/>
        </w:rPr>
      </w:pPr>
      <w:r>
        <w:rPr>
          <w:rFonts w:ascii="Arial" w:cs="Arial" w:eastAsia="Arial" w:hAnsi="Arial"/>
          <w:sz w:val="14"/>
          <w:szCs w:val="14"/>
          <w:b w:val="1"/>
          <w:bCs w:val="1"/>
          <w:color w:val="auto"/>
        </w:rPr>
        <w:t>Redemptions in Connection with</w:t>
      </w:r>
      <w:r>
        <w:rPr>
          <w:sz w:val="20"/>
          <w:szCs w:val="20"/>
          <w:color w:val="auto"/>
        </w:rPr>
        <w:tab/>
      </w:r>
      <w:r>
        <w:rPr>
          <w:rFonts w:ascii="Arial" w:cs="Arial" w:eastAsia="Arial" w:hAnsi="Arial"/>
          <w:sz w:val="14"/>
          <w:szCs w:val="14"/>
          <w:b w:val="1"/>
          <w:bCs w:val="1"/>
          <w:color w:val="auto"/>
        </w:rPr>
        <w:t>Other Permitted Purchases of</w:t>
      </w:r>
      <w:r>
        <w:rPr>
          <w:sz w:val="20"/>
          <w:szCs w:val="20"/>
          <w:color w:val="auto"/>
        </w:rPr>
        <w:tab/>
      </w:r>
      <w:r>
        <w:rPr>
          <w:rFonts w:ascii="Arial" w:cs="Arial" w:eastAsia="Arial" w:hAnsi="Arial"/>
          <w:sz w:val="12"/>
          <w:szCs w:val="12"/>
          <w:b w:val="1"/>
          <w:bCs w:val="1"/>
          <w:color w:val="auto"/>
        </w:rPr>
        <w:t>Redemptions if we fail to Complete</w:t>
      </w:r>
    </w:p>
    <w:p>
      <w:pPr>
        <w:spacing w:after="0" w:line="17" w:lineRule="exact"/>
        <w:rPr>
          <w:sz w:val="20"/>
          <w:szCs w:val="20"/>
          <w:color w:val="auto"/>
        </w:rPr>
      </w:pPr>
    </w:p>
    <w:p>
      <w:pPr>
        <w:ind w:left="2800"/>
        <w:spacing w:after="0"/>
        <w:tabs>
          <w:tab w:leader="none" w:pos="5140" w:val="left"/>
          <w:tab w:leader="none" w:pos="7400" w:val="left"/>
        </w:tabs>
        <w:rPr>
          <w:sz w:val="20"/>
          <w:szCs w:val="20"/>
          <w:color w:val="auto"/>
        </w:rPr>
      </w:pPr>
      <w:r>
        <w:rPr>
          <w:rFonts w:ascii="Arial" w:cs="Arial" w:eastAsia="Arial" w:hAnsi="Arial"/>
          <w:sz w:val="14"/>
          <w:szCs w:val="14"/>
          <w:b w:val="1"/>
          <w:bCs w:val="1"/>
          <w:color w:val="auto"/>
        </w:rPr>
        <w:t>our Initial Business Combination</w:t>
      </w:r>
      <w:r>
        <w:rPr>
          <w:sz w:val="20"/>
          <w:szCs w:val="20"/>
          <w:color w:val="auto"/>
        </w:rPr>
        <w:tab/>
      </w:r>
      <w:r>
        <w:rPr>
          <w:rFonts w:ascii="Arial" w:cs="Arial" w:eastAsia="Arial" w:hAnsi="Arial"/>
          <w:sz w:val="14"/>
          <w:szCs w:val="14"/>
          <w:b w:val="1"/>
          <w:bCs w:val="1"/>
          <w:color w:val="auto"/>
        </w:rPr>
        <w:t>Public Shares by our Affiliates</w:t>
      </w:r>
      <w:r>
        <w:rPr>
          <w:sz w:val="20"/>
          <w:szCs w:val="20"/>
          <w:color w:val="auto"/>
        </w:rPr>
        <w:tab/>
      </w:r>
      <w:r>
        <w:rPr>
          <w:rFonts w:ascii="Arial" w:cs="Arial" w:eastAsia="Arial" w:hAnsi="Arial"/>
          <w:sz w:val="12"/>
          <w:szCs w:val="12"/>
          <w:b w:val="1"/>
          <w:bCs w:val="1"/>
          <w:color w:val="auto"/>
        </w:rPr>
        <w:t>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22225</wp:posOffset>
            </wp:positionV>
            <wp:extent cx="42519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70" w:lineRule="exact"/>
        <w:rPr>
          <w:sz w:val="20"/>
          <w:szCs w:val="20"/>
          <w:color w:val="auto"/>
        </w:rPr>
      </w:pPr>
    </w:p>
    <w:p>
      <w:pPr>
        <w:ind w:left="1260"/>
        <w:spacing w:after="0"/>
        <w:tabs>
          <w:tab w:leader="none" w:pos="2740" w:val="left"/>
        </w:tabs>
        <w:rPr>
          <w:sz w:val="20"/>
          <w:szCs w:val="20"/>
          <w:color w:val="auto"/>
        </w:rPr>
      </w:pPr>
      <w:r>
        <w:rPr>
          <w:rFonts w:ascii="Arial" w:cs="Arial" w:eastAsia="Arial" w:hAnsi="Arial"/>
          <w:sz w:val="18"/>
          <w:szCs w:val="18"/>
          <w:b w:val="1"/>
          <w:bCs w:val="1"/>
          <w:color w:val="auto"/>
        </w:rPr>
        <w:t>Impact to</w:t>
      </w:r>
      <w:r>
        <w:rPr>
          <w:sz w:val="20"/>
          <w:szCs w:val="20"/>
          <w:color w:val="auto"/>
        </w:rPr>
        <w:tab/>
      </w:r>
      <w:r>
        <w:rPr>
          <w:rFonts w:ascii="Arial" w:cs="Arial" w:eastAsia="Arial" w:hAnsi="Arial"/>
          <w:sz w:val="17"/>
          <w:szCs w:val="17"/>
          <w:color w:val="auto"/>
        </w:rPr>
        <w:t>The redemptions in</w:t>
      </w:r>
    </w:p>
    <w:p>
      <w:pPr>
        <w:spacing w:after="0" w:line="16" w:lineRule="exact"/>
        <w:rPr>
          <w:sz w:val="20"/>
          <w:szCs w:val="20"/>
          <w:color w:val="auto"/>
        </w:rPr>
      </w:pPr>
    </w:p>
    <w:p>
      <w:pPr>
        <w:ind w:left="1260"/>
        <w:spacing w:after="0"/>
        <w:tabs>
          <w:tab w:leader="none" w:pos="2740" w:val="left"/>
        </w:tabs>
        <w:rPr>
          <w:sz w:val="20"/>
          <w:szCs w:val="20"/>
          <w:color w:val="auto"/>
        </w:rPr>
      </w:pPr>
      <w:r>
        <w:rPr>
          <w:rFonts w:ascii="Arial" w:cs="Arial" w:eastAsia="Arial" w:hAnsi="Arial"/>
          <w:sz w:val="17"/>
          <w:szCs w:val="17"/>
          <w:b w:val="1"/>
          <w:bCs w:val="1"/>
          <w:color w:val="auto"/>
        </w:rPr>
        <w:t>remaining</w:t>
      </w:r>
      <w:r>
        <w:rPr>
          <w:sz w:val="20"/>
          <w:szCs w:val="20"/>
          <w:color w:val="auto"/>
        </w:rPr>
        <w:tab/>
      </w:r>
      <w:r>
        <w:rPr>
          <w:rFonts w:ascii="Arial" w:cs="Arial" w:eastAsia="Arial" w:hAnsi="Arial"/>
          <w:sz w:val="17"/>
          <w:szCs w:val="17"/>
          <w:color w:val="auto"/>
        </w:rPr>
        <w:t>connection with our initial</w:t>
      </w:r>
    </w:p>
    <w:p>
      <w:pPr>
        <w:spacing w:after="0" w:line="7" w:lineRule="exact"/>
        <w:rPr>
          <w:sz w:val="20"/>
          <w:szCs w:val="20"/>
          <w:color w:val="auto"/>
        </w:rPr>
      </w:pPr>
    </w:p>
    <w:p>
      <w:pPr>
        <w:ind w:left="1260"/>
        <w:spacing w:after="0"/>
        <w:tabs>
          <w:tab w:leader="none" w:pos="2740" w:val="left"/>
        </w:tabs>
        <w:rPr>
          <w:sz w:val="20"/>
          <w:szCs w:val="20"/>
          <w:color w:val="auto"/>
        </w:rPr>
      </w:pPr>
      <w:r>
        <w:rPr>
          <w:rFonts w:ascii="Arial" w:cs="Arial" w:eastAsia="Arial" w:hAnsi="Arial"/>
          <w:sz w:val="17"/>
          <w:szCs w:val="17"/>
          <w:b w:val="1"/>
          <w:bCs w:val="1"/>
          <w:color w:val="auto"/>
        </w:rPr>
        <w:t>stockholders</w:t>
      </w:r>
      <w:r>
        <w:rPr>
          <w:sz w:val="20"/>
          <w:szCs w:val="20"/>
          <w:color w:val="auto"/>
        </w:rPr>
        <w:tab/>
      </w:r>
      <w:r>
        <w:rPr>
          <w:rFonts w:ascii="Arial" w:cs="Arial" w:eastAsia="Arial" w:hAnsi="Arial"/>
          <w:sz w:val="17"/>
          <w:szCs w:val="17"/>
          <w:color w:val="auto"/>
        </w:rPr>
        <w:t>business combination will</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reduce the book value per</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share for our remaining</w:t>
      </w:r>
    </w:p>
    <w:p>
      <w:pPr>
        <w:ind w:left="2760"/>
        <w:spacing w:after="0" w:line="234" w:lineRule="auto"/>
        <w:rPr>
          <w:sz w:val="20"/>
          <w:szCs w:val="20"/>
          <w:color w:val="auto"/>
        </w:rPr>
      </w:pPr>
      <w:r>
        <w:rPr>
          <w:rFonts w:ascii="Arial" w:cs="Arial" w:eastAsia="Arial" w:hAnsi="Arial"/>
          <w:sz w:val="18"/>
          <w:szCs w:val="18"/>
          <w:color w:val="auto"/>
        </w:rPr>
        <w:t>stockholders, who will</w:t>
      </w:r>
    </w:p>
    <w:p>
      <w:pPr>
        <w:ind w:left="2760"/>
        <w:spacing w:after="0" w:line="235" w:lineRule="auto"/>
        <w:rPr>
          <w:sz w:val="20"/>
          <w:szCs w:val="20"/>
          <w:color w:val="auto"/>
        </w:rPr>
      </w:pPr>
      <w:r>
        <w:rPr>
          <w:rFonts w:ascii="Arial" w:cs="Arial" w:eastAsia="Arial" w:hAnsi="Arial"/>
          <w:sz w:val="18"/>
          <w:szCs w:val="18"/>
          <w:color w:val="auto"/>
        </w:rPr>
        <w:t>bear the burden of the</w:t>
      </w:r>
    </w:p>
    <w:p>
      <w:pPr>
        <w:ind w:left="2760"/>
        <w:spacing w:after="0" w:line="235" w:lineRule="auto"/>
        <w:rPr>
          <w:sz w:val="20"/>
          <w:szCs w:val="20"/>
          <w:color w:val="auto"/>
        </w:rPr>
      </w:pPr>
      <w:r>
        <w:rPr>
          <w:rFonts w:ascii="Arial" w:cs="Arial" w:eastAsia="Arial" w:hAnsi="Arial"/>
          <w:sz w:val="18"/>
          <w:szCs w:val="18"/>
          <w:color w:val="auto"/>
        </w:rPr>
        <w:t>deferred underwriting</w:t>
      </w:r>
    </w:p>
    <w:p>
      <w:pPr>
        <w:ind w:left="2760"/>
        <w:spacing w:after="0" w:line="235" w:lineRule="auto"/>
        <w:rPr>
          <w:sz w:val="20"/>
          <w:szCs w:val="20"/>
          <w:color w:val="auto"/>
        </w:rPr>
      </w:pPr>
      <w:r>
        <w:rPr>
          <w:rFonts w:ascii="Arial" w:cs="Arial" w:eastAsia="Arial" w:hAnsi="Arial"/>
          <w:sz w:val="18"/>
          <w:szCs w:val="18"/>
          <w:color w:val="auto"/>
        </w:rPr>
        <w:t>commissions and</w:t>
      </w:r>
    </w:p>
    <w:p>
      <w:pPr>
        <w:ind w:left="2760"/>
        <w:spacing w:after="0"/>
        <w:rPr>
          <w:sz w:val="20"/>
          <w:szCs w:val="20"/>
          <w:color w:val="auto"/>
        </w:rPr>
      </w:pPr>
      <w:r>
        <w:rPr>
          <w:rFonts w:ascii="Arial" w:cs="Arial" w:eastAsia="Arial" w:hAnsi="Arial"/>
          <w:sz w:val="17"/>
          <w:szCs w:val="17"/>
          <w:color w:val="auto"/>
        </w:rPr>
        <w:t>permitted withdrawals (to</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the extent not paid from</w:t>
      </w:r>
    </w:p>
    <w:p>
      <w:pPr>
        <w:ind w:left="2760"/>
        <w:spacing w:after="0" w:line="234" w:lineRule="auto"/>
        <w:rPr>
          <w:sz w:val="20"/>
          <w:szCs w:val="20"/>
          <w:color w:val="auto"/>
        </w:rPr>
      </w:pPr>
      <w:r>
        <w:rPr>
          <w:rFonts w:ascii="Arial" w:cs="Arial" w:eastAsia="Arial" w:hAnsi="Arial"/>
          <w:sz w:val="18"/>
          <w:szCs w:val="18"/>
          <w:color w:val="auto"/>
        </w:rPr>
        <w:t>amounts accrued as</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interest on the funds held</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in the trust account).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If the permitted purchases described above are made, there will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779"/>
        <w:spacing w:after="0" w:line="238" w:lineRule="auto"/>
        <w:rPr>
          <w:sz w:val="20"/>
          <w:szCs w:val="20"/>
          <w:color w:val="auto"/>
        </w:rPr>
      </w:pPr>
      <w:r>
        <w:rPr>
          <w:rFonts w:ascii="Arial" w:cs="Arial" w:eastAsia="Arial" w:hAnsi="Arial"/>
          <w:sz w:val="18"/>
          <w:szCs w:val="18"/>
          <w:color w:val="auto"/>
        </w:rPr>
        <w:t>The redemption of our public shares if we fail to complete our initial business combination will reduce the book value per share for the shares held by our initial stockholders, who will be</w:t>
      </w:r>
    </w:p>
    <w:p>
      <w:pPr>
        <w:spacing w:after="0" w:line="18" w:lineRule="exact"/>
        <w:rPr>
          <w:sz w:val="20"/>
          <w:szCs w:val="20"/>
          <w:color w:val="auto"/>
        </w:rPr>
      </w:pPr>
    </w:p>
    <w:p>
      <w:pPr>
        <w:ind w:right="1119"/>
        <w:spacing w:after="0" w:line="248" w:lineRule="auto"/>
        <w:rPr>
          <w:sz w:val="20"/>
          <w:szCs w:val="20"/>
          <w:color w:val="auto"/>
        </w:rPr>
      </w:pPr>
      <w:r>
        <w:rPr>
          <w:rFonts w:ascii="Arial" w:cs="Arial" w:eastAsia="Arial" w:hAnsi="Arial"/>
          <w:sz w:val="18"/>
          <w:szCs w:val="18"/>
          <w:color w:val="auto"/>
        </w:rPr>
        <w:t>our only remaining stockholders after such redemptions.</w:t>
      </w:r>
    </w:p>
    <w:p>
      <w:pPr>
        <w:spacing w:after="0" w:line="753" w:lineRule="exact"/>
        <w:rPr>
          <w:sz w:val="20"/>
          <w:szCs w:val="20"/>
          <w:color w:val="auto"/>
        </w:rPr>
      </w:pPr>
    </w:p>
    <w:p>
      <w:pPr>
        <w:sectPr>
          <w:pgSz w:w="11900" w:h="16838" w:orient="portrait"/>
          <w:cols w:equalWidth="0" w:num="3">
            <w:col w:w="4760" w:space="260"/>
            <w:col w:w="2000" w:space="260"/>
            <w:col w:w="2859"/>
          </w:cols>
          <w:pgMar w:left="320" w:top="131" w:right="1440" w:bottom="1440" w:gutter="0" w:footer="0" w:header="0"/>
          <w:type w:val="continuous"/>
        </w:sectPr>
      </w:pP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08" w:lineRule="exact"/>
        <w:rPr>
          <w:sz w:val="20"/>
          <w:szCs w:val="20"/>
          <w:color w:val="auto"/>
        </w:rPr>
      </w:pPr>
    </w:p>
    <w:p>
      <w:pPr>
        <w:ind w:left="1260" w:right="979" w:firstLine="360"/>
        <w:spacing w:after="0" w:line="275" w:lineRule="auto"/>
        <w:rPr>
          <w:sz w:val="20"/>
          <w:szCs w:val="20"/>
          <w:color w:val="auto"/>
        </w:rPr>
      </w:pPr>
      <w:r>
        <w:rPr>
          <w:rFonts w:ascii="Arial" w:cs="Arial" w:eastAsia="Arial" w:hAnsi="Arial"/>
          <w:sz w:val="17"/>
          <w:szCs w:val="17"/>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option to purchase additional units. None of the provisions of Rule 419 apply to our offering.</w:t>
      </w:r>
    </w:p>
    <w:p>
      <w:pPr>
        <w:sectPr>
          <w:pgSz w:w="11900" w:h="16838" w:orient="portrait"/>
          <w:cols w:equalWidth="0" w:num="1">
            <w:col w:w="10139"/>
          </w:cols>
          <w:pgMar w:left="320" w:top="131" w:right="1440" w:bottom="1440" w:gutter="0" w:footer="0" w:header="0"/>
          <w:type w:val="continuous"/>
        </w:sectPr>
      </w:pPr>
    </w:p>
    <w:p>
      <w:pPr>
        <w:spacing w:after="0" w:line="8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w:t>
            </w: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The rules of the NYSE provide that at</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proceeds</w:t>
            </w:r>
          </w:p>
        </w:tc>
        <w:tc>
          <w:tcPr>
            <w:tcW w:w="3020" w:type="dxa"/>
            <w:vAlign w:val="bottom"/>
          </w:tcPr>
          <w:p>
            <w:pPr>
              <w:spacing w:after="0"/>
              <w:rPr>
                <w:sz w:val="20"/>
                <w:szCs w:val="20"/>
                <w:color w:val="auto"/>
              </w:rPr>
            </w:pPr>
            <w:r>
              <w:rPr>
                <w:rFonts w:ascii="Arial" w:cs="Arial" w:eastAsia="Arial" w:hAnsi="Arial"/>
                <w:sz w:val="18"/>
                <w:szCs w:val="18"/>
                <w:color w:val="auto"/>
              </w:rPr>
              <w:t>least 90% of the gross proceeds from</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this offering and the sale of the private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placement warrants be deposited in a</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trust account.</w:t>
            </w:r>
          </w:p>
        </w:tc>
        <w:tc>
          <w:tcPr>
            <w:tcW w:w="0" w:type="dxa"/>
            <w:vAlign w:val="bottom"/>
          </w:tcPr>
          <w:p>
            <w:pPr>
              <w:spacing w:after="0"/>
              <w:rPr>
                <w:sz w:val="1"/>
                <w:szCs w:val="1"/>
                <w:color w:val="auto"/>
              </w:rPr>
            </w:pPr>
          </w:p>
        </w:tc>
      </w:tr>
      <w:tr>
        <w:trPr>
          <w:trHeight w:val="283"/>
        </w:trPr>
        <w:tc>
          <w:tcPr>
            <w:tcW w:w="18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$750,000,000 of the net proceeds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this offering and the sale of the private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placement warrants will be deposited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into a trust account located in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United States with Continental Stock</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Transfer &amp; Trust Company acting as</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387"/>
        </w:trPr>
        <w:tc>
          <w:tcPr>
            <w:tcW w:w="1840" w:type="dxa"/>
            <w:vAlign w:val="bottom"/>
          </w:tcPr>
          <w:p>
            <w:pPr>
              <w:spacing w:after="0"/>
              <w:rPr>
                <w:sz w:val="20"/>
                <w:szCs w:val="20"/>
                <w:color w:val="auto"/>
              </w:rPr>
            </w:pPr>
            <w:r>
              <w:rPr>
                <w:rFonts w:ascii="Arial" w:cs="Arial" w:eastAsia="Arial" w:hAnsi="Arial"/>
                <w:sz w:val="18"/>
                <w:szCs w:val="18"/>
                <w:b w:val="1"/>
                <w:bCs w:val="1"/>
                <w:color w:val="auto"/>
              </w:rPr>
              <w:t>Investment of net</w:t>
            </w:r>
          </w:p>
        </w:tc>
        <w:tc>
          <w:tcPr>
            <w:tcW w:w="3020" w:type="dxa"/>
            <w:vAlign w:val="bottom"/>
          </w:tcPr>
          <w:p>
            <w:pPr>
              <w:spacing w:after="0"/>
              <w:rPr>
                <w:sz w:val="20"/>
                <w:szCs w:val="20"/>
                <w:color w:val="auto"/>
              </w:rPr>
            </w:pPr>
            <w:r>
              <w:rPr>
                <w:rFonts w:ascii="Arial" w:cs="Arial" w:eastAsia="Arial" w:hAnsi="Arial"/>
                <w:sz w:val="18"/>
                <w:szCs w:val="18"/>
                <w:color w:val="auto"/>
              </w:rPr>
              <w:t>$750,000,000 of the net offering</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proceeds</w:t>
            </w:r>
          </w:p>
        </w:tc>
        <w:tc>
          <w:tcPr>
            <w:tcW w:w="3020" w:type="dxa"/>
            <w:vAlign w:val="bottom"/>
          </w:tcPr>
          <w:p>
            <w:pPr>
              <w:spacing w:after="0"/>
              <w:rPr>
                <w:sz w:val="20"/>
                <w:szCs w:val="20"/>
                <w:color w:val="auto"/>
              </w:rPr>
            </w:pPr>
            <w:r>
              <w:rPr>
                <w:rFonts w:ascii="Arial" w:cs="Arial" w:eastAsia="Arial" w:hAnsi="Arial"/>
                <w:sz w:val="18"/>
                <w:szCs w:val="18"/>
                <w:color w:val="auto"/>
              </w:rPr>
              <w:t>proceeds and the sale of the private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placement warrants held in trust will be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invested only in U.S. government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treasury bills with a maturity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185 days or less or in money market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funds that meet certain conditions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under Rule 2a-7 under the Investment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Company Act and that invest only in</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direct U.S. government obligations.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699"/>
        <w:spacing w:after="0" w:line="252" w:lineRule="auto"/>
        <w:rPr>
          <w:sz w:val="20"/>
          <w:szCs w:val="20"/>
          <w:color w:val="auto"/>
        </w:rPr>
      </w:pPr>
      <w:r>
        <w:rPr>
          <w:rFonts w:ascii="Arial" w:cs="Arial" w:eastAsia="Arial" w:hAnsi="Arial"/>
          <w:sz w:val="17"/>
          <w:szCs w:val="17"/>
          <w:color w:val="auto"/>
        </w:rPr>
        <w:t>Approximately $637,875,000 of the offering proceeds, representing the gross proceeds of this offering less allowable underwriting commissions, expenses and company deductions under Rule 419,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91" w:lineRule="exact"/>
        <w:rPr>
          <w:sz w:val="20"/>
          <w:szCs w:val="20"/>
          <w:color w:val="auto"/>
        </w:rPr>
      </w:pPr>
    </w:p>
    <w:p>
      <w:pPr>
        <w:ind w:right="699"/>
        <w:spacing w:after="0" w:line="255"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99" w:lineRule="exact"/>
        <w:rPr>
          <w:sz w:val="20"/>
          <w:szCs w:val="20"/>
          <w:color w:val="auto"/>
        </w:rPr>
      </w:pPr>
    </w:p>
    <w:p>
      <w:pPr>
        <w:sectPr>
          <w:pgSz w:w="11900" w:h="16838" w:orient="portrait"/>
          <w:cols w:equalWidth="0" w:num="2">
            <w:col w:w="6120" w:space="220"/>
            <w:col w:w="37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60"/>
        <w:spacing w:after="0" w:line="296" w:lineRule="auto"/>
        <w:rPr>
          <w:sz w:val="20"/>
          <w:szCs w:val="20"/>
          <w:color w:val="auto"/>
        </w:rPr>
      </w:pPr>
      <w:r>
        <w:rPr>
          <w:rFonts w:ascii="Arial" w:cs="Arial" w:eastAsia="Arial" w:hAnsi="Arial"/>
          <w:sz w:val="17"/>
          <w:szCs w:val="17"/>
          <w:b w:val="1"/>
          <w:bCs w:val="1"/>
          <w:color w:val="auto"/>
        </w:rPr>
        <w:t>Receipt of interest on escrowed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2024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Interest on proceeds from the trust account to be paid to stockholders is reduced by: (1) permitted withdrawals; and (2)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right="699"/>
        <w:spacing w:after="0"/>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372" w:lineRule="exact"/>
        <w:rPr>
          <w:sz w:val="20"/>
          <w:szCs w:val="20"/>
          <w:color w:val="auto"/>
        </w:rPr>
      </w:pPr>
    </w:p>
    <w:p>
      <w:pPr>
        <w:sectPr>
          <w:pgSz w:w="11900" w:h="16838" w:orient="portrait"/>
          <w:cols w:equalWidth="0" w:num="3">
            <w:col w:w="2820" w:space="280"/>
            <w:col w:w="2940" w:space="300"/>
            <w:col w:w="3799"/>
          </w:cols>
          <w:pgMar w:left="320" w:top="131" w:right="1440" w:bottom="1440" w:gutter="0" w:footer="0" w:header="0"/>
        </w:sectPr>
      </w:pPr>
    </w:p>
    <w:p>
      <w:pPr>
        <w:ind w:left="1260"/>
        <w:spacing w:after="0"/>
        <w:rPr>
          <w:sz w:val="20"/>
          <w:szCs w:val="20"/>
          <w:color w:val="auto"/>
        </w:rPr>
      </w:pPr>
      <w:r>
        <w:rPr>
          <w:rFonts w:ascii="Arial" w:cs="Arial" w:eastAsia="Arial" w:hAnsi="Arial"/>
          <w:sz w:val="18"/>
          <w:szCs w:val="18"/>
          <w:b w:val="1"/>
          <w:bCs w:val="1"/>
          <w:color w:val="auto"/>
        </w:rPr>
        <w:t>Limitation on fair</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value or net assets of</w:t>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Trading of securities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issued</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Arial" w:cs="Arial" w:eastAsia="Arial" w:hAnsi="Arial"/>
          <w:sz w:val="17"/>
          <w:szCs w:val="17"/>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w:t>
      </w:r>
    </w:p>
    <w:p>
      <w:pPr>
        <w:spacing w:after="0" w:line="15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units will begin trading on or promptly after the date of this prospectus. The Class A common stock and warrants constituting the units will begin separate trading on the 52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day following the date of this prospectus unless Citigroup Global Markets Inc. informs us of its decision to allow earlier separate trading, subject to our having filed the Current Report on Form 8- K described below and having issued a press release announcing when such separate trading will begin. We will file the Current Report on Form 8-K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20" w:lineRule="exact"/>
        <w:rPr>
          <w:sz w:val="20"/>
          <w:szCs w:val="20"/>
          <w:color w:val="auto"/>
        </w:rPr>
      </w:pPr>
      <w:r>
        <w:rPr>
          <w:sz w:val="20"/>
          <w:szCs w:val="20"/>
          <w:color w:val="auto"/>
        </w:rPr>
        <w:br w:type="column"/>
      </w:r>
    </w:p>
    <w:p>
      <w:pPr>
        <w:ind w:right="839"/>
        <w:spacing w:after="0" w:line="270" w:lineRule="auto"/>
        <w:rPr>
          <w:sz w:val="20"/>
          <w:szCs w:val="20"/>
          <w:color w:val="auto"/>
        </w:rPr>
      </w:pPr>
      <w:r>
        <w:rPr>
          <w:rFonts w:ascii="Arial" w:cs="Arial" w:eastAsia="Arial" w:hAnsi="Arial"/>
          <w:sz w:val="17"/>
          <w:szCs w:val="17"/>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739"/>
        <w:spacing w:after="0" w:line="257" w:lineRule="auto"/>
        <w:rPr>
          <w:sz w:val="20"/>
          <w:szCs w:val="20"/>
          <w:color w:val="auto"/>
        </w:rPr>
      </w:pPr>
      <w:r>
        <w:rPr>
          <w:rFonts w:ascii="Arial" w:cs="Arial" w:eastAsia="Arial" w:hAnsi="Arial"/>
          <w:sz w:val="17"/>
          <w:szCs w:val="17"/>
          <w:color w:val="auto"/>
        </w:rPr>
        <w:t>No trading of the units or the underlying common stock and warrants would be permitted until the completion of a business combination. During this period, the securities would be held in the escrow or trust account.</w:t>
      </w:r>
    </w:p>
    <w:p>
      <w:pPr>
        <w:spacing w:after="0" w:line="3803" w:lineRule="exact"/>
        <w:rPr>
          <w:sz w:val="20"/>
          <w:szCs w:val="20"/>
          <w:color w:val="auto"/>
        </w:rPr>
      </w:pPr>
    </w:p>
    <w:p>
      <w:pPr>
        <w:sectPr>
          <w:pgSz w:w="11900" w:h="16838" w:orient="portrait"/>
          <w:cols w:equalWidth="0" w:num="3">
            <w:col w:w="2780" w:space="320"/>
            <w:col w:w="3000" w:space="240"/>
            <w:col w:w="3799"/>
          </w:cols>
          <w:pgMar w:left="320" w:top="131" w:right="1440" w:bottom="1440" w:gutter="0" w:footer="0" w:header="0"/>
          <w:type w:val="continuous"/>
        </w:sectPr>
      </w:pPr>
    </w:p>
    <w:p>
      <w:pPr>
        <w:ind w:left="1260"/>
        <w:spacing w:after="0"/>
        <w:rPr>
          <w:sz w:val="20"/>
          <w:szCs w:val="20"/>
          <w:color w:val="auto"/>
        </w:rPr>
      </w:pPr>
      <w:r>
        <w:rPr>
          <w:rFonts w:ascii="Arial" w:cs="Arial" w:eastAsia="Arial" w:hAnsi="Arial"/>
          <w:sz w:val="15"/>
          <w:szCs w:val="15"/>
          <w:b w:val="1"/>
          <w:bCs w:val="1"/>
          <w:color w:val="auto"/>
        </w:rPr>
        <w:t>Exercise of the</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br w:type="column"/>
      </w:r>
    </w:p>
    <w:p>
      <w:pPr>
        <w:spacing w:after="0"/>
        <w:tabs>
          <w:tab w:leader="none" w:pos="3220" w:val="left"/>
        </w:tabs>
        <w:rPr>
          <w:sz w:val="20"/>
          <w:szCs w:val="20"/>
          <w:color w:val="auto"/>
        </w:rPr>
      </w:pPr>
      <w:r>
        <w:rPr>
          <w:rFonts w:ascii="Arial" w:cs="Arial" w:eastAsia="Arial" w:hAnsi="Arial"/>
          <w:sz w:val="18"/>
          <w:szCs w:val="18"/>
          <w:color w:val="auto"/>
        </w:rPr>
        <w:t>The warrants cannot be exercised until</w:t>
      </w:r>
      <w:r>
        <w:rPr>
          <w:sz w:val="20"/>
          <w:szCs w:val="20"/>
          <w:color w:val="auto"/>
        </w:rPr>
        <w:tab/>
      </w:r>
      <w:r>
        <w:rPr>
          <w:rFonts w:ascii="Arial" w:cs="Arial" w:eastAsia="Arial" w:hAnsi="Arial"/>
          <w:sz w:val="17"/>
          <w:szCs w:val="17"/>
          <w:color w:val="auto"/>
        </w:rPr>
        <w:t>The warrants could be exercised prior to</w:t>
      </w:r>
    </w:p>
    <w:p>
      <w:pPr>
        <w:spacing w:after="0" w:line="7"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color w:val="auto"/>
        </w:rPr>
        <w:t>the later of 30 days after the completion</w:t>
      </w:r>
      <w:r>
        <w:rPr>
          <w:sz w:val="20"/>
          <w:szCs w:val="20"/>
          <w:color w:val="auto"/>
        </w:rPr>
        <w:tab/>
      </w:r>
      <w:r>
        <w:rPr>
          <w:rFonts w:ascii="Arial" w:cs="Arial" w:eastAsia="Arial" w:hAnsi="Arial"/>
          <w:sz w:val="17"/>
          <w:szCs w:val="17"/>
          <w:color w:val="auto"/>
        </w:rPr>
        <w:t>the completion of a business</w:t>
      </w:r>
    </w:p>
    <w:p>
      <w:pPr>
        <w:spacing w:after="0"/>
        <w:tabs>
          <w:tab w:leader="none" w:pos="3220" w:val="left"/>
        </w:tabs>
        <w:rPr>
          <w:sz w:val="20"/>
          <w:szCs w:val="20"/>
          <w:color w:val="auto"/>
        </w:rPr>
      </w:pPr>
      <w:r>
        <w:rPr>
          <w:rFonts w:ascii="Arial" w:cs="Arial" w:eastAsia="Arial" w:hAnsi="Arial"/>
          <w:sz w:val="18"/>
          <w:szCs w:val="18"/>
          <w:color w:val="auto"/>
        </w:rPr>
        <w:t>of our initial business combination and</w:t>
      </w:r>
      <w:r>
        <w:rPr>
          <w:sz w:val="20"/>
          <w:szCs w:val="20"/>
          <w:color w:val="auto"/>
        </w:rPr>
        <w:tab/>
      </w:r>
      <w:r>
        <w:rPr>
          <w:rFonts w:ascii="Arial" w:cs="Arial" w:eastAsia="Arial" w:hAnsi="Arial"/>
          <w:sz w:val="17"/>
          <w:szCs w:val="17"/>
          <w:color w:val="auto"/>
        </w:rPr>
        <w:t>combination, but securities received and</w:t>
      </w:r>
    </w:p>
    <w:p>
      <w:pPr>
        <w:spacing w:after="0"/>
        <w:tabs>
          <w:tab w:leader="none" w:pos="3220" w:val="left"/>
        </w:tabs>
        <w:rPr>
          <w:sz w:val="20"/>
          <w:szCs w:val="20"/>
          <w:color w:val="auto"/>
        </w:rPr>
      </w:pPr>
      <w:r>
        <w:rPr>
          <w:rFonts w:ascii="Arial" w:cs="Arial" w:eastAsia="Arial" w:hAnsi="Arial"/>
          <w:sz w:val="18"/>
          <w:szCs w:val="18"/>
          <w:color w:val="auto"/>
        </w:rPr>
        <w:t>12 months from the closing of this</w:t>
      </w:r>
      <w:r>
        <w:rPr>
          <w:sz w:val="20"/>
          <w:szCs w:val="20"/>
          <w:color w:val="auto"/>
        </w:rPr>
        <w:tab/>
      </w:r>
      <w:r>
        <w:rPr>
          <w:rFonts w:ascii="Arial" w:cs="Arial" w:eastAsia="Arial" w:hAnsi="Arial"/>
          <w:sz w:val="17"/>
          <w:szCs w:val="17"/>
          <w:color w:val="auto"/>
        </w:rPr>
        <w:t>cash paid in connection with the exercise</w:t>
      </w:r>
    </w:p>
    <w:p>
      <w:pPr>
        <w:spacing w:after="0" w:line="1" w:lineRule="exact"/>
        <w:rPr>
          <w:sz w:val="20"/>
          <w:szCs w:val="20"/>
          <w:color w:val="auto"/>
        </w:rPr>
      </w:pPr>
    </w:p>
    <w:p>
      <w:pPr>
        <w:spacing w:after="0"/>
        <w:tabs>
          <w:tab w:leader="none" w:pos="3220" w:val="left"/>
        </w:tabs>
        <w:rPr>
          <w:sz w:val="20"/>
          <w:szCs w:val="20"/>
          <w:color w:val="auto"/>
        </w:rPr>
      </w:pPr>
      <w:r>
        <w:rPr>
          <w:rFonts w:ascii="Arial" w:cs="Arial" w:eastAsia="Arial" w:hAnsi="Arial"/>
          <w:sz w:val="17"/>
          <w:szCs w:val="17"/>
          <w:color w:val="auto"/>
        </w:rPr>
        <w:t>offering.</w:t>
      </w:r>
      <w:r>
        <w:rPr>
          <w:sz w:val="20"/>
          <w:szCs w:val="20"/>
          <w:color w:val="auto"/>
        </w:rPr>
        <w:tab/>
      </w:r>
      <w:r>
        <w:rPr>
          <w:rFonts w:ascii="Arial" w:cs="Arial" w:eastAsia="Arial" w:hAnsi="Arial"/>
          <w:sz w:val="17"/>
          <w:szCs w:val="17"/>
          <w:color w:val="auto"/>
        </w:rPr>
        <w:t>would be deposited in the escrow or trust</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account.</w:t>
      </w:r>
    </w:p>
    <w:p>
      <w:pPr>
        <w:spacing w:after="0" w:line="38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254635</wp:posOffset>
            </wp:positionV>
            <wp:extent cx="68065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2380" w:space="720"/>
            <w:col w:w="7039"/>
          </w:cols>
          <w:pgMar w:left="32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r>
      <w:tr>
        <w:trPr>
          <w:trHeight w:val="26"/>
        </w:trPr>
        <w:tc>
          <w:tcPr>
            <w:tcW w:w="184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8"/>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Election to remain an   </w:t>
            </w:r>
            <w:r>
              <w:rPr>
                <w:rFonts w:ascii="Arial" w:cs="Arial" w:eastAsia="Arial" w:hAnsi="Arial"/>
                <w:sz w:val="18"/>
                <w:szCs w:val="18"/>
                <w:color w:val="auto"/>
              </w:rPr>
              <w:t>We will provide our public</w:t>
            </w: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3020" w:type="dxa"/>
            <w:vAlign w:val="bottom"/>
          </w:tcPr>
          <w:p>
            <w:pPr>
              <w:spacing w:after="0"/>
              <w:rPr>
                <w:sz w:val="20"/>
                <w:szCs w:val="20"/>
                <w:color w:val="auto"/>
              </w:rPr>
            </w:pPr>
            <w:r>
              <w:rPr>
                <w:rFonts w:ascii="Arial" w:cs="Arial" w:eastAsia="Arial" w:hAnsi="Arial"/>
                <w:sz w:val="18"/>
                <w:szCs w:val="18"/>
                <w:color w:val="auto"/>
              </w:rPr>
              <w:t>stockholders with the opportunity to</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redeem their public shares for cash</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equal to their pro rata share of the</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2"/>
              </w:rPr>
              <w:t>aggregate amount then on deposit in the</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trust account as of two business days</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prior to the consummation of our initial</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including</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interest, net of permitted withdrawals,</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upon the completion of our initial</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subject to the</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limitations described herein. We may</w:t>
            </w: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not be required by applicable law or</w:t>
            </w:r>
          </w:p>
        </w:tc>
      </w:tr>
      <w:tr>
        <w:trPr>
          <w:trHeight w:val="218"/>
        </w:trPr>
        <w:tc>
          <w:tcPr>
            <w:tcW w:w="18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stock exchange rules to hold a</w:t>
            </w:r>
          </w:p>
        </w:tc>
      </w:tr>
    </w:tbl>
    <w:p>
      <w:pPr>
        <w:ind w:left="3100"/>
        <w:spacing w:after="0"/>
        <w:rPr>
          <w:sz w:val="20"/>
          <w:szCs w:val="20"/>
          <w:color w:val="auto"/>
        </w:rPr>
      </w:pPr>
      <w:r>
        <w:rPr>
          <w:rFonts w:ascii="Arial" w:cs="Arial" w:eastAsia="Arial" w:hAnsi="Arial"/>
          <w:sz w:val="17"/>
          <w:szCs w:val="17"/>
          <w:color w:val="auto"/>
        </w:rPr>
        <w:t>stockholder vote. If we are not required</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by applicable law or stock exchange</w:t>
      </w:r>
    </w:p>
    <w:p>
      <w:pPr>
        <w:ind w:left="3100"/>
        <w:spacing w:after="0" w:line="234" w:lineRule="auto"/>
        <w:rPr>
          <w:sz w:val="20"/>
          <w:szCs w:val="20"/>
          <w:color w:val="auto"/>
        </w:rPr>
      </w:pPr>
      <w:r>
        <w:rPr>
          <w:rFonts w:ascii="Arial" w:cs="Arial" w:eastAsia="Arial" w:hAnsi="Arial"/>
          <w:sz w:val="18"/>
          <w:szCs w:val="18"/>
          <w:color w:val="auto"/>
        </w:rPr>
        <w:t>rules and do not otherwise decide to</w:t>
      </w:r>
    </w:p>
    <w:p>
      <w:pPr>
        <w:ind w:left="3100"/>
        <w:spacing w:after="0" w:line="235" w:lineRule="auto"/>
        <w:rPr>
          <w:sz w:val="20"/>
          <w:szCs w:val="20"/>
          <w:color w:val="auto"/>
        </w:rPr>
      </w:pPr>
      <w:r>
        <w:rPr>
          <w:rFonts w:ascii="Arial" w:cs="Arial" w:eastAsia="Arial" w:hAnsi="Arial"/>
          <w:sz w:val="18"/>
          <w:szCs w:val="18"/>
          <w:color w:val="auto"/>
        </w:rPr>
        <w:t>hold a stockholder vote, we will,</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pursuant to our amended and restated</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certificate of incorporation, conduct the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redemptions pursuant to the tender</w:t>
      </w:r>
    </w:p>
    <w:p>
      <w:pPr>
        <w:ind w:left="3100"/>
        <w:spacing w:after="0" w:line="234" w:lineRule="auto"/>
        <w:rPr>
          <w:sz w:val="20"/>
          <w:szCs w:val="20"/>
          <w:color w:val="auto"/>
        </w:rPr>
      </w:pPr>
      <w:r>
        <w:rPr>
          <w:rFonts w:ascii="Arial" w:cs="Arial" w:eastAsia="Arial" w:hAnsi="Arial"/>
          <w:sz w:val="18"/>
          <w:szCs w:val="18"/>
          <w:color w:val="auto"/>
        </w:rPr>
        <w:t>offer rules of the SEC and file tender</w:t>
      </w:r>
    </w:p>
    <w:p>
      <w:pPr>
        <w:ind w:left="3100"/>
        <w:spacing w:after="0" w:line="235" w:lineRule="auto"/>
        <w:rPr>
          <w:sz w:val="20"/>
          <w:szCs w:val="20"/>
          <w:color w:val="auto"/>
        </w:rPr>
      </w:pPr>
      <w:r>
        <w:rPr>
          <w:rFonts w:ascii="Arial" w:cs="Arial" w:eastAsia="Arial" w:hAnsi="Arial"/>
          <w:sz w:val="18"/>
          <w:szCs w:val="18"/>
          <w:color w:val="auto"/>
        </w:rPr>
        <w:t>offer documents with the SEC which</w:t>
      </w:r>
    </w:p>
    <w:p>
      <w:pPr>
        <w:ind w:left="3100"/>
        <w:spacing w:after="0" w:line="235" w:lineRule="auto"/>
        <w:rPr>
          <w:sz w:val="20"/>
          <w:szCs w:val="20"/>
          <w:color w:val="auto"/>
        </w:rPr>
      </w:pPr>
      <w:r>
        <w:rPr>
          <w:rFonts w:ascii="Arial" w:cs="Arial" w:eastAsia="Arial" w:hAnsi="Arial"/>
          <w:sz w:val="18"/>
          <w:szCs w:val="18"/>
          <w:color w:val="auto"/>
        </w:rPr>
        <w:t>will contain substantially the same</w:t>
      </w:r>
    </w:p>
    <w:p>
      <w:pPr>
        <w:ind w:left="3100"/>
        <w:spacing w:after="0" w:line="235" w:lineRule="auto"/>
        <w:rPr>
          <w:sz w:val="20"/>
          <w:szCs w:val="20"/>
          <w:color w:val="auto"/>
        </w:rPr>
      </w:pPr>
      <w:r>
        <w:rPr>
          <w:rFonts w:ascii="Arial" w:cs="Arial" w:eastAsia="Arial" w:hAnsi="Arial"/>
          <w:sz w:val="18"/>
          <w:szCs w:val="18"/>
          <w:color w:val="auto"/>
        </w:rPr>
        <w:t>financial and other information about</w:t>
      </w:r>
    </w:p>
    <w:p>
      <w:pPr>
        <w:ind w:left="3100"/>
        <w:spacing w:after="0"/>
        <w:rPr>
          <w:sz w:val="20"/>
          <w:szCs w:val="20"/>
          <w:color w:val="auto"/>
        </w:rPr>
      </w:pPr>
      <w:r>
        <w:rPr>
          <w:rFonts w:ascii="Arial" w:cs="Arial" w:eastAsia="Arial" w:hAnsi="Arial"/>
          <w:sz w:val="17"/>
          <w:szCs w:val="17"/>
          <w:color w:val="auto"/>
        </w:rPr>
        <w:t>the initial business combination and the</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redemption rights as is required under</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the SEC’s proxy rules. If, however, we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hold a stockholder vote, we will, like</w:t>
      </w:r>
    </w:p>
    <w:p>
      <w:pPr>
        <w:ind w:left="3100"/>
        <w:spacing w:after="0"/>
        <w:rPr>
          <w:sz w:val="20"/>
          <w:szCs w:val="20"/>
          <w:color w:val="auto"/>
        </w:rPr>
      </w:pPr>
      <w:r>
        <w:rPr>
          <w:rFonts w:ascii="Arial" w:cs="Arial" w:eastAsia="Arial" w:hAnsi="Arial"/>
          <w:sz w:val="17"/>
          <w:szCs w:val="17"/>
          <w:color w:val="auto"/>
        </w:rPr>
        <w:t>many blank check companies, offer to</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redeem shares in conjunction with a</w:t>
      </w:r>
    </w:p>
    <w:p>
      <w:pPr>
        <w:ind w:left="3100"/>
        <w:spacing w:after="0"/>
        <w:rPr>
          <w:sz w:val="20"/>
          <w:szCs w:val="20"/>
          <w:color w:val="auto"/>
        </w:rPr>
      </w:pPr>
      <w:r>
        <w:rPr>
          <w:rFonts w:ascii="Arial" w:cs="Arial" w:eastAsia="Arial" w:hAnsi="Arial"/>
          <w:sz w:val="17"/>
          <w:szCs w:val="17"/>
          <w:color w:val="auto"/>
        </w:rPr>
        <w:t>proxy solicitation pursuant to the proxy</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rules and not pursuant to the tender</w:t>
      </w:r>
    </w:p>
    <w:p>
      <w:pPr>
        <w:ind w:left="3100"/>
        <w:spacing w:after="0"/>
        <w:rPr>
          <w:sz w:val="20"/>
          <w:szCs w:val="20"/>
          <w:color w:val="auto"/>
        </w:rPr>
      </w:pPr>
      <w:r>
        <w:rPr>
          <w:rFonts w:ascii="Arial" w:cs="Arial" w:eastAsia="Arial" w:hAnsi="Arial"/>
          <w:sz w:val="17"/>
          <w:szCs w:val="17"/>
          <w:color w:val="auto"/>
        </w:rPr>
        <w:t>offer rules. Pursuant to the tender offer</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rules, the tender offer period will be not</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less than 20 business days and, in the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case of a stockholder vote, a final</w:t>
      </w:r>
    </w:p>
    <w:p>
      <w:pPr>
        <w:ind w:left="3100"/>
        <w:spacing w:after="0" w:line="234" w:lineRule="auto"/>
        <w:rPr>
          <w:sz w:val="20"/>
          <w:szCs w:val="20"/>
          <w:color w:val="auto"/>
        </w:rPr>
      </w:pPr>
      <w:r>
        <w:rPr>
          <w:rFonts w:ascii="Arial" w:cs="Arial" w:eastAsia="Arial" w:hAnsi="Arial"/>
          <w:sz w:val="18"/>
          <w:szCs w:val="18"/>
          <w:color w:val="auto"/>
        </w:rPr>
        <w:t>proxy statement would be mailed to</w:t>
      </w:r>
    </w:p>
    <w:p>
      <w:pPr>
        <w:ind w:left="3100"/>
        <w:spacing w:after="0" w:line="235" w:lineRule="auto"/>
        <w:rPr>
          <w:sz w:val="20"/>
          <w:szCs w:val="20"/>
          <w:color w:val="auto"/>
        </w:rPr>
      </w:pPr>
      <w:r>
        <w:rPr>
          <w:rFonts w:ascii="Arial" w:cs="Arial" w:eastAsia="Arial" w:hAnsi="Arial"/>
          <w:sz w:val="18"/>
          <w:szCs w:val="18"/>
          <w:color w:val="auto"/>
        </w:rPr>
        <w:t>public stockholders at least 10 days</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prior to the stockholder vote. However,</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we expect that a draft proxy statement</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would be made available to such</w:t>
      </w:r>
    </w:p>
    <w:p>
      <w:pPr>
        <w:ind w:left="3100"/>
        <w:spacing w:after="0" w:line="234" w:lineRule="auto"/>
        <w:rPr>
          <w:sz w:val="20"/>
          <w:szCs w:val="20"/>
          <w:color w:val="auto"/>
        </w:rPr>
      </w:pPr>
      <w:r>
        <w:rPr>
          <w:rFonts w:ascii="Arial" w:cs="Arial" w:eastAsia="Arial" w:hAnsi="Arial"/>
          <w:sz w:val="18"/>
          <w:szCs w:val="18"/>
          <w:color w:val="auto"/>
        </w:rPr>
        <w:t>stockholders well in advance of such</w:t>
      </w:r>
    </w:p>
    <w:p>
      <w:pPr>
        <w:ind w:left="3100"/>
        <w:spacing w:after="0" w:line="235" w:lineRule="auto"/>
        <w:rPr>
          <w:sz w:val="20"/>
          <w:szCs w:val="20"/>
          <w:color w:val="auto"/>
        </w:rPr>
      </w:pPr>
      <w:r>
        <w:rPr>
          <w:rFonts w:ascii="Arial" w:cs="Arial" w:eastAsia="Arial" w:hAnsi="Arial"/>
          <w:sz w:val="18"/>
          <w:szCs w:val="18"/>
          <w:color w:val="auto"/>
        </w:rPr>
        <w:t>time, providing additional notice of</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redemption if we conduct redemptions</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 conjunction with a proxy</w:t>
      </w:r>
    </w:p>
    <w:p>
      <w:pPr>
        <w:ind w:left="3100"/>
        <w:spacing w:after="0" w:line="234" w:lineRule="auto"/>
        <w:rPr>
          <w:sz w:val="20"/>
          <w:szCs w:val="20"/>
          <w:color w:val="auto"/>
        </w:rPr>
      </w:pPr>
      <w:r>
        <w:rPr>
          <w:rFonts w:ascii="Arial" w:cs="Arial" w:eastAsia="Arial" w:hAnsi="Arial"/>
          <w:sz w:val="18"/>
          <w:szCs w:val="18"/>
          <w:color w:val="auto"/>
        </w:rPr>
        <w:t>solicitation. If we seek stockholder</w:t>
      </w:r>
    </w:p>
    <w:p>
      <w:pPr>
        <w:ind w:left="3100"/>
        <w:spacing w:after="0" w:line="235" w:lineRule="auto"/>
        <w:rPr>
          <w:sz w:val="20"/>
          <w:szCs w:val="20"/>
          <w:color w:val="auto"/>
        </w:rPr>
      </w:pPr>
      <w:r>
        <w:rPr>
          <w:rFonts w:ascii="Arial" w:cs="Arial" w:eastAsia="Arial" w:hAnsi="Arial"/>
          <w:sz w:val="18"/>
          <w:szCs w:val="18"/>
          <w:color w:val="auto"/>
        </w:rPr>
        <w:t>approval, we will complete our initial</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business combination only if a majority</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of the outstanding shares of common</w:t>
      </w:r>
    </w:p>
    <w:p>
      <w:pPr>
        <w:ind w:left="3100"/>
        <w:spacing w:after="0" w:line="234" w:lineRule="auto"/>
        <w:rPr>
          <w:sz w:val="20"/>
          <w:szCs w:val="20"/>
          <w:color w:val="auto"/>
        </w:rPr>
      </w:pPr>
      <w:r>
        <w:rPr>
          <w:rFonts w:ascii="Arial" w:cs="Arial" w:eastAsia="Arial" w:hAnsi="Arial"/>
          <w:sz w:val="18"/>
          <w:szCs w:val="18"/>
          <w:color w:val="auto"/>
        </w:rPr>
        <w:t>stock voted are voted in favor of the</w:t>
      </w:r>
    </w:p>
    <w:p>
      <w:pPr>
        <w:ind w:left="3100"/>
        <w:spacing w:after="0" w:line="235" w:lineRule="auto"/>
        <w:rPr>
          <w:sz w:val="20"/>
          <w:szCs w:val="20"/>
          <w:color w:val="auto"/>
        </w:rPr>
      </w:pPr>
      <w:r>
        <w:rPr>
          <w:rFonts w:ascii="Arial" w:cs="Arial" w:eastAsia="Arial" w:hAnsi="Arial"/>
          <w:sz w:val="18"/>
          <w:szCs w:val="18"/>
          <w:color w:val="auto"/>
        </w:rPr>
        <w:t>business combination. A quorum for</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such meeting will consist of the holders</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present in person or by proxy of shares</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of outstanding capital stock of the</w:t>
      </w:r>
    </w:p>
    <w:p>
      <w:pPr>
        <w:ind w:left="3100"/>
        <w:spacing w:after="0"/>
        <w:rPr>
          <w:sz w:val="20"/>
          <w:szCs w:val="20"/>
          <w:color w:val="auto"/>
        </w:rPr>
      </w:pPr>
      <w:r>
        <w:rPr>
          <w:rFonts w:ascii="Arial" w:cs="Arial" w:eastAsia="Arial" w:hAnsi="Arial"/>
          <w:sz w:val="18"/>
          <w:szCs w:val="18"/>
          <w:color w:val="auto"/>
        </w:rPr>
        <w:t>company representing a</w:t>
      </w:r>
    </w:p>
    <w:p>
      <w:pPr>
        <w:spacing w:after="0" w:line="3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679"/>
        <w:spacing w:after="0" w:line="246"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6120" w:space="220"/>
            <w:col w:w="3799"/>
          </w:cols>
          <w:pgMar w:left="32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32385</wp:posOffset>
            </wp:positionV>
            <wp:extent cx="19202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0"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majority of the voting power of all</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outstanding shares of capital stock of</w:t>
      </w:r>
    </w:p>
    <w:p>
      <w:pPr>
        <w:ind w:left="3100"/>
        <w:spacing w:after="0" w:line="234" w:lineRule="auto"/>
        <w:rPr>
          <w:sz w:val="20"/>
          <w:szCs w:val="20"/>
          <w:color w:val="auto"/>
        </w:rPr>
      </w:pPr>
      <w:r>
        <w:rPr>
          <w:rFonts w:ascii="Arial" w:cs="Arial" w:eastAsia="Arial" w:hAnsi="Arial"/>
          <w:sz w:val="18"/>
          <w:szCs w:val="18"/>
          <w:color w:val="auto"/>
        </w:rPr>
        <w:t>the company entitled to vote at such</w:t>
      </w:r>
    </w:p>
    <w:p>
      <w:pPr>
        <w:ind w:left="3100"/>
        <w:spacing w:after="0" w:line="235" w:lineRule="auto"/>
        <w:rPr>
          <w:sz w:val="20"/>
          <w:szCs w:val="20"/>
          <w:color w:val="auto"/>
        </w:rPr>
      </w:pPr>
      <w:r>
        <w:rPr>
          <w:rFonts w:ascii="Arial" w:cs="Arial" w:eastAsia="Arial" w:hAnsi="Arial"/>
          <w:sz w:val="18"/>
          <w:szCs w:val="18"/>
          <w:color w:val="auto"/>
        </w:rPr>
        <w:t>meeting. Additionally, each public</w:t>
      </w:r>
    </w:p>
    <w:p>
      <w:pPr>
        <w:ind w:left="3100"/>
        <w:spacing w:after="0" w:line="235" w:lineRule="auto"/>
        <w:rPr>
          <w:sz w:val="20"/>
          <w:szCs w:val="20"/>
          <w:color w:val="auto"/>
        </w:rPr>
      </w:pPr>
      <w:r>
        <w:rPr>
          <w:rFonts w:ascii="Arial" w:cs="Arial" w:eastAsia="Arial" w:hAnsi="Arial"/>
          <w:sz w:val="18"/>
          <w:szCs w:val="18"/>
          <w:color w:val="auto"/>
        </w:rPr>
        <w:t>stockholder may elect to redeem its</w:t>
      </w:r>
    </w:p>
    <w:p>
      <w:pPr>
        <w:ind w:left="3100"/>
        <w:spacing w:after="0" w:line="235" w:lineRule="auto"/>
        <w:rPr>
          <w:sz w:val="20"/>
          <w:szCs w:val="20"/>
          <w:color w:val="auto"/>
        </w:rPr>
      </w:pPr>
      <w:r>
        <w:rPr>
          <w:rFonts w:ascii="Arial" w:cs="Arial" w:eastAsia="Arial" w:hAnsi="Arial"/>
          <w:sz w:val="18"/>
          <w:szCs w:val="18"/>
          <w:color w:val="auto"/>
        </w:rPr>
        <w:t>public shares without voting and, if</w:t>
      </w:r>
    </w:p>
    <w:p>
      <w:pPr>
        <w:ind w:left="3100"/>
        <w:spacing w:after="0" w:line="235" w:lineRule="auto"/>
        <w:rPr>
          <w:sz w:val="20"/>
          <w:szCs w:val="20"/>
          <w:color w:val="auto"/>
        </w:rPr>
      </w:pPr>
      <w:r>
        <w:rPr>
          <w:rFonts w:ascii="Arial" w:cs="Arial" w:eastAsia="Arial" w:hAnsi="Arial"/>
          <w:sz w:val="18"/>
          <w:szCs w:val="18"/>
          <w:color w:val="auto"/>
        </w:rPr>
        <w:t>they do vote, irrespective of whether</w:t>
      </w:r>
    </w:p>
    <w:p>
      <w:pPr>
        <w:ind w:left="3100"/>
        <w:spacing w:after="0" w:line="234" w:lineRule="auto"/>
        <w:rPr>
          <w:sz w:val="20"/>
          <w:szCs w:val="20"/>
          <w:color w:val="auto"/>
        </w:rPr>
      </w:pPr>
      <w:r>
        <w:rPr>
          <w:rFonts w:ascii="Arial" w:cs="Arial" w:eastAsia="Arial" w:hAnsi="Arial"/>
          <w:sz w:val="18"/>
          <w:szCs w:val="18"/>
          <w:color w:val="auto"/>
        </w:rPr>
        <w:t>they vote for or against the proposed</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transaction.</w:t>
      </w:r>
    </w:p>
    <w:p>
      <w:pPr>
        <w:spacing w:after="0" w:line="165" w:lineRule="exact"/>
        <w:rPr>
          <w:sz w:val="20"/>
          <w:szCs w:val="20"/>
          <w:color w:val="auto"/>
        </w:rPr>
      </w:pPr>
    </w:p>
    <w:p>
      <w:pPr>
        <w:ind w:left="1260"/>
        <w:spacing w:after="0"/>
        <w:tabs>
          <w:tab w:leader="none" w:pos="3080" w:val="left"/>
        </w:tabs>
        <w:rPr>
          <w:sz w:val="20"/>
          <w:szCs w:val="20"/>
          <w:color w:val="auto"/>
        </w:rPr>
      </w:pPr>
      <w:r>
        <w:rPr>
          <w:rFonts w:ascii="Arial" w:cs="Arial" w:eastAsia="Arial" w:hAnsi="Arial"/>
          <w:sz w:val="18"/>
          <w:szCs w:val="18"/>
          <w:b w:val="1"/>
          <w:bCs w:val="1"/>
          <w:color w:val="auto"/>
        </w:rPr>
        <w:t>Business combination</w:t>
      </w:r>
      <w:r>
        <w:rPr>
          <w:sz w:val="20"/>
          <w:szCs w:val="20"/>
          <w:color w:val="auto"/>
        </w:rPr>
        <w:tab/>
      </w:r>
      <w:r>
        <w:rPr>
          <w:rFonts w:ascii="Arial" w:cs="Arial" w:eastAsia="Arial" w:hAnsi="Arial"/>
          <w:sz w:val="17"/>
          <w:szCs w:val="17"/>
          <w:color w:val="auto"/>
        </w:rPr>
        <w:t>If we are unable to complete an initial</w:t>
      </w:r>
    </w:p>
    <w:p>
      <w:pPr>
        <w:spacing w:after="0" w:line="11" w:lineRule="exact"/>
        <w:rPr>
          <w:sz w:val="20"/>
          <w:szCs w:val="20"/>
          <w:color w:val="auto"/>
        </w:rPr>
      </w:pPr>
    </w:p>
    <w:p>
      <w:pPr>
        <w:ind w:left="1260"/>
        <w:spacing w:after="0"/>
        <w:tabs>
          <w:tab w:leader="none" w:pos="3080" w:val="left"/>
        </w:tabs>
        <w:rPr>
          <w:sz w:val="20"/>
          <w:szCs w:val="20"/>
          <w:color w:val="auto"/>
        </w:rPr>
      </w:pPr>
      <w:r>
        <w:rPr>
          <w:rFonts w:ascii="Arial" w:cs="Arial" w:eastAsia="Arial" w:hAnsi="Arial"/>
          <w:sz w:val="18"/>
          <w:szCs w:val="18"/>
          <w:b w:val="1"/>
          <w:bCs w:val="1"/>
          <w:color w:val="auto"/>
        </w:rPr>
        <w:t>deadline</w:t>
      </w:r>
      <w:r>
        <w:rPr>
          <w:sz w:val="20"/>
          <w:szCs w:val="20"/>
          <w:color w:val="auto"/>
        </w:rPr>
        <w:tab/>
      </w:r>
      <w:r>
        <w:rPr>
          <w:rFonts w:ascii="Arial" w:cs="Arial" w:eastAsia="Arial" w:hAnsi="Arial"/>
          <w:sz w:val="18"/>
          <w:szCs w:val="18"/>
          <w:color w:val="auto"/>
        </w:rPr>
        <w:t>business combination within the</w:t>
      </w:r>
    </w:p>
    <w:p>
      <w:pPr>
        <w:ind w:left="3100"/>
        <w:spacing w:after="0" w:line="234" w:lineRule="auto"/>
        <w:rPr>
          <w:sz w:val="20"/>
          <w:szCs w:val="20"/>
          <w:color w:val="auto"/>
        </w:rPr>
      </w:pPr>
      <w:r>
        <w:rPr>
          <w:rFonts w:ascii="Arial" w:cs="Arial" w:eastAsia="Arial" w:hAnsi="Arial"/>
          <w:sz w:val="18"/>
          <w:szCs w:val="18"/>
          <w:color w:val="auto"/>
        </w:rPr>
        <w:t>completion window, we will: (1) cease</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all operations except for the purpose of</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winding up; (2) as promptly as</w:t>
      </w:r>
    </w:p>
    <w:p>
      <w:pPr>
        <w:ind w:left="3100"/>
        <w:spacing w:after="0"/>
        <w:rPr>
          <w:sz w:val="20"/>
          <w:szCs w:val="20"/>
          <w:color w:val="auto"/>
        </w:rPr>
      </w:pPr>
      <w:r>
        <w:rPr>
          <w:rFonts w:ascii="Arial" w:cs="Arial" w:eastAsia="Arial" w:hAnsi="Arial"/>
          <w:sz w:val="17"/>
          <w:szCs w:val="17"/>
          <w:color w:val="auto"/>
        </w:rPr>
        <w:t>reasonably possible but not more than</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ten business days thereafter, redeem</w:t>
      </w:r>
    </w:p>
    <w:p>
      <w:pPr>
        <w:ind w:left="3100"/>
        <w:spacing w:after="0" w:line="234" w:lineRule="auto"/>
        <w:rPr>
          <w:sz w:val="20"/>
          <w:szCs w:val="20"/>
          <w:color w:val="auto"/>
        </w:rPr>
      </w:pPr>
      <w:r>
        <w:rPr>
          <w:rFonts w:ascii="Arial" w:cs="Arial" w:eastAsia="Arial" w:hAnsi="Arial"/>
          <w:sz w:val="18"/>
          <w:szCs w:val="18"/>
          <w:color w:val="auto"/>
        </w:rPr>
        <w:t>100% of the public shares, at a per</w:t>
      </w:r>
    </w:p>
    <w:p>
      <w:pPr>
        <w:ind w:left="3100"/>
        <w:spacing w:after="0" w:line="235" w:lineRule="auto"/>
        <w:rPr>
          <w:sz w:val="20"/>
          <w:szCs w:val="20"/>
          <w:color w:val="auto"/>
        </w:rPr>
      </w:pPr>
      <w:r>
        <w:rPr>
          <w:rFonts w:ascii="Arial" w:cs="Arial" w:eastAsia="Arial" w:hAnsi="Arial"/>
          <w:sz w:val="18"/>
          <w:szCs w:val="18"/>
          <w:color w:val="auto"/>
        </w:rPr>
        <w:t>share price, payable in cash, equal to</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the aggregate amount then on deposit in</w:t>
      </w:r>
    </w:p>
    <w:p>
      <w:pPr>
        <w:spacing w:after="0" w:line="19"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the trust account, including interest (net</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of permitted withdrawals and up to</w:t>
      </w:r>
    </w:p>
    <w:p>
      <w:pPr>
        <w:ind w:left="3100"/>
        <w:spacing w:after="0"/>
        <w:rPr>
          <w:sz w:val="20"/>
          <w:szCs w:val="20"/>
          <w:color w:val="auto"/>
        </w:rPr>
      </w:pPr>
      <w:r>
        <w:rPr>
          <w:rFonts w:ascii="Arial" w:cs="Arial" w:eastAsia="Arial" w:hAnsi="Arial"/>
          <w:sz w:val="17"/>
          <w:szCs w:val="17"/>
          <w:color w:val="auto"/>
        </w:rPr>
        <w:t>$100,000 of interest to pay dissolution</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expenses), divided by the number of</w:t>
      </w:r>
    </w:p>
    <w:p>
      <w:pPr>
        <w:ind w:left="3100"/>
        <w:spacing w:after="0" w:line="234" w:lineRule="auto"/>
        <w:rPr>
          <w:sz w:val="20"/>
          <w:szCs w:val="20"/>
          <w:color w:val="auto"/>
        </w:rPr>
      </w:pPr>
      <w:r>
        <w:rPr>
          <w:rFonts w:ascii="Arial" w:cs="Arial" w:eastAsia="Arial" w:hAnsi="Arial"/>
          <w:sz w:val="18"/>
          <w:szCs w:val="18"/>
          <w:color w:val="auto"/>
        </w:rPr>
        <w:t>then outstanding public shares, which</w:t>
      </w:r>
    </w:p>
    <w:p>
      <w:pPr>
        <w:ind w:left="3100"/>
        <w:spacing w:after="0" w:line="235" w:lineRule="auto"/>
        <w:rPr>
          <w:sz w:val="20"/>
          <w:szCs w:val="20"/>
          <w:color w:val="auto"/>
        </w:rPr>
      </w:pPr>
      <w:r>
        <w:rPr>
          <w:rFonts w:ascii="Arial" w:cs="Arial" w:eastAsia="Arial" w:hAnsi="Arial"/>
          <w:sz w:val="18"/>
          <w:szCs w:val="18"/>
          <w:color w:val="auto"/>
        </w:rPr>
        <w:t>redemption will completely extinguish</w:t>
      </w:r>
    </w:p>
    <w:p>
      <w:pPr>
        <w:ind w:left="3100"/>
        <w:spacing w:after="0" w:line="235" w:lineRule="auto"/>
        <w:rPr>
          <w:sz w:val="20"/>
          <w:szCs w:val="20"/>
          <w:color w:val="auto"/>
        </w:rPr>
      </w:pPr>
      <w:r>
        <w:rPr>
          <w:rFonts w:ascii="Arial" w:cs="Arial" w:eastAsia="Arial" w:hAnsi="Arial"/>
          <w:sz w:val="18"/>
          <w:szCs w:val="18"/>
          <w:color w:val="auto"/>
        </w:rPr>
        <w:t>public stockholders’ rights as</w:t>
      </w:r>
    </w:p>
    <w:p>
      <w:pPr>
        <w:ind w:left="3100"/>
        <w:spacing w:after="0" w:line="235" w:lineRule="auto"/>
        <w:rPr>
          <w:sz w:val="20"/>
          <w:szCs w:val="20"/>
          <w:color w:val="auto"/>
        </w:rPr>
      </w:pPr>
      <w:r>
        <w:rPr>
          <w:rFonts w:ascii="Arial" w:cs="Arial" w:eastAsia="Arial" w:hAnsi="Arial"/>
          <w:sz w:val="18"/>
          <w:szCs w:val="18"/>
          <w:color w:val="auto"/>
        </w:rPr>
        <w:t>stockholders (including the right to</w:t>
      </w:r>
    </w:p>
    <w:p>
      <w:pPr>
        <w:ind w:left="3100"/>
        <w:spacing w:after="0"/>
        <w:rPr>
          <w:sz w:val="20"/>
          <w:szCs w:val="20"/>
          <w:color w:val="auto"/>
        </w:rPr>
      </w:pPr>
      <w:r>
        <w:rPr>
          <w:rFonts w:ascii="Arial" w:cs="Arial" w:eastAsia="Arial" w:hAnsi="Arial"/>
          <w:sz w:val="17"/>
          <w:szCs w:val="17"/>
          <w:color w:val="auto"/>
        </w:rPr>
        <w:t>receive further liquidating distributions,</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if any), subject to applicable law; and</w:t>
      </w:r>
    </w:p>
    <w:p>
      <w:pPr>
        <w:ind w:left="3100"/>
        <w:spacing w:after="0"/>
        <w:rPr>
          <w:sz w:val="20"/>
          <w:szCs w:val="20"/>
          <w:color w:val="auto"/>
        </w:rPr>
      </w:pPr>
      <w:r>
        <w:rPr>
          <w:rFonts w:ascii="Arial" w:cs="Arial" w:eastAsia="Arial" w:hAnsi="Arial"/>
          <w:sz w:val="17"/>
          <w:szCs w:val="17"/>
          <w:color w:val="auto"/>
        </w:rPr>
        <w:t>(3) as promptly as reasonably possible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following such redemption, subject to</w:t>
      </w:r>
    </w:p>
    <w:p>
      <w:pPr>
        <w:ind w:left="3100"/>
        <w:spacing w:after="0" w:line="234" w:lineRule="auto"/>
        <w:rPr>
          <w:sz w:val="20"/>
          <w:szCs w:val="20"/>
          <w:color w:val="auto"/>
        </w:rPr>
      </w:pPr>
      <w:r>
        <w:rPr>
          <w:rFonts w:ascii="Arial" w:cs="Arial" w:eastAsia="Arial" w:hAnsi="Arial"/>
          <w:sz w:val="18"/>
          <w:szCs w:val="18"/>
          <w:color w:val="auto"/>
        </w:rPr>
        <w:t>the approval of our remaining</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stockholders and our board of directors,</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dissolve and liquidate, subject in each</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case to our obligations under Delaware</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law to provide for claims of creditors</w:t>
      </w:r>
    </w:p>
    <w:p>
      <w:pPr>
        <w:ind w:left="3100"/>
        <w:spacing w:after="0" w:line="234" w:lineRule="auto"/>
        <w:rPr>
          <w:sz w:val="20"/>
          <w:szCs w:val="20"/>
          <w:color w:val="auto"/>
        </w:rPr>
      </w:pPr>
      <w:r>
        <w:rPr>
          <w:rFonts w:ascii="Arial" w:cs="Arial" w:eastAsia="Arial" w:hAnsi="Arial"/>
          <w:sz w:val="18"/>
          <w:szCs w:val="18"/>
          <w:color w:val="auto"/>
        </w:rPr>
        <w:t>and the requirements of other</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719"/>
        <w:spacing w:after="0" w:line="259"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6120" w:space="220"/>
            <w:col w:w="3799"/>
          </w:cols>
          <w:pgMar w:left="32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40" w:type="dxa"/>
            <w:vAlign w:val="bottom"/>
            <w:vMerge w:val="continue"/>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Except with respect to permitted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withdrawals, the funds held in the trust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account will not be released from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trust account until the earliest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(1) the completion of our initial</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(2)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redemption of any public shares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properly submitted in connection with 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3"/>
              </w:rPr>
              <w:t>stockholder vote to amend our amended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and restated certificate of incorporation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to modify the substance or timing of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our obligation to provide for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redemption of our public shares in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connection with an initial business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combination or to redeem 100% of our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public shares if we do not complete our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9"/>
              </w:rPr>
              <w:t>initial business combination within the</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completion window; and (3)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redemption of all of our public shares if</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we are unable to complete our initial</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business combination within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completion window, subject to</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applicable law.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739"/>
        <w:spacing w:after="0" w:line="279" w:lineRule="auto"/>
        <w:rPr>
          <w:sz w:val="20"/>
          <w:szCs w:val="20"/>
          <w:color w:val="auto"/>
        </w:rPr>
      </w:pPr>
      <w:r>
        <w:rPr>
          <w:rFonts w:ascii="Arial" w:cs="Arial" w:eastAsia="Arial" w:hAnsi="Arial"/>
          <w:sz w:val="16"/>
          <w:szCs w:val="16"/>
          <w:color w:val="auto"/>
        </w:rPr>
        <w:t>The proceeds held in the escrow account are not released until the earlier of the completion of a business combination and the failure to effect a business combination within the allotted time.</w:t>
      </w:r>
    </w:p>
    <w:p>
      <w:pPr>
        <w:spacing w:after="0" w:line="3772" w:lineRule="exact"/>
        <w:rPr>
          <w:sz w:val="20"/>
          <w:szCs w:val="20"/>
          <w:color w:val="auto"/>
        </w:rPr>
      </w:pPr>
    </w:p>
    <w:p>
      <w:pPr>
        <w:sectPr>
          <w:pgSz w:w="11900" w:h="16838" w:orient="portrait"/>
          <w:cols w:equalWidth="0" w:num="2">
            <w:col w:w="6120" w:space="220"/>
            <w:col w:w="3799"/>
          </w:cols>
          <w:pgMar w:left="320" w:top="131" w:right="1440" w:bottom="1440" w:gutter="0" w:footer="0" w:header="0"/>
        </w:sectPr>
      </w:pPr>
    </w:p>
    <w:p>
      <w:pPr>
        <w:ind w:left="1260"/>
        <w:spacing w:after="0" w:line="275" w:lineRule="auto"/>
        <w:rPr>
          <w:sz w:val="20"/>
          <w:szCs w:val="20"/>
          <w:color w:val="auto"/>
        </w:rPr>
      </w:pPr>
      <w:r>
        <w:rPr>
          <w:rFonts w:ascii="Arial" w:cs="Arial" w:eastAsia="Arial" w:hAnsi="Arial"/>
          <w:sz w:val="16"/>
          <w:szCs w:val="16"/>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Excess Shares (more than an aggregate of 15% of the shares sold in this offering). Our public stockholders’ inability to redeem Excess Shares will reduce their influence over our ability to complete our initial business combination and they could suffer a material loss on their investment in us if they sell Excess Shares in open market transactions.</w:t>
      </w:r>
    </w:p>
    <w:p>
      <w:pPr>
        <w:spacing w:after="0" w:line="20" w:lineRule="exact"/>
        <w:rPr>
          <w:sz w:val="20"/>
          <w:szCs w:val="20"/>
          <w:color w:val="auto"/>
        </w:rPr>
      </w:pPr>
      <w:r>
        <w:rPr>
          <w:sz w:val="20"/>
          <w:szCs w:val="20"/>
          <w:color w:val="auto"/>
        </w:rPr>
        <w:br w:type="column"/>
      </w:r>
    </w:p>
    <w:p>
      <w:pPr>
        <w:ind w:right="699"/>
        <w:spacing w:after="0"/>
        <w:rPr>
          <w:sz w:val="20"/>
          <w:szCs w:val="20"/>
          <w:color w:val="auto"/>
        </w:rPr>
      </w:pPr>
      <w:r>
        <w:rPr>
          <w:rFonts w:ascii="Arial" w:cs="Arial" w:eastAsia="Arial" w:hAnsi="Arial"/>
          <w:sz w:val="18"/>
          <w:szCs w:val="18"/>
          <w:color w:val="auto"/>
        </w:rPr>
        <w:t>Most blank check companies provide no restrictions on the ability of stockholders to redeem shares based on the number of shares held by such stockholders in connection with an initial business combination.</w:t>
      </w:r>
    </w:p>
    <w:p>
      <w:pPr>
        <w:spacing w:after="0" w:line="3641" w:lineRule="exact"/>
        <w:rPr>
          <w:sz w:val="20"/>
          <w:szCs w:val="20"/>
          <w:color w:val="auto"/>
        </w:rPr>
      </w:pPr>
    </w:p>
    <w:p>
      <w:pPr>
        <w:sectPr>
          <w:pgSz w:w="11900" w:h="16838" w:orient="portrait"/>
          <w:cols w:equalWidth="0" w:num="3">
            <w:col w:w="2880" w:space="220"/>
            <w:col w:w="3020" w:space="220"/>
            <w:col w:w="37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Tendering stock</w:t>
            </w: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4"/>
              </w:rPr>
              <w:t>We may require our public stockholders</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b w:val="1"/>
                <w:bCs w:val="1"/>
                <w:color w:val="auto"/>
              </w:rPr>
              <w:t>certificates in</w:t>
            </w: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seeking to exercise their redemption</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b w:val="1"/>
                <w:bCs w:val="1"/>
                <w:color w:val="auto"/>
              </w:rPr>
              <w:t>connection with a</w:t>
            </w: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7"/>
              </w:rPr>
              <w:t>rights, whether they are record holders</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b w:val="1"/>
                <w:bCs w:val="1"/>
                <w:color w:val="auto"/>
              </w:rPr>
              <w:t>tender offer or</w:t>
            </w: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or hold their shares in “street name,” to</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rPr>
              <w:t>redemption rights</w:t>
            </w:r>
          </w:p>
        </w:tc>
        <w:tc>
          <w:tcPr>
            <w:tcW w:w="3020" w:type="dxa"/>
            <w:vAlign w:val="bottom"/>
          </w:tcPr>
          <w:p>
            <w:pPr>
              <w:spacing w:after="0"/>
              <w:rPr>
                <w:sz w:val="20"/>
                <w:szCs w:val="20"/>
                <w:color w:val="auto"/>
              </w:rPr>
            </w:pPr>
            <w:r>
              <w:rPr>
                <w:rFonts w:ascii="Arial" w:cs="Arial" w:eastAsia="Arial" w:hAnsi="Arial"/>
                <w:sz w:val="18"/>
                <w:szCs w:val="18"/>
                <w:color w:val="auto"/>
              </w:rPr>
              <w:t>either tender their certificates to our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transfer agent prior to the date set forth</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in the tender offer documents or proxy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materials mailed to such holders or up</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to two business days prior to the vote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3"/>
              </w:rPr>
              <w:t>on the proposal to approve the business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9"/>
              </w:rPr>
              <w:t>combination in the event we distribute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proxy materials, or to deliver their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shares to the transfer agent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electronically using The Depository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Trust Company’s DWAC</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(Deposit/Withdrawal At Custodian)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System, at the holder’s option.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tender offer or proxy materials, as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applicable, that we will furnish to</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holders of our public shares in</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connection with our initial business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combination will indicate whether we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are requiring public stockholders to</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satisfy such delivery requirements,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8"/>
              </w:rPr>
              <w:t>which will include the requirement that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5"/>
              </w:rPr>
              <w:t>any beneficial owner on whose behalf 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redemption right is being exercised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must identify itself in order to validly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redeem its shares. Accordingly, 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6"/>
              </w:rPr>
              <w:t>public stockholder would have from the</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time we send out our tender offer</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materials until the close of the tender</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5"/>
              </w:rPr>
              <w:t>offer period, or up to two business days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prior to the vote on the business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combination if we distribute proxy</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materials, as applicable, to tender its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w w:val="93"/>
              </w:rPr>
              <w:t>shares if it wishes to seek to exercise its</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redemption rights.</w:t>
            </w:r>
          </w:p>
        </w:tc>
        <w:tc>
          <w:tcPr>
            <w:tcW w:w="0" w:type="dxa"/>
            <w:vAlign w:val="bottom"/>
          </w:tcPr>
          <w:p>
            <w:pPr>
              <w:spacing w:after="0"/>
              <w:rPr>
                <w:sz w:val="1"/>
                <w:szCs w:val="1"/>
                <w:color w:val="auto"/>
              </w:rPr>
            </w:pPr>
          </w:p>
        </w:tc>
      </w:tr>
      <w:tr>
        <w:trPr>
          <w:trHeight w:val="648"/>
        </w:trPr>
        <w:tc>
          <w:tcPr>
            <w:tcW w:w="1840" w:type="dxa"/>
            <w:vAlign w:val="bottom"/>
          </w:tcPr>
          <w:p>
            <w:pPr>
              <w:spacing w:after="0"/>
              <w:rPr>
                <w:sz w:val="20"/>
                <w:szCs w:val="20"/>
                <w:color w:val="auto"/>
              </w:rPr>
            </w:pPr>
            <w:r>
              <w:rPr>
                <w:rFonts w:ascii="Arial" w:cs="Arial" w:eastAsia="Arial" w:hAnsi="Arial"/>
                <w:sz w:val="18"/>
                <w:szCs w:val="18"/>
                <w:b w:val="1"/>
                <w:bCs w:val="1"/>
                <w:color w:val="auto"/>
              </w:rPr>
              <w:t>Competition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9888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right="719"/>
        <w:spacing w:after="0" w:line="252" w:lineRule="auto"/>
        <w:rPr>
          <w:sz w:val="20"/>
          <w:szCs w:val="20"/>
          <w:color w:val="auto"/>
        </w:rPr>
      </w:pPr>
      <w:r>
        <w:rPr>
          <w:rFonts w:ascii="Arial" w:cs="Arial" w:eastAsia="Arial" w:hAnsi="Arial"/>
          <w:sz w:val="17"/>
          <w:szCs w:val="17"/>
          <w:color w:val="auto"/>
        </w:rPr>
        <w:t>In order to perfect redemption rights in connection with their business combinations, holders could vote against a proposed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pacing w:after="0" w:line="5987" w:lineRule="exact"/>
        <w:rPr>
          <w:sz w:val="20"/>
          <w:szCs w:val="20"/>
          <w:color w:val="auto"/>
        </w:rPr>
      </w:pPr>
    </w:p>
    <w:p>
      <w:pPr>
        <w:sectPr>
          <w:pgSz w:w="11900" w:h="16838" w:orient="portrait"/>
          <w:cols w:equalWidth="0" w:num="2">
            <w:col w:w="6120" w:space="220"/>
            <w:col w:w="3799"/>
          </w:cols>
          <w:pgMar w:left="320" w:top="131" w:right="1440" w:bottom="1440" w:gutter="0" w:footer="0" w:header="0"/>
        </w:sectPr>
      </w:pPr>
    </w:p>
    <w:p>
      <w:pPr>
        <w:ind w:left="1260" w:right="759" w:firstLine="360"/>
        <w:spacing w:after="0" w:line="252" w:lineRule="auto"/>
        <w:rPr>
          <w:sz w:val="20"/>
          <w:szCs w:val="20"/>
          <w:color w:val="auto"/>
        </w:rPr>
      </w:pPr>
      <w:r>
        <w:rPr>
          <w:rFonts w:ascii="Arial" w:cs="Arial" w:eastAsia="Arial" w:hAnsi="Arial"/>
          <w:sz w:val="18"/>
          <w:szCs w:val="18"/>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Potential Conflicts of Interest Relating to M. Klein and Company</w:t>
      </w:r>
    </w:p>
    <w:p>
      <w:pPr>
        <w:spacing w:after="0" w:line="108" w:lineRule="exact"/>
        <w:rPr>
          <w:sz w:val="20"/>
          <w:szCs w:val="20"/>
          <w:color w:val="auto"/>
        </w:rPr>
      </w:pPr>
    </w:p>
    <w:p>
      <w:pPr>
        <w:ind w:left="1260" w:right="719" w:firstLine="360"/>
        <w:spacing w:after="0" w:line="274" w:lineRule="auto"/>
        <w:rPr>
          <w:sz w:val="20"/>
          <w:szCs w:val="20"/>
          <w:color w:val="auto"/>
        </w:rPr>
      </w:pPr>
      <w:r>
        <w:rPr>
          <w:rFonts w:ascii="Arial" w:cs="Arial" w:eastAsia="Arial" w:hAnsi="Arial"/>
          <w:sz w:val="17"/>
          <w:szCs w:val="17"/>
          <w:color w:val="auto"/>
        </w:rPr>
        <w:t>Our sponsor is an affiliate of M. Klein and Company. Mr. Klein is the founder and managing partner of M. Klein and Company and acts as a strategic advisor to its clients. Mr. Klein has a fiduciary duty to</w:t>
      </w:r>
    </w:p>
    <w:p>
      <w:pPr>
        <w:ind w:left="1260" w:right="819"/>
        <w:spacing w:after="0" w:line="253" w:lineRule="auto"/>
        <w:rPr>
          <w:sz w:val="20"/>
          <w:szCs w:val="20"/>
          <w:color w:val="auto"/>
        </w:rPr>
      </w:pPr>
      <w:r>
        <w:rPr>
          <w:rFonts w:ascii="Arial" w:cs="Arial" w:eastAsia="Arial" w:hAnsi="Arial"/>
          <w:sz w:val="18"/>
          <w:szCs w:val="18"/>
          <w:color w:val="auto"/>
        </w:rPr>
        <w:t>M. Klein and Company. As a result, Mr. Klein may have a duty to offer acquisition opportunities to clients of M. Klein and Company. Mr. Klein will have no duty to offer acquisition opportunities to the Company unless presented to him solely in his capacity as an officer or director of the Company and after he has satisfied his contractual and fiduciary obligations to other parties.</w:t>
      </w:r>
    </w:p>
    <w:p>
      <w:pPr>
        <w:spacing w:after="0" w:line="85"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As a result, M. Klein and Company’s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M. Klein and Company, including by Mr. Klein and other persons who may make decisions for the company, may be suitable both for us and for M. Klein and Company or any of its clients, and will be directed initially to such persons rather than to us. None of Mr. Klein, M. Klein and Company or members of our management team who are also employed by M. Klein and Company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77"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In addition, Mr. Klein and M. Klein and Company may sponsor or form other blank check companies similar to ours during the period in which we are seeking an initial business combination.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6"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The potential conflicts described above may limit our ability to enter into a business combination or other transactions. These circumstances could give rise to numerous situations where interests may conflict.</w:t>
      </w:r>
    </w:p>
    <w:p>
      <w:pPr>
        <w:spacing w:after="0" w:line="3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Additionally, the engagement of M. Klein and Company, or another affiliate of our sponsor, as our lead financial advisor in connection with our initial business combination may present certain conflicts of interest. See “Risk Factors — 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70"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There can be no assurance that these or other conflicts of interest with the potential for adverse effects on the Company and investors will not arise.</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on Our Access to Investment Opportunities Sourced by M. Klein and Company</w:t>
      </w:r>
    </w:p>
    <w:p>
      <w:pPr>
        <w:spacing w:after="0" w:line="104"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M. Klein and Company may compete with us for acquisition opportunities that we may target for our initial business combination. If M. Klein and Company decides to pursue any such opportunity or determines in its sole discretion not to offer such opportunity to us, we may be precluded from procuring such opportunities. In addition, investment ideas generated within M. Klein and Company or by persons who may make decisions for us may be suitable for both us and for M. Klein and Company may be directed to M. Klein and Company or other third parties rather than to us. M. Klein and Company does not have any fiduciary, contractual or other obligations or duties to our company, including, without limitation, to present us with any opportunity for a potential business combination of which they become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Our management team, in their other endeavors (including any affiliation they may have with M. Klein and Company), may choose or be required to present potential business combinations or other transactions to M. Klein and Company or third parties, before they present such opportunities to us. Please see “Risk Factors — 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 all Members of Our Management Team are Independent of M. Klein and Company</w:t>
      </w:r>
    </w:p>
    <w:p>
      <w:pPr>
        <w:spacing w:after="0" w:line="104"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Our management team is responsible for the management of our affairs. Mr. Klein is the founder and managing partner of M. Klein and Company and acts as a strategic advisor to its clients. Mr. Klein has a fiduciary duty to M. Klein and Company. As a result, Mr. Klein may have a duty to offer acquisition opportunities to clients of M. Klein and Company. Mr. Klein will have no duty to offer acquisition opportunities to the Company unless presented to him in his capacity as an officer or director of the Company. Please see “Management — Conflicts of Interest” for additional information regarding conflicts of interest relating to our management team.</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Sponsor Indemnity</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Therefore, we cannot assure you that our sponsor would be able to satisfy those obligations. We believe the likelihood of our sponsor having to indemnify the trust account is limited because we will endeavor to have all vendors and prospective target businesses as well as other entities execute agreements with us waiving any right, title, interest or claim of any kind in or to monies held in the trust account.</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84"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We currently maintain our executive offices at 640 Fifth Avenue,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10019. The cost for this space is included in the $50,000 per month fee that we will pay an affiliate of our sponsor for office space, administrative and support services. We consider our current office space adequate for our current operations.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currently have [•]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 until we have completed our initial business combination. The amount of time that any such person will devote in any time period to our company will vary based on whether a target business has been selected for our initial business combination and the current stage of the business combination process.</w:t>
      </w:r>
    </w:p>
    <w:p>
      <w:pPr>
        <w:spacing w:after="0" w:line="3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08"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accounting firm.</w:t>
      </w:r>
    </w:p>
    <w:p>
      <w:pPr>
        <w:spacing w:after="0" w:line="63"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the tender offer materials or proxy solicitation materials sent to stockholders to assist them in assessing the target business. These financial statements may be required to be prepared in accordance with, or be reconciled to, GAAP or IFRS, depending on the circumstances and the historical financial statements may be required to be audited in accordance with the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completion window.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76"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87"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80"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73"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60" w:right="679" w:firstLine="8"/>
        <w:spacing w:after="0" w:line="265" w:lineRule="auto"/>
        <w:tabs>
          <w:tab w:leader="none" w:pos="1564" w:val="left"/>
        </w:tabs>
        <w:numPr>
          <w:ilvl w:val="0"/>
          <w:numId w:val="53"/>
        </w:numPr>
        <w:rPr>
          <w:rFonts w:ascii="Arial" w:cs="Arial" w:eastAsia="Arial" w:hAnsi="Arial"/>
          <w:sz w:val="17"/>
          <w:szCs w:val="17"/>
          <w:color w:val="auto"/>
        </w:rPr>
      </w:pPr>
      <w:r>
        <w:rPr>
          <w:rFonts w:ascii="Arial" w:cs="Arial" w:eastAsia="Arial" w:hAnsi="Arial"/>
          <w:sz w:val="17"/>
          <w:szCs w:val="17"/>
          <w:color w:val="auto"/>
        </w:rPr>
        <w:t>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60" w:right="1039"/>
        <w:spacing w:after="0" w:line="260" w:lineRule="auto"/>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 References herein to “emerging growth company” shall have the meaning associated with it in the JOBS Act.</w:t>
      </w:r>
    </w:p>
    <w:p>
      <w:pPr>
        <w:sectPr>
          <w:pgSz w:w="11900" w:h="16838" w:orient="portrait"/>
          <w:cols w:equalWidth="0" w:num="1">
            <w:col w:w="10139"/>
          </w:cols>
          <w:pgMar w:left="320" w:top="131" w:right="1440" w:bottom="1440" w:gutter="0" w:footer="0" w:header="0"/>
        </w:sectPr>
      </w:pPr>
    </w:p>
    <w:p>
      <w:pPr>
        <w:spacing w:after="0" w:line="25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Directors, Director Nominees and Executive Officers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directors, director nominees and officers are as follows: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5780" w:type="dxa"/>
            <w:vAlign w:val="bottom"/>
          </w:tcPr>
          <w:p>
            <w:pPr>
              <w:spacing w:after="0"/>
              <w:rPr>
                <w:sz w:val="20"/>
                <w:szCs w:val="20"/>
                <w:color w:val="auto"/>
              </w:rPr>
            </w:pPr>
            <w:r>
              <w:rPr>
                <w:rFonts w:ascii="Arial" w:cs="Arial" w:eastAsia="Arial" w:hAnsi="Arial"/>
                <w:sz w:val="14"/>
                <w:szCs w:val="14"/>
                <w:b w:val="1"/>
                <w:bCs w:val="1"/>
                <w:color w:val="auto"/>
              </w:rPr>
              <w:t>Title</w:t>
            </w:r>
          </w:p>
        </w:tc>
      </w:tr>
      <w:tr>
        <w:trPr>
          <w:trHeight w:val="26"/>
        </w:trPr>
        <w:tc>
          <w:tcPr>
            <w:tcW w:w="1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50"/>
        </w:trPr>
        <w:tc>
          <w:tcPr>
            <w:tcW w:w="1940" w:type="dxa"/>
            <w:vAlign w:val="bottom"/>
            <w:gridSpan w:val="2"/>
          </w:tcPr>
          <w:p>
            <w:pPr>
              <w:spacing w:after="0"/>
              <w:rPr>
                <w:sz w:val="20"/>
                <w:szCs w:val="20"/>
                <w:color w:val="auto"/>
              </w:rPr>
            </w:pPr>
            <w:r>
              <w:rPr>
                <w:rFonts w:ascii="Arial" w:cs="Arial" w:eastAsia="Arial" w:hAnsi="Arial"/>
                <w:sz w:val="18"/>
                <w:szCs w:val="18"/>
                <w:color w:val="auto"/>
              </w:rPr>
              <w:t>Michael Klein</w:t>
            </w:r>
          </w:p>
        </w:tc>
        <w:tc>
          <w:tcPr>
            <w:tcW w:w="280" w:type="dxa"/>
            <w:vAlign w:val="bottom"/>
          </w:tcPr>
          <w:p>
            <w:pPr>
              <w:ind w:left="2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8"/>
              </w:rPr>
              <w:t>Chief Executive Officer, President and Chairman of the Board of Directors</w:t>
            </w:r>
          </w:p>
        </w:tc>
      </w:tr>
      <w:tr>
        <w:trPr>
          <w:trHeight w:val="257"/>
        </w:trPr>
        <w:tc>
          <w:tcPr>
            <w:tcW w:w="1940" w:type="dxa"/>
            <w:vAlign w:val="bottom"/>
            <w:gridSpan w:val="2"/>
          </w:tcPr>
          <w:p>
            <w:pPr>
              <w:spacing w:after="0"/>
              <w:rPr>
                <w:sz w:val="20"/>
                <w:szCs w:val="20"/>
                <w:color w:val="auto"/>
              </w:rPr>
            </w:pPr>
            <w:r>
              <w:rPr>
                <w:rFonts w:ascii="Arial" w:cs="Arial" w:eastAsia="Arial" w:hAnsi="Arial"/>
                <w:sz w:val="18"/>
                <w:szCs w:val="18"/>
                <w:color w:val="auto"/>
              </w:rPr>
              <w:t>Jay Taragin</w:t>
            </w:r>
          </w:p>
        </w:tc>
        <w:tc>
          <w:tcPr>
            <w:tcW w:w="280" w:type="dxa"/>
            <w:vAlign w:val="bottom"/>
          </w:tcPr>
          <w:p>
            <w:pPr>
              <w:ind w:left="2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2"/>
                <w:szCs w:val="22"/>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194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280" w:type="dxa"/>
            <w:vAlign w:val="bottom"/>
          </w:tcPr>
          <w:p>
            <w:pPr>
              <w:ind w:left="2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2"/>
                <w:szCs w:val="22"/>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57"/>
        </w:trPr>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1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1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161"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Michael Klein </w:t>
      </w:r>
      <w:r>
        <w:rPr>
          <w:rFonts w:ascii="Arial" w:cs="Arial" w:eastAsia="Arial" w:hAnsi="Arial"/>
          <w:sz w:val="17"/>
          <w:szCs w:val="17"/>
          <w:color w:val="auto"/>
        </w:rPr>
        <w:t>is our Chief Executive Officer, President and the Chairman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Klein is also the Chief Executive Officer and Chairman of the Board of Directors of Churchill Capital Corp II, a blank check company whose sponsor is an affiliate of M. Klein and Company, LLC and Chief Executive Officer, President and Chairman of the Board of Directors of Churchill Capital Corp III, a blank check company whose sponsor is an affiliate of M. Klein and Company, LLC. Mr. Klein is currently a Director of Credit Suisse Group AG and Credit Suisse AG. Mr. Klein was the co-founder and Chairman of Churchill Capital Corp, a blank check company formed in 2018. Churchill Capital Corp merged with Clarivate Analytics in May 2019, and Mr. Klein currently serves on the board of directors of Clarivate Analytics. Mr. Klein is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30-year career, including more than two decades at Citi and its predecessors, during which he initiated and executed strategic advisory transactions. He began his career as an investment banker in the M&amp;A Advisory Group at Salomon Smith Barney and subsequently became Chairman and Co-Chief Executive Officer of Citi Markets and Banking, with responsibilities for global corporate and investment banking and Global Transaction Services across Citi. Mr. Klein is a graduate of The Wharton School of the University of Pennsylvania, where he earned his Bachelors of Science in Economics with concentrations in finance and accounting. Mr. Klein was selected to serve on the board of directors due to his significant investment banking and advisory experience.</w:t>
      </w:r>
    </w:p>
    <w:p>
      <w:pPr>
        <w:spacing w:after="0" w:line="79"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b w:val="1"/>
          <w:bCs w:val="1"/>
          <w:i w:val="1"/>
          <w:iCs w:val="1"/>
          <w:color w:val="auto"/>
        </w:rPr>
        <w:t xml:space="preserve">Jay Taragin </w:t>
      </w:r>
      <w:r>
        <w:rPr>
          <w:rFonts w:ascii="Arial" w:cs="Arial" w:eastAsia="Arial" w:hAnsi="Arial"/>
          <w:sz w:val="18"/>
          <w:szCs w:val="18"/>
          <w:color w:val="auto"/>
        </w:rPr>
        <w:t>is our Chief Financial Officer since May 2020. Mr. Taragin is also the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Churchill Capital Corp III since December 2019 and Chief Financial Officer of M. Klein and Company which he joined in May 2019. Prior to joining M. Klein and Company, Mr. Taragin served as the US Scotiabank Chief Financial Officer from 2013 to 2017. Prior to Scotiabank, Mr. Taragin held a Chief Operating and Financial Officer role from 2009 to 2012 at Fundcore Finance Group LLC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8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b w:val="1"/>
          <w:bCs w:val="1"/>
          <w:i w:val="1"/>
          <w:iCs w:val="1"/>
          <w:color w:val="auto"/>
        </w:rPr>
        <w:t xml:space="preserve">Glenn R. August </w:t>
      </w:r>
      <w:r>
        <w:rPr>
          <w:rFonts w:ascii="Arial" w:cs="Arial" w:eastAsia="Arial" w:hAnsi="Arial"/>
          <w:sz w:val="18"/>
          <w:szCs w:val="18"/>
          <w:color w:val="auto"/>
        </w:rPr>
        <w:t>is a Director Nominee and is also a Director of Churchill Capital Corp II and Churchill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Corp III. Mr. August is the Founder, Senior Partner and Chief Executive Officer of Oak Hill Advisors. In addition, he serves as global head of the firm’s distressed investment business. Mr. August has played leadership roles in numerous restructurings and served on numerous public and private company boards since 1987. Since 1996, he co-founded each of Oak Hill Advisors’ funds, where he serves as Managing Partner. He co-founded the predecessor firm to Oak Hill Advisors in 1987 and took over responsibility for its credit and distressed investment activities in 1990. Mr. August earned a Bachelor of Science degree from Cornell University and an M.B.A. from Harvard Business School, where he was a Baker Scholar.</w:t>
      </w:r>
    </w:p>
    <w:p>
      <w:pPr>
        <w:spacing w:after="0" w:line="2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Upon the effectiveness of the registration statement of which this prospectus forms a part, we expect that our board of directors will consist of [•] members. Holders of our founder shares will have the right to elect all of our directors prior to consummation of our initial business combination and holders of our public shares will not have the right to vote on the election of directors during such time. These provisions of our amended and restated certificate of incorporation may only be amended if approved by a majority of at least 90% of our common stock voting at a stockholder meeting. Our board of directors will be divided into three classes with only one class of directors being elected in each year and each class (except for those directors appointed prior to our first annual meeting of stockholders) serving a three-year term. The term of office of the first class of directors, consisting of [•], will expire at our first annual meeting of stockholders. The term of office of the second class of directors, consisting of [•], will expire at the second annual meeting of stockholders. The term of office of the third class of directors, consisting of [•], will expire at the third annual meeting of stockholders. We may not hold an annual meeting of stockholders until after we consummate our initial business combination. Subject to any other special rights applicable to the stockholders, any vacancies on our board of directors may be filled by the affirmative vote of a majority of the directors present and voting at the meeting of our board that includes any directors representing our sponsor then on our board, or by a majority of the holders of our founder shares.</w:t>
      </w:r>
    </w:p>
    <w:p>
      <w:pPr>
        <w:spacing w:after="0" w:line="7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will provide that our officers may consist of a Chief Executive Officer, a President, a Chief Financial Officer, Vice Presidents, a Secretary, Assistant Secretaries, a Treasurer, Assistant Treasurers and such other offices as may be determined by the board of directors.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0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rules of the NYSE require that a majority of our board of directors be independent within one year of our initial public offering. An “independent director” is defined generally as a person that, in the opinion of the company’s board of directors, has no material relationship with the listed company (either directly or as a partner, shareholder or officer of an organization that has a relationship with the company). We expect to have “independent directors” as defined in the NYSE rules and applicable SEC rules prior to completion of this offering. Our board has determined that each of [•] is an independent director under applicable SEC and NYSE rules. Our independent directors will have regularly scheduled meetings at which only independent directors are present.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None of our officers or directors have received any compensation for services rendered to us. Our sponsor, officers, directors and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88" w:lineRule="exact"/>
        <w:rPr>
          <w:sz w:val="20"/>
          <w:szCs w:val="20"/>
          <w:color w:val="auto"/>
        </w:rPr>
      </w:pPr>
    </w:p>
    <w:p>
      <w:pPr>
        <w:ind w:left="1260" w:right="659" w:firstLine="360"/>
        <w:spacing w:after="0" w:line="271"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management or other compensation from the combined company. All compensation will be fully disclosed to stockholders, to the extent then known, in the tender offer materials or proxy solicitation materials furnished to our stockholders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consummation of our initial business combination should be a determining factor in our decision to proceed with any potential business combination.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Upon the effective date of the registration statement of which this prospectus forms a part, our board of directors will have three standing committees: an audit committee, a compensation committee and a nominating and corporate governance committee. Both our audit committee and our compensation committee will be composed solely of independent directors. Subject to phase-in rules, the rules of NYSE and Rule 10A-3 of the Exchange Act require that the audit committee of a listed company be comprised solely of independent directors, and the rules of NYSE require that the compensation committee and the nominating and corporate governance committee of a listed company be comprised solely of independent directors. Each committee will operate under a charter that will be approved by our board and will have the composition and responsibilities described below. The charter of each committee will be available on our website following the closing of this offering.</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an audit committee of the board of directors. The members of our audit committee will initially be [•] and [•] will serve as chairman of the audit committee.</w:t>
      </w:r>
    </w:p>
    <w:p>
      <w:pPr>
        <w:spacing w:after="0" w:line="76"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qualifies as an “audit committee financial expert” as defined in applicable SEC rules and has accounting or related financial management expertise.</w:t>
      </w:r>
    </w:p>
    <w:p>
      <w:pPr>
        <w:spacing w:after="0" w:line="76"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We will adopt an audit committee charter, which will detail the purpose and principal functions of the audit committee, including:</w:t>
      </w:r>
    </w:p>
    <w:p>
      <w:pPr>
        <w:spacing w:after="0" w:line="62" w:lineRule="exact"/>
        <w:rPr>
          <w:sz w:val="20"/>
          <w:szCs w:val="20"/>
          <w:color w:val="auto"/>
        </w:rPr>
      </w:pPr>
    </w:p>
    <w:p>
      <w:pPr>
        <w:ind w:left="1980" w:right="779" w:hanging="352"/>
        <w:spacing w:after="0" w:line="286" w:lineRule="auto"/>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43" w:lineRule="exact"/>
        <w:rPr>
          <w:rFonts w:ascii="Arial" w:cs="Arial" w:eastAsia="Arial" w:hAnsi="Arial"/>
          <w:sz w:val="17"/>
          <w:szCs w:val="17"/>
          <w:color w:val="auto"/>
        </w:rPr>
      </w:pPr>
    </w:p>
    <w:p>
      <w:pPr>
        <w:ind w:left="1980" w:right="799" w:hanging="352"/>
        <w:spacing w:after="0" w:line="342" w:lineRule="auto"/>
        <w:tabs>
          <w:tab w:leader="none" w:pos="1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appointment, compensation, retention, replacement, and oversight of the work of the independent auditors and any other independent registered public accounting firm engaged by us;</w:t>
      </w:r>
    </w:p>
    <w:p>
      <w:pPr>
        <w:spacing w:after="0" w:line="2" w:lineRule="exact"/>
        <w:rPr>
          <w:rFonts w:ascii="Arial" w:cs="Arial" w:eastAsia="Arial" w:hAnsi="Arial"/>
          <w:sz w:val="16"/>
          <w:szCs w:val="16"/>
          <w:color w:val="auto"/>
        </w:rPr>
      </w:pPr>
    </w:p>
    <w:p>
      <w:pPr>
        <w:ind w:left="1980" w:right="799" w:hanging="352"/>
        <w:spacing w:after="0" w:line="263"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62"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48" w:lineRule="exact"/>
        <w:rPr>
          <w:rFonts w:ascii="Arial" w:cs="Arial" w:eastAsia="Arial" w:hAnsi="Arial"/>
          <w:sz w:val="18"/>
          <w:szCs w:val="18"/>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103" w:lineRule="exact"/>
        <w:rPr>
          <w:rFonts w:ascii="Arial" w:cs="Arial" w:eastAsia="Arial" w:hAnsi="Arial"/>
          <w:sz w:val="18"/>
          <w:szCs w:val="18"/>
          <w:color w:val="auto"/>
        </w:rPr>
      </w:pPr>
    </w:p>
    <w:p>
      <w:pPr>
        <w:ind w:left="1980" w:hanging="352"/>
        <w:spacing w:after="0"/>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setting clear policies for audit partner rotation in compliance with applicable laws and regulations;</w:t>
      </w:r>
    </w:p>
    <w:p>
      <w:pPr>
        <w:spacing w:after="0" w:line="128" w:lineRule="exact"/>
        <w:rPr>
          <w:rFonts w:ascii="Arial" w:cs="Arial" w:eastAsia="Arial" w:hAnsi="Arial"/>
          <w:sz w:val="17"/>
          <w:szCs w:val="17"/>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w:t>
      </w:r>
    </w:p>
    <w:p>
      <w:pPr>
        <w:spacing w:after="0" w:line="23" w:lineRule="exact"/>
        <w:rPr>
          <w:rFonts w:ascii="Arial" w:cs="Arial" w:eastAsia="Arial" w:hAnsi="Arial"/>
          <w:sz w:val="18"/>
          <w:szCs w:val="18"/>
          <w:color w:val="auto"/>
        </w:rPr>
      </w:pPr>
    </w:p>
    <w:p>
      <w:pPr>
        <w:ind w:left="1980" w:right="719"/>
        <w:spacing w:after="0" w:line="265" w:lineRule="auto"/>
        <w:rPr>
          <w:rFonts w:ascii="Arial" w:cs="Arial" w:eastAsia="Arial" w:hAnsi="Arial"/>
          <w:sz w:val="18"/>
          <w:szCs w:val="18"/>
          <w:color w:val="auto"/>
        </w:rPr>
      </w:pPr>
      <w:r>
        <w:rPr>
          <w:rFonts w:ascii="Arial" w:cs="Arial" w:eastAsia="Arial" w:hAnsi="Arial"/>
          <w:sz w:val="17"/>
          <w:szCs w:val="17"/>
          <w:color w:val="auto"/>
        </w:rPr>
        <w:t>(1) the independent auditor’s internal quality-control procedures and (2) any material issues raised by the most recent internal quality-control review, or peer review, of the audit firm, or by any inquiry or investigation by governmental or professional authorities, within the preceding</w:t>
      </w:r>
    </w:p>
    <w:p>
      <w:pPr>
        <w:ind w:left="1980" w:right="699"/>
        <w:spacing w:after="0" w:line="260" w:lineRule="auto"/>
        <w:rPr>
          <w:rFonts w:ascii="Arial" w:cs="Arial" w:eastAsia="Arial" w:hAnsi="Arial"/>
          <w:sz w:val="18"/>
          <w:szCs w:val="18"/>
          <w:color w:val="auto"/>
        </w:rPr>
      </w:pPr>
      <w:r>
        <w:rPr>
          <w:rFonts w:ascii="Arial" w:cs="Arial" w:eastAsia="Arial" w:hAnsi="Arial"/>
          <w:sz w:val="18"/>
          <w:szCs w:val="18"/>
          <w:color w:val="auto"/>
        </w:rPr>
        <w:t>five years respecting one or more independent audits carried out by the firm and any steps taken to deal with such issues;</w:t>
      </w:r>
    </w:p>
    <w:p>
      <w:pPr>
        <w:spacing w:after="0" w:line="63"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p>
      <w:pPr>
        <w:sectPr>
          <w:pgSz w:w="11900" w:h="16838" w:orient="portrait"/>
          <w:cols w:equalWidth="0" w:num="1">
            <w:col w:w="10139"/>
          </w:cols>
          <w:pgMar w:left="320" w:top="131" w:right="1440" w:bottom="1440" w:gutter="0" w:footer="0" w:header="0"/>
        </w:sect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hanging="352"/>
        <w:spacing w:after="0"/>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w:t>
      </w:r>
    </w:p>
    <w:p>
      <w:pPr>
        <w:spacing w:after="0" w:line="23"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7"/>
          <w:szCs w:val="17"/>
          <w:color w:val="auto"/>
        </w:rPr>
        <w:t>Item 404 of Regulation S-K promulgated by the SEC prior to us entering into such transaction; and</w:t>
      </w:r>
    </w:p>
    <w:p>
      <w:pPr>
        <w:spacing w:after="0" w:line="141" w:lineRule="exact"/>
        <w:rPr>
          <w:rFonts w:ascii="Arial" w:cs="Arial" w:eastAsia="Arial" w:hAnsi="Arial"/>
          <w:sz w:val="18"/>
          <w:szCs w:val="18"/>
          <w:color w:val="auto"/>
        </w:rPr>
      </w:pPr>
    </w:p>
    <w:p>
      <w:pPr>
        <w:ind w:left="1980" w:right="739" w:hanging="352"/>
        <w:spacing w:after="0" w:line="255"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the board of directors. The members of our compensation committee will be [•] and [•] will serve as chairman of the compensation committee.</w:t>
      </w:r>
    </w:p>
    <w:p>
      <w:pPr>
        <w:spacing w:after="0" w:line="76"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We will adopt a compensation committee charter, which will detail the purpose and responsibility of the compensation committee, including:</w:t>
      </w:r>
    </w:p>
    <w:p>
      <w:pPr>
        <w:spacing w:after="0" w:line="89" w:lineRule="exact"/>
        <w:rPr>
          <w:sz w:val="20"/>
          <w:szCs w:val="20"/>
          <w:color w:val="auto"/>
        </w:rPr>
      </w:pPr>
    </w:p>
    <w:p>
      <w:pPr>
        <w:ind w:left="1980" w:right="759" w:hanging="352"/>
        <w:spacing w:after="0" w:line="259"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05" w:lineRule="exact"/>
        <w:rPr>
          <w:rFonts w:ascii="Arial" w:cs="Arial" w:eastAsia="Arial" w:hAnsi="Arial"/>
          <w:sz w:val="18"/>
          <w:szCs w:val="18"/>
          <w:color w:val="auto"/>
        </w:rPr>
      </w:pPr>
    </w:p>
    <w:p>
      <w:pPr>
        <w:ind w:left="1980" w:right="699" w:hanging="352"/>
        <w:spacing w:after="0" w:line="286" w:lineRule="auto"/>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of directors with respect to (or approving, if such authority is so delegated by our board of directors) the compensation, and any incentive-compensation and equity-based plans that are subject to board approval of all of our other officers;</w:t>
      </w:r>
    </w:p>
    <w:p>
      <w:pPr>
        <w:spacing w:after="0" w:line="84" w:lineRule="exact"/>
        <w:rPr>
          <w:rFonts w:ascii="Arial" w:cs="Arial" w:eastAsia="Arial" w:hAnsi="Arial"/>
          <w:sz w:val="17"/>
          <w:szCs w:val="17"/>
          <w:color w:val="auto"/>
        </w:rPr>
      </w:pPr>
    </w:p>
    <w:p>
      <w:pPr>
        <w:ind w:left="1980" w:hanging="352"/>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42" w:lineRule="exact"/>
        <w:rPr>
          <w:rFonts w:ascii="Arial" w:cs="Arial" w:eastAsia="Arial" w:hAnsi="Arial"/>
          <w:sz w:val="17"/>
          <w:szCs w:val="17"/>
          <w:color w:val="auto"/>
        </w:rPr>
      </w:pPr>
    </w:p>
    <w:p>
      <w:pPr>
        <w:ind w:left="1980" w:right="133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rFonts w:ascii="Arial" w:cs="Arial" w:eastAsia="Arial" w:hAnsi="Arial"/>
          <w:sz w:val="18"/>
          <w:szCs w:val="18"/>
          <w:color w:val="auto"/>
        </w:rPr>
      </w:pPr>
    </w:p>
    <w:p>
      <w:pPr>
        <w:ind w:left="1980" w:right="119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155" w:lineRule="exact"/>
        <w:rPr>
          <w:rFonts w:ascii="Arial" w:cs="Arial" w:eastAsia="Arial" w:hAnsi="Arial"/>
          <w:sz w:val="17"/>
          <w:szCs w:val="17"/>
          <w:color w:val="auto"/>
        </w:rPr>
      </w:pPr>
    </w:p>
    <w:p>
      <w:pPr>
        <w:ind w:left="1980" w:right="141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62" w:lineRule="exact"/>
        <w:rPr>
          <w:sz w:val="20"/>
          <w:szCs w:val="20"/>
          <w:color w:val="auto"/>
        </w:rPr>
      </w:pPr>
    </w:p>
    <w:p>
      <w:pPr>
        <w:jc w:val="both"/>
        <w:ind w:left="1260" w:right="1079" w:firstLine="360"/>
        <w:spacing w:after="0" w:line="286"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w:t>
      </w:r>
    </w:p>
    <w:p>
      <w:pPr>
        <w:spacing w:after="0" w:line="57"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nominating and corporate governance committee of the board of directors. The members of our nominating and corporate governance will be [•] and [•] will serve as chair of the nominating and corporate governance committee.</w:t>
      </w:r>
    </w:p>
    <w:p>
      <w:pPr>
        <w:spacing w:after="0" w:line="79"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We will adopt a nominating and corporate governance committee charter, which will detail the purpose and responsibilities of the nominating and corporate governance committee, including:</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59" w:hanging="352"/>
        <w:spacing w:after="0" w:line="259"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132"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102"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116"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62"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57"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None of our officers currently serves, and in the past year has not served, as a member of the board of directors or compensation committee of any entity that has one or more officers serving on our board of directors.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color w:val="auto"/>
        </w:rPr>
        <w:t>Prior to the effectiveness of the registration statement of which this prospectus is a part, we will have adopted a Code of Ethics applicable to our directors, officers and employees. We will file a copy of our form of Code of Ethics and our audit committee charter as exhibits to the registration statement.</w:t>
      </w:r>
    </w:p>
    <w:p>
      <w:pPr>
        <w:spacing w:after="0" w:line="57"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You will be able to review these documents by accessing our public filings at the SEC’s website at www.sec.gov. In addition, a copy of the Code of Ethics will be provided without charge upon request from us. We intend to disclose any amendments to or waivers of certain provisions of our Code of Ethics in a Current Report on Form 8-K. Please see “Where You Can Find Additional Information.”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management team is responsible for the management of our affairs. As described above and below,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w:t>
      </w:r>
    </w:p>
    <w:p>
      <w:pPr>
        <w:spacing w:after="0" w:line="74"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Our Strategic and Operating Partners and their personnel, if any, may have a duty to offer acquisition opportunities to clients or other parties. Such persons will have no duty to offer acquisition opportunities to the Company unless presented to them solely in their capacity as a director of the Company and after they have satisfied any contractual and fiduciary obligations to other parties.</w:t>
      </w:r>
    </w:p>
    <w:p>
      <w:pPr>
        <w:sectPr>
          <w:pgSz w:w="11900" w:h="16838" w:orient="portrait"/>
          <w:cols w:equalWidth="0" w:num="1">
            <w:col w:w="10139"/>
          </w:cols>
          <w:pgMar w:left="320" w:top="131" w:right="1440" w:bottom="1440" w:gutter="0" w:footer="0" w:header="0"/>
        </w:sect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As a result, such persons may compete with us for acquisition opportunities in the same industries and sectors as we may target for our initial business combination. Consequently, we may be precluded from procuring such opportunities. In addition, investment ideas may be suitable both for us and for a Strategic Partner or Operating Partner or any of its clients, and will be directed initially to such persons rather than to us.</w:t>
      </w:r>
    </w:p>
    <w:p>
      <w:pPr>
        <w:spacing w:after="0" w:line="80"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In addition, any of our Strategic and Operating Partners or their personnel may sponsor or form other blank check companies similar to ours during the period in which we are seeking an initial business combination. In particular, the Operating Partners, as well as M. Klein and Company, Mr. Klein and our board of directors, are actively engaged in Churchill Capital Corp II and Churchill Capital Corp III, special purpose acquisition corporations that completed their initial public offerings in July 2019 and</w:t>
      </w:r>
    </w:p>
    <w:p>
      <w:pPr>
        <w:spacing w:after="0" w:line="3" w:lineRule="exact"/>
        <w:rPr>
          <w:sz w:val="20"/>
          <w:szCs w:val="20"/>
          <w:color w:val="auto"/>
        </w:rPr>
      </w:pPr>
    </w:p>
    <w:p>
      <w:pPr>
        <w:ind w:left="1260" w:right="819"/>
        <w:spacing w:after="0" w:line="253" w:lineRule="auto"/>
        <w:rPr>
          <w:sz w:val="20"/>
          <w:szCs w:val="20"/>
          <w:color w:val="auto"/>
        </w:rPr>
      </w:pPr>
      <w:r>
        <w:rPr>
          <w:rFonts w:ascii="Arial" w:cs="Arial" w:eastAsia="Arial" w:hAnsi="Arial"/>
          <w:sz w:val="18"/>
          <w:szCs w:val="18"/>
          <w:color w:val="auto"/>
        </w:rPr>
        <w:t>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3"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We do not believe, however, that the fiduciary, contractual or other obligations or duties of our officers or directors, M. Klein and Company, or policies applicable to M. Klein and Company, will materially affect our ability to complete our initial business combination.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70"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Our sponsor, officers and directors may participate in the formation of, or become an officer or director of, any other blank check company prior to completion of our initial business combination.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8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85" w:lineRule="exact"/>
        <w:rPr>
          <w:sz w:val="20"/>
          <w:szCs w:val="20"/>
          <w:color w:val="auto"/>
        </w:rPr>
      </w:pPr>
    </w:p>
    <w:p>
      <w:pPr>
        <w:ind w:left="1980" w:right="959" w:hanging="352"/>
        <w:spacing w:after="0" w:line="263"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43" w:lineRule="exact"/>
        <w:rPr>
          <w:rFonts w:ascii="Arial" w:cs="Arial" w:eastAsia="Arial" w:hAnsi="Arial"/>
          <w:sz w:val="18"/>
          <w:szCs w:val="18"/>
          <w:color w:val="auto"/>
        </w:rPr>
      </w:pPr>
    </w:p>
    <w:p>
      <w:pPr>
        <w:ind w:left="1980" w:right="739" w:hanging="352"/>
        <w:spacing w:after="0" w:line="255"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 Please see “— Directors, Director Nominees and Executive Officers” for a description of our management’s other affiliations,</w:t>
      </w:r>
    </w:p>
    <w:p>
      <w:pPr>
        <w:spacing w:after="0" w:line="151" w:lineRule="exact"/>
        <w:rPr>
          <w:rFonts w:ascii="Arial" w:cs="Arial" w:eastAsia="Arial" w:hAnsi="Arial"/>
          <w:sz w:val="18"/>
          <w:szCs w:val="18"/>
          <w:color w:val="auto"/>
        </w:rPr>
      </w:pPr>
    </w:p>
    <w:p>
      <w:pPr>
        <w:ind w:left="1980" w:right="759" w:hanging="352"/>
        <w:spacing w:after="0" w:line="271" w:lineRule="auto"/>
        <w:tabs>
          <w:tab w:leader="none" w:pos="1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rights to liquidating distributions from the trust account with respect to any founder shares held by them if we fail to consummate our initial business combination within the completion window. However, if our initial stockholders or any of our officers, directors or affiliates acquire public shares in or after this offering, they will be entitled to liquidating distributions from the trust account with respect to such public shares if we fail to consummate</w:t>
      </w:r>
    </w:p>
    <w:p>
      <w:pPr>
        <w:sectPr>
          <w:pgSz w:w="11900" w:h="16838" w:orient="portrait"/>
          <w:cols w:equalWidth="0" w:num="1">
            <w:col w:w="10139"/>
          </w:cols>
          <w:pgMar w:left="320" w:top="131" w:right="1440" w:bottom="1440" w:gutter="0" w:footer="0" w:header="0"/>
        </w:sectPr>
      </w:pP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39"/>
        <w:spacing w:after="0" w:line="267" w:lineRule="auto"/>
        <w:rPr>
          <w:sz w:val="20"/>
          <w:szCs w:val="20"/>
          <w:color w:val="auto"/>
        </w:rPr>
      </w:pPr>
      <w:r>
        <w:rPr>
          <w:rFonts w:ascii="Arial" w:cs="Arial" w:eastAsia="Arial" w:hAnsi="Arial"/>
          <w:sz w:val="17"/>
          <w:szCs w:val="17"/>
          <w:color w:val="auto"/>
        </w:rPr>
        <w:t>our initial business combination within the completion window.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stockholders until the earlier of: (1) one year after the completion of our initial business combination; and (2) the date on which we consummate a liquidation, merger, stock exchange, reorganization or other similar transaction after our initial business combination that results in all of our public stockholders having the right to exchange their shares of common stock for cash, securities or other property. Notwithstanding the foregoing, if the closing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shares of common stock underlying such warrants, will not be transferable, assignable or salable by our sponsor until 30 days after the completion of our initial business combination. Since our sponsor,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364" w:lineRule="exact"/>
        <w:rPr>
          <w:sz w:val="20"/>
          <w:szCs w:val="20"/>
          <w:color w:val="auto"/>
        </w:rPr>
      </w:pPr>
    </w:p>
    <w:p>
      <w:pPr>
        <w:ind w:left="1980" w:right="839" w:hanging="352"/>
        <w:spacing w:after="0" w:line="25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147" w:lineRule="exact"/>
        <w:rPr>
          <w:rFonts w:ascii="Arial" w:cs="Arial" w:eastAsia="Arial" w:hAnsi="Arial"/>
          <w:sz w:val="18"/>
          <w:szCs w:val="18"/>
          <w:color w:val="auto"/>
        </w:rPr>
      </w:pPr>
    </w:p>
    <w:p>
      <w:pPr>
        <w:ind w:left="1980" w:right="839" w:hanging="352"/>
        <w:spacing w:after="0" w:line="286" w:lineRule="auto"/>
        <w:tabs>
          <w:tab w:leader="none" w:pos="1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key personnel may have a conflict of interest with respect to evaluating a particular business combination if the retention or resignation of any such key personnel was included by a target business as a condition to any agreement with respect to our initial business combination.</w:t>
      </w:r>
    </w:p>
    <w:p>
      <w:pPr>
        <w:spacing w:after="0" w:line="124" w:lineRule="exact"/>
        <w:rPr>
          <w:rFonts w:ascii="Arial" w:cs="Arial" w:eastAsia="Arial" w:hAnsi="Arial"/>
          <w:sz w:val="17"/>
          <w:szCs w:val="17"/>
          <w:color w:val="auto"/>
        </w:rPr>
      </w:pPr>
    </w:p>
    <w:p>
      <w:pPr>
        <w:ind w:left="1980" w:right="679" w:hanging="352"/>
        <w:spacing w:after="0" w:line="254"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 See “Risk Factors — 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117"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30" w:lineRule="exact"/>
        <w:rPr>
          <w:sz w:val="20"/>
          <w:szCs w:val="20"/>
          <w:color w:val="auto"/>
        </w:rPr>
      </w:pPr>
    </w:p>
    <w:p>
      <w:pPr>
        <w:ind w:left="1980" w:hanging="352"/>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98"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62"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Accordingly, as a result of multiple business affiliations, our officers and directors have similar legal obligations and duties relating to presenting business opportunities meeting the above-listed criteria to multiple entities. Furthermore, our amended and restated certificate of incorporation will provide that the doctrine of corporate opportunity will not apply with respect to any of our officers or directors in circumstances where the application of the doctrine would conflict with any fiduciary duties or contractual obligations they may have, and there will not be any expectancy that any of our directors or officers will</w:t>
      </w:r>
    </w:p>
    <w:p>
      <w:pPr>
        <w:sectPr>
          <w:pgSz w:w="11900" w:h="16838" w:orient="portrait"/>
          <w:cols w:equalWidth="0" w:num="1">
            <w:col w:w="10139"/>
          </w:cols>
          <w:pgMar w:left="320" w:top="131" w:right="1440" w:bottom="1440" w:gutter="0" w:footer="0" w:header="0"/>
        </w:sectPr>
      </w:pP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39"/>
        <w:spacing w:after="0" w:line="263" w:lineRule="auto"/>
        <w:rPr>
          <w:sz w:val="20"/>
          <w:szCs w:val="20"/>
          <w:color w:val="auto"/>
        </w:rPr>
      </w:pPr>
      <w:r>
        <w:rPr>
          <w:rFonts w:ascii="Arial" w:cs="Arial" w:eastAsia="Arial" w:hAnsi="Arial"/>
          <w:sz w:val="18"/>
          <w:szCs w:val="18"/>
          <w:color w:val="auto"/>
        </w:rPr>
        <w:t>offer any such corporate opportunity of which he or she may become aware to us. Below is a table summarizing the entities to which our officers, directors and director nominees currently have fiduciary duties or contractual obligations that may present a conflict of interest:</w:t>
      </w:r>
    </w:p>
    <w:p>
      <w:pPr>
        <w:spacing w:after="0" w:line="9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Name of Individual</w:t>
            </w:r>
          </w:p>
        </w:tc>
        <w:tc>
          <w:tcPr>
            <w:tcW w:w="2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Entity Name</w:t>
            </w: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Entity’s Business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Affiliation</w:t>
            </w:r>
          </w:p>
        </w:tc>
      </w:tr>
      <w:tr>
        <w:trPr>
          <w:trHeight w:val="26"/>
        </w:trPr>
        <w:tc>
          <w:tcPr>
            <w:tcW w:w="1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64"/>
        </w:trPr>
        <w:tc>
          <w:tcPr>
            <w:tcW w:w="1740" w:type="dxa"/>
            <w:vAlign w:val="bottom"/>
            <w:gridSpan w:val="2"/>
          </w:tcPr>
          <w:p>
            <w:pPr>
              <w:spacing w:after="0"/>
              <w:rPr>
                <w:sz w:val="20"/>
                <w:szCs w:val="20"/>
                <w:color w:val="auto"/>
              </w:rPr>
            </w:pPr>
            <w:r>
              <w:rPr>
                <w:rFonts w:ascii="Arial" w:cs="Arial" w:eastAsia="Arial" w:hAnsi="Arial"/>
                <w:sz w:val="18"/>
                <w:szCs w:val="18"/>
                <w:color w:val="auto"/>
              </w:rPr>
              <w:t>Michael Klein</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M. Klein and Company</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Strategic advice</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Founder and Managing Partner</w:t>
            </w:r>
          </w:p>
        </w:tc>
      </w:tr>
      <w:tr>
        <w:trPr>
          <w:trHeight w:val="283"/>
        </w:trPr>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 Suisse Group AG</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Financial services</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70"/>
        </w:trPr>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 Suisse AG</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Financial services</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42"/>
        </w:trPr>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Clarivate Analytics</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Information</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services &amp;</w:t>
            </w:r>
          </w:p>
        </w:tc>
        <w:tc>
          <w:tcPr>
            <w:tcW w:w="2500" w:type="dxa"/>
            <w:vAlign w:val="bottom"/>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analytics</w:t>
            </w:r>
          </w:p>
        </w:tc>
        <w:tc>
          <w:tcPr>
            <w:tcW w:w="2500" w:type="dxa"/>
            <w:vAlign w:val="bottom"/>
          </w:tcPr>
          <w:p>
            <w:pPr>
              <w:spacing w:after="0"/>
              <w:rPr>
                <w:sz w:val="20"/>
                <w:szCs w:val="20"/>
                <w:color w:val="auto"/>
              </w:rPr>
            </w:pPr>
          </w:p>
        </w:tc>
      </w:tr>
      <w:tr>
        <w:trPr>
          <w:trHeight w:val="256"/>
        </w:trPr>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Churchill Capital Corp 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Chief Executive Officer and</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Chairman of the Board of</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Directors</w:t>
            </w:r>
          </w:p>
        </w:tc>
      </w:tr>
      <w:tr>
        <w:trPr>
          <w:trHeight w:val="256"/>
        </w:trPr>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Chief Executive Officer,</w:t>
            </w:r>
          </w:p>
        </w:tc>
      </w:tr>
      <w:tr>
        <w:trPr>
          <w:trHeight w:val="216"/>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President and Chairman of</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the Board of Directors</w:t>
            </w:r>
          </w:p>
        </w:tc>
      </w:tr>
      <w:tr>
        <w:trPr>
          <w:trHeight w:val="297"/>
        </w:trPr>
        <w:tc>
          <w:tcPr>
            <w:tcW w:w="1740" w:type="dxa"/>
            <w:vAlign w:val="bottom"/>
            <w:gridSpan w:val="2"/>
          </w:tcPr>
          <w:p>
            <w:pPr>
              <w:spacing w:after="0"/>
              <w:rPr>
                <w:sz w:val="20"/>
                <w:szCs w:val="20"/>
                <w:color w:val="auto"/>
              </w:rPr>
            </w:pPr>
            <w:r>
              <w:rPr>
                <w:rFonts w:ascii="Arial" w:cs="Arial" w:eastAsia="Arial" w:hAnsi="Arial"/>
                <w:sz w:val="18"/>
                <w:szCs w:val="18"/>
                <w:color w:val="auto"/>
              </w:rPr>
              <w:t>Jay Taragin</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M. Klein and Company</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Strategic advice</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Chief Financial Officer</w:t>
            </w:r>
          </w:p>
        </w:tc>
      </w:tr>
      <w:tr>
        <w:trPr>
          <w:trHeight w:val="256"/>
        </w:trPr>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Chief Financial Officer</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20"/>
                <w:szCs w:val="20"/>
                <w:color w:val="auto"/>
              </w:rPr>
            </w:pPr>
          </w:p>
        </w:tc>
      </w:tr>
      <w:tr>
        <w:trPr>
          <w:trHeight w:val="256"/>
        </w:trPr>
        <w:tc>
          <w:tcPr>
            <w:tcW w:w="174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rPr>
              <w:t>Oak Hill Advisors</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Investment</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Founder, Senior Partner and</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r>
        <w:trPr>
          <w:trHeight w:val="242"/>
        </w:trPr>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Churchill Capital Corp 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20"/>
                <w:szCs w:val="20"/>
                <w:color w:val="auto"/>
              </w:rPr>
            </w:pPr>
          </w:p>
        </w:tc>
      </w:tr>
      <w:tr>
        <w:trPr>
          <w:trHeight w:val="256"/>
        </w:trPr>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rPr>
              <w:t>Churchill Capital Corp III</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Blank check</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company</w:t>
            </w:r>
          </w:p>
        </w:tc>
        <w:tc>
          <w:tcPr>
            <w:tcW w:w="2500" w:type="dxa"/>
            <w:vAlign w:val="bottom"/>
          </w:tcPr>
          <w:p>
            <w:pPr>
              <w:spacing w:after="0"/>
              <w:rPr>
                <w:sz w:val="20"/>
                <w:szCs w:val="20"/>
                <w:color w:val="auto"/>
              </w:rPr>
            </w:pPr>
          </w:p>
        </w:tc>
      </w:tr>
    </w:tbl>
    <w:p>
      <w:pPr>
        <w:spacing w:after="0" w:line="242"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w:t>
      </w:r>
    </w:p>
    <w:p>
      <w:pPr>
        <w:spacing w:after="0" w:line="69"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We do not believe, however, that the fiduciary, contractual or other obligations or duties of our officers or directors, M. Klein and Company, or policies applicable to M. Klein and Company, will materially affect our ability to complete our initial business combination.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70"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M. Klein and Company, one of our Strategic and Operating Partners, our sponsor, officers or directors. In the event we seek to complete our initial business combination with a business that is affiliated with M. Klein and Company, one of our Strategic and Operating Partners, our sponsor, officers or directors, we, or a committee of independent and disinterested directors, will obtain an opinion from an independent investment banking firm that is a member of FINRA or from an independent accounting firm, that such initial business combination is fair to our company from a financial point of view. We are not required to obtain such an opinion in any other context.</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In addition, our sponsor or any of its affiliates, or any of their respective clients,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8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officers and directors have agreed to vote any founder shares and any public shares held by them in favor of our initial business combination, and our officers and directors have also agreed to vote public shares purchased by them (if any) during or after this offering in favor of our initial business combination.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stockholders for breaches of their fiduciary duty as directors, except to the extent such exemption from liability or limitation thereof is not permitted by the DGCL.</w:t>
      </w:r>
    </w:p>
    <w:p>
      <w:pPr>
        <w:spacing w:after="0" w:line="8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permit us to maintain insurance on behalf of any officer, director or employee for any liability arising out of his or her actions, regardless of whether Delaware law would permit such indemnification. We will obtain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87"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84"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62"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In connection with this registration statement, we have undertaken that 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PRINCIPAL STOCKHOLDERS</w:t>
      </w:r>
    </w:p>
    <w:p>
      <w:pPr>
        <w:spacing w:after="0" w:line="108" w:lineRule="exact"/>
        <w:rPr>
          <w:sz w:val="20"/>
          <w:szCs w:val="20"/>
          <w:color w:val="auto"/>
        </w:rPr>
      </w:pPr>
    </w:p>
    <w:p>
      <w:pPr>
        <w:jc w:val="both"/>
        <w:ind w:left="1260" w:right="819" w:firstLine="360"/>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the date of this prospectus, and as adjusted to reflect the sale of our common stock included in the units offered by this prospectus, and assuming no purchase of units in this offering, by:</w:t>
      </w:r>
    </w:p>
    <w:p>
      <w:pPr>
        <w:spacing w:after="0" w:line="71" w:lineRule="exact"/>
        <w:rPr>
          <w:sz w:val="20"/>
          <w:szCs w:val="20"/>
          <w:color w:val="auto"/>
        </w:rPr>
      </w:pPr>
    </w:p>
    <w:p>
      <w:pPr>
        <w:ind w:left="1980" w:right="779" w:hanging="352"/>
        <w:spacing w:after="0" w:line="277" w:lineRule="auto"/>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our executive officers, directors and director nominees as a group.</w:t>
      </w:r>
    </w:p>
    <w:p>
      <w:pPr>
        <w:spacing w:after="0" w:line="117"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these warrants are not exercisable within 60 days of the date of this prospectus.</w:t>
      </w:r>
    </w:p>
    <w:p>
      <w:pPr>
        <w:spacing w:after="0" w:line="79" w:lineRule="exact"/>
        <w:rPr>
          <w:sz w:val="20"/>
          <w:szCs w:val="20"/>
          <w:color w:val="auto"/>
        </w:rPr>
      </w:pPr>
    </w:p>
    <w:p>
      <w:pPr>
        <w:jc w:val="both"/>
        <w:ind w:left="1260" w:right="899" w:firstLine="360"/>
        <w:spacing w:after="0" w:line="286" w:lineRule="auto"/>
        <w:rPr>
          <w:sz w:val="20"/>
          <w:szCs w:val="20"/>
          <w:color w:val="auto"/>
        </w:rPr>
      </w:pPr>
      <w:r>
        <w:rPr>
          <w:rFonts w:ascii="Arial" w:cs="Arial" w:eastAsia="Arial" w:hAnsi="Arial"/>
          <w:sz w:val="17"/>
          <w:szCs w:val="17"/>
          <w:color w:val="auto"/>
        </w:rPr>
        <w:t>The post-offering ownership percentage column below assumes that the underwriters do not exercise their option to purchase additional units, that our sponsor forfeits 2,812,500 founder shares and that there are 93,750,000 shares of our common stock issued and outstanding after this offering.</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tc>
        <w:tc>
          <w:tcPr>
            <w:tcW w:w="220" w:type="dxa"/>
            <w:vAlign w:val="bottom"/>
            <w:vMerge w:val="restart"/>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 Shares</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Before</w:t>
            </w: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229"/>
        </w:trPr>
        <w:tc>
          <w:tcPr>
            <w:tcW w:w="51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300" w:type="dxa"/>
            <w:vAlign w:val="bottom"/>
          </w:tcPr>
          <w:p>
            <w:pPr>
              <w:jc w:val="right"/>
              <w:spacing w:after="0" w:line="230" w:lineRule="exact"/>
              <w:rPr>
                <w:sz w:val="20"/>
                <w:szCs w:val="20"/>
                <w:color w:val="auto"/>
              </w:rPr>
            </w:pPr>
            <w:r>
              <w:rPr>
                <w:rFonts w:ascii="Arial" w:cs="Arial" w:eastAsia="Arial" w:hAnsi="Arial"/>
                <w:sz w:val="14"/>
                <w:szCs w:val="14"/>
                <w:b w:val="1"/>
                <w:bCs w:val="1"/>
                <w:color w:val="auto"/>
                <w:w w:val="86"/>
              </w:rPr>
              <w:t>Beneficially Owned</w:t>
            </w:r>
            <w:r>
              <w:rPr>
                <w:rFonts w:ascii="Arial" w:cs="Arial" w:eastAsia="Arial" w:hAnsi="Arial"/>
                <w:sz w:val="21"/>
                <w:szCs w:val="21"/>
                <w:b w:val="1"/>
                <w:bCs w:val="1"/>
                <w:color w:val="auto"/>
                <w:w w:val="86"/>
                <w:vertAlign w:val="superscript"/>
              </w:rPr>
              <w:t>(2)</w:t>
            </w:r>
          </w:p>
        </w:tc>
        <w:tc>
          <w:tcPr>
            <w:tcW w:w="2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Offering</w:t>
            </w:r>
          </w:p>
        </w:tc>
        <w:tc>
          <w:tcPr>
            <w:tcW w:w="660" w:type="dxa"/>
            <w:vAlign w:val="bottom"/>
          </w:tcPr>
          <w:p>
            <w:pPr>
              <w:jc w:val="right"/>
              <w:spacing w:after="0" w:line="230" w:lineRule="exact"/>
              <w:rPr>
                <w:sz w:val="20"/>
                <w:szCs w:val="20"/>
                <w:color w:val="auto"/>
              </w:rPr>
            </w:pPr>
            <w:r>
              <w:rPr>
                <w:rFonts w:ascii="Arial" w:cs="Arial" w:eastAsia="Arial" w:hAnsi="Arial"/>
                <w:sz w:val="14"/>
                <w:szCs w:val="14"/>
                <w:b w:val="1"/>
                <w:bCs w:val="1"/>
                <w:color w:val="auto"/>
                <w:w w:val="86"/>
              </w:rPr>
              <w:t>Offering</w:t>
            </w:r>
            <w:r>
              <w:rPr>
                <w:rFonts w:ascii="Arial" w:cs="Arial" w:eastAsia="Arial" w:hAnsi="Arial"/>
                <w:sz w:val="21"/>
                <w:szCs w:val="21"/>
                <w:b w:val="1"/>
                <w:bCs w:val="1"/>
                <w:color w:val="auto"/>
                <w:w w:val="86"/>
                <w:vertAlign w:val="superscript"/>
              </w:rPr>
              <w:t>(2)</w:t>
            </w:r>
          </w:p>
        </w:tc>
        <w:tc>
          <w:tcPr>
            <w:tcW w:w="0" w:type="dxa"/>
            <w:vAlign w:val="bottom"/>
          </w:tcPr>
          <w:p>
            <w:pPr>
              <w:spacing w:after="0"/>
              <w:rPr>
                <w:sz w:val="1"/>
                <w:szCs w:val="1"/>
                <w:color w:val="auto"/>
              </w:rPr>
            </w:pPr>
          </w:p>
        </w:tc>
      </w:tr>
      <w:tr>
        <w:trPr>
          <w:trHeight w:val="20"/>
        </w:trPr>
        <w:tc>
          <w:tcPr>
            <w:tcW w:w="5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0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Annetta Sponsor LLC</w:t>
            </w:r>
            <w:r>
              <w:rPr>
                <w:rFonts w:ascii="Arial" w:cs="Arial" w:eastAsia="Arial" w:hAnsi="Arial"/>
                <w:sz w:val="26"/>
                <w:szCs w:val="26"/>
                <w:color w:val="auto"/>
                <w:vertAlign w:val="superscript"/>
              </w:rPr>
              <w:t>(3)</w:t>
            </w:r>
          </w:p>
        </w:tc>
        <w:tc>
          <w:tcPr>
            <w:tcW w:w="220" w:type="dxa"/>
            <w:vAlign w:val="bottom"/>
            <w:vMerge w:val="continue"/>
            <w:shd w:val="clear" w:color="auto" w:fill="CCEEFF"/>
          </w:tcPr>
          <w:p>
            <w:pPr>
              <w:spacing w:after="0"/>
              <w:rPr>
                <w:sz w:val="22"/>
                <w:szCs w:val="22"/>
                <w:color w:val="auto"/>
              </w:rPr>
            </w:pP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21,562,500</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5320" w:type="dxa"/>
            <w:vAlign w:val="bottom"/>
            <w:gridSpan w:val="2"/>
          </w:tcPr>
          <w:p>
            <w:pPr>
              <w:spacing w:after="0" w:line="270" w:lineRule="exact"/>
              <w:rPr>
                <w:sz w:val="20"/>
                <w:szCs w:val="20"/>
                <w:color w:val="auto"/>
              </w:rPr>
            </w:pPr>
            <w:r>
              <w:rPr>
                <w:rFonts w:ascii="Arial" w:cs="Arial" w:eastAsia="Arial" w:hAnsi="Arial"/>
                <w:sz w:val="18"/>
                <w:szCs w:val="18"/>
                <w:color w:val="auto"/>
              </w:rPr>
              <w:t>Michael Klein</w:t>
            </w:r>
            <w:r>
              <w:rPr>
                <w:rFonts w:ascii="Arial" w:cs="Arial" w:eastAsia="Arial" w:hAnsi="Arial"/>
                <w:sz w:val="26"/>
                <w:szCs w:val="26"/>
                <w:color w:val="auto"/>
                <w:vertAlign w:val="superscript"/>
              </w:rPr>
              <w:t>(3)</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21,562,500</w:t>
            </w:r>
          </w:p>
        </w:tc>
        <w:tc>
          <w:tcPr>
            <w:tcW w:w="22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7"/>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Taragin</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32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 individuals)</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21,562,500</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-839470</wp:posOffset>
            </wp:positionV>
            <wp:extent cx="1371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-839470</wp:posOffset>
            </wp:positionV>
            <wp:extent cx="137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-839470</wp:posOffset>
            </wp:positionV>
            <wp:extent cx="137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1620" w:right="1119" w:hanging="352"/>
        <w:spacing w:after="0" w:line="268"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Annetta Acquisition Corp, 640 Fifth Avenue,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10019.</w:t>
      </w:r>
    </w:p>
    <w:p>
      <w:pPr>
        <w:spacing w:after="0" w:line="1" w:lineRule="exact"/>
        <w:rPr>
          <w:rFonts w:ascii="Arial" w:cs="Arial" w:eastAsia="Arial" w:hAnsi="Arial"/>
          <w:sz w:val="18"/>
          <w:szCs w:val="18"/>
          <w:color w:val="auto"/>
        </w:rPr>
      </w:pPr>
    </w:p>
    <w:p>
      <w:pPr>
        <w:ind w:left="1620" w:right="699" w:hanging="352"/>
        <w:spacing w:after="0" w:line="259"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Interests shown consist solely of shares of Class B common stock which are referred to herein as founder shares. Such shares will automatically convert into shares of Class A common stock at the time of our initial business combination on a one-for-one basis, subject to adjustment, as described in the section entitled “Description of Securities.”</w:t>
      </w:r>
    </w:p>
    <w:p>
      <w:pPr>
        <w:spacing w:after="0" w:line="78" w:lineRule="exact"/>
        <w:rPr>
          <w:rFonts w:ascii="Arial" w:cs="Arial" w:eastAsia="Arial" w:hAnsi="Arial"/>
          <w:sz w:val="18"/>
          <w:szCs w:val="18"/>
          <w:color w:val="auto"/>
        </w:rPr>
      </w:pPr>
    </w:p>
    <w:p>
      <w:pPr>
        <w:ind w:left="1620" w:right="739" w:hanging="352"/>
        <w:spacing w:after="0" w:line="263"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Michael Klein is the sole stockholder of M. Klein Associates, Inc., which is the managing member of Annetta Sponsor LLC. The shares beneficially owned by Annetta Sponsor LLC may also be deemed to be beneficially owned by Mr. Klein.</w:t>
      </w:r>
    </w:p>
    <w:p>
      <w:pPr>
        <w:spacing w:after="0" w:line="76"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Upon the completion of this offering, our initial stockholders will beneficially own 20.0% of the then issued and outstanding shares of our common stock. Our initial stockholders will have the right to elect all of our directors prior to the consummation of our initial business combination as a result of holding all of the founder shares. In addition, because of this ownership block, our initial stockholders may be able to effectively influence the outcome of all matters requiring approval by our stockholders, including amendments to our amended and restated certificate of incorporation and approval of significant corporate transactions.</w:t>
      </w:r>
    </w:p>
    <w:p>
      <w:pPr>
        <w:spacing w:after="0" w:line="87"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Our sponsor has subscribed to purchase an aggregate of 16,000,000 (or 18,250,000 if the underwriters’ option to purchase additional units is exercised in full) private placement warrants at a price of $1.00 per warrant ($16,000,000 in the aggregate or $18,250,000 in the aggregate if the underwriters’ option to purchase additional units is exercised in full) in the Private Placement. Each private placement warrant entitles the holder thereof to purchase one share of our Class A common stock at $11.50 per share, subject to adjustment as provided herein. Proceeds from the private placement warrants will be added to the</w:t>
      </w:r>
    </w:p>
    <w:p>
      <w:pPr>
        <w:sectPr>
          <w:pgSz w:w="11900" w:h="16838" w:orient="portrait"/>
          <w:cols w:equalWidth="0" w:num="1">
            <w:col w:w="10139"/>
          </w:cols>
          <w:pgMar w:left="320" w:top="131" w:right="1440" w:bottom="1440" w:gutter="0" w:footer="0" w:header="0"/>
        </w:sect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proceeds from this offering to be held in the trust account. If we do not complete our initial business combination within the completion window,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w:t>
      </w:r>
    </w:p>
    <w:p>
      <w:pPr>
        <w:spacing w:after="0" w:line="86"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Our sponsor is deemed to be our “promoter” as such term is defined under the federal securities laws. Please see “Certain Relationships and Related Party Transactions” for additional information regarding our relationships with our promoters.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founder shares, private placement warrants and any shares of Class A common stock issued upon conversion or exercise thereof are each subject to transfer restrictions pursuant to lock-up provisions in the letter agreement with us to be entered into by our initial stockholders. Those lock-up provisions provide that such securities are not transferable or salable (1) in the case of the founder shares, until the earlier of</w:t>
      </w:r>
    </w:p>
    <w:p>
      <w:pPr>
        <w:spacing w:after="0" w:line="2" w:lineRule="exact"/>
        <w:rPr>
          <w:sz w:val="20"/>
          <w:szCs w:val="20"/>
          <w:color w:val="auto"/>
        </w:rPr>
      </w:pPr>
    </w:p>
    <w:p>
      <w:pPr>
        <w:ind w:left="1260" w:right="679" w:firstLine="8"/>
        <w:spacing w:after="0" w:line="265" w:lineRule="auto"/>
        <w:tabs>
          <w:tab w:leader="none" w:pos="1569" w:val="left"/>
        </w:tabs>
        <w:numPr>
          <w:ilvl w:val="0"/>
          <w:numId w:val="63"/>
        </w:numPr>
        <w:rPr>
          <w:rFonts w:ascii="Arial" w:cs="Arial" w:eastAsia="Arial" w:hAnsi="Arial"/>
          <w:sz w:val="17"/>
          <w:szCs w:val="17"/>
          <w:color w:val="auto"/>
        </w:rPr>
      </w:pPr>
      <w:r>
        <w:rPr>
          <w:rFonts w:ascii="Arial" w:cs="Arial" w:eastAsia="Arial" w:hAnsi="Arial"/>
          <w:sz w:val="17"/>
          <w:szCs w:val="17"/>
          <w:color w:val="auto"/>
        </w:rPr>
        <w:t>one year after the completion of our initial business combination and (B) subsequent to our initial business combination, (x) if the closing price of the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stock exchange, reorganization or other similar transaction that results in all of our public stockholders having the right to exchange their shares of Class A common stock for cash, securities or other property, and (2) in the case of the private placement warrants and the respective Class A common stock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w:t>
      </w:r>
    </w:p>
    <w:p>
      <w:pPr>
        <w:spacing w:after="0" w:line="2"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7"/>
          <w:szCs w:val="17"/>
          <w:color w:val="auto"/>
        </w:rPr>
        <w:t>(c) in the case of an individual, by virtue of laws of descent and distribution upon death of the individual;</w:t>
      </w:r>
    </w:p>
    <w:p>
      <w:pPr>
        <w:spacing w:after="0" w:line="20" w:lineRule="exact"/>
        <w:rPr>
          <w:rFonts w:ascii="Arial" w:cs="Arial" w:eastAsia="Arial" w:hAnsi="Arial"/>
          <w:sz w:val="17"/>
          <w:szCs w:val="17"/>
          <w:color w:val="auto"/>
        </w:rPr>
      </w:pPr>
    </w:p>
    <w:p>
      <w:pPr>
        <w:ind w:left="1260" w:right="699"/>
        <w:spacing w:after="0" w:line="265" w:lineRule="auto"/>
        <w:rPr>
          <w:rFonts w:ascii="Arial" w:cs="Arial" w:eastAsia="Arial" w:hAnsi="Arial"/>
          <w:sz w:val="17"/>
          <w:szCs w:val="17"/>
          <w:color w:val="auto"/>
        </w:rPr>
      </w:pPr>
      <w:r>
        <w:rPr>
          <w:rFonts w:ascii="Arial" w:cs="Arial" w:eastAsia="Arial" w:hAnsi="Arial"/>
          <w:sz w:val="17"/>
          <w:szCs w:val="17"/>
          <w:color w:val="auto"/>
        </w:rPr>
        <w:t>(d) in the case of an individual, pursuant to a qualified domestic relations order; (e) transfers by private sales or transfers made in connection with consummation of a business combination at prices no greater than the price at which the securities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stock exchange, reorganization or other similar transaction which results in all of our public stockholders having the right to exchange their shares of Class A common stock for cash, securities or other property subsequent to our completion of our initial business combination; or</w:t>
      </w:r>
    </w:p>
    <w:p>
      <w:pPr>
        <w:spacing w:after="0" w:line="1" w:lineRule="exact"/>
        <w:rPr>
          <w:rFonts w:ascii="Arial" w:cs="Arial" w:eastAsia="Arial" w:hAnsi="Arial"/>
          <w:sz w:val="17"/>
          <w:szCs w:val="17"/>
          <w:color w:val="auto"/>
        </w:rPr>
      </w:pPr>
    </w:p>
    <w:p>
      <w:pPr>
        <w:ind w:left="1260" w:right="919"/>
        <w:spacing w:after="0" w:line="265" w:lineRule="auto"/>
        <w:rPr>
          <w:rFonts w:ascii="Arial" w:cs="Arial" w:eastAsia="Arial" w:hAnsi="Arial"/>
          <w:sz w:val="17"/>
          <w:szCs w:val="17"/>
          <w:color w:val="auto"/>
        </w:rPr>
      </w:pPr>
      <w:r>
        <w:rPr>
          <w:rFonts w:ascii="Arial" w:cs="Arial" w:eastAsia="Arial" w:hAnsi="Arial"/>
          <w:sz w:val="17"/>
          <w:szCs w:val="17"/>
          <w:color w:val="auto"/>
        </w:rPr>
        <w:t>(i) to a nominee or custodian of a person or entity to whom a disposition or transfer would be permissible under clauses (a) through (h) above, provided, however, that in the case of clauses (a) through (e) and</w:t>
      </w:r>
    </w:p>
    <w:p>
      <w:pPr>
        <w:ind w:left="1260" w:right="959"/>
        <w:spacing w:after="0" w:line="260" w:lineRule="auto"/>
        <w:rPr>
          <w:rFonts w:ascii="Arial" w:cs="Arial" w:eastAsia="Arial" w:hAnsi="Arial"/>
          <w:sz w:val="17"/>
          <w:szCs w:val="17"/>
          <w:color w:val="auto"/>
        </w:rPr>
      </w:pPr>
      <w:r>
        <w:rPr>
          <w:rFonts w:ascii="Arial" w:cs="Arial" w:eastAsia="Arial" w:hAnsi="Arial"/>
          <w:sz w:val="18"/>
          <w:szCs w:val="18"/>
          <w:color w:val="auto"/>
        </w:rPr>
        <w:t>(i) these permitted transferees must enter into a written agreement agreeing to be bound by these transfer restrictions and the other restrictions contained in the letter agreement.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899" w:firstLine="360"/>
        <w:spacing w:after="0" w:line="291"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shares of common stock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to shares of Class A common stock). The holders of these securities will be entitled to make up to three demands, excluding short form</w:t>
      </w:r>
    </w:p>
    <w:p>
      <w:pPr>
        <w:sectPr>
          <w:pgSz w:w="11900" w:h="16838" w:orient="portrait"/>
          <w:cols w:equalWidth="0" w:num="1">
            <w:col w:w="10139"/>
          </w:cols>
          <w:pgMar w:left="320" w:top="131" w:right="1440" w:bottom="1440" w:gutter="0" w:footer="0" w:header="0"/>
        </w:sectPr>
      </w:pP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39"/>
        <w:spacing w:after="0" w:line="257" w:lineRule="auto"/>
        <w:rPr>
          <w:sz w:val="20"/>
          <w:szCs w:val="20"/>
          <w:color w:val="auto"/>
        </w:rPr>
      </w:pPr>
      <w:r>
        <w:rPr>
          <w:rFonts w:ascii="Arial" w:cs="Arial" w:eastAsia="Arial" w:hAnsi="Arial"/>
          <w:sz w:val="18"/>
          <w:szCs w:val="18"/>
          <w:color w:val="auto"/>
        </w:rPr>
        <w:t>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We will bear the expenses incurred in connection with the filing of any such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8"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In May 2020, our sponsor purchased an aggregate of 21,562,500 founder shares for an aggregate purchase price of $25,000, or approximately $0.001 per share. The number of founder shares issued was determined based on the expectation that the founder shares would represent 20% of the outstanding shares of common stock upon completion of this offering. If we increase or decrease the size of this offering, we will effect a stock dividend or share contribution back to capital or other appropriate mechanism, as applicable, with respect to our Class B common stock immediately prior to the consummation of this offering in such amount as to maintain the ownership of founder shares by our initial stockholders prior to this offering at 20% of our issued and outstanding shares of our common stock upon the consummation of this offering.</w:t>
      </w:r>
    </w:p>
    <w:p>
      <w:pPr>
        <w:spacing w:after="0" w:line="8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Our sponsor has subscribed to purchase an aggregate of 16,000,000 (or 18,250,000 if the underwriters’ option to purchase additional units is exercised in full) private placement warrants for a purchase price of $1.00 per warrant in the Private Placement. As such, our sponsor’s interest in this transaction is valued at between $16,000,000 and $18,250,000, depending on the number of private placement warrants purchased. Each private placement warrant entitles the holder thereof to purchase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our sponsor until 30 days after the completion of our initial business combination.</w:t>
      </w:r>
    </w:p>
    <w:p>
      <w:pPr>
        <w:spacing w:after="0" w:line="73" w:lineRule="exact"/>
        <w:rPr>
          <w:sz w:val="20"/>
          <w:szCs w:val="20"/>
          <w:color w:val="auto"/>
        </w:rPr>
      </w:pPr>
    </w:p>
    <w:p>
      <w:pPr>
        <w:ind w:left="1260" w:right="859" w:firstLine="360"/>
        <w:spacing w:after="0" w:line="254" w:lineRule="auto"/>
        <w:rPr>
          <w:sz w:val="20"/>
          <w:szCs w:val="20"/>
          <w:color w:val="auto"/>
        </w:rPr>
      </w:pPr>
      <w:r>
        <w:rPr>
          <w:rFonts w:ascii="Arial" w:cs="Arial" w:eastAsia="Arial" w:hAnsi="Arial"/>
          <w:sz w:val="18"/>
          <w:szCs w:val="18"/>
          <w:color w:val="auto"/>
        </w:rPr>
        <w:t>As described in “Proposed Business — Sourcing of Potential Business Combination Targets” and “Management — Conflicts of Interest,”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Our officers and directors currently have other relevant fiduciary, contractual or other obligations or duties that may take priority over their duties to us.</w:t>
      </w:r>
    </w:p>
    <w:p>
      <w:pPr>
        <w:spacing w:after="0" w:line="84"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will enter into an Administrative Services Agreement pursuant to which we will also pay an affiliate of our sponsor a total of $50,000 per month for office space, administrative and support services. Upon completion of our initial business combination or our liquidation, we will cease paying these monthly fees. Accordingly, in the event the consummation of our initial business combination takes the maximum 27 months, an affiliate of our sponsor will be paid a total of $1,350,000 ($50,000 per month) for office space, administrative and support services and will be entitled to be reimbursed for any out-of-pocket expenses.</w:t>
      </w:r>
    </w:p>
    <w:p>
      <w:pPr>
        <w:spacing w:after="0" w:line="87"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79"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and will determine which expenses and the amount of expenses that will be reimbursed. There is no cap or ceiling on the reimbursement of out-of-pocket expenses incurred by such persons in connection with activities on our behalf.</w:t>
      </w:r>
    </w:p>
    <w:p>
      <w:pPr>
        <w:spacing w:after="0" w:line="87"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Our sponsor has agreed to loan us up to $600,000 under an unsecured promissory note to be used for a portion of the expenses of this offering. As of May 22, 2020, there were no amounts outstanding under such promissory note. These loans are non-interest bearing, unsecured and are due at the earlier of December 31, 2021 and the closing of this offering. These loans will be repaid upon completion of this offering out of the $1,000,000 of offering proceeds that has been allocated for the payment of offering expenses (other than underwriting commissions) not held in the trust account. The value of our sponsor’s interest in this loan transaction corresponds to the principal amount outstanding under any such loan.</w:t>
      </w:r>
    </w:p>
    <w:p>
      <w:pPr>
        <w:sectPr>
          <w:pgSz w:w="11900" w:h="16838" w:orient="portrait"/>
          <w:cols w:equalWidth="0" w:num="1">
            <w:col w:w="10139"/>
          </w:cols>
          <w:pgMar w:left="320" w:top="131" w:right="1440" w:bottom="1440" w:gutter="0" w:footer="0" w:header="0"/>
        </w:sect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78"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After our initial business combination, members of our management team who remain with us, if any,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officer and director compensation.</w:t>
      </w:r>
    </w:p>
    <w:p>
      <w:pPr>
        <w:spacing w:after="0" w:line="69" w:lineRule="exact"/>
        <w:rPr>
          <w:sz w:val="20"/>
          <w:szCs w:val="20"/>
          <w:color w:val="auto"/>
        </w:rPr>
      </w:pPr>
    </w:p>
    <w:p>
      <w:pPr>
        <w:jc w:val="both"/>
        <w:ind w:left="1260" w:right="1359" w:firstLine="360"/>
        <w:spacing w:after="0" w:line="263" w:lineRule="auto"/>
        <w:rPr>
          <w:sz w:val="20"/>
          <w:szCs w:val="20"/>
          <w:color w:val="auto"/>
        </w:rPr>
      </w:pPr>
      <w:r>
        <w:rPr>
          <w:rFonts w:ascii="Arial" w:cs="Arial" w:eastAsia="Arial" w:hAnsi="Arial"/>
          <w:sz w:val="18"/>
          <w:szCs w:val="18"/>
          <w:color w:val="auto"/>
        </w:rPr>
        <w:t>We have entered into a registration rights agreement with respect to the founder shares, private placement warrants and warrants issued upon conversion of working capital loans (if any), which is described under the heading “Principal Stockholders — Registration Rights.”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Policy</w:t>
      </w:r>
    </w:p>
    <w:p>
      <w:pPr>
        <w:spacing w:after="0" w:line="108" w:lineRule="exact"/>
        <w:rPr>
          <w:sz w:val="20"/>
          <w:szCs w:val="20"/>
          <w:color w:val="auto"/>
        </w:rPr>
      </w:pPr>
    </w:p>
    <w:p>
      <w:pPr>
        <w:ind w:left="1260" w:right="1179" w:firstLine="360"/>
        <w:spacing w:after="0" w:line="263"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76"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68"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Our audit committee will review on a quarterly basis all payments that were made by us to our sponsor, officers or directors, or our or any of their affiliates.</w:t>
      </w:r>
    </w:p>
    <w:p>
      <w:pPr>
        <w:spacing w:after="0" w:line="70" w:lineRule="exact"/>
        <w:rPr>
          <w:sz w:val="20"/>
          <w:szCs w:val="20"/>
          <w:color w:val="auto"/>
        </w:rPr>
      </w:pPr>
    </w:p>
    <w:p>
      <w:pPr>
        <w:ind w:left="1260" w:right="979" w:firstLine="360"/>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38"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which is a member of FINRA or an independent accounting firm that our initial business combination is fair to our company from a financial point of view. There will be no finder’s fees, reimbursement, consulting fee, monies in respect of any payment of a loan or other compensation paid by us to our sponsor, officers or directors or our or any of their respective affiliates, for services rendered to us prior to or in connection with the completion of our initial business combination (regardless of the type of</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63" w:lineRule="auto"/>
        <w:rPr>
          <w:sz w:val="20"/>
          <w:szCs w:val="20"/>
          <w:color w:val="auto"/>
        </w:rPr>
      </w:pPr>
      <w:r>
        <w:rPr>
          <w:rFonts w:ascii="Arial" w:cs="Arial" w:eastAsia="Arial" w:hAnsi="Arial"/>
          <w:sz w:val="18"/>
          <w:szCs w:val="18"/>
          <w:color w:val="auto"/>
        </w:rPr>
        <w:t>transaction that it is). However, the following payments may be made to our sponsor, officers or directors, or our or their affiliates, and, if made prior to our initial business combination will be made from (i) funds held outside the trust account or (ii) permitted withdrawals:</w:t>
      </w:r>
    </w:p>
    <w:p>
      <w:pPr>
        <w:spacing w:after="0" w:line="157" w:lineRule="exact"/>
        <w:rPr>
          <w:sz w:val="20"/>
          <w:szCs w:val="20"/>
          <w:color w:val="auto"/>
        </w:rPr>
      </w:pPr>
    </w:p>
    <w:p>
      <w:pPr>
        <w:ind w:left="1980" w:right="699" w:hanging="352"/>
        <w:spacing w:after="0" w:line="277"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repayment of an aggregate of up to $600,000 in loans made to us by our sponsor to cover offering-related and organizational expenses;</w:t>
      </w:r>
    </w:p>
    <w:p>
      <w:pPr>
        <w:spacing w:after="0" w:line="129" w:lineRule="exact"/>
        <w:rPr>
          <w:rFonts w:ascii="Arial" w:cs="Arial" w:eastAsia="Arial" w:hAnsi="Arial"/>
          <w:sz w:val="18"/>
          <w:szCs w:val="18"/>
          <w:color w:val="auto"/>
        </w:rPr>
      </w:pPr>
    </w:p>
    <w:p>
      <w:pPr>
        <w:jc w:val="both"/>
        <w:ind w:left="1980" w:right="819" w:hanging="352"/>
        <w:spacing w:after="0" w:line="263"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the closing of our initial business combination, a customary financial advisory fee to M. Klein and Company, or another affiliate of our sponsor, in an amount that constitutes a market standard financial advisory fee for comparable transactions;</w:t>
      </w:r>
    </w:p>
    <w:p>
      <w:pPr>
        <w:spacing w:after="0" w:line="143"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payment to an affiliate of our sponsor of a total of $50,000 per month, for up to 27 months, for office space, administrative and support services;</w:t>
      </w:r>
    </w:p>
    <w:p>
      <w:pPr>
        <w:spacing w:after="0" w:line="143"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 and</w:t>
      </w:r>
    </w:p>
    <w:p>
      <w:pPr>
        <w:spacing w:after="0" w:line="129" w:lineRule="exact"/>
        <w:rPr>
          <w:rFonts w:ascii="Arial" w:cs="Arial" w:eastAsia="Arial" w:hAnsi="Arial"/>
          <w:sz w:val="18"/>
          <w:szCs w:val="18"/>
          <w:color w:val="auto"/>
        </w:rPr>
      </w:pPr>
    </w:p>
    <w:p>
      <w:pPr>
        <w:ind w:left="1980" w:right="759" w:hanging="352"/>
        <w:spacing w:after="0" w:line="275" w:lineRule="auto"/>
        <w:tabs>
          <w:tab w:leader="none" w:pos="1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repayment of loans which may be made by our sponsor, an affiliate of our sponsor or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of the post-business combination entity at a price of $1.00 per warrant at the option of the lender.</w:t>
      </w:r>
    </w:p>
    <w:p>
      <w:pPr>
        <w:spacing w:after="0" w:line="68"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These payments may be made using funds that are not held in the trust account or, upon completion of the initial business combination, from any amounts remaining from the proceeds of the trust account released to us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DESCRIPTION OF SECURITIES</w:t>
      </w:r>
    </w:p>
    <w:p>
      <w:pPr>
        <w:spacing w:after="0" w:line="10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Pursuant to our amended and restated certificate of incorporation, our authorized capital stock will consist of 240,000,000 shares of Class A common stock, $0.0001 par value, 60,000,000 shares of Class B common stock, $0.0001 par value, and 1,000,000 shares of undesignated preferred stock, $0.0001 par value. The following description summarizes the material terms of our capital stock. Because it is only a summary, it may not contain all the information that is important to you.</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Units</w:t>
      </w:r>
    </w:p>
    <w:p>
      <w:pPr>
        <w:spacing w:after="0" w:line="108"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Each unit has an offering price of $10.00 and consists of one share of Class A common stock and one-fourth of one redeemable warrant. Each whole warrant entitles the holder thereof to purchase one share of our Class A common stock at a price of $11.50 per share, subject to adjustment as described in this prospectus. Pursuant to the warrant agreement, a warrant holder may exercise its warrants only for a whole number of shares of the company’s Class A common stock. This means only a whole warrant may be exercised at any given time by a warrant holder. No fractional warrants will be issued upon separation of the units and only whole warrants will trade.</w:t>
      </w:r>
    </w:p>
    <w:p>
      <w:pPr>
        <w:spacing w:after="0" w:line="63" w:lineRule="exact"/>
        <w:rPr>
          <w:sz w:val="20"/>
          <w:szCs w:val="20"/>
          <w:color w:val="auto"/>
        </w:rPr>
      </w:pPr>
    </w:p>
    <w:p>
      <w:pPr>
        <w:ind w:left="1260" w:right="739" w:firstLine="360"/>
        <w:spacing w:after="0" w:line="246" w:lineRule="auto"/>
        <w:rPr>
          <w:sz w:val="20"/>
          <w:szCs w:val="20"/>
          <w:color w:val="auto"/>
        </w:rPr>
      </w:pPr>
      <w:r>
        <w:rPr>
          <w:rFonts w:ascii="Arial" w:cs="Arial" w:eastAsia="Arial" w:hAnsi="Arial"/>
          <w:sz w:val="18"/>
          <w:szCs w:val="18"/>
          <w:color w:val="auto"/>
        </w:rPr>
        <w:t>The common stock and warrants constituting the units will begin separate trading on the 52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following the closing of this offering unless Citigroup Global Markets Inc.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 Accordingly, unless you purchase at least four units, you will not be able to receive or trade a whole warrant.</w:t>
      </w:r>
    </w:p>
    <w:p>
      <w:pPr>
        <w:spacing w:after="0" w:line="89"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In no event will the Class A common stock and warrants be traded separately until we have filed with the SEC a Current Report on Form 8-K which includes an audited balance sheet of our company reflecting our receipt of the gross proceeds at the closing of this offering. We will file the Current Report on Form 8-K which will include this audited balance sheet,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ind w:left="1260" w:right="1259" w:firstLine="360"/>
        <w:spacing w:after="0" w:line="263" w:lineRule="auto"/>
        <w:rPr>
          <w:sz w:val="20"/>
          <w:szCs w:val="20"/>
          <w:color w:val="auto"/>
        </w:rPr>
      </w:pPr>
      <w:r>
        <w:rPr>
          <w:rFonts w:ascii="Arial" w:cs="Arial" w:eastAsia="Arial" w:hAnsi="Arial"/>
          <w:sz w:val="18"/>
          <w:szCs w:val="18"/>
          <w:color w:val="auto"/>
        </w:rPr>
        <w:t>Upon the closing of this offering, 93,750,000 shares of our common stock will be outstanding (assuming no exercise of the underwriters’ option to purchase additional units and the corresponding forfeiture of 2,812,500 founder shares by our sponsor), including:</w:t>
      </w:r>
    </w:p>
    <w:p>
      <w:pPr>
        <w:spacing w:after="0" w:line="103" w:lineRule="exact"/>
        <w:rPr>
          <w:sz w:val="20"/>
          <w:szCs w:val="20"/>
          <w:color w:val="auto"/>
        </w:rPr>
      </w:pPr>
    </w:p>
    <w:p>
      <w:pPr>
        <w:ind w:left="1980" w:right="659" w:hanging="352"/>
        <w:spacing w:after="0" w:line="277" w:lineRule="auto"/>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75,000,000 shares of our Class A common stock underlying the units being offered in this offering; and</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18,750,000 shares of Class B common stock held by our initial stockholders.</w:t>
      </w:r>
    </w:p>
    <w:p>
      <w:pPr>
        <w:spacing w:after="0" w:line="117"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If we increase or decrease the size of this offering, we will effect a stock dividend or share contribution back to capital or other appropriate mechanism, as applicable, with respect to our Class B common stock immediately prior to the consummation of this offering in such amount as to maintain the ownership of founder shares by our initial stockholders prior to this offering at 20% of our issued and outstanding shares of our common stock upon the consummation of this offering.</w:t>
      </w:r>
    </w:p>
    <w:p>
      <w:pPr>
        <w:spacing w:after="0" w:line="80"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Holders of our Class B common stock will have the right to elect all of our directors prior to the consummation of our initial business combination. On any other matter submitted to a vote of our stockholders, holders of our Class B common stock and holders of our Class A common stock will vote together as a single class, except as required by applicable law or stock exchange rule. These provisions of our amended and restated certificate of incorporation may only be amended if approved by a majority</w:t>
      </w:r>
    </w:p>
    <w:p>
      <w:pPr>
        <w:sectPr>
          <w:pgSz w:w="11900" w:h="16838" w:orient="portrait"/>
          <w:cols w:equalWidth="0" w:num="1">
            <w:col w:w="10139"/>
          </w:cols>
          <w:pgMar w:left="320" w:top="131" w:right="1440" w:bottom="1440" w:gutter="0" w:footer="0" w:header="0"/>
        </w:sectPr>
      </w:pP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4" w:lineRule="auto"/>
        <w:rPr>
          <w:sz w:val="20"/>
          <w:szCs w:val="20"/>
          <w:color w:val="auto"/>
        </w:rPr>
      </w:pPr>
      <w:r>
        <w:rPr>
          <w:rFonts w:ascii="Arial" w:cs="Arial" w:eastAsia="Arial" w:hAnsi="Arial"/>
          <w:sz w:val="18"/>
          <w:szCs w:val="18"/>
          <w:color w:val="auto"/>
        </w:rPr>
        <w:t>of at least 90% of our common stock voting at a stockholder meeting. Unless specified in our amended and 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Directors will be divided into three classes, each of which will generally serve for a term of three years with only one class elected in each year. There is no cumulative voting with respect to the election of directors. Our stockholders are entitled to receive ratable dividends when, as and if declared by the board of directors out of funds legally available therefor.</w:t>
      </w:r>
    </w:p>
    <w:p>
      <w:pPr>
        <w:spacing w:after="0" w:line="8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Because our amended and restated certificate of incorporation will authorize the issuance of up to 240,000,000 shares of Class A common stock, if we were to enter into a business combination, we may (depending on the terms of such a business combination) be required to increase the number of shares of common stock which we are authorized to issue at the same time as our stockholders vote on the business combination to the extent we seek stockholder approval in connection with our initial business combination.</w:t>
      </w:r>
    </w:p>
    <w:p>
      <w:pPr>
        <w:spacing w:after="0" w:line="6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 accordance with the NYSE corporate governance requirements, we are not required to hold an annual meeting until not later than one year after our first fiscal year end following our listing on the NYSE.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86"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upon the completion of our initial business combination at a per share price, payable in cash, equal to the aggregate amount then on deposit in the trust account as of two business days prior to the consummation of our initial business combination, including interest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 will include the requirement that any beneficial owner on whose behalf a redemption right is being exercised must identify itself in order to validly redeem its shares. Each public stockholder may elect to redeem its public shares without voting, and if they do vote, irrespective of whether they vote for or against the proposed transaction.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Permitted transferees of our sponsor, officers or directors will be subject to the same obligations.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listing requirements, if a stockholder vote is not required by applicable law or stock exchange listing requirements and we do not decide to hold a stockholder vote for business or other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applicable law or stock exchange rules, or we decide to obtain stockholder approval for business or other reasons, we will, like many blank check companies, offer to redeem shares in conjunction with a proxy solicitation pursuant to the proxy rules and not pursuant to the tender offer rules. If we seek stockholder approval, unless a different vote is required by applicable law or stock exchange rules, we will complete our initial business combination only if a majority of the outstanding shares of common stock voted are voted</w:t>
      </w: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2" w:lineRule="auto"/>
        <w:rPr>
          <w:sz w:val="20"/>
          <w:szCs w:val="20"/>
          <w:color w:val="auto"/>
        </w:rPr>
      </w:pPr>
      <w:r>
        <w:rPr>
          <w:rFonts w:ascii="Arial" w:cs="Arial" w:eastAsia="Arial" w:hAnsi="Arial"/>
          <w:sz w:val="18"/>
          <w:szCs w:val="18"/>
          <w:color w:val="auto"/>
        </w:rPr>
        <w:t>in favor of the business combination. Unless otherwise required by applicable law or stock exchange rules, a quorum for such meeting will consist of the holders present in person or by proxy of shares of outstanding capital stock of the company representing a majority of the voting power of all outstanding shares of capital stock of the company entitled to vote at such meeting. However, the participation of our sponsor, officers, directors, advisors or any of their respective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agreements may make it more likely that we will consummate our initial business combination.</w:t>
      </w:r>
    </w:p>
    <w:p>
      <w:pPr>
        <w:spacing w:after="0" w:line="9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business combination. And, as a result, such stockholders will continue to hold that number of shares exceeding 15% and, in order to dispose such shares would be required to sell their stock in open market transactions, potentially at a loss.</w:t>
      </w:r>
    </w:p>
    <w:p>
      <w:pPr>
        <w:spacing w:after="0" w:line="76"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If we seek stockholder approval in connection with our initial business combination, our initial stockholders, officers and directors have (and their permitted transferees, as applicable, will agree) agreed to vote any founder shares and any public shares held by them in favor of our initial business combination. As a result, in addition to our initial stockholders’ founder shares, we would need 28,125,001, or 37.5%, of the 75,000,000 public shares sold in this offering to be voted in favor of our initial business combination (assuming all issued and outstanding shares are voted and the option to purchase additional units is not exercised) in order to have such initial business combination approved. Additionally, each public stockholder may elect to redeem its public shares without voting, and if they do vote, irrespective of whether they vote for or against the proposed transaction.</w:t>
      </w:r>
    </w:p>
    <w:p>
      <w:pPr>
        <w:spacing w:after="0" w:line="88" w:lineRule="exact"/>
        <w:rPr>
          <w:sz w:val="20"/>
          <w:szCs w:val="20"/>
          <w:color w:val="auto"/>
        </w:rPr>
      </w:pPr>
    </w:p>
    <w:p>
      <w:pPr>
        <w:ind w:left="1260" w:right="659" w:firstLine="360"/>
        <w:spacing w:after="0" w:line="267" w:lineRule="auto"/>
        <w:rPr>
          <w:sz w:val="20"/>
          <w:szCs w:val="20"/>
          <w:color w:val="auto"/>
        </w:rPr>
      </w:pPr>
      <w:r>
        <w:rPr>
          <w:rFonts w:ascii="Arial" w:cs="Arial" w:eastAsia="Arial" w:hAnsi="Arial"/>
          <w:sz w:val="17"/>
          <w:szCs w:val="17"/>
          <w:color w:val="auto"/>
        </w:rPr>
        <w:t>Pursuant to our amended and restated certificate of incorporation, if we are unable to complete our initial business combination within the completion window, we will: (1) cease all operations except for the purpose of winding up; (2) as promptly as reasonably possible but no more than ten business days thereafter, subject to lawfully available funds therefor,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Our initial stockholders,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the completion window. However, if our sponsor or any of our officers or directors acquires public shares after this offering, they will be entitled to liquidating distributions from the trust account with respect to such public shares if we fail to complete our initial business combination within the completion window.</w:t>
      </w:r>
    </w:p>
    <w:p>
      <w:pPr>
        <w:spacing w:after="0" w:line="2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on deposit in the trust account as of two business days prior to the consummation of our initial business combination, including interest (net of permitted withdrawals), upon the completion of our initial business combination, subject to the limitations described herein.</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Founder Shares</w:t>
      </w:r>
    </w:p>
    <w:p>
      <w:pPr>
        <w:spacing w:after="0" w:line="108"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The founder shares are identical to the shares of Class A common stock included in the units being sold in this offering, except that: (1) only holders of the founder shares have the right to vote on the election and removal of directors prior to our initial business combination; (2) the founder shares are subject to certain transfer restrictions, as described in more detail below; (3) our sponsor, officers and directors have entered into a letter agreement with us, pursuant to which they have agreed to: (a) waive their redemption rights with respect to any founder shares and any public shares held by them in connection with the completion of our initial business combination, (b)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and (c) waive their rights to liquidating distributions from the trust account with respect to any founder shares held by them if we fail to complete our initial business combination within the completion window (although they will be entitled to liquidating distributions from the trust account with respect to any public shares they hold if we fail to complete our initial business combination within the completion window); (4) the founder shares are automatically convertible into shares of our Class A common stock at the time of our initial business combination on a one-for-one basis, subject to adjustment pursuant to certain anti-dilution rights, as described herein; and (5) the holders of founder shares are entitled to registration rights. If we submit our initial business combination to our public stockholders for a vote, our initial stockholders, officers and directors have agreed (and their permitted transferees, as applicable, will agree) to vote any founder shares and any public shares held by them in favor of our initial business combination.</w:t>
      </w:r>
    </w:p>
    <w:p>
      <w:pPr>
        <w:spacing w:after="0" w:line="77"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our initial business combination on a one-for-one basis, subject to adjustment as provided herein. In the case that additional shares of Class A common stock, or equity-linked securities, are issued or deemed issued in excess of the amounts sold in this offering and related to the closing of our initial business combination, the ratio at which shares of Class B common stock shall convert into shares of Class A common stock will be adjusted (unless the holders of a majority of the outstanding shares of Class B common stock agree to waive such anti-dilution adjustment with respect to any such issuance or deemed issuance) so that the number of shares of Class A common stock issuable upon conversion of all shares of Class B common stock will equal, in the aggregate, on an as-converted basis, 20% of the total number of all shares of common stock outstanding upon completion of this offering plus all shares of Class A common stock and equity-linked securities issued or deemed issued in connection with our initial business combination (net of the number of shares of Class A common stock redeemed in connection with our initial business combination), excluding any shares or equity-linked securities issued, or to be issued, to any seller in our initial business combination in consideration for such seller’s interest in the business combination target and any private placement warrants issued upon the conversion of working capital loans made to us.</w:t>
      </w:r>
    </w:p>
    <w:p>
      <w:pPr>
        <w:spacing w:after="0" w:line="7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and other permitted transferees, each of whom will be subject to the same transfer restrictions) until the earlier of (A) one year after the completion of our initial business combination, (B) subsequent to our initial business combination, if the closing price of our Class A common stock equals or exceeds $12.00 per share (as</w:t>
      </w: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color w:val="auto"/>
        </w:rPr>
        <w:t>adjusted for stock splits, stock dividends, reorganizations, recapitalizations and the like) for any 20 trading days within any 30-trading day period commencing at least 150 days after our initial business combination, and (C) following the completion of our initial business combination, such future date on which we complete a liquidation, merger, stock exchange, reorganization or other similar transaction that results in all of our public stockholders having the right to exchange their shares of common stock for cash, securities or other property.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authorize 1,000,000 shares of preferred stock and will provide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04"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Each whole warrant entitles the registered holder to purchase one share of our Class A common stock at a price of $11.50 per share, subject to adjustment as discussed below, at any time commencing on the later of 12 months from the closing of this offering and 30 days after the completion of our initial business combination. Pursuant to the warrant agreement, a warrant holder may exercise its warrants only for a whole number of shares of Class A common stock. This means only a whole warrant may be exercised at a given time by a warrant holder. No fractional warrants will be issued upon separation of the units and only whole warrants will trade. Accordingly, unless you purchase at least four units, you will not be able to receive or trade a whole warrant. The warrants will expire five years after the completion of our initial business combination, at 5:00 p.m., New York City time, or earlier upon redemption or liquidation.</w:t>
      </w:r>
    </w:p>
    <w:p>
      <w:pPr>
        <w:spacing w:after="0" w:line="73"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our satisfying our obligations described below with respect to registration.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78"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We have agreed that as soon as practicable, but in no event later than 15 business days after the closing of our initial business combination, we will use our reasonable best efforts to file with the SEC, and within 60 business days following our initial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our Class A common stock is at the time of any exercise of a warrant not listed on a national securities exchange such that it satisfies the definition of a</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74" w:lineRule="auto"/>
        <w:rPr>
          <w:sz w:val="20"/>
          <w:szCs w:val="20"/>
          <w:color w:val="auto"/>
        </w:rPr>
      </w:pPr>
      <w:r>
        <w:rPr>
          <w:rFonts w:ascii="Arial" w:cs="Arial" w:eastAsia="Arial" w:hAnsi="Arial"/>
          <w:sz w:val="17"/>
          <w:szCs w:val="17"/>
          <w:color w:val="auto"/>
        </w:rPr>
        <w:t>“covered security” under Section 18(b)(1) of the Securities Act, we may, at our option, require holders of public warrants who exercise their warrants to do so on a “cashless basis” in accordance with Section 3(a)</w:t>
      </w:r>
    </w:p>
    <w:p>
      <w:pPr>
        <w:ind w:left="1260" w:right="799" w:firstLine="8"/>
        <w:spacing w:after="0" w:line="255" w:lineRule="auto"/>
        <w:tabs>
          <w:tab w:leader="none" w:pos="1529" w:val="left"/>
        </w:tabs>
        <w:numPr>
          <w:ilvl w:val="0"/>
          <w:numId w:val="66"/>
        </w:numPr>
        <w:rPr>
          <w:rFonts w:ascii="Arial" w:cs="Arial" w:eastAsia="Arial" w:hAnsi="Arial"/>
          <w:sz w:val="18"/>
          <w:szCs w:val="18"/>
          <w:color w:val="auto"/>
        </w:rPr>
      </w:pPr>
      <w:r>
        <w:rPr>
          <w:rFonts w:ascii="Arial" w:cs="Arial" w:eastAsia="Arial" w:hAnsi="Arial"/>
          <w:sz w:val="18"/>
          <w:szCs w:val="18"/>
          <w:color w:val="auto"/>
        </w:rPr>
        <w:t>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82"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b w:val="1"/>
          <w:bCs w:val="1"/>
          <w:i w:val="1"/>
          <w:iCs w:val="1"/>
          <w:color w:val="auto"/>
        </w:rPr>
        <w:t xml:space="preserve">Redemption of Warrants for Cash. </w:t>
      </w:r>
      <w:r>
        <w:rPr>
          <w:rFonts w:ascii="Arial" w:cs="Arial" w:eastAsia="Arial" w:hAnsi="Arial"/>
          <w:sz w:val="18"/>
          <w:szCs w:val="18"/>
          <w:color w:val="auto"/>
        </w:rPr>
        <w:t>Once the warrants become exercisable, we may call the warrants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w:t>
      </w:r>
    </w:p>
    <w:p>
      <w:pPr>
        <w:spacing w:after="0" w:line="116" w:lineRule="exact"/>
        <w:rPr>
          <w:sz w:val="20"/>
          <w:szCs w:val="20"/>
          <w:color w:val="auto"/>
        </w:rPr>
      </w:pPr>
    </w:p>
    <w:p>
      <w:pPr>
        <w:ind w:left="1980" w:hanging="352"/>
        <w:spacing w:after="0"/>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71"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116" w:lineRule="exact"/>
        <w:rPr>
          <w:rFonts w:ascii="Arial" w:cs="Arial" w:eastAsia="Arial" w:hAnsi="Arial"/>
          <w:sz w:val="18"/>
          <w:szCs w:val="18"/>
          <w:color w:val="auto"/>
        </w:rPr>
      </w:pPr>
    </w:p>
    <w:p>
      <w:pPr>
        <w:ind w:left="1980" w:right="699" w:hanging="352"/>
        <w:spacing w:after="0" w:line="259"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$18.00 per share (as adjusted for stock splits, stock dividends, reorganizations, recapitalizations and the like) for any 20 trading days within a 30-trading day period ending on the third trading day prior to the date on which we send the notice of redemption to the warrant holders.</w:t>
      </w:r>
    </w:p>
    <w:p>
      <w:pPr>
        <w:spacing w:after="0" w:line="79" w:lineRule="exact"/>
        <w:rPr>
          <w:sz w:val="20"/>
          <w:szCs w:val="20"/>
          <w:color w:val="auto"/>
        </w:rPr>
      </w:pPr>
    </w:p>
    <w:p>
      <w:pPr>
        <w:jc w:val="both"/>
        <w:ind w:left="1260" w:right="839" w:firstLine="360"/>
        <w:spacing w:after="0" w:line="308" w:lineRule="auto"/>
        <w:rPr>
          <w:sz w:val="20"/>
          <w:szCs w:val="20"/>
          <w:color w:val="auto"/>
        </w:rPr>
      </w:pPr>
      <w:r>
        <w:rPr>
          <w:rFonts w:ascii="Arial" w:cs="Arial" w:eastAsia="Arial" w:hAnsi="Arial"/>
          <w:sz w:val="17"/>
          <w:szCs w:val="17"/>
          <w:color w:val="auto"/>
        </w:rPr>
        <w:t>If and when the warrants become redeemable by us, we may exercise our redemption right even if we are unable to register or qualify the underlying securities for sale under all applicable state securities laws.</w:t>
      </w:r>
    </w:p>
    <w:p>
      <w:pPr>
        <w:spacing w:after="0" w:line="3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well as the $11.50 warrant exercise price after the redemption notice is issued.</w:t>
      </w:r>
    </w:p>
    <w:p>
      <w:pPr>
        <w:spacing w:after="0" w:line="70"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Redemption Procedures and Cashless Exercise. </w:t>
      </w:r>
      <w:r>
        <w:rPr>
          <w:rFonts w:ascii="Arial" w:cs="Arial" w:eastAsia="Arial" w:hAnsi="Arial"/>
          <w:sz w:val="17"/>
          <w:szCs w:val="17"/>
          <w:color w:val="auto"/>
        </w:rPr>
        <w:t>If we call the warrants for redemption as described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closing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76"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 immediately after giving effect to such exercise.</w:t>
      </w:r>
    </w:p>
    <w:p>
      <w:pPr>
        <w:sectPr>
          <w:pgSz w:w="11900" w:h="16838" w:orient="portrait"/>
          <w:cols w:equalWidth="0" w:num="1">
            <w:col w:w="10139"/>
          </w:cols>
          <w:pgMar w:left="320" w:top="131" w:right="1440" w:bottom="1440" w:gutter="0" w:footer="0" w:header="0"/>
        </w:sectPr>
      </w:pPr>
    </w:p>
    <w:p>
      <w:pPr>
        <w:spacing w:after="0" w:line="24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b w:val="1"/>
          <w:bCs w:val="1"/>
          <w:i w:val="1"/>
          <w:iCs w:val="1"/>
          <w:color w:val="auto"/>
        </w:rPr>
        <w:t xml:space="preserve">Anti-Dilution Adjustments. </w:t>
      </w:r>
      <w:r>
        <w:rPr>
          <w:rFonts w:ascii="Arial" w:cs="Arial" w:eastAsia="Arial" w:hAnsi="Arial"/>
          <w:sz w:val="17"/>
          <w:szCs w:val="17"/>
          <w:color w:val="auto"/>
        </w:rPr>
        <w:t>If the number of outstanding shares of Class A common stock is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multiplied by (2) one minus the quotient of (x) the price per share of Class A common stock paid in such rights offering divided by (y) the fair market value. For these purposes</w:t>
      </w:r>
    </w:p>
    <w:p>
      <w:pPr>
        <w:spacing w:after="0" w:line="7" w:lineRule="exact"/>
        <w:rPr>
          <w:sz w:val="20"/>
          <w:szCs w:val="20"/>
          <w:color w:val="auto"/>
        </w:rPr>
      </w:pPr>
    </w:p>
    <w:p>
      <w:pPr>
        <w:ind w:left="1260" w:right="719" w:firstLine="8"/>
        <w:spacing w:after="0" w:line="252" w:lineRule="auto"/>
        <w:tabs>
          <w:tab w:leader="none" w:pos="1529"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ten trading day period ending on the trading day prior to the first date on which the shares of Class A common stock trade on the applicable exchange or in the applicable market, regular way, without the right to receive such rights.</w:t>
      </w:r>
    </w:p>
    <w:p>
      <w:pPr>
        <w:spacing w:after="0" w:line="8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(b) certain ordinary cash dividends, (c) to satisfy the redemption rights of the holders of Class A common stock in connection with a proposed initial business combination, (d) to satisfy the redemption rights of the holders of Class A common stock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Class A common stock if we do not complete our initial business combination within the completion window,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89"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6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8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w:t>
      </w:r>
    </w:p>
    <w:p>
      <w:pPr>
        <w:spacing w:after="0" w:line="2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66" w:lineRule="auto"/>
        <w:rPr>
          <w:sz w:val="20"/>
          <w:szCs w:val="20"/>
          <w:color w:val="auto"/>
        </w:rPr>
      </w:pPr>
      <w:r>
        <w:rPr>
          <w:rFonts w:ascii="Arial" w:cs="Arial" w:eastAsia="Arial" w:hAnsi="Arial"/>
          <w:sz w:val="17"/>
          <w:szCs w:val="17"/>
          <w:color w:val="auto"/>
        </w:rPr>
        <w:t>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of the company as provided for in the company’s amended and restated certificate of incorporation or as a result of the redemption of shares of Class A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Class A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83"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84"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Private Placement Warrants</w:t>
      </w:r>
    </w:p>
    <w:p>
      <w:pPr>
        <w:spacing w:after="0" w:line="108"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The private placement warrants (including the Class A common stock issuable upon exercise of the private placement warrants) will not be transferable, assignable or salable until 30 days after the completion of our initial business combination (except, among other limited exceptions as described under “Principal Stockholders — Transfers of Founder Shares and Private Placement Warrants,” to our officers and directors and other persons or entities affiliated with our sponsor) and they will not be redeemable by us so long as they are held by our sponsor or its permitted transferees. Our sponsor, or its permitted transferees, has the option to exercise the private placement warrants on a cashless basis and will be entitled to certain registration rights. Otherwise, the private placement warrants have terms and provisions that are identical to those of the warrants being sold as part of the units in this offering.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pacing w:after="0" w:line="92"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closing price of the Class A common stock for the 10 trading days ending on the third trading day prior to the date on which the notice of redemption is sent to the holders of warrants.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and sell the shares of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299"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In order to finance transaction costs in connection with an intended initial business combination,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at a price of $1.00 per warrant at the option of the lender. The warrants would be identical to the private placement warrants issued to our sponsor.</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a business combination will be within the discretion of our board of directors at such time. In addition, our board of directors is not currently contemplating and does not anticipate declaring any stock dividends in the foreseeable future, except if we increase the size of this offering, in which case we will effect a stock dividend with respect to our Class B common stock immediately prior to the consummation of this offering in such amount as to maintain the ownership of founder shares by our initial stockholders prior to this offering at 20% of our issued and outstanding shares of our common stock upon the consummation of this offering. Further, if we incur any indebtedness, our ability to declare dividends may be limited by restrictive covenants we may agree to in connection therewith.</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08"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completion of our initial business combination. These provisions (other than amendments relating to the appointment of directors, which require the approval of a majority of at least 90% of our common stock voting in a stockholder meeting) cannot be amended without the approval of the holders of at least 65% of our common stock. Our initial stockholders, who collectively will beneficially own 20% of our common stock upon the closing of this offering, may participate in any vote to amend our amended and restated certificate of incorporation and will have the discretion to vote in any manner they choose. Prior to an initial business combination, we may not issue additional securities that can vote on amendments to our amended and restated certificate of incorporation. Specifically, our amended and restated certificate of incorporation will provide, among other things, that:</w:t>
      </w:r>
    </w:p>
    <w:p>
      <w:pPr>
        <w:spacing w:after="0" w:line="158" w:lineRule="exact"/>
        <w:rPr>
          <w:sz w:val="20"/>
          <w:szCs w:val="20"/>
          <w:color w:val="auto"/>
        </w:rPr>
      </w:pPr>
    </w:p>
    <w:p>
      <w:pPr>
        <w:ind w:left="1980" w:right="739" w:hanging="352"/>
        <w:spacing w:after="0" w:line="269" w:lineRule="auto"/>
        <w:tabs>
          <w:tab w:leader="none" w:pos="1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the completion window, we will: (1) cease all operations except for the purpose of winding up; (2) as promptly as reasonably possible but not more than ten business days thereafter, subject to lawfully available funds therefor,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38" w:lineRule="exact"/>
        <w:rPr>
          <w:rFonts w:ascii="Arial" w:cs="Arial" w:eastAsia="Arial" w:hAnsi="Arial"/>
          <w:sz w:val="17"/>
          <w:szCs w:val="17"/>
          <w:color w:val="auto"/>
        </w:rPr>
      </w:pPr>
    </w:p>
    <w:p>
      <w:pPr>
        <w:ind w:left="1980" w:right="859" w:hanging="352"/>
        <w:spacing w:after="0" w:line="263"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(1) receive funds from the trust account; or (2) vote on any initial business combination;</w:t>
      </w:r>
    </w:p>
    <w:p>
      <w:pPr>
        <w:spacing w:after="0" w:line="143" w:lineRule="exact"/>
        <w:rPr>
          <w:rFonts w:ascii="Arial" w:cs="Arial" w:eastAsia="Arial" w:hAnsi="Arial"/>
          <w:sz w:val="18"/>
          <w:szCs w:val="18"/>
          <w:color w:val="auto"/>
        </w:rPr>
      </w:pPr>
    </w:p>
    <w:p>
      <w:pPr>
        <w:ind w:left="1980" w:right="679" w:hanging="352"/>
        <w:spacing w:after="0" w:line="271" w:lineRule="auto"/>
        <w:tabs>
          <w:tab w:leader="none" w:pos="1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although we do not intend to enter into a business combination with a target business that is affiliated with M. Klein and Company, one of our Strategic and Operating Partners, our sponsor, our directors or our officers, we are not prohibited from doing so. In the event we seek to complete our initial business combination with a company that is affiliated with M. Klein and Company, one of our Strategic and Operating Partners, our sponsor, officers or directors, we, or a committee of independent and disinterested directors, will obtain an opinion from an independent investment banking firm that is a member of FINRA or from an independent accounting firm that such a business combination is fair to our company from a financial point of view;</w:t>
      </w:r>
    </w:p>
    <w:p>
      <w:pPr>
        <w:spacing w:after="0" w:line="151" w:lineRule="exact"/>
        <w:rPr>
          <w:rFonts w:ascii="Arial" w:cs="Arial" w:eastAsia="Arial" w:hAnsi="Arial"/>
          <w:sz w:val="17"/>
          <w:szCs w:val="17"/>
          <w:color w:val="auto"/>
        </w:rPr>
      </w:pPr>
    </w:p>
    <w:p>
      <w:pPr>
        <w:ind w:left="1980" w:right="719" w:hanging="352"/>
        <w:spacing w:after="0" w:line="254"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applicable law or stock exchange rules and we do not decide to hold a stockholder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19" w:hanging="352"/>
        <w:spacing w:after="0" w:line="286" w:lineRule="auto"/>
        <w:tabs>
          <w:tab w:leader="none" w:pos="1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required by applicable stock-exchange rules, our initial business combination must be with one or more operating businesses or assets with a fair market value equal to at least 80% of the net assets held in the trust account (excluding the amount of any deferred underwriting discount).</w:t>
      </w:r>
    </w:p>
    <w:p>
      <w:pPr>
        <w:spacing w:after="0" w:line="43" w:lineRule="exact"/>
        <w:rPr>
          <w:rFonts w:ascii="Arial" w:cs="Arial" w:eastAsia="Arial" w:hAnsi="Arial"/>
          <w:sz w:val="17"/>
          <w:szCs w:val="17"/>
          <w:color w:val="auto"/>
        </w:rPr>
      </w:pPr>
    </w:p>
    <w:p>
      <w:pPr>
        <w:ind w:left="1980" w:right="679" w:hanging="352"/>
        <w:spacing w:after="0" w:line="254"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our stockholders approve an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we will provide our public stockholders with the opportunity to redeem all or a portion of their shares of common stock upon such approval at a per share price, payable in cash, equal to the aggregate amount then on deposit in the trust account, including interest (net of permitted withdrawals), divided by the number of then outstanding public shares; and</w:t>
      </w:r>
    </w:p>
    <w:p>
      <w:pPr>
        <w:spacing w:after="0" w:line="70" w:lineRule="exact"/>
        <w:rPr>
          <w:rFonts w:ascii="Arial" w:cs="Arial" w:eastAsia="Arial" w:hAnsi="Arial"/>
          <w:sz w:val="18"/>
          <w:szCs w:val="18"/>
          <w:color w:val="auto"/>
        </w:rPr>
      </w:pPr>
    </w:p>
    <w:p>
      <w:pPr>
        <w:ind w:left="1980" w:right="1019" w:hanging="352"/>
        <w:spacing w:after="0" w:line="277"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62"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In addition, our amended and restated certificate of incorporation will provide that under no circumstances will we redeem our public shares in an amount that would cause our net tangible assets to be less than $5,000,001.</w:t>
      </w:r>
    </w:p>
    <w:p>
      <w:pPr>
        <w:spacing w:after="0" w:line="166" w:lineRule="exact"/>
        <w:rPr>
          <w:sz w:val="20"/>
          <w:szCs w:val="20"/>
          <w:color w:val="auto"/>
        </w:rPr>
      </w:pPr>
    </w:p>
    <w:p>
      <w:pPr>
        <w:ind w:left="1260" w:right="1719"/>
        <w:spacing w:after="0" w:line="250"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72"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We have elected to be exempt from the restrictions imposed under Section 203 of the DGCL. However, our certificate of incorporation will contain similar provisions providing that we may not engage in certain “business combinations” with any “interested stockholder” for a three-year period following the time that such stockholder becomes an interested stockholder unless:</w:t>
      </w:r>
    </w:p>
    <w:p>
      <w:pPr>
        <w:spacing w:after="0" w:line="65" w:lineRule="exact"/>
        <w:rPr>
          <w:sz w:val="20"/>
          <w:szCs w:val="20"/>
          <w:color w:val="auto"/>
        </w:rPr>
      </w:pPr>
    </w:p>
    <w:p>
      <w:pPr>
        <w:ind w:left="1980" w:right="1419" w:hanging="352"/>
        <w:spacing w:after="0" w:line="308" w:lineRule="auto"/>
        <w:tabs>
          <w:tab w:leader="none" w:pos="19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which resulted in the stockholder becoming an interested stockholder;</w:t>
      </w:r>
    </w:p>
    <w:p>
      <w:pPr>
        <w:spacing w:after="0" w:line="24" w:lineRule="exact"/>
        <w:rPr>
          <w:rFonts w:ascii="Arial" w:cs="Arial" w:eastAsia="Arial" w:hAnsi="Arial"/>
          <w:sz w:val="17"/>
          <w:szCs w:val="17"/>
          <w:color w:val="auto"/>
        </w:rPr>
      </w:pPr>
    </w:p>
    <w:p>
      <w:pPr>
        <w:ind w:left="1980" w:right="759" w:hanging="352"/>
        <w:spacing w:after="0" w:line="263" w:lineRule="auto"/>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our voting stock outstanding at the time the transaction commenced (excluding certain shares); or</w:t>
      </w:r>
    </w:p>
    <w:p>
      <w:pPr>
        <w:spacing w:after="0" w:line="62" w:lineRule="exact"/>
        <w:rPr>
          <w:rFonts w:ascii="Arial" w:cs="Arial" w:eastAsia="Arial" w:hAnsi="Arial"/>
          <w:sz w:val="18"/>
          <w:szCs w:val="18"/>
          <w:color w:val="auto"/>
        </w:rPr>
      </w:pPr>
    </w:p>
    <w:p>
      <w:pPr>
        <w:ind w:left="1980" w:right="679" w:hanging="352"/>
        <w:spacing w:after="0" w:line="286" w:lineRule="auto"/>
        <w:tabs>
          <w:tab w:leader="none" w:pos="19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on or subsequent to such time, the business combination is approved by the Board and authorized at an annual or special meeting of stockholders, and not by written consent, by the affirmative vote of at least two-thirds of the outstanding voting stock not owned by the interested stockholder.</w:t>
      </w:r>
    </w:p>
    <w:p>
      <w:pPr>
        <w:spacing w:after="0" w:line="57" w:lineRule="exact"/>
        <w:rPr>
          <w:sz w:val="20"/>
          <w:szCs w:val="20"/>
          <w:color w:val="auto"/>
        </w:rPr>
      </w:pPr>
    </w:p>
    <w:p>
      <w:pPr>
        <w:ind w:left="1260" w:right="699" w:firstLine="360"/>
        <w:spacing w:after="0" w:line="311" w:lineRule="auto"/>
        <w:rPr>
          <w:sz w:val="20"/>
          <w:szCs w:val="20"/>
          <w:color w:val="auto"/>
        </w:rPr>
      </w:pPr>
      <w:r>
        <w:rPr>
          <w:rFonts w:ascii="Arial" w:cs="Arial" w:eastAsia="Arial" w:hAnsi="Arial"/>
          <w:sz w:val="16"/>
          <w:szCs w:val="16"/>
          <w:color w:val="auto"/>
        </w:rPr>
        <w:t>Generally, a “business combination” includes a merger, asset or stock sale to the interested stockholder. Subject to certain exceptions, an “interested stockholder” is a person who, together with that person’s affiliates and associates, owns, or within the previous three years owned, 15% or more of our voting stock.</w:t>
      </w:r>
    </w:p>
    <w:p>
      <w:pPr>
        <w:spacing w:after="0" w:line="41"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Under some circumstances, this provision will make it more difficult for a person who is an interested stockholder to effect various business combinations with us for a three-year period.</w:t>
      </w:r>
    </w:p>
    <w:p>
      <w:pPr>
        <w:spacing w:after="0" w:line="62"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Our certificate of incorporation will provide that our sponsor and its various affiliates, successors and transferees will not be deemed to be “interested stockholders” regardless of the percentage of our voting stock owned by them, and accordingly will not be subject to this provision.</w:t>
      </w:r>
    </w:p>
    <w:p>
      <w:pPr>
        <w:spacing w:after="0" w:line="76"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 For Certain Lawsuits</w:t>
      </w:r>
    </w:p>
    <w:p>
      <w:pPr>
        <w:spacing w:after="0" w:line="108" w:lineRule="exact"/>
        <w:rPr>
          <w:sz w:val="20"/>
          <w:szCs w:val="20"/>
          <w:color w:val="auto"/>
        </w:rPr>
      </w:pPr>
    </w:p>
    <w:p>
      <w:pPr>
        <w:jc w:val="both"/>
        <w:ind w:left="1260" w:right="919" w:firstLine="360"/>
        <w:spacing w:after="0" w:line="286"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(i) any derivative action or proceeding brought on our behalf, (ii) any action asserting a claim of breach of a fiduciary duty owed by any director, officer or other employee to us or our stockholders,</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8"/>
        <w:spacing w:after="0" w:line="267" w:lineRule="auto"/>
        <w:tabs>
          <w:tab w:leader="none" w:pos="1596"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action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arising under the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83"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Our amended and restated certificate of incorporation will provide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As noted above, our amended and restated certificate of incorporation will provide that the Court of Chancery and the federal district court for the District of Delaware shall have concurrent jurisdiction over any action arising under the Securities Act. Accordingly, there is uncertainty as to whether a court would enforce such provision, and our stockholders will not be deemed to have waived our compliance with the federal securities laws and the rules and regulations thereunder.</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Special Meeting of Stockholders</w:t>
      </w:r>
    </w:p>
    <w:p>
      <w:pPr>
        <w:spacing w:after="0" w:line="108"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 if any.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bylaws will provide for advance notice procedures with respect 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Pursuant to Rule 14a-8 of the Exchange Act, proposals seeking inclusion in our annual proxy statement must comply with the notice periods contained therein. Our bylaws will also specify requirements as to the form and content of a stockholder’s notice. Our bylaws will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Action by Written Consent</w:t>
      </w:r>
    </w:p>
    <w:p>
      <w:pPr>
        <w:spacing w:after="0" w:line="108" w:lineRule="exact"/>
        <w:rPr>
          <w:sz w:val="20"/>
          <w:szCs w:val="20"/>
          <w:color w:val="auto"/>
        </w:rPr>
      </w:pPr>
    </w:p>
    <w:p>
      <w:pPr>
        <w:jc w:val="both"/>
        <w:ind w:left="1260" w:right="819" w:firstLine="360"/>
        <w:spacing w:after="0" w:line="286" w:lineRule="auto"/>
        <w:rPr>
          <w:sz w:val="20"/>
          <w:szCs w:val="20"/>
          <w:color w:val="auto"/>
        </w:rPr>
      </w:pPr>
      <w:r>
        <w:rPr>
          <w:rFonts w:ascii="Arial" w:cs="Arial" w:eastAsia="Arial" w:hAnsi="Arial"/>
          <w:sz w:val="17"/>
          <w:szCs w:val="17"/>
          <w:color w:val="auto"/>
        </w:rPr>
        <w:t>Subsequent to the consummation of this offering, any action required or permitted to be taken by our stockholders must be effected by a duly called annual or special meeting of such stockholders and may not be effected by written consent of the stockholders other than with respect to our Class B common stock.</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Classified Board of Directors</w:t>
      </w:r>
    </w:p>
    <w:p>
      <w:pPr>
        <w:spacing w:after="0" w:line="10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board of directors will initially be divided into three classes, Class I, Class II and Class III,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B Common Stock Consent Right</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08" w:lineRule="exact"/>
        <w:rPr>
          <w:sz w:val="20"/>
          <w:szCs w:val="20"/>
          <w:color w:val="auto"/>
        </w:rPr>
      </w:pPr>
    </w:p>
    <w:p>
      <w:pPr>
        <w:ind w:left="1260" w:right="879" w:firstLine="360"/>
        <w:spacing w:after="0" w:line="270" w:lineRule="auto"/>
        <w:rPr>
          <w:sz w:val="20"/>
          <w:szCs w:val="20"/>
          <w:color w:val="auto"/>
        </w:rPr>
      </w:pPr>
      <w:r>
        <w:rPr>
          <w:rFonts w:ascii="Arial" w:cs="Arial" w:eastAsia="Arial" w:hAnsi="Arial"/>
          <w:sz w:val="17"/>
          <w:szCs w:val="17"/>
          <w:color w:val="auto"/>
        </w:rPr>
        <w:t>Immediately after this offering we will have 75,000,000 (or 86,250,000 if the underwriters’ option to purchase additional units is exercised in full) shares of Class A common stock outstanding. All of these shares will have been sold in this offering and will be freely tradable without restriction or further registration under the Securities Act, except for any shares purchased by one of our affiliates within the meaning of Rule 144 under the Securities Act. All of the 18,750,000 (or 21,562,500 if the underwriters’ over-allotment option is exercised in full) Class B founder shares and all 16,000,000 (or 18,250,000 if the underwriters’ option to purchase additional units is exercised in full) private placement warrants are restricted securities under Rule 144, in that they were issued in private transactions not involving a public offering, and are subject to transfer restrictions as set forth elsewhere in this prospectus.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08"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Pursuant to Rule 144, a person who has beneficially owned restricted shares of our common stock or warrants for at least six months would be entitled to sell their securities provided that: (1) such person is not deemed to have been one of our affiliates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70"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Persons who have beneficially owned restricted shares of our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60" w:lineRule="exact"/>
        <w:rPr>
          <w:sz w:val="20"/>
          <w:szCs w:val="20"/>
          <w:color w:val="auto"/>
        </w:rPr>
      </w:pPr>
    </w:p>
    <w:p>
      <w:pPr>
        <w:ind w:left="1980" w:right="699" w:hanging="352"/>
        <w:spacing w:after="0" w:line="263"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 of the total number of shares of Class A common stock then outstanding, which will equal 750,000 shares immediately after this offering (or 862,500 if the underwriters exercise their option to purchase additional units in full); or</w:t>
      </w:r>
    </w:p>
    <w:p>
      <w:pPr>
        <w:spacing w:after="0" w:line="143"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during the four calendar weeks preceding the filing of a notice on Form 144 with respect to the sale.</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399" w:firstLine="36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08"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a business combination related shell companies) or issuers that have been at any time previously a shell company. However, Rule 144 also includes an important exception to this prohibition if the following conditions are met:</w:t>
      </w:r>
    </w:p>
    <w:p>
      <w:pPr>
        <w:spacing w:after="0" w:line="160" w:lineRule="exact"/>
        <w:rPr>
          <w:sz w:val="20"/>
          <w:szCs w:val="20"/>
          <w:color w:val="auto"/>
        </w:rPr>
      </w:pPr>
    </w:p>
    <w:p>
      <w:pPr>
        <w:ind w:left="1980" w:hanging="352"/>
        <w:spacing w:after="0"/>
        <w:tabs>
          <w:tab w:leader="none" w:pos="1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96" w:lineRule="exact"/>
        <w:rPr>
          <w:rFonts w:ascii="Arial" w:cs="Arial" w:eastAsia="Arial" w:hAnsi="Arial"/>
          <w:sz w:val="17"/>
          <w:szCs w:val="17"/>
          <w:color w:val="auto"/>
        </w:rPr>
      </w:pPr>
    </w:p>
    <w:p>
      <w:pPr>
        <w:ind w:left="1980" w:right="979" w:hanging="352"/>
        <w:spacing w:after="0" w:line="277"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29" w:lineRule="exact"/>
        <w:rPr>
          <w:rFonts w:ascii="Arial" w:cs="Arial" w:eastAsia="Arial" w:hAnsi="Arial"/>
          <w:sz w:val="18"/>
          <w:szCs w:val="18"/>
          <w:color w:val="auto"/>
        </w:rPr>
      </w:pPr>
    </w:p>
    <w:p>
      <w:pPr>
        <w:jc w:val="both"/>
        <w:ind w:left="1980" w:right="799" w:hanging="352"/>
        <w:spacing w:after="0" w:line="286" w:lineRule="auto"/>
        <w:tabs>
          <w:tab w:leader="none" w:pos="1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138"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62"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As a result, our initial stockholders will be able to sell their founder shares and our sponsor will be able to sell its private placement warrants, as applicable, pursuant to Rule 144 without registration one year after we have completed our initial business combination.</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759" w:firstLine="360"/>
        <w:spacing w:after="0" w:line="252"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shares of common stock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into shares of Class A common stock).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We will bear the expenses incurred in connection with the filing of any such registration statement.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 of Securities</w:t>
      </w:r>
    </w:p>
    <w:p>
      <w:pPr>
        <w:spacing w:after="0" w:line="108"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We intend to apply to list our units, Class A common stock and warrants on the NYSE under the symbols “CCIV.U,” “CCIV” and “CCIV WS,” respectively. We expect that our units will be listed on the NYSE on or promptly after the effective date of the registration statement. Following the date the shares of our Class A common stock and warrants are eligible to trade separately, we anticipate that the shares of our common stock and warrants will be listed separately and as a unit on the NYSE. We cannot guarantee that our securities will be approved for listing on the NYSE.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08"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The following discussion is a summary of the U.S. federal income tax considerations generally applicable to the ownership and disposition of our units,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taxpayers that have elected mark-to-market accounting, S corporations, regulated investment companies, real estate investment trusts, investors that will hold Class A common stock or warrants as part of a straddle, hedge, conversion, or other integrated transaction for U.S. federal income tax purposes,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additional tax on net investment income or alternative minimum tax. In addition, this summary is limited to investors that will hold our securities as “capital assets” (generally, property held for investment) under the Internal Revenue Code of 1986, as amended, (the “Code”), and that acquired the securities pursuant to this offering (or, in the case of Class A common stock, upon exercise of warrants so acquired). No ruling from the Internal Revenue Service, (the “IRS”) has been or will be sought regarding any matter discussed herein. No assurance can be given that the IRS would not assert, or that a court would not sustain a position contrary to any of the tax aspects set forth below.</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purposes of this summary, a “U.S. Holder” is a beneficial holder of securities who or that is:</w:t>
      </w:r>
    </w:p>
    <w:p>
      <w:pPr>
        <w:spacing w:after="0" w:line="104" w:lineRule="exact"/>
        <w:rPr>
          <w:sz w:val="20"/>
          <w:szCs w:val="20"/>
          <w:color w:val="auto"/>
        </w:rPr>
      </w:pPr>
    </w:p>
    <w:p>
      <w:pPr>
        <w:ind w:left="1980" w:right="819" w:hanging="352"/>
        <w:spacing w:after="0" w:line="277"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United States as determined for U.S. federal income tax purposes;</w:t>
      </w:r>
    </w:p>
    <w:p>
      <w:pPr>
        <w:spacing w:after="0" w:line="35" w:lineRule="exact"/>
        <w:rPr>
          <w:rFonts w:ascii="Arial" w:cs="Arial" w:eastAsia="Arial" w:hAnsi="Arial"/>
          <w:sz w:val="18"/>
          <w:szCs w:val="18"/>
          <w:color w:val="auto"/>
        </w:rPr>
      </w:pPr>
    </w:p>
    <w:p>
      <w:pPr>
        <w:ind w:left="1980" w:right="799" w:hanging="352"/>
        <w:spacing w:after="0" w:line="308" w:lineRule="auto"/>
        <w:tabs>
          <w:tab w:leader="none" w:pos="19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in, or organized under the law of, the United States or any state or political subdivision thereof;</w:t>
      </w:r>
    </w:p>
    <w:p>
      <w:pPr>
        <w:spacing w:after="0" w:line="24"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35" w:lineRule="exact"/>
        <w:rPr>
          <w:rFonts w:ascii="Arial" w:cs="Arial" w:eastAsia="Arial" w:hAnsi="Arial"/>
          <w:sz w:val="18"/>
          <w:szCs w:val="18"/>
          <w:color w:val="auto"/>
        </w:rPr>
      </w:pPr>
    </w:p>
    <w:p>
      <w:pPr>
        <w:ind w:left="1980" w:right="899" w:hanging="352"/>
        <w:spacing w:after="0" w:line="259"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79" w:lineRule="exact"/>
        <w:rPr>
          <w:sz w:val="20"/>
          <w:szCs w:val="20"/>
          <w:color w:val="auto"/>
        </w:rPr>
      </w:pPr>
    </w:p>
    <w:p>
      <w:pPr>
        <w:ind w:left="1260" w:right="1379" w:firstLine="360"/>
        <w:spacing w:after="0" w:line="277" w:lineRule="auto"/>
        <w:rPr>
          <w:sz w:val="20"/>
          <w:szCs w:val="20"/>
          <w:color w:val="auto"/>
        </w:rPr>
      </w:pPr>
      <w:r>
        <w:rPr>
          <w:rFonts w:ascii="Arial" w:cs="Arial" w:eastAsia="Arial" w:hAnsi="Arial"/>
          <w:sz w:val="18"/>
          <w:szCs w:val="18"/>
          <w:color w:val="auto"/>
        </w:rPr>
        <w:t>A “non-U.S. Holder” is a beneficial holder of shares who or that is neither a U.S. Holder nor a partnership for U.S. federal income tax purposes.</w:t>
      </w:r>
    </w:p>
    <w:p>
      <w:pPr>
        <w:spacing w:after="0" w:line="62"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83" w:lineRule="exact"/>
        <w:rPr>
          <w:sz w:val="20"/>
          <w:szCs w:val="20"/>
          <w:color w:val="auto"/>
        </w:rPr>
      </w:pPr>
    </w:p>
    <w:p>
      <w:pPr>
        <w:ind w:left="1260" w:right="679" w:firstLine="360"/>
        <w:spacing w:after="0" w:line="256" w:lineRule="auto"/>
        <w:rPr>
          <w:sz w:val="20"/>
          <w:szCs w:val="20"/>
          <w:color w:val="auto"/>
        </w:rPr>
      </w:pPr>
      <w:r>
        <w:rPr>
          <w:rFonts w:ascii="Arial" w:cs="Arial" w:eastAsia="Arial" w:hAnsi="Arial"/>
          <w:sz w:val="18"/>
          <w:szCs w:val="18"/>
          <w:b w:val="1"/>
          <w:bCs w:val="1"/>
          <w:color w:val="auto"/>
        </w:rPr>
        <w:t>THIS DISCUSSION OF U.S. FEDERAL INCOME TAX CONSIDERATIONS IS FOR GENERAL INFORMATION PURPOSES ONLY AND IS NOT TAX ADVICE. WE URGE PROSPECTIVE HOLDERS TO CONSULT THEIR TAX ADVISORS CONCERNING THE U.S. FEDERAL INCOME TAX CONSEQUENCES TO THEM OF OWNING AND DISPOSING OF OUR SECURITIES, AS WELL AS THE APPLICATION OF ANY, STATE, LOCAL AND NON-U.S. INCOME, ESTATE AND OTHER TAX CONSIDERATIONS.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Personal Holding Company Status</w:t>
      </w:r>
    </w:p>
    <w:p>
      <w:pPr>
        <w:spacing w:after="0" w:line="108" w:lineRule="exact"/>
        <w:rPr>
          <w:sz w:val="20"/>
          <w:szCs w:val="20"/>
          <w:color w:val="auto"/>
        </w:rPr>
      </w:pPr>
    </w:p>
    <w:p>
      <w:pPr>
        <w:ind w:left="1260" w:right="819" w:firstLine="360"/>
        <w:spacing w:after="0" w:line="308" w:lineRule="auto"/>
        <w:rPr>
          <w:sz w:val="20"/>
          <w:szCs w:val="20"/>
          <w:color w:val="auto"/>
        </w:rPr>
      </w:pPr>
      <w:r>
        <w:rPr>
          <w:rFonts w:ascii="Arial" w:cs="Arial" w:eastAsia="Arial" w:hAnsi="Arial"/>
          <w:sz w:val="17"/>
          <w:szCs w:val="17"/>
          <w:color w:val="auto"/>
        </w:rPr>
        <w:t>We would be subject to a second level of U.S. federal income tax on a portion of our income if we are determined to be a personal holding company, or PHC, for U.S. federal income tax purposes. A U.S.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71" w:lineRule="auto"/>
        <w:rPr>
          <w:sz w:val="20"/>
          <w:szCs w:val="20"/>
          <w:color w:val="auto"/>
        </w:rPr>
      </w:pPr>
      <w:r>
        <w:rPr>
          <w:rFonts w:ascii="Arial" w:cs="Arial" w:eastAsia="Arial" w:hAnsi="Arial"/>
          <w:sz w:val="17"/>
          <w:szCs w:val="17"/>
          <w:color w:val="auto"/>
        </w:rPr>
        <w:t>corporation will generally be classified as a PHC for U.S. federal income tax purposes in a given taxable year if (1)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directly or indirectly, more than 50% of the stock of the corporation by value and (2)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70"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will be owned or deemed owned (pursuant to the constructive ownership rules) by five or fewer such persons during the last half of a taxable year. Thus, no assurance can be given that we will not become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Treatment of Units</w:t>
      </w:r>
    </w:p>
    <w:p>
      <w:pPr>
        <w:spacing w:after="0" w:line="10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There is no authority directly addressing the treatment, for U.S. federal income tax purposes, of instruments with terms substantially the same as the units and, therefore, their treatment is not entirely clear. The acquisition of a unit should be treated for U.S. federal income tax purposes as the acquisition of one share of our Class A common stock and one-fourth of one warrant to acquire one share of our Class A common stock. We intend to treat the acquisition of a unit in this manner and, by purchasing a unit, you agree to adopt such treatment for tax purposes. Each holder of a unit must allocate the purchase price paid by such holder for such unit between the share of Class A common stock and the one-fourth of one warrant based on their respective relative fair market values. A holder’s initial tax basis in the Class A common stock and the one-fourth of one warrant included in each unit should equal the portion of the purchase price of the unit allocated thereto. The separation of the Class A common stock and one-fourth of one warrant constituting a unit should not be a taxable event for U.S. federal income tax purposes.</w:t>
      </w:r>
    </w:p>
    <w:p>
      <w:pPr>
        <w:spacing w:after="0" w:line="7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The foregoing treatment of the units and a holder’s purchase price allocation are not binding on the IRS or the courts. Because there is no authority that directly addresses instruments that are similar to the units, no assurance can be given that the IRS or the courts will agree with the characterization described above or the discussion below. Each prospective investor is urged to consult its tax advisors regarding the U.S. federal, state, local and any foreign tax consequences of an investment in a unit (including alternative characterizations of a unit and its components). The following discussion is based on the assumption that the characterization of the Class A common stock and warrants and the allocation methodology described above are respected for U.S. federal income tax purposes.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Holders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04"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If we pay cash distributions to U.S. Holders of shares of our Class A common stock,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 — Gain or Loss on Sale, Taxable Exchange or Other Taxable Disposition of Class A Common Stock” below.</w:t>
      </w:r>
    </w:p>
    <w:p>
      <w:pPr>
        <w:spacing w:after="0" w:line="70" w:lineRule="exact"/>
        <w:rPr>
          <w:sz w:val="20"/>
          <w:szCs w:val="20"/>
          <w:color w:val="auto"/>
        </w:rPr>
      </w:pPr>
    </w:p>
    <w:p>
      <w:pPr>
        <w:jc w:val="both"/>
        <w:ind w:left="1260" w:right="719" w:firstLine="360"/>
        <w:spacing w:after="0" w:line="286"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5" w:lineRule="auto"/>
        <w:rPr>
          <w:sz w:val="20"/>
          <w:szCs w:val="20"/>
          <w:color w:val="auto"/>
        </w:rPr>
      </w:pPr>
      <w:r>
        <w:rPr>
          <w:rFonts w:ascii="Arial" w:cs="Arial" w:eastAsia="Arial" w:hAnsi="Arial"/>
          <w:sz w:val="18"/>
          <w:szCs w:val="18"/>
          <w:color w:val="auto"/>
        </w:rPr>
        <w:t>certain holding period requirements are met, dividends we pay to a non-corporate U.S. Holder will generally constitute “qualified dividends”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Gain or Loss on Sale, Taxable Exchange or Other Taxable Disposition of Class A Common Stock</w:t>
      </w:r>
    </w:p>
    <w:p>
      <w:pPr>
        <w:spacing w:after="0" w:line="115"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A U.S. Holder will recognize gain or loss on the sale, taxable exchange or other taxable disposition (which would include a dissolution and liquidation in the event we do not complete an initial business combination within the completion window) of our Class A common stock. Any such gain or loss will be capital gain or loss, and will be long-term capital gain or loss if the U.S. Holder’s holding period for the Class A common stock so disposed of exceeds one year. It is unclear, however, whether the redemption rights with respect to the Class A common stock described in this prospectus may suspend the running of the applicable holding period for this purpose. The amount of gain or loss recognized will generally be equal to the difference between (1) the sum of the amount of cash and the fair market value of any property received in such disposition (or, if the Class A common stock is held as part of a unit at the time of the disposition, the portion of the amount realized on such disposition that is allocated to the Class A common stock based upon the then fair market values of the Class A common stock and the one-fourth of one warrant included in the unit) and (2) the U.S. Holder’s adjusted tax basis in its Class A common stock so disposed of. A U.S. Holder’s adjusted tax basis in its Class A common stock will generally equal the U.S. Holder’s acquisition cost (that is, as discussed above, the portion of the purchase price of a unit allocated to a share of Class A common stock or, as discussed below, the U.S. Holder’s initial basis for Class A common stock received upon exercise of a warrant) less any prior distributions treated as a return of capital. The deductibility of capital losses is subject to limitations.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Class A Common Stock</w:t>
      </w:r>
    </w:p>
    <w:p>
      <w:pPr>
        <w:spacing w:after="0" w:line="104"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In the event that a U.S. Holder’s Class A common stock is redeemed pursuant to the redemption provisions described in this prospectus under “Description of Securities — Common Stock”, the treatment of the transaction for U.S. federal income tax purposes will depend on whether the redemption qualifies as sale of the Class A common stock under Section 302 of the Code. If the redemption qualifies as a sale of Class A common stock under the tests described below, the tax consequences to the U.S. Holder will be the same as described under “U.S. Holders — Gain or Loss on Sale, Taxable Exchange or Other Taxable Disposition of Class A Common Stock” above. If the redemption does not qualify as a sale of Class A common stock, the U.S. Holder will be treated as receiving a corporate distribution, the tax consequences of which are described above under “U.S. Holders — Taxation of Distributions”. Whether the redemption qualifies for sale treatment will depend primarily on the total number of shares of our stock treated as held by the U.S. Holder (including any stock constructively owned by the U.S. Holder as a result of owning warrants) both before and after the redemption. For a given U.S. Holder, the redemption of Class A common stock will generally be treated as a sale of the Class A common stock (rather than as a corporate distribution) if the redemption (1) is “substantially disproportionate” with respect to the U.S. Holder,</w:t>
      </w:r>
    </w:p>
    <w:p>
      <w:pPr>
        <w:spacing w:after="0" w:line="5" w:lineRule="exact"/>
        <w:rPr>
          <w:sz w:val="20"/>
          <w:szCs w:val="20"/>
          <w:color w:val="auto"/>
        </w:rPr>
      </w:pPr>
    </w:p>
    <w:p>
      <w:pPr>
        <w:jc w:val="center"/>
        <w:ind w:left="1260" w:right="1219" w:firstLine="8"/>
        <w:spacing w:after="0" w:line="290" w:lineRule="auto"/>
        <w:tabs>
          <w:tab w:leader="none" w:pos="1529"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results in a “complete termination” of the U.S. Holder’s interest in us or (3) is “not essentially equivalent to a dividend” with respect to the U.S. Holder. These tests are explained more fully below.</w:t>
      </w:r>
    </w:p>
    <w:p>
      <w:pPr>
        <w:spacing w:after="0" w:line="5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stock actually owned by the U.S. Holder, but also shares of our stock that are constructively owned by it. A U.S. Holder may constructively own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A redemption of a U.S. Holder’s stock will be substantially disproportionate with respect to the U.S. Holder if the percentage of our outstanding voting stock actually and constructively owned by the U.S. Holder immediately following the redemption of common stock is, among other requirements, less than 80% of the percentage of our outstanding voting stock actually and constructively owned by the U.S. Holder immediately before the redemption. Prior to our initial business combination, the Class A common stock may not be treated as voting stock for this purpose</w:t>
      </w:r>
    </w:p>
    <w:p>
      <w:pPr>
        <w:sectPr>
          <w:pgSz w:w="11900" w:h="16838" w:orient="portrait"/>
          <w:cols w:equalWidth="0" w:num="1">
            <w:col w:w="10139"/>
          </w:cols>
          <w:pgMar w:left="320" w:top="131" w:right="1440" w:bottom="1440" w:gutter="0" w:footer="0" w:header="0"/>
        </w:sect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79"/>
        <w:spacing w:after="0" w:line="271" w:lineRule="auto"/>
        <w:rPr>
          <w:sz w:val="20"/>
          <w:szCs w:val="20"/>
          <w:color w:val="auto"/>
        </w:rPr>
      </w:pPr>
      <w:r>
        <w:rPr>
          <w:rFonts w:ascii="Arial" w:cs="Arial" w:eastAsia="Arial" w:hAnsi="Arial"/>
          <w:sz w:val="17"/>
          <w:szCs w:val="17"/>
          <w:color w:val="auto"/>
        </w:rPr>
        <w:t>and, consequently, this substantially disproportionate test may not be applicable. There will be a complete termination of a U.S. Holder’s interest if either (1) all of the shares of our stock actually and constructively owned by the U.S. Holder are redeemed or (2) all of the shares of our stock actually owned by the U.S.</w:t>
      </w:r>
    </w:p>
    <w:p>
      <w:pPr>
        <w:ind w:left="1260" w:right="699"/>
        <w:spacing w:after="0" w:line="267" w:lineRule="auto"/>
        <w:rPr>
          <w:sz w:val="20"/>
          <w:szCs w:val="20"/>
          <w:color w:val="auto"/>
        </w:rPr>
      </w:pPr>
      <w:r>
        <w:rPr>
          <w:rFonts w:ascii="Arial" w:cs="Arial" w:eastAsia="Arial" w:hAnsi="Arial"/>
          <w:sz w:val="17"/>
          <w:szCs w:val="17"/>
          <w:color w:val="auto"/>
        </w:rPr>
        <w:t>Holder are redeemed and the U.S. Holder is eligible to waive, and effectively waives in accordance with specific rules, the attribution of stock owned by certain family members and the U.S. Holder does not constructively own any other stock (including any stock constructively owned by the U.S. Holder as a result of owning warrants). The redemption of the Class A common stock will not be essentially equivalent to a dividend if the redemption results in a “meaningful reduction” of the U.S. Holder’s proportionate interest in us. Whether the redemption will result in a meaningful reduction in a U.S. Holder’s proportionate interest in us will depend on the particular facts and circumstances. The IRS has indicated in a published ruling that even a small reduction in the proportionate interest of a small minority stockholder in a publicly held corporation who exercises no control over corporate affairs may constitute such a “meaningful reduction.” Each U.S. Holder is urged to consult its tax advisor as to the tax consequences of a redemption, including the application of the constructive ownership rules described above.</w:t>
      </w:r>
    </w:p>
    <w:p>
      <w:pPr>
        <w:spacing w:after="0" w:line="78"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If none of the foregoing tests is satisfied, the redemption will be treated as a corporate distribution, the tax consequences of which are described under “U.S. Holders — Taxation of Distributions,” above. After the application of those rules, any remaining tax basis of the U.S. Holder in the redeemed Class A common stock should be added to the U.S. Holder’s adjusted tax basis in its remaining stock, or, if it has none, to the U.S. Holder’s adjusted tax basis in its warrants or possibly in other stock constructively owned by it.</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04"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Except as discussed below with respect to the cashless exercise of a warrant, a U.S. Holder will not recognize gain or loss upon the exercise of a warrant. The U.S. Holder’s tax basis in the share of our Class A common stock received upon exercise of the warrant will generally be an amount equal to the sum of the U.S. Holder’s initial investment in the warrant (i.e., the portion of the U.S. Holder’s purchase price for a unit that is allocated to the warrant, as described above under “— General Treatment of Units”)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73"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tax basis in the Class A common stock received would generally equal the holder’s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If, however, the cashless exercise were treated as a recapitalization, the holding period of the Class A common stock would include the holding period of the warrant.</w:t>
      </w:r>
    </w:p>
    <w:p>
      <w:pPr>
        <w:spacing w:after="0" w:line="88"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Class A common stock represented by the warrants deemed surrendered and the U.S. Holder’s tax basis in the warrants deemed surrendered. In this case, a U.S. Holder’s tax basis in the Class A common stock received would equal the sum of the U.S. Holder’s initial investment in the warrants exercised (i.e., the portion of the U.S. Holder’s purchase price for the units that is allocated to the warrant, as described above under “— General Treatment of Units”) and the exercise price of such warrants. It is unclear whether a U.S. Holder’s holding period for the Class A common stock would commence on the date of exercise of the warrant or the day following the date of exercise of the warrant.</w:t>
      </w:r>
    </w:p>
    <w:p>
      <w:pPr>
        <w:spacing w:after="0" w:line="8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color w:val="auto"/>
        </w:rPr>
        <w:t>described above would be adopted by the IRS or a court of law. Accordingly, each U.S. Holder is urged to consult its tax advisor regarding the tax consequences of a cashless exercise.</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 Exchange, Redemption or Expiration of a Warrant</w:t>
      </w:r>
    </w:p>
    <w:p>
      <w:pPr>
        <w:spacing w:after="0" w:line="104" w:lineRule="exact"/>
        <w:rPr>
          <w:sz w:val="20"/>
          <w:szCs w:val="20"/>
          <w:color w:val="auto"/>
        </w:rPr>
      </w:pPr>
    </w:p>
    <w:p>
      <w:pPr>
        <w:ind w:left="1260" w:right="659" w:firstLine="360"/>
        <w:spacing w:after="0" w:line="252" w:lineRule="auto"/>
        <w:rPr>
          <w:sz w:val="20"/>
          <w:szCs w:val="20"/>
          <w:color w:val="auto"/>
        </w:rPr>
      </w:pPr>
      <w:r>
        <w:rPr>
          <w:rFonts w:ascii="Arial" w:cs="Arial" w:eastAsia="Arial" w:hAnsi="Arial"/>
          <w:sz w:val="18"/>
          <w:szCs w:val="18"/>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(or, if the warrant is held as part of a unit at the time of the disposition of the unit, the portion of the amount realized on such disposition that is allocated to the warrant based on the then fair market values of the warrant and the Class A common stock constituting such unit) and (2) the U.S. Holder’s tax basis in the warrant (that is, the portion of the U.S. Holder’s purchase price for a unit that is allocated to the warrant, as described above under “— General Treatment of Units”). Such gain or loss will generally be treated as long-term capital gain or loss if the warrant is held by the 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0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captioned “Description of Securities — Warrants — Public Stockholders’ Warrants.” An adjustment which has the effect of preventing dilution is generally not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U.S. Holders as described under “U.S. Holders — Taxation of Distributions” above. Such constructive distribution would be subject to tax as described under that section in the same manner as if such U.S. Holder received a cash distribution from us equal to the fair market value of such increased interest.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04" w:lineRule="exact"/>
        <w:rPr>
          <w:sz w:val="20"/>
          <w:szCs w:val="20"/>
          <w:color w:val="auto"/>
        </w:rPr>
      </w:pPr>
    </w:p>
    <w:p>
      <w:pPr>
        <w:jc w:val="both"/>
        <w:ind w:left="1260" w:right="739" w:firstLine="360"/>
        <w:spacing w:after="0" w:line="275" w:lineRule="auto"/>
        <w:rPr>
          <w:sz w:val="20"/>
          <w:szCs w:val="20"/>
          <w:color w:val="auto"/>
        </w:rPr>
      </w:pPr>
      <w:r>
        <w:rPr>
          <w:rFonts w:ascii="Arial" w:cs="Arial" w:eastAsia="Arial" w:hAnsi="Arial"/>
          <w:sz w:val="17"/>
          <w:szCs w:val="17"/>
          <w:color w:val="auto"/>
        </w:rPr>
        <w:t>In general, information reporting requirements may apply to dividends paid to a U.S. Holder and to the proceeds of the sale or other disposition of our units,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68"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Non-U.S. Holders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04"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w:t>
      </w: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9" w:lineRule="auto"/>
        <w:rPr>
          <w:sz w:val="20"/>
          <w:szCs w:val="20"/>
          <w:color w:val="auto"/>
        </w:rPr>
      </w:pPr>
      <w:r>
        <w:rPr>
          <w:rFonts w:ascii="Arial" w:cs="Arial" w:eastAsia="Arial" w:hAnsi="Arial"/>
          <w:sz w:val="17"/>
          <w:szCs w:val="17"/>
          <w:color w:val="auto"/>
        </w:rPr>
        <w:t>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 — Gain on Sale, Taxable Exchange or Other Taxable Disposition of Class A Common Stock and Warrants” below. In addition, if we determine that we are classified as a “United States real property holding corporation” (see “Non-U.S. Holders — Gain on Sale, Taxable Exchange or Other Taxable Disposition of Class A Common Stock and Warrants” below), we will withhold 15% of any distribution that exceeds our current and accumulated earnings and profits.</w:t>
      </w:r>
    </w:p>
    <w:p>
      <w:pPr>
        <w:spacing w:after="0" w:line="77"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0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U.S. federal income tax treatment of a non-U.S. Holder’s exercise of a warrant generally will correspond to the U.S. federal income tax treatment of the exercise of a warrant by a U.S. Holder, as described under “U.S. Holders — Exercise of a Warrant” above, although to the extent a cashless exercise results in a taxable exchange, the tax consequences to the non-U.S. Holder would be the same as those described below in “Non-U.S. Holders — Gain on Sale, Exchange or Other Taxable Disposition of Class A Common Stock and Warrants.”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 and Warrants</w:t>
      </w:r>
    </w:p>
    <w:p>
      <w:pPr>
        <w:spacing w:after="0" w:line="104"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A non-U.S. Holder will generally not be subject to U.S. federal income or withholding tax in respect of gain recognized on a sale, taxable exchange or other taxable disposition of our Class A common stock, which would include a dissolution and liquidation in the event we do not complete an initial business combination within the completion window, or warrants (including an expiration or redemption of our warrants), in each case without regard to whether those securities were held as part of a unit, unless:</w:t>
      </w:r>
    </w:p>
    <w:p>
      <w:pPr>
        <w:spacing w:after="0" w:line="149" w:lineRule="exact"/>
        <w:rPr>
          <w:sz w:val="20"/>
          <w:szCs w:val="20"/>
          <w:color w:val="auto"/>
        </w:rPr>
      </w:pPr>
    </w:p>
    <w:p>
      <w:pPr>
        <w:ind w:left="1980" w:right="939" w:hanging="352"/>
        <w:spacing w:after="0" w:line="263"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43" w:lineRule="exact"/>
        <w:rPr>
          <w:rFonts w:ascii="Arial" w:cs="Arial" w:eastAsia="Arial" w:hAnsi="Arial"/>
          <w:sz w:val="18"/>
          <w:szCs w:val="18"/>
          <w:color w:val="auto"/>
        </w:rPr>
      </w:pPr>
    </w:p>
    <w:p>
      <w:pPr>
        <w:ind w:left="1980" w:right="919" w:hanging="352"/>
        <w:spacing w:after="0" w:line="277"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29" w:lineRule="exact"/>
        <w:rPr>
          <w:rFonts w:ascii="Arial" w:cs="Arial" w:eastAsia="Arial" w:hAnsi="Arial"/>
          <w:sz w:val="18"/>
          <w:szCs w:val="18"/>
          <w:color w:val="auto"/>
        </w:rPr>
      </w:pPr>
    </w:p>
    <w:p>
      <w:pPr>
        <w:ind w:left="1980" w:right="699" w:hanging="352"/>
        <w:spacing w:after="0" w:line="253"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8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If the third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income tax at a rate of 15% of the amount realized upon such disposition. We cannot determine whether we will be a United States real property holding corporation in the future until we complete an initial business combination.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If we are or have been a “United States real property holding corporation” you are urged to consult your own tax advisors regarding the application of these rules.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0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in the section of this prospectus captioned “Description of Securities — Warrants — Public Stockholders’ Warrants.” An adjustment which has the effect of preventing dilution is generally not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non-U.S. Holders as described under “Non-U.S. Holders — Taxation of Distributions” above. A non-U.S. Holder would be subject to U.S. federal income tax withholding under that section in the same manner as if such non-U.S. Holder received a cash distribution from us equal to the fair market value of such increased interest without any corresponding receipt of cash.</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Class A Common Stock</w:t>
      </w:r>
    </w:p>
    <w:p>
      <w:pPr>
        <w:spacing w:after="0" w:line="104"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characterization for U.S. federal income tax purposes of the redemption of a non-U.S. Holder’s Class A common stock pursuant to the redemption provisions described in this prospectus under “Description of Securities — Common Stock” will generally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“Non-U.S. Holders — Gain on Sale, Exchange or Other Taxable Disposition of Class A Common Stock and Warrants,” as applicable.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04" w:lineRule="exact"/>
        <w:rPr>
          <w:sz w:val="20"/>
          <w:szCs w:val="20"/>
          <w:color w:val="auto"/>
        </w:rPr>
      </w:pPr>
    </w:p>
    <w:p>
      <w:pPr>
        <w:ind w:left="1260" w:right="879" w:firstLine="360"/>
        <w:spacing w:after="0" w:line="270"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w:t>
      </w: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53" w:lineRule="auto"/>
        <w:rPr>
          <w:sz w:val="20"/>
          <w:szCs w:val="20"/>
          <w:color w:val="auto"/>
        </w:rPr>
      </w:pPr>
      <w:r>
        <w:rPr>
          <w:rFonts w:ascii="Arial" w:cs="Arial" w:eastAsia="Arial" w:hAnsi="Arial"/>
          <w:sz w:val="18"/>
          <w:szCs w:val="18"/>
          <w:color w:val="auto"/>
        </w:rPr>
        <w:t>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investors should consult their tax advisors regarding the possible implications of FATCA on their investment in our securities.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0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In general, information reporting requirements will apply to payments of dividends and proceeds from the sale of our securities to non-U.S. Holders that are not exempt recipients. We must report annually to the IRS and to each such holder the amount of dividends or other distributions we pay to such non-U.S. Holder on our shares of Class A common stock and the amount of tax withheld with respect to those distributions, regardless of whether withholding is required. The IRS may make copies of the information returns reporting those dividends and amounts withheld available to the tax authorities in the country in which the non-U.S. Holder resides pursuant to the provisions of an applicable income tax treaty or exchange of information treaty.</w:t>
      </w:r>
    </w:p>
    <w:p>
      <w:pPr>
        <w:spacing w:after="0" w:line="84" w:lineRule="exact"/>
        <w:rPr>
          <w:sz w:val="20"/>
          <w:szCs w:val="20"/>
          <w:color w:val="auto"/>
        </w:rPr>
      </w:pPr>
    </w:p>
    <w:p>
      <w:pPr>
        <w:jc w:val="both"/>
        <w:ind w:left="1260" w:right="1019" w:firstLine="360"/>
        <w:spacing w:after="0" w:line="286" w:lineRule="auto"/>
        <w:rPr>
          <w:sz w:val="20"/>
          <w:szCs w:val="20"/>
          <w:color w:val="auto"/>
        </w:rPr>
      </w:pPr>
      <w:r>
        <w:rPr>
          <w:rFonts w:ascii="Arial" w:cs="Arial" w:eastAsia="Arial" w:hAnsi="Arial"/>
          <w:sz w:val="17"/>
          <w:szCs w:val="17"/>
          <w:color w:val="auto"/>
        </w:rPr>
        <w:t>The gross amount of dividends and proceeds from the disposition of our Class A common stock or warrants paid to a holder that fails to provide the appropriate certification in accordance with applicable U.S. Treasury regulations generally will be subject to backup withholding at the applicable rate.</w:t>
      </w:r>
    </w:p>
    <w:p>
      <w:pPr>
        <w:spacing w:after="0" w:line="57"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Information reporting and backup withholding are generally not required with respect to the amount of any proceeds from the sale by a non-U.S. Holder of Class A common stock or warrants outside the United States through a foreign office of a foreign broker that does not have certain specified connections to the United States. However, if a non-U.S. Holder sells Class A common stock or warrants through a U.S. broker or the U.S. office of a foreign broker, the broker will generally be required to report to the IRS the amount of proceeds paid to such holder, unless the non-U.S. Holder provides appropriate certification (usually on an IRS Form W-8BEN or W-8BEN-E, as applicable) to the broker of its status as a non-U.S. Holder or such non-U.S. Holder is an exempt recipient. In addition, for information reporting purposes, certain non-U.S. brokers with certain relationships with the United States will be treated in a manner similar to U.S. brokers.</w:t>
      </w:r>
    </w:p>
    <w:p>
      <w:pPr>
        <w:spacing w:after="0" w:line="73" w:lineRule="exact"/>
        <w:rPr>
          <w:sz w:val="20"/>
          <w:szCs w:val="20"/>
          <w:color w:val="auto"/>
        </w:rPr>
      </w:pPr>
    </w:p>
    <w:p>
      <w:pPr>
        <w:jc w:val="both"/>
        <w:ind w:left="1260" w:right="819" w:firstLine="360"/>
        <w:spacing w:after="0" w:line="263" w:lineRule="auto"/>
        <w:rPr>
          <w:sz w:val="20"/>
          <w:szCs w:val="20"/>
          <w:color w:val="auto"/>
        </w:rPr>
      </w:pPr>
      <w:r>
        <w:rPr>
          <w:rFonts w:ascii="Arial" w:cs="Arial" w:eastAsia="Arial" w:hAnsi="Arial"/>
          <w:sz w:val="18"/>
          <w:szCs w:val="18"/>
          <w:color w:val="auto"/>
        </w:rPr>
        <w:t>Backup withholding is not an additional tax. Any amounts we withhold under the backup withholding rules may be refunded or credited against a holder’s U.S. federal income tax liability, if any, by the IRS if the required information is furnished in a timely manner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UNDERWRITING</w:t>
      </w:r>
    </w:p>
    <w:p>
      <w:pPr>
        <w:spacing w:after="0" w:line="108" w:lineRule="exact"/>
        <w:rPr>
          <w:sz w:val="20"/>
          <w:szCs w:val="20"/>
          <w:color w:val="auto"/>
        </w:rPr>
      </w:pPr>
    </w:p>
    <w:p>
      <w:pPr>
        <w:jc w:val="both"/>
        <w:ind w:left="1260" w:right="899" w:firstLine="360"/>
        <w:spacing w:after="0" w:line="257" w:lineRule="auto"/>
        <w:rPr>
          <w:sz w:val="20"/>
          <w:szCs w:val="20"/>
          <w:color w:val="auto"/>
        </w:rPr>
      </w:pPr>
      <w:r>
        <w:rPr>
          <w:rFonts w:ascii="Arial" w:cs="Arial" w:eastAsia="Arial" w:hAnsi="Arial"/>
          <w:sz w:val="18"/>
          <w:szCs w:val="18"/>
          <w:color w:val="auto"/>
        </w:rPr>
        <w:t>Citigroup Global Markets Inc. is acting as global coordinator, joint bookrunner and representative of the underwriters and [•] is acting as joint bookrunner of the offering. Subject to the terms and conditions stated in the underwriting agreement dated the date of this prospectus, each underwriter named below has severally agreed to purchase, and we have agreed to sell to that underwriter, the number of units set forth opposite the underwriter’s name.</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r>
      <w:tr>
        <w:trPr>
          <w:trHeight w:val="186"/>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r>
      <w:tr>
        <w:trPr>
          <w:trHeight w:val="26"/>
        </w:trPr>
        <w:tc>
          <w:tcPr>
            <w:tcW w:w="7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820" w:type="dxa"/>
            <w:vAlign w:val="bottom"/>
            <w:shd w:val="clear" w:color="auto" w:fill="CCEEFF"/>
          </w:tcPr>
          <w:p>
            <w:pPr>
              <w:spacing w:after="0"/>
              <w:rPr>
                <w:sz w:val="21"/>
                <w:szCs w:val="21"/>
                <w:color w:val="auto"/>
              </w:rPr>
            </w:pPr>
          </w:p>
        </w:tc>
      </w:tr>
      <w:tr>
        <w:trPr>
          <w:trHeight w:val="263"/>
        </w:trPr>
        <w:tc>
          <w:tcPr>
            <w:tcW w:w="7400" w:type="dxa"/>
            <w:vAlign w:val="bottom"/>
            <w:gridSpan w:val="3"/>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75,000,000</w:t>
            </w:r>
          </w:p>
        </w:tc>
      </w:tr>
      <w:tr>
        <w:trPr>
          <w:trHeight w:val="20"/>
        </w:trPr>
        <w:tc>
          <w:tcPr>
            <w:tcW w:w="7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-367665</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units included in this offering are subject to approval of legal matters by counsel and to other conditions. The underwriters are obligated to purchase all of the units (other than those covered by the over-allotment option described below) if they purchase any of the units.</w:t>
      </w:r>
    </w:p>
    <w:p>
      <w:pPr>
        <w:spacing w:after="0" w:line="79"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Units sold by the underwriters to the public will initially be offered at the initial public offering price set forth on the cover of this prospectus. If all of the units are not sold at the initial offering price, the underwriters may change the offering price and the other selling terms. The representative has advised us that the underwriters do not intend to make sales to discretionary accounts.</w:t>
      </w:r>
    </w:p>
    <w:p>
      <w:pPr>
        <w:spacing w:after="0" w:line="79"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If the underwriters sell more units than the total number set forth in the table above, we have granted to the underwriters an option, exercisable for 45 days from the date of this prospectus, to purchase up to 11,250,000 additional units at the public offering price less the underwriting discount. The underwriters may exercise this option solely for the purpose of covering over-allotments, if any, in connection with this offering. To the extent the option is exercised, each underwriter must purchase a number of additional units approximately proportionate to that underwriter’s initial purchase commitment. Any units issued or sold under the option will be issued and sold on the same terms and conditions as the other units that are the subject of this offering.</w:t>
      </w:r>
    </w:p>
    <w:p>
      <w:pPr>
        <w:spacing w:after="0" w:line="8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our sponsor and our officers and directors have agreed that, for a period of 180 days from the date of this prospectus, we and they will not, without the prior written consent of the representative, offer, sell, contract to sell, pledge or otherwise dispose of, directly or indirectly, any units, warrants, shares of common stock or any other securities convertible into, or exercisable, or exchangeable for, shares of common stock, subject to certain exceptions. The representative in its sole discretion may release any of the securities subject to these lock-up agreements at any time without notice. Our sponsor, officers and directors are also subject to separate transfer restrictions on their founder shares and private placement warrants pursuant to the insider letters as described herein.</w:t>
      </w:r>
    </w:p>
    <w:p>
      <w:pPr>
        <w:spacing w:after="0" w:line="84"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sponsor, founder, officers and directors have agreed not to transfer, assign or sell any founder shares held by them until the earlier to occur of: (1) one year after the completion of our initial business combination; or (2) the date on which we complete a liquidation, merger, stock exchange, reorganization or other similar transaction after our initial business combination that results in all of our public stockholders having the right to exchange their shares of common stock for cash, securities or other property (except as described herein under “Principal Stockholders — Transfers of Founder Shares and Private Placement Warrants”). Any permitted transferees would be subject to the same restrictions and other agreements of our sponsor with respect to any founder shares. We refer to such transfer restrictions throughout this prospectus as the lock-up. Notwithstanding the foregoing, if the closing price of our common stock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The private placement warrants (including the Class A common stock issuable upon exercise of the private placement warrants) will not be transferable, assignable or saleable until 30 days after the completion of our initial business combination (except with respect to permitted transferees as described herein under the section of this prospectus entitled “Principal Stockholders — Transfers of Founder Shares and Private Placement Warrants”).</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units was determined by negotiations between us and the representative.</w:t>
      </w:r>
    </w:p>
    <w:p>
      <w:pPr>
        <w:spacing w:after="0" w:line="62"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the equity securities markets, including current market valuations of publicly traded companies considered comparable to our company. We cannot assure you, however, that the price at which the units, Class A common stock or warrants will sell in the public market after this offering will not be lower than the initial public offering price or that an active trading market in our units, Class A common stock or warrants will develop and continue after this offering.</w:t>
      </w:r>
    </w:p>
    <w:p>
      <w:pPr>
        <w:spacing w:after="0" w:line="8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We have applied to list our units on the NYSE under the symbol “CCIV.U.” We cannot guarantee that our securities will be approved for listing on the NYSE. We expect that our Class A common stock and warrants will be listed under the symbols “CCIV” and “CCIV WS,” respectively, once the Class A common stock and warrants begin separate trading.</w:t>
      </w:r>
    </w:p>
    <w:p>
      <w:pPr>
        <w:spacing w:after="0" w:line="79"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over-allotment option.</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Payable by</w:t>
            </w:r>
          </w:p>
        </w:tc>
      </w:t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w w:val="98"/>
              </w:rPr>
              <w:t>Annetta Acquisition Corp</w:t>
            </w:r>
          </w:p>
        </w:tc>
      </w:tr>
      <w:tr>
        <w:trPr>
          <w:trHeight w:val="26"/>
        </w:trPr>
        <w:tc>
          <w:tcPr>
            <w:tcW w:w="5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r>
      <w:tr>
        <w:trPr>
          <w:trHeight w:val="198"/>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Full Exercise</w:t>
            </w:r>
          </w:p>
        </w:tc>
      </w:tr>
      <w:tr>
        <w:trPr>
          <w:trHeight w:val="26"/>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44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Per Unit</w:t>
            </w:r>
            <w:r>
              <w:rPr>
                <w:rFonts w:ascii="Arial" w:cs="Arial" w:eastAsia="Arial" w:hAnsi="Arial"/>
                <w:sz w:val="26"/>
                <w:szCs w:val="26"/>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353"/>
        </w:trPr>
        <w:tc>
          <w:tcPr>
            <w:tcW w:w="544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6"/>
                <w:szCs w:val="26"/>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41,250,000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47,437,500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-403225</wp:posOffset>
            </wp:positionV>
            <wp:extent cx="41662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118745</wp:posOffset>
            </wp:positionV>
            <wp:extent cx="12344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2" w:lineRule="exact"/>
        <w:rPr>
          <w:sz w:val="20"/>
          <w:szCs w:val="20"/>
          <w:color w:val="auto"/>
        </w:rPr>
      </w:pPr>
    </w:p>
    <w:p>
      <w:pPr>
        <w:ind w:left="1620" w:right="679" w:hanging="352"/>
        <w:spacing w:after="0" w:line="255"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$0.35 per unit, or $26,250,000 (or $30,187,500 if the over-allotment option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shares of Class A common stock sold as part of the units in this offering, as described in this prospectus.</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If we do not complete our initial business combination and subsequently liquidate, the trustee and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underwriters have agreed that (i) they will forfeit any rights or claims to their deferred underwriting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discounts and commissions, including any accrued interest thereon, then in the trust account upon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liquidation, and (ii) that the deferred underwriters’ discounts and commissions will be distributed on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 rata basis, including interest earned on the funds held in the trust account and not previously released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 to pay our taxes to the public stockholders.</w:t>
      </w:r>
    </w:p>
    <w:p>
      <w:pPr>
        <w:spacing w:after="0" w:line="103"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In connection with the offering, the underwriters may purchase and sell units in the open market. Purchases and sales in the open market may include short sales, purchases to cover short positions, which may include purchases pursuant to the over-allotment option and stabilizing purchases, in accordance with Regulation M under the Exchange Act.</w:t>
      </w:r>
    </w:p>
    <w:p>
      <w:pPr>
        <w:spacing w:after="0" w:line="146" w:lineRule="exact"/>
        <w:rPr>
          <w:sz w:val="20"/>
          <w:szCs w:val="20"/>
          <w:color w:val="auto"/>
        </w:rPr>
      </w:pPr>
    </w:p>
    <w:p>
      <w:pPr>
        <w:ind w:left="1980" w:right="879" w:hanging="352"/>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units than they are required to purchase in the offering.</w:t>
      </w:r>
    </w:p>
    <w:p>
      <w:pPr>
        <w:spacing w:after="0" w:line="129"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“Covered” short sales are sales of units in an amount up to the number of units represented by the underwriters’ over-allotment option.</w:t>
      </w:r>
    </w:p>
    <w:p>
      <w:pPr>
        <w:spacing w:after="0" w:line="129" w:lineRule="exact"/>
        <w:rPr>
          <w:rFonts w:ascii="Arial" w:cs="Arial" w:eastAsia="Arial" w:hAnsi="Arial"/>
          <w:sz w:val="18"/>
          <w:szCs w:val="18"/>
          <w:color w:val="auto"/>
        </w:rPr>
      </w:pPr>
    </w:p>
    <w:p>
      <w:pPr>
        <w:ind w:left="1980" w:right="699" w:hanging="352"/>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“Naked” short sales are sales of units in an amount in excess of the number of units represented by the underwriters’ over-allotment option.</w:t>
      </w:r>
    </w:p>
    <w:p>
      <w:pPr>
        <w:spacing w:after="0" w:line="143" w:lineRule="exact"/>
        <w:rPr>
          <w:rFonts w:ascii="Arial" w:cs="Arial" w:eastAsia="Arial" w:hAnsi="Arial"/>
          <w:sz w:val="18"/>
          <w:szCs w:val="18"/>
          <w:color w:val="auto"/>
        </w:rPr>
      </w:pPr>
    </w:p>
    <w:p>
      <w:pPr>
        <w:ind w:left="1980" w:right="739" w:hanging="352"/>
        <w:spacing w:after="0" w:line="308" w:lineRule="auto"/>
        <w:tabs>
          <w:tab w:leader="none" w:pos="1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Covering transactions involve purchases of units either pursuant to the over-allotment option or in the open market after the distribution has been completed in order to cover short positions.</w:t>
      </w:r>
    </w:p>
    <w:p>
      <w:pPr>
        <w:spacing w:after="0" w:line="2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99" w:hanging="352"/>
        <w:spacing w:after="0" w:line="279" w:lineRule="auto"/>
        <w:tabs>
          <w:tab w:leader="none" w:pos="19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close a naked short position, the underwriters must purchase units in the open market after the distribution has been completed. A naked short position is more likely to be created if the underwriters are concerned that there may be downward pressure on the price of the units in the open market after pricing that could adversely affect investors who purchase in the offering.</w:t>
      </w:r>
    </w:p>
    <w:p>
      <w:pPr>
        <w:spacing w:after="0" w:line="144" w:lineRule="exact"/>
        <w:rPr>
          <w:rFonts w:ascii="Arial" w:cs="Arial" w:eastAsia="Arial" w:hAnsi="Arial"/>
          <w:sz w:val="17"/>
          <w:szCs w:val="17"/>
          <w:color w:val="auto"/>
        </w:rPr>
      </w:pPr>
    </w:p>
    <w:p>
      <w:pPr>
        <w:ind w:left="1980" w:right="739" w:hanging="352"/>
        <w:spacing w:after="0" w:line="257"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units in the open market after the distribution has been completed or must exercise the over-allotment option. In determining the source of units to close the covered short position, the underwriters will consider, among other things, the price of units available for purchase in the open market as compared to the price at which they may purchase units through the over-allotment option.</w:t>
      </w:r>
    </w:p>
    <w:p>
      <w:pPr>
        <w:spacing w:after="0" w:line="147" w:lineRule="exact"/>
        <w:rPr>
          <w:rFonts w:ascii="Arial" w:cs="Arial" w:eastAsia="Arial" w:hAnsi="Arial"/>
          <w:sz w:val="18"/>
          <w:szCs w:val="18"/>
          <w:color w:val="auto"/>
        </w:rPr>
      </w:pPr>
    </w:p>
    <w:p>
      <w:pPr>
        <w:ind w:left="1980" w:right="699" w:hanging="352"/>
        <w:spacing w:after="0" w:line="277"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units so long as the stabilizing bids do not exceed a specified maximum.</w:t>
      </w:r>
    </w:p>
    <w:p>
      <w:pPr>
        <w:spacing w:after="0" w:line="6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84"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We estimate that our portion of the total expenses of this offering payable by us will be $1,000,000, excluding underwriting discounts and commissions. We have also agreed to pay the FINRA-related fees and expenses of the underwriters’ legal counsel, not to exceed $20,000.</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underwriters have agreed to reimburse certain of our expenses.</w:t>
      </w:r>
    </w:p>
    <w:p>
      <w:pPr>
        <w:spacing w:after="0" w:line="117"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76"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77" w:lineRule="exact"/>
        <w:rPr>
          <w:sz w:val="20"/>
          <w:szCs w:val="20"/>
          <w:color w:val="auto"/>
        </w:rPr>
      </w:pPr>
    </w:p>
    <w:p>
      <w:pPr>
        <w:ind w:left="1260" w:right="1159" w:firstLine="360"/>
        <w:spacing w:after="0" w:line="259"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79"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0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units described in this prospectus may not be made to the public in that relevant member state prior to the publication of a prospectus in relation to the units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our units may be made to the public in that relevant member state at any time:</w:t>
      </w:r>
    </w:p>
    <w:p>
      <w:pPr>
        <w:spacing w:after="0" w:line="154" w:lineRule="exact"/>
        <w:rPr>
          <w:sz w:val="20"/>
          <w:szCs w:val="20"/>
          <w:color w:val="auto"/>
        </w:rPr>
      </w:pPr>
    </w:p>
    <w:p>
      <w:pPr>
        <w:ind w:left="1980" w:hanging="352"/>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84" w:lineRule="exact"/>
        <w:rPr>
          <w:rFonts w:ascii="Arial" w:cs="Arial" w:eastAsia="Arial" w:hAnsi="Arial"/>
          <w:sz w:val="18"/>
          <w:szCs w:val="18"/>
          <w:color w:val="auto"/>
        </w:rPr>
      </w:pPr>
    </w:p>
    <w:p>
      <w:pPr>
        <w:ind w:left="1980" w:right="779" w:hanging="352"/>
        <w:spacing w:after="0" w:line="273" w:lineRule="auto"/>
        <w:tabs>
          <w:tab w:leader="none" w:pos="19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natural or legal persons (other than qualified investors as defined below) subject to obtaining the prior consent of the underwriters for any such offer; or</w:t>
      </w:r>
    </w:p>
    <w:p>
      <w:pPr>
        <w:spacing w:after="0" w:line="137" w:lineRule="exact"/>
        <w:rPr>
          <w:rFonts w:ascii="Arial" w:cs="Arial" w:eastAsia="Arial" w:hAnsi="Arial"/>
          <w:sz w:val="17"/>
          <w:szCs w:val="17"/>
          <w:color w:val="auto"/>
        </w:rPr>
      </w:pPr>
    </w:p>
    <w:p>
      <w:pPr>
        <w:ind w:left="1980" w:right="979" w:hanging="352"/>
        <w:spacing w:after="0" w:line="277" w:lineRule="auto"/>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us of a prospectus pursuant to Article 3 of the Prospectus Directive.</w:t>
      </w:r>
    </w:p>
    <w:p>
      <w:pPr>
        <w:spacing w:after="0" w:line="62"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Each purchaser of units described in this prospectus located within a relevant member state will be deemed to have represented, acknowledged and agreed that it is a “qualified investor” within the meaning of Article 2(1)(e) of the Prospectus Directive.</w:t>
      </w:r>
    </w:p>
    <w:p>
      <w:pPr>
        <w:spacing w:after="0" w:line="76"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For the purpose of this provision, the expression an “offer of units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by the relevant member state) and includes any relevant implementing measure in each relevant member state. The expression 2010 PD Amending Directive means Directive 2010/73/EU.</w:t>
      </w:r>
    </w:p>
    <w:p>
      <w:pPr>
        <w:spacing w:after="0" w:line="70"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We have not authorized and do not authorize the making of any offer of units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08"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w:t>
      </w:r>
    </w:p>
    <w:p>
      <w:pPr>
        <w:ind w:left="1260" w:right="679" w:firstLine="8"/>
        <w:spacing w:after="0" w:line="268" w:lineRule="auto"/>
        <w:tabs>
          <w:tab w:leader="none" w:pos="1489"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08" w:lineRule="exact"/>
        <w:rPr>
          <w:sz w:val="20"/>
          <w:szCs w:val="20"/>
          <w:color w:val="auto"/>
        </w:rPr>
      </w:pPr>
    </w:p>
    <w:p>
      <w:pPr>
        <w:jc w:val="both"/>
        <w:ind w:left="1260" w:right="719" w:firstLine="360"/>
        <w:spacing w:after="0" w:line="255" w:lineRule="auto"/>
        <w:rPr>
          <w:sz w:val="20"/>
          <w:szCs w:val="20"/>
          <w:color w:val="auto"/>
        </w:rPr>
      </w:pPr>
      <w:r>
        <w:rPr>
          <w:rFonts w:ascii="Arial" w:cs="Arial" w:eastAsia="Arial" w:hAnsi="Arial"/>
          <w:sz w:val="18"/>
          <w:szCs w:val="18"/>
          <w:color w:val="auto"/>
        </w:rPr>
        <w:t>Neither this prospectus nor any other offering material relating to the units described in this prospectus has been submitted to the clearance procedures of the Autorité des Marchés Financiers or of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125" w:lineRule="exact"/>
        <w:rPr>
          <w:sz w:val="20"/>
          <w:szCs w:val="20"/>
          <w:color w:val="auto"/>
        </w:rPr>
      </w:pPr>
    </w:p>
    <w:p>
      <w:pPr>
        <w:ind w:left="1980" w:right="779" w:hanging="352"/>
        <w:spacing w:after="0" w:line="277"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89"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units to the public in France. Such offers, sales and distributions will be made in France only:</w:t>
      </w:r>
    </w:p>
    <w:p>
      <w:pPr>
        <w:spacing w:after="0" w:line="89" w:lineRule="exact"/>
        <w:rPr>
          <w:rFonts w:ascii="Arial" w:cs="Arial" w:eastAsia="Arial" w:hAnsi="Arial"/>
          <w:sz w:val="18"/>
          <w:szCs w:val="18"/>
          <w:color w:val="auto"/>
        </w:rPr>
      </w:pPr>
    </w:p>
    <w:p>
      <w:pPr>
        <w:ind w:left="1980" w:right="879" w:hanging="352"/>
        <w:spacing w:after="0" w:line="259"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19"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89" w:lineRule="exact"/>
        <w:rPr>
          <w:rFonts w:ascii="Arial" w:cs="Arial" w:eastAsia="Arial" w:hAnsi="Arial"/>
          <w:sz w:val="18"/>
          <w:szCs w:val="18"/>
          <w:color w:val="auto"/>
        </w:rPr>
      </w:pPr>
    </w:p>
    <w:p>
      <w:pPr>
        <w:ind w:left="1980" w:right="979" w:hanging="352"/>
        <w:spacing w:after="0" w:line="286" w:lineRule="auto"/>
        <w:tabs>
          <w:tab w:leader="none" w:pos="19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57"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0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units offered in this prospectus have not been and will not be registered under the Financial Instruments and Exchange Law of Japan. The units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0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w:t>
      </w:r>
    </w:p>
    <w:p>
      <w:pPr>
        <w:sectPr>
          <w:pgSz w:w="11900" w:h="16838" w:orient="portrait"/>
          <w:cols w:equalWidth="0" w:num="1">
            <w:col w:w="10139"/>
          </w:cols>
          <w:pgMar w:left="320" w:top="132" w:right="1440" w:bottom="1440" w:gutter="0" w:footer="0" w:header="0"/>
        </w:sectPr>
      </w:pP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68065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75" w:lineRule="auto"/>
        <w:rPr>
          <w:sz w:val="20"/>
          <w:szCs w:val="20"/>
          <w:color w:val="auto"/>
        </w:rPr>
      </w:pPr>
      <w:r>
        <w:rPr>
          <w:rFonts w:ascii="Arial" w:cs="Arial" w:eastAsia="Arial" w:hAnsi="Arial"/>
          <w:sz w:val="17"/>
          <w:szCs w:val="17"/>
          <w:color w:val="auto"/>
        </w:rPr>
        <w:t>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Where the units are subscribed or purchased under Section 275 of the SFA by a relevant person which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w:t>
      </w:r>
    </w:p>
    <w:p>
      <w:pPr>
        <w:spacing w:after="0" w:line="170" w:lineRule="exact"/>
        <w:rPr>
          <w:sz w:val="20"/>
          <w:szCs w:val="20"/>
          <w:color w:val="auto"/>
        </w:rPr>
      </w:pPr>
    </w:p>
    <w:p>
      <w:pPr>
        <w:jc w:val="both"/>
        <w:ind w:left="1980" w:right="819" w:hanging="352"/>
        <w:spacing w:after="0" w:line="263"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3" w:lineRule="exact"/>
        <w:rPr>
          <w:rFonts w:ascii="Arial" w:cs="Arial" w:eastAsia="Arial" w:hAnsi="Arial"/>
          <w:sz w:val="18"/>
          <w:szCs w:val="18"/>
          <w:color w:val="auto"/>
        </w:rPr>
      </w:pPr>
    </w:p>
    <w:p>
      <w:pPr>
        <w:ind w:left="1980" w:right="719" w:hanging="352"/>
        <w:spacing w:after="0" w:line="275" w:lineRule="auto"/>
        <w:tabs>
          <w:tab w:leader="none" w:pos="19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35" w:lineRule="exact"/>
        <w:rPr>
          <w:rFonts w:ascii="Arial" w:cs="Arial" w:eastAsia="Arial" w:hAnsi="Arial"/>
          <w:sz w:val="17"/>
          <w:szCs w:val="17"/>
          <w:color w:val="auto"/>
        </w:rPr>
      </w:pPr>
    </w:p>
    <w:p>
      <w:pPr>
        <w:ind w:left="1980" w:right="719" w:hanging="352"/>
        <w:spacing w:after="0" w:line="254"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54" w:lineRule="exact"/>
        <w:rPr>
          <w:rFonts w:ascii="Arial" w:cs="Arial" w:eastAsia="Arial" w:hAnsi="Arial"/>
          <w:sz w:val="18"/>
          <w:szCs w:val="18"/>
          <w:color w:val="auto"/>
        </w:rPr>
      </w:pPr>
    </w:p>
    <w:p>
      <w:pPr>
        <w:ind w:left="1980" w:hanging="352"/>
        <w:spacing w:after="0"/>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 xml:space="preserve">The units may be sold in Canada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 or</w:t>
      </w:r>
      <w:r>
        <w:rPr>
          <w:rFonts w:ascii="Arial" w:cs="Arial" w:eastAsia="Arial" w:hAnsi="Arial"/>
          <w:sz w:val="18"/>
          <w:szCs w:val="18"/>
          <w:color w:val="auto"/>
        </w:rPr>
        <w:t xml:space="preserve">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units must be made in accordance with an exemption from, or in a transaction not subject to, the prospectus requirements of applicable securities laws.</w:t>
      </w:r>
    </w:p>
    <w:p>
      <w:pPr>
        <w:spacing w:after="0" w:line="8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ind w:left="1260" w:right="1239" w:firstLine="360"/>
        <w:spacing w:after="0" w:line="263"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08"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w:t>
      </w:r>
    </w:p>
    <w:p>
      <w:pPr>
        <w:sectPr>
          <w:pgSz w:w="11900" w:h="16838" w:orient="portrait"/>
          <w:cols w:equalWidth="0" w:num="1">
            <w:col w:w="10139"/>
          </w:cols>
          <w:pgMar w:left="320" w:top="132" w:right="1440" w:bottom="1440" w:gutter="0" w:footer="0" w:header="0"/>
        </w:sect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3" w:lineRule="auto"/>
        <w:rPr>
          <w:sz w:val="20"/>
          <w:szCs w:val="20"/>
          <w:color w:val="auto"/>
        </w:rPr>
      </w:pPr>
      <w:r>
        <w:rPr>
          <w:rFonts w:ascii="Arial" w:cs="Arial" w:eastAsia="Arial" w:hAnsi="Arial"/>
          <w:sz w:val="18"/>
          <w:szCs w:val="18"/>
          <w:color w:val="auto"/>
        </w:rPr>
        <w:t>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4"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80"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08"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69"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Paul, Weiss, Rifkind, Wharton &amp; Garrison LLP, New York, New York, has passed upon the validity of the securities offered in this prospectus on behalf of us. Winston &amp; Strawn LLP, New York, New York, advised the underwriters in connection with the offering of the securities.</w:t>
      </w:r>
    </w:p>
    <w:p>
      <w:pPr>
        <w:spacing w:after="0" w:line="166"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financial statements of Annetta Acquisition Corp as of May 22, 2020 and for the period from April 30, 2020 (inception) through May 22, 2020 included in this prospectus have been audited by Marcum LLP, independent registered public accounting firm, as set forth in their report, thereon (which contains an explanatory paragraph relating to substantial doubt about the ability of Annetta Acquisition Corp to continue as a going concern as described in Note 1 to the financial statements), appearing elsewhere in this prospectus, and are included in reliance on such report given upon such firm as experts in auditing and accounting.</w:t>
      </w:r>
    </w:p>
    <w:p>
      <w:pPr>
        <w:spacing w:after="0" w:line="17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84" w:lineRule="exact"/>
        <w:rPr>
          <w:sz w:val="20"/>
          <w:szCs w:val="20"/>
          <w:color w:val="auto"/>
        </w:rPr>
      </w:pPr>
    </w:p>
    <w:p>
      <w:pPr>
        <w:jc w:val="both"/>
        <w:ind w:left="1260" w:right="839" w:firstLine="360"/>
        <w:spacing w:after="0" w:line="259" w:lineRule="auto"/>
        <w:rPr>
          <w:sz w:val="20"/>
          <w:szCs w:val="20"/>
          <w:color w:val="auto"/>
        </w:rPr>
      </w:pPr>
      <w:r>
        <w:rPr>
          <w:rFonts w:ascii="Arial" w:cs="Arial" w:eastAsia="Arial" w:hAnsi="Arial"/>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INDEX TO FINANCIAL STATEMENTS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7900" w:type="dxa"/>
            <w:vAlign w:val="bottom"/>
            <w:shd w:val="clear" w:color="auto" w:fill="CCEEFF"/>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Report of Independent Registered Public Accounting Firm</w:t>
              </w:r>
            </w:hyperlink>
          </w:p>
        </w:tc>
        <w:tc>
          <w:tcPr>
            <w:tcW w:w="320" w:type="dxa"/>
            <w:vAlign w:val="bottom"/>
            <w:shd w:val="clear" w:color="auto" w:fill="CCEEFF"/>
          </w:tcPr>
          <w:p>
            <w:pPr>
              <w:ind w:left="60"/>
              <w:spacing w:after="0"/>
              <w:rPr>
                <w:rFonts w:ascii="Arial" w:cs="Arial" w:eastAsia="Arial" w:hAnsi="Arial"/>
                <w:sz w:val="18"/>
                <w:szCs w:val="18"/>
                <w:u w:val="single" w:color="auto"/>
                <w:color w:val="0000EE"/>
                <w:w w:val="88"/>
              </w:rPr>
            </w:pPr>
            <w:hyperlink w:anchor="page157">
              <w:r>
                <w:rPr>
                  <w:rFonts w:ascii="Arial" w:cs="Arial" w:eastAsia="Arial" w:hAnsi="Arial"/>
                  <w:sz w:val="18"/>
                  <w:szCs w:val="18"/>
                  <w:u w:val="single" w:color="auto"/>
                  <w:color w:val="0000EE"/>
                  <w:w w:val="88"/>
                </w:rPr>
                <w:t>F-2</w:t>
              </w:r>
            </w:hyperlink>
          </w:p>
        </w:tc>
      </w:tr>
      <w:tr>
        <w:trPr>
          <w:trHeight w:val="256"/>
        </w:trPr>
        <w:tc>
          <w:tcPr>
            <w:tcW w:w="7900" w:type="dxa"/>
            <w:vAlign w:val="bottom"/>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Balance Sheet</w:t>
              </w:r>
            </w:hyperlink>
          </w:p>
        </w:tc>
        <w:tc>
          <w:tcPr>
            <w:tcW w:w="320" w:type="dxa"/>
            <w:vAlign w:val="bottom"/>
          </w:tcPr>
          <w:p>
            <w:pPr>
              <w:ind w:left="60"/>
              <w:spacing w:after="0"/>
              <w:rPr>
                <w:rFonts w:ascii="Arial" w:cs="Arial" w:eastAsia="Arial" w:hAnsi="Arial"/>
                <w:sz w:val="18"/>
                <w:szCs w:val="18"/>
                <w:u w:val="single" w:color="auto"/>
                <w:color w:val="0000EE"/>
                <w:w w:val="88"/>
              </w:rPr>
            </w:pPr>
            <w:hyperlink w:anchor="page158">
              <w:r>
                <w:rPr>
                  <w:rFonts w:ascii="Arial" w:cs="Arial" w:eastAsia="Arial" w:hAnsi="Arial"/>
                  <w:sz w:val="18"/>
                  <w:szCs w:val="18"/>
                  <w:u w:val="single" w:color="auto"/>
                  <w:color w:val="0000EE"/>
                  <w:w w:val="88"/>
                </w:rPr>
                <w:t>F-3</w:t>
              </w:r>
            </w:hyperlink>
          </w:p>
        </w:tc>
      </w:tr>
      <w:tr>
        <w:trPr>
          <w:trHeight w:val="257"/>
        </w:trPr>
        <w:tc>
          <w:tcPr>
            <w:tcW w:w="7900" w:type="dxa"/>
            <w:vAlign w:val="bottom"/>
            <w:shd w:val="clear" w:color="auto" w:fill="CCEEFF"/>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Statement of Operations</w:t>
              </w:r>
            </w:hyperlink>
          </w:p>
        </w:tc>
        <w:tc>
          <w:tcPr>
            <w:tcW w:w="320" w:type="dxa"/>
            <w:vAlign w:val="bottom"/>
            <w:shd w:val="clear" w:color="auto" w:fill="CCEEFF"/>
          </w:tcPr>
          <w:p>
            <w:pPr>
              <w:ind w:left="60"/>
              <w:spacing w:after="0"/>
              <w:rPr>
                <w:rFonts w:ascii="Arial" w:cs="Arial" w:eastAsia="Arial" w:hAnsi="Arial"/>
                <w:sz w:val="18"/>
                <w:szCs w:val="18"/>
                <w:u w:val="single" w:color="auto"/>
                <w:color w:val="0000EE"/>
                <w:w w:val="88"/>
              </w:rPr>
            </w:pPr>
            <w:hyperlink w:anchor="page159">
              <w:r>
                <w:rPr>
                  <w:rFonts w:ascii="Arial" w:cs="Arial" w:eastAsia="Arial" w:hAnsi="Arial"/>
                  <w:sz w:val="18"/>
                  <w:szCs w:val="18"/>
                  <w:u w:val="single" w:color="auto"/>
                  <w:color w:val="0000EE"/>
                  <w:w w:val="88"/>
                </w:rPr>
                <w:t>F-4</w:t>
              </w:r>
            </w:hyperlink>
          </w:p>
        </w:tc>
      </w:tr>
      <w:tr>
        <w:trPr>
          <w:trHeight w:val="270"/>
        </w:trPr>
        <w:tc>
          <w:tcPr>
            <w:tcW w:w="7900" w:type="dxa"/>
            <w:vAlign w:val="bottom"/>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Statement of Changes in Stockholder’s Equity</w:t>
              </w:r>
            </w:hyperlink>
          </w:p>
        </w:tc>
        <w:tc>
          <w:tcPr>
            <w:tcW w:w="320" w:type="dxa"/>
            <w:vAlign w:val="bottom"/>
          </w:tcPr>
          <w:p>
            <w:pPr>
              <w:ind w:left="60"/>
              <w:spacing w:after="0"/>
              <w:rPr>
                <w:rFonts w:ascii="Arial" w:cs="Arial" w:eastAsia="Arial" w:hAnsi="Arial"/>
                <w:sz w:val="18"/>
                <w:szCs w:val="18"/>
                <w:u w:val="single" w:color="auto"/>
                <w:color w:val="0000EE"/>
                <w:w w:val="88"/>
              </w:rPr>
            </w:pPr>
            <w:hyperlink w:anchor="page160">
              <w:r>
                <w:rPr>
                  <w:rFonts w:ascii="Arial" w:cs="Arial" w:eastAsia="Arial" w:hAnsi="Arial"/>
                  <w:sz w:val="18"/>
                  <w:szCs w:val="18"/>
                  <w:u w:val="single" w:color="auto"/>
                  <w:color w:val="0000EE"/>
                  <w:w w:val="88"/>
                </w:rPr>
                <w:t>F-5</w:t>
              </w:r>
            </w:hyperlink>
          </w:p>
        </w:tc>
      </w:tr>
      <w:tr>
        <w:trPr>
          <w:trHeight w:val="270"/>
        </w:trPr>
        <w:tc>
          <w:tcPr>
            <w:tcW w:w="7900" w:type="dxa"/>
            <w:vAlign w:val="bottom"/>
            <w:shd w:val="clear" w:color="auto" w:fill="CCEEFF"/>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Statement of Cash Flows</w:t>
              </w:r>
            </w:hyperlink>
          </w:p>
        </w:tc>
        <w:tc>
          <w:tcPr>
            <w:tcW w:w="320" w:type="dxa"/>
            <w:vAlign w:val="bottom"/>
            <w:shd w:val="clear" w:color="auto" w:fill="CCEEFF"/>
          </w:tcPr>
          <w:p>
            <w:pPr>
              <w:ind w:left="60"/>
              <w:spacing w:after="0"/>
              <w:rPr>
                <w:rFonts w:ascii="Arial" w:cs="Arial" w:eastAsia="Arial" w:hAnsi="Arial"/>
                <w:sz w:val="18"/>
                <w:szCs w:val="18"/>
                <w:u w:val="single" w:color="auto"/>
                <w:color w:val="0000EE"/>
                <w:w w:val="88"/>
              </w:rPr>
            </w:pPr>
            <w:hyperlink w:anchor="page161">
              <w:r>
                <w:rPr>
                  <w:rFonts w:ascii="Arial" w:cs="Arial" w:eastAsia="Arial" w:hAnsi="Arial"/>
                  <w:sz w:val="18"/>
                  <w:szCs w:val="18"/>
                  <w:u w:val="single" w:color="auto"/>
                  <w:color w:val="0000EE"/>
                  <w:w w:val="88"/>
                </w:rPr>
                <w:t>F-6</w:t>
              </w:r>
            </w:hyperlink>
          </w:p>
        </w:tc>
      </w:tr>
      <w:tr>
        <w:trPr>
          <w:trHeight w:val="270"/>
        </w:trPr>
        <w:tc>
          <w:tcPr>
            <w:tcW w:w="7900" w:type="dxa"/>
            <w:vAlign w:val="bottom"/>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Notes to Financial Statements</w:t>
              </w:r>
            </w:hyperlink>
          </w:p>
        </w:tc>
        <w:tc>
          <w:tcPr>
            <w:tcW w:w="320" w:type="dxa"/>
            <w:vAlign w:val="bottom"/>
          </w:tcPr>
          <w:p>
            <w:pPr>
              <w:ind w:left="60"/>
              <w:spacing w:after="0"/>
              <w:rPr>
                <w:rFonts w:ascii="Arial" w:cs="Arial" w:eastAsia="Arial" w:hAnsi="Arial"/>
                <w:sz w:val="18"/>
                <w:szCs w:val="18"/>
                <w:u w:val="single" w:color="auto"/>
                <w:color w:val="0000EE"/>
                <w:w w:val="88"/>
              </w:rPr>
            </w:pPr>
            <w:hyperlink w:anchor="page162">
              <w:r>
                <w:rPr>
                  <w:rFonts w:ascii="Arial" w:cs="Arial" w:eastAsia="Arial" w:hAnsi="Arial"/>
                  <w:sz w:val="18"/>
                  <w:szCs w:val="18"/>
                  <w:u w:val="single" w:color="auto"/>
                  <w:color w:val="0000EE"/>
                  <w:w w:val="88"/>
                </w:rPr>
                <w:t>F-7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-1010920</wp:posOffset>
            </wp:positionV>
            <wp:extent cx="50145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Annetta Acquisition Corp</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have audited the accompanying balance sheet of Annetta Acquisition Corp (the “Company”) as of May 22, 2020, the related statements of operations, changes in stockholder’s equity and cash flows for the period from April 30, 2020 (inception) through May 22, 2020 and the related notes (collectively referred to as the “financial statements”). In our opinion, the financial statements present fairly, in all material respects, the financial position of the Company as of May 22, 2020 and the results of its operations and its cash flows for the period from April 30, 2020 (inception) through May 22, 2020, in conformity with accounting principles generally accepted in the United States of America.</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0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the Company's ability to execute its business plan is dependent upon its completion of the proposed initial public offering described in Note 3 to the financial statements. The Company had a working capital deficit as of May 22, 2020 of $34,000 and lacks the financial resources it needs to sustain operations for a reasonable period of time, which is considered to be one year from the issuance date of the financial statements. These conditions raise substantial doubt about the Company’s ability to continue as a going concern. Management’s plans in regard to these matters are also described in Notes 1 and 3. The financial statements do not include any adjustments that might become necessary should the Company be unable to continue as a going concern.</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left="1260" w:right="719" w:firstLine="360"/>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conducted our audit in accordance with the standards of the PCAOB and in the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4"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Marcum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Marcum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 27, 2020</w:t>
      </w: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680" w:type="dxa"/>
            <w:vAlign w:val="bottom"/>
          </w:tcPr>
          <w:p>
            <w:pPr>
              <w:jc w:val="center"/>
              <w:ind w:right="1290"/>
              <w:spacing w:after="0"/>
              <w:rPr>
                <w:sz w:val="20"/>
                <w:szCs w:val="20"/>
                <w:color w:val="auto"/>
              </w:rPr>
            </w:pPr>
            <w:r>
              <w:rPr>
                <w:rFonts w:ascii="Arial" w:cs="Arial" w:eastAsia="Arial" w:hAnsi="Arial"/>
                <w:sz w:val="18"/>
                <w:szCs w:val="18"/>
                <w:b w:val="1"/>
                <w:bCs w:val="1"/>
                <w:color w:val="auto"/>
                <w:w w:val="98"/>
              </w:rPr>
              <w:t>ANNETTA ACQUISITION CORP</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3"/>
        </w:trPr>
        <w:tc>
          <w:tcPr>
            <w:tcW w:w="1940" w:type="dxa"/>
            <w:vAlign w:val="bottom"/>
          </w:tcPr>
          <w:p>
            <w:pPr>
              <w:spacing w:after="0"/>
              <w:rPr>
                <w:sz w:val="24"/>
                <w:szCs w:val="24"/>
                <w:color w:val="auto"/>
              </w:rPr>
            </w:pPr>
          </w:p>
        </w:tc>
        <w:tc>
          <w:tcPr>
            <w:tcW w:w="5680" w:type="dxa"/>
            <w:vAlign w:val="bottom"/>
          </w:tcPr>
          <w:p>
            <w:pPr>
              <w:jc w:val="center"/>
              <w:ind w:right="1270"/>
              <w:spacing w:after="0"/>
              <w:rPr>
                <w:sz w:val="20"/>
                <w:szCs w:val="20"/>
                <w:color w:val="auto"/>
              </w:rPr>
            </w:pPr>
            <w:r>
              <w:rPr>
                <w:rFonts w:ascii="Arial" w:cs="Arial" w:eastAsia="Arial" w:hAnsi="Arial"/>
                <w:sz w:val="18"/>
                <w:szCs w:val="18"/>
                <w:b w:val="1"/>
                <w:bCs w:val="1"/>
                <w:color w:val="auto"/>
                <w:w w:val="96"/>
              </w:rPr>
              <w:t>BALANCE SHEET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940" w:type="dxa"/>
            <w:vAlign w:val="bottom"/>
          </w:tcPr>
          <w:p>
            <w:pPr>
              <w:spacing w:after="0"/>
              <w:rPr>
                <w:sz w:val="20"/>
                <w:szCs w:val="20"/>
                <w:color w:val="auto"/>
              </w:rPr>
            </w:pPr>
          </w:p>
        </w:tc>
        <w:tc>
          <w:tcPr>
            <w:tcW w:w="5680" w:type="dxa"/>
            <w:vAlign w:val="bottom"/>
          </w:tcPr>
          <w:p>
            <w:pPr>
              <w:jc w:val="center"/>
              <w:ind w:right="1250"/>
              <w:spacing w:after="0"/>
              <w:rPr>
                <w:sz w:val="20"/>
                <w:szCs w:val="20"/>
                <w:color w:val="auto"/>
              </w:rPr>
            </w:pPr>
            <w:r>
              <w:rPr>
                <w:rFonts w:ascii="Arial" w:cs="Arial" w:eastAsia="Arial" w:hAnsi="Arial"/>
                <w:sz w:val="18"/>
                <w:szCs w:val="18"/>
                <w:b w:val="1"/>
                <w:bCs w:val="1"/>
                <w:color w:val="auto"/>
                <w:w w:val="92"/>
              </w:rPr>
              <w:t>MAY 22, 2020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1"/>
        </w:trPr>
        <w:tc>
          <w:tcPr>
            <w:tcW w:w="194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9"/>
        </w:trPr>
        <w:tc>
          <w:tcPr>
            <w:tcW w:w="7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Current asset — 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60" w:type="dxa"/>
            <w:vAlign w:val="bottom"/>
          </w:tcPr>
          <w:p>
            <w:pPr>
              <w:spacing w:after="0"/>
              <w:rPr>
                <w:sz w:val="22"/>
                <w:szCs w:val="22"/>
                <w:color w:val="auto"/>
              </w:rPr>
            </w:pPr>
          </w:p>
        </w:tc>
      </w:tr>
      <w:tr>
        <w:trPr>
          <w:trHeight w:val="263"/>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58,000</w:t>
            </w:r>
          </w:p>
        </w:tc>
        <w:tc>
          <w:tcPr>
            <w:tcW w:w="60" w:type="dxa"/>
            <w:vAlign w:val="bottom"/>
          </w:tcPr>
          <w:p>
            <w:pPr>
              <w:spacing w:after="0"/>
              <w:rPr>
                <w:sz w:val="22"/>
                <w:szCs w:val="22"/>
                <w:color w:val="auto"/>
              </w:rPr>
            </w:pPr>
          </w:p>
        </w:tc>
      </w:tr>
      <w:tr>
        <w:trPr>
          <w:trHeight w:val="303"/>
        </w:trPr>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83,000</w:t>
            </w:r>
          </w:p>
        </w:tc>
        <w:tc>
          <w:tcPr>
            <w:tcW w:w="60" w:type="dxa"/>
            <w:vAlign w:val="bottom"/>
          </w:tcPr>
          <w:p>
            <w:pPr>
              <w:spacing w:after="0"/>
              <w:rPr>
                <w:sz w:val="24"/>
                <w:szCs w:val="24"/>
                <w:color w:val="auto"/>
              </w:rPr>
            </w:pPr>
          </w:p>
        </w:tc>
      </w:tr>
      <w:tr>
        <w:trPr>
          <w:trHeight w:val="311"/>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2"/>
                <w:szCs w:val="22"/>
                <w:color w:val="auto"/>
              </w:rPr>
            </w:pPr>
          </w:p>
        </w:tc>
      </w:tr>
      <w:tr>
        <w:trPr>
          <w:trHeight w:val="263"/>
        </w:trPr>
        <w:tc>
          <w:tcPr>
            <w:tcW w:w="7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Accrued offering costs</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58,000</w:t>
            </w:r>
          </w:p>
        </w:tc>
        <w:tc>
          <w:tcPr>
            <w:tcW w:w="60" w:type="dxa"/>
            <w:vAlign w:val="bottom"/>
          </w:tcPr>
          <w:p>
            <w:pPr>
              <w:spacing w:after="0"/>
              <w:rPr>
                <w:sz w:val="22"/>
                <w:szCs w:val="22"/>
                <w:color w:val="auto"/>
              </w:rPr>
            </w:pPr>
          </w:p>
        </w:tc>
      </w:tr>
      <w:tr>
        <w:trPr>
          <w:trHeight w:val="263"/>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59,000</w:t>
            </w:r>
          </w:p>
        </w:tc>
        <w:tc>
          <w:tcPr>
            <w:tcW w:w="60" w:type="dxa"/>
            <w:vAlign w:val="bottom"/>
          </w:tcPr>
          <w:p>
            <w:pPr>
              <w:spacing w:after="0"/>
              <w:rPr>
                <w:sz w:val="22"/>
                <w:szCs w:val="22"/>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0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2"/>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 $0.0001 par value; 240,000,000 shares authorized; none issued and</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05"/>
        </w:trPr>
        <w:tc>
          <w:tcPr>
            <w:tcW w:w="7620" w:type="dxa"/>
            <w:vAlign w:val="bottom"/>
            <w:gridSpan w:val="2"/>
          </w:tcPr>
          <w:p>
            <w:pPr>
              <w:spacing w:after="0" w:line="205" w:lineRule="exact"/>
              <w:rPr>
                <w:sz w:val="20"/>
                <w:szCs w:val="20"/>
                <w:color w:val="auto"/>
              </w:rPr>
            </w:pPr>
            <w:r>
              <w:rPr>
                <w:rFonts w:ascii="Arial" w:cs="Arial" w:eastAsia="Arial" w:hAnsi="Arial"/>
                <w:sz w:val="18"/>
                <w:szCs w:val="18"/>
                <w:color w:val="auto"/>
              </w:rPr>
              <w:t>Class B common stock, $0.0001 par value; 60,000,000 shares authorized; 21,562,500 shares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4"/>
        </w:trPr>
        <w:tc>
          <w:tcPr>
            <w:tcW w:w="762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issued and outstanding</w:t>
            </w:r>
            <w:r>
              <w:rPr>
                <w:rFonts w:ascii="Arial" w:cs="Arial" w:eastAsia="Arial" w:hAnsi="Arial"/>
                <w:sz w:val="26"/>
                <w:szCs w:val="26"/>
                <w:color w:val="auto"/>
                <w:vertAlign w:val="superscript"/>
              </w:rPr>
              <w:t>(1)</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2,156</w:t>
            </w:r>
          </w:p>
        </w:tc>
        <w:tc>
          <w:tcPr>
            <w:tcW w:w="60" w:type="dxa"/>
            <w:vAlign w:val="bottom"/>
          </w:tcPr>
          <w:p>
            <w:pPr>
              <w:spacing w:after="0"/>
              <w:rPr>
                <w:sz w:val="24"/>
                <w:szCs w:val="24"/>
                <w:color w:val="auto"/>
              </w:rPr>
            </w:pPr>
          </w:p>
        </w:tc>
      </w:tr>
      <w:tr>
        <w:trPr>
          <w:trHeight w:val="270"/>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22,844</w:t>
            </w:r>
          </w:p>
        </w:tc>
        <w:tc>
          <w:tcPr>
            <w:tcW w:w="60" w:type="dxa"/>
            <w:vAlign w:val="bottom"/>
          </w:tcPr>
          <w:p>
            <w:pPr>
              <w:spacing w:after="0"/>
              <w:rPr>
                <w:sz w:val="23"/>
                <w:szCs w:val="23"/>
                <w:color w:val="auto"/>
              </w:rPr>
            </w:pPr>
          </w:p>
        </w:tc>
      </w:tr>
      <w:tr>
        <w:trPr>
          <w:trHeight w:val="277"/>
        </w:trPr>
        <w:tc>
          <w:tcPr>
            <w:tcW w:w="76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(1,000)</w:t>
            </w:r>
          </w:p>
        </w:tc>
      </w:tr>
      <w:tr>
        <w:trPr>
          <w:trHeight w:val="277"/>
        </w:trPr>
        <w:tc>
          <w:tcPr>
            <w:tcW w:w="7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24,000</w:t>
            </w:r>
          </w:p>
        </w:tc>
        <w:tc>
          <w:tcPr>
            <w:tcW w:w="60" w:type="dxa"/>
            <w:vAlign w:val="bottom"/>
          </w:tcPr>
          <w:p>
            <w:pPr>
              <w:spacing w:after="0"/>
              <w:rPr>
                <w:sz w:val="24"/>
                <w:szCs w:val="24"/>
                <w:color w:val="auto"/>
              </w:rPr>
            </w:pPr>
          </w:p>
        </w:tc>
      </w:tr>
      <w:tr>
        <w:trPr>
          <w:trHeight w:val="277"/>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83,000</w:t>
            </w:r>
          </w:p>
        </w:tc>
        <w:tc>
          <w:tcPr>
            <w:tcW w:w="6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1940" w:type="dxa"/>
            <w:vAlign w:val="bottom"/>
            <w:tcBorders>
              <w:bottom w:val="single" w:sz="8" w:color="auto"/>
            </w:tcBorders>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-521970</wp:posOffset>
            </wp:positionV>
            <wp:extent cx="4834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-2176780</wp:posOffset>
            </wp:positionV>
            <wp:extent cx="4834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182" w:lineRule="exact"/>
        <w:rPr>
          <w:sz w:val="20"/>
          <w:szCs w:val="20"/>
          <w:color w:val="auto"/>
        </w:rPr>
      </w:pPr>
    </w:p>
    <w:p>
      <w:pPr>
        <w:ind w:left="1620" w:right="1599" w:hanging="352"/>
        <w:spacing w:after="0" w:line="27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an aggregate of 2,812,500 shares that are subject to forfeiture to the extent that the underwriters’ over-allotment is not exercised in full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360" w:type="dxa"/>
            <w:vAlign w:val="bottom"/>
          </w:tcPr>
          <w:p>
            <w:pPr>
              <w:jc w:val="center"/>
              <w:ind w:right="970"/>
              <w:spacing w:after="0"/>
              <w:rPr>
                <w:sz w:val="20"/>
                <w:szCs w:val="20"/>
                <w:color w:val="auto"/>
              </w:rPr>
            </w:pPr>
            <w:r>
              <w:rPr>
                <w:rFonts w:ascii="Arial" w:cs="Arial" w:eastAsia="Arial" w:hAnsi="Arial"/>
                <w:sz w:val="18"/>
                <w:szCs w:val="18"/>
                <w:b w:val="1"/>
                <w:bCs w:val="1"/>
                <w:color w:val="auto"/>
                <w:w w:val="98"/>
              </w:rPr>
              <w:t>ANNETTA ACQUISITION CORP</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940" w:type="dxa"/>
            <w:vAlign w:val="bottom"/>
          </w:tcPr>
          <w:p>
            <w:pPr>
              <w:spacing w:after="0"/>
              <w:rPr>
                <w:sz w:val="24"/>
                <w:szCs w:val="24"/>
                <w:color w:val="auto"/>
              </w:rPr>
            </w:pPr>
          </w:p>
        </w:tc>
        <w:tc>
          <w:tcPr>
            <w:tcW w:w="5360" w:type="dxa"/>
            <w:vAlign w:val="bottom"/>
          </w:tcPr>
          <w:p>
            <w:pPr>
              <w:jc w:val="center"/>
              <w:ind w:right="970"/>
              <w:spacing w:after="0"/>
              <w:rPr>
                <w:sz w:val="20"/>
                <w:szCs w:val="20"/>
                <w:color w:val="auto"/>
              </w:rPr>
            </w:pPr>
            <w:r>
              <w:rPr>
                <w:rFonts w:ascii="Arial" w:cs="Arial" w:eastAsia="Arial" w:hAnsi="Arial"/>
                <w:sz w:val="18"/>
                <w:szCs w:val="18"/>
                <w:b w:val="1"/>
                <w:bCs w:val="1"/>
                <w:color w:val="auto"/>
                <w:w w:val="96"/>
              </w:rPr>
              <w:t>STATEMENT OF OPERATIONS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6"/>
              </w:rPr>
              <w:t>FOR THE PERIOD FROM APRIL 30, 2020 (INCEPTION) THROUGH MAY 22, 2020</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43"/>
        </w:trPr>
        <w:tc>
          <w:tcPr>
            <w:tcW w:w="7300" w:type="dxa"/>
            <w:vAlign w:val="bottom"/>
            <w:tcBorders>
              <w:top w:val="single" w:sz="8" w:color="CCEEFF"/>
              <w:bottom w:val="single" w:sz="8" w:color="CCEEFF"/>
            </w:tcBorders>
            <w:gridSpan w:val="2"/>
            <w:shd w:val="clear" w:color="auto" w:fill="CCEEFF"/>
          </w:tcPr>
          <w:p>
            <w:pPr>
              <w:spacing w:after="0" w:line="243" w:lineRule="exact"/>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26"/>
                <w:szCs w:val="26"/>
                <w:color w:val="auto"/>
                <w:vertAlign w:val="superscript"/>
              </w:rPr>
              <w:t>(1)</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18,750,000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40" w:type="dxa"/>
            <w:vAlign w:val="bottom"/>
            <w:tcBorders>
              <w:bottom w:val="single" w:sz="8" w:color="auto"/>
            </w:tcBorders>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20" w:right="1539" w:hanging="352"/>
        <w:spacing w:after="0" w:line="277"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Excludes an aggregate of 2,812,500 shares that are subject to forfeiture to the extent that the underwriters’ over-allotment is not exercised in full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ANNETTA ACQUISITION CORP</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 w:lineRule="exact"/>
        <w:rPr>
          <w:sz w:val="20"/>
          <w:szCs w:val="20"/>
          <w:color w:val="auto"/>
        </w:rPr>
      </w:pPr>
    </w:p>
    <w:p>
      <w:pPr>
        <w:jc w:val="right"/>
        <w:ind w:right="1519"/>
        <w:spacing w:after="0"/>
        <w:rPr>
          <w:sz w:val="20"/>
          <w:szCs w:val="20"/>
          <w:color w:val="auto"/>
        </w:rPr>
      </w:pPr>
      <w:r>
        <w:rPr>
          <w:rFonts w:ascii="Arial" w:cs="Arial" w:eastAsia="Arial" w:hAnsi="Arial"/>
          <w:sz w:val="18"/>
          <w:szCs w:val="18"/>
          <w:b w:val="1"/>
          <w:bCs w:val="1"/>
          <w:color w:val="auto"/>
        </w:rPr>
        <w:t>FOR THE PERIOD FROM APRIL 30, 2020 (INCEPTION) THROUGH MAY 22, 2020</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7"/>
              <w:spacing w:after="0"/>
              <w:rPr>
                <w:sz w:val="20"/>
                <w:szCs w:val="20"/>
                <w:color w:val="auto"/>
              </w:rPr>
            </w:pPr>
            <w:r>
              <w:rPr>
                <w:rFonts w:ascii="Arial" w:cs="Arial" w:eastAsia="Arial" w:hAnsi="Arial"/>
                <w:sz w:val="11"/>
                <w:szCs w:val="11"/>
                <w:b w:val="1"/>
                <w:bCs w:val="1"/>
                <w:color w:val="auto"/>
              </w:rPr>
              <w:t>(1)</w:t>
            </w:r>
          </w:p>
        </w:tc>
        <w:tc>
          <w:tcPr>
            <w:tcW w:w="24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760" w:type="dxa"/>
            <w:vAlign w:val="bottom"/>
            <w:gridSpan w:val="5"/>
          </w:tcPr>
          <w:p>
            <w:pPr>
              <w:ind w:left="240"/>
              <w:spacing w:after="0" w:line="135" w:lineRule="exact"/>
              <w:rPr>
                <w:sz w:val="20"/>
                <w:szCs w:val="20"/>
                <w:color w:val="auto"/>
              </w:rPr>
            </w:pPr>
            <w:r>
              <w:rPr>
                <w:rFonts w:ascii="Arial" w:cs="Arial" w:eastAsia="Arial" w:hAnsi="Arial"/>
                <w:sz w:val="14"/>
                <w:szCs w:val="14"/>
                <w:b w:val="1"/>
                <w:bCs w:val="1"/>
                <w:color w:val="auto"/>
              </w:rPr>
              <w:t>Common Stock</w:t>
            </w:r>
          </w:p>
        </w:tc>
        <w:tc>
          <w:tcPr>
            <w:tcW w:w="8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8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 April 30, 2020 (inception)</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3700" w:type="dxa"/>
            <w:vAlign w:val="bottom"/>
            <w:gridSpan w:val="2"/>
          </w:tcPr>
          <w:p>
            <w:pPr>
              <w:spacing w:after="0" w:line="192" w:lineRule="exact"/>
              <w:rPr>
                <w:sz w:val="20"/>
                <w:szCs w:val="20"/>
                <w:color w:val="auto"/>
              </w:rPr>
            </w:pPr>
            <w:r>
              <w:rPr>
                <w:rFonts w:ascii="Arial" w:cs="Arial" w:eastAsia="Arial" w:hAnsi="Arial"/>
                <w:sz w:val="18"/>
                <w:szCs w:val="18"/>
                <w:color w:val="auto"/>
              </w:rPr>
              <w:t>Issuance of Class B common stock to</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370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Sponsor</w:t>
            </w:r>
            <w:r>
              <w:rPr>
                <w:rFonts w:ascii="Arial" w:cs="Arial" w:eastAsia="Arial" w:hAnsi="Arial"/>
                <w:sz w:val="26"/>
                <w:szCs w:val="26"/>
                <w:color w:val="auto"/>
                <w:vertAlign w:val="superscript"/>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21,562,500</w:t>
            </w:r>
          </w:p>
        </w:tc>
        <w:tc>
          <w:tcPr>
            <w:tcW w:w="10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2,156</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22,844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7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Balance — May 22, 2020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21,562,500</w:t>
            </w:r>
          </w:p>
        </w:tc>
        <w:tc>
          <w:tcPr>
            <w:tcW w:w="2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2,156</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7"/>
              </w:rPr>
              <w:t>22,844</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1"/>
              </w:rPr>
              <w:t>(1,000)</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24,000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40" w:type="dxa"/>
            <w:vAlign w:val="bottom"/>
            <w:tcBorders>
              <w:bottom w:val="single" w:sz="8" w:color="auto"/>
            </w:tcBorders>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-976630</wp:posOffset>
            </wp:positionV>
            <wp:extent cx="46716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82" w:lineRule="exact"/>
        <w:rPr>
          <w:sz w:val="20"/>
          <w:szCs w:val="20"/>
          <w:color w:val="auto"/>
        </w:rPr>
      </w:pPr>
    </w:p>
    <w:p>
      <w:pPr>
        <w:ind w:left="1620" w:right="1599" w:hanging="352"/>
        <w:spacing w:after="0" w:line="277" w:lineRule="auto"/>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an aggregate of 2,812,500 shares that are subject to forfeiture to the extent that the underwriters’ over-allotment option is not exercised in full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62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8"/>
              </w:rPr>
              <w:t>ANNETTA ACQUISITION CORP</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762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6"/>
              </w:rPr>
              <w:t>STATEMENT OF CASH FLOWS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2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6"/>
              </w:rPr>
              <w:t>FOR THE PERIOD FROM APRIL 30, 2020 (INCEPTION) THROUGH MAY 22, 2020</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7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 (1,000)</w:t>
            </w:r>
          </w:p>
        </w:tc>
        <w:tc>
          <w:tcPr>
            <w:tcW w:w="0" w:type="dxa"/>
            <w:vAlign w:val="bottom"/>
          </w:tcPr>
          <w:p>
            <w:pPr>
              <w:spacing w:after="0"/>
              <w:rPr>
                <w:sz w:val="1"/>
                <w:szCs w:val="1"/>
                <w:color w:val="auto"/>
              </w:rPr>
            </w:pPr>
          </w:p>
        </w:tc>
      </w:tr>
      <w:tr>
        <w:trPr>
          <w:trHeight w:val="257"/>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3"/>
        </w:trPr>
        <w:tc>
          <w:tcPr>
            <w:tcW w:w="7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common stock to Sponsor</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57"/>
        </w:trPr>
        <w:tc>
          <w:tcPr>
            <w:tcW w:w="7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spacing w:after="0"/>
              <w:rPr>
                <w:sz w:val="20"/>
                <w:szCs w:val="20"/>
                <w:color w:val="auto"/>
              </w:rPr>
            </w:pPr>
            <w:r>
              <w:rPr>
                <w:rFonts w:ascii="Arial" w:cs="Arial" w:eastAsia="Arial" w:hAnsi="Arial"/>
                <w:sz w:val="18"/>
                <w:szCs w:val="18"/>
                <w:color w:val="auto"/>
              </w:rPr>
              <w:t>Cash — Beginning</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offering costs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-624840</wp:posOffset>
            </wp:positionV>
            <wp:extent cx="4834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-967740</wp:posOffset>
            </wp:positionV>
            <wp:extent cx="4834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-1739265</wp:posOffset>
            </wp:positionV>
            <wp:extent cx="4834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79"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 Company is an early stage and emerging growth company and, as such, the Company is subject to all of the risks associated with early stage and emerging growth companies.</w:t>
      </w:r>
    </w:p>
    <w:p>
      <w:pPr>
        <w:spacing w:after="0" w:line="62"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As of May 22, 2020, the Company had not commenced any operations. All activity for the period from April 30, 2020 (inception) through May 22, 2020 relates to the Company’s formation and the proposed initial public offering (“Proposed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Proposed Public Offering. The Company has selected December 31 as its fiscal year end.</w:t>
      </w:r>
    </w:p>
    <w:p>
      <w:pPr>
        <w:spacing w:after="0" w:line="70"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The Company’s ability to commence operations is contingent upon obtaining adequate financial resources through a Proposed Public Offering of 75,000,000 units (the “Units” and, with respect to the shares of Class A common stock included in the Units being offered, the “Public Shares”) at $10.00 per Unit (or 86,250,000 Units if the underwriters’ over-allotment option is exercised in full), which is discussed in Note 3, and the sale of 16,000,000 warrants (or 18,250,000 warrants if the underwriters’ over-allotment option is exercised in full) (each, a “Private Placement Warrant” and, collectively, the “Private Placement Warrants”) at a price of $1.00 per Private Placement Warrant in a private placement to the Annetta Sponsor LLC (the “Sponsor”) that will close simultaneously with the Proposed Public Offering.</w:t>
      </w:r>
    </w:p>
    <w:p>
      <w:pPr>
        <w:spacing w:after="0" w:line="70" w:lineRule="exact"/>
        <w:rPr>
          <w:sz w:val="20"/>
          <w:szCs w:val="20"/>
          <w:color w:val="auto"/>
        </w:rPr>
      </w:pPr>
    </w:p>
    <w:p>
      <w:pPr>
        <w:ind w:left="1260" w:right="759" w:firstLine="360"/>
        <w:spacing w:after="0" w:line="266"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(as defined below) (excluding taxes payable on interest income earned from the Trust Account and the deferred underwriting commissions)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Upon the closing of the Proposed Public Offering, management has agreed that an amount equal to at least $10.00 per Unit sold in the Proposed Public Offering, including the proceeds of the Private Placement Warrants, will be held in a trust account (“Trust Account”), located in the United States and invested only in U.S. government securities, within the meaning set forth in Section 2(a)(16) of the Investment Company Act, with a maturity of</w:t>
      </w:r>
    </w:p>
    <w:p>
      <w:pPr>
        <w:spacing w:after="0" w:line="4" w:lineRule="exact"/>
        <w:rPr>
          <w:sz w:val="20"/>
          <w:szCs w:val="20"/>
          <w:color w:val="auto"/>
        </w:rPr>
      </w:pPr>
    </w:p>
    <w:p>
      <w:pPr>
        <w:ind w:left="1260" w:right="779"/>
        <w:spacing w:after="0" w:line="252" w:lineRule="auto"/>
        <w:rPr>
          <w:sz w:val="20"/>
          <w:szCs w:val="20"/>
          <w:color w:val="auto"/>
        </w:rPr>
      </w:pPr>
      <w:r>
        <w:rPr>
          <w:rFonts w:ascii="Arial" w:cs="Arial" w:eastAsia="Arial" w:hAnsi="Arial"/>
          <w:sz w:val="18"/>
          <w:szCs w:val="18"/>
          <w:color w:val="auto"/>
        </w:rPr>
        <w:t>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86"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679"/>
        <w:spacing w:after="0" w:line="253" w:lineRule="auto"/>
        <w:rPr>
          <w:sz w:val="20"/>
          <w:szCs w:val="20"/>
          <w:color w:val="auto"/>
        </w:rPr>
      </w:pPr>
      <w:r>
        <w:rPr>
          <w:rFonts w:ascii="Arial" w:cs="Arial" w:eastAsia="Arial" w:hAnsi="Arial"/>
          <w:sz w:val="18"/>
          <w:szCs w:val="18"/>
          <w:color w:val="auto"/>
        </w:rPr>
        <w:t>portion of the amount then in the Trust Account (initially anticipated to be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6). There will be no redemption rights upon the completion of a Business Combination with respect to the Company’s warrants. The Public Shares subject to redemption will be recorded at redemption value and classified as temporary equity upon the completion of the Proposed Public Offering in accordance with the Accounting Standards Codification (“ASC”) Topic 480 “Distinguishing Liabilities from Equity.”</w:t>
      </w:r>
    </w:p>
    <w:p>
      <w:pPr>
        <w:spacing w:after="0" w:line="88"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72"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87"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70"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Proposed Public Offering (or 27 months from the closing of the Proposed Public Offering if the Company has an executed letter of intent, agreement in principle or definitive agreement for a Business Combination within 24 months from the closing of the Proposed Public Offering) (the “Combination Window”),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w:t>
      </w: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719"/>
        <w:spacing w:after="0" w:line="254" w:lineRule="auto"/>
        <w:rPr>
          <w:sz w:val="20"/>
          <w:szCs w:val="20"/>
          <w:color w:val="auto"/>
        </w:rPr>
      </w:pPr>
      <w:r>
        <w:rPr>
          <w:rFonts w:ascii="Arial" w:cs="Arial" w:eastAsia="Arial" w:hAnsi="Arial"/>
          <w:sz w:val="18"/>
          <w:szCs w:val="18"/>
          <w:color w:val="auto"/>
        </w:rPr>
        <w:t>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87" w:lineRule="exact"/>
        <w:rPr>
          <w:sz w:val="20"/>
          <w:szCs w:val="20"/>
          <w:color w:val="auto"/>
        </w:rPr>
      </w:pPr>
    </w:p>
    <w:p>
      <w:pPr>
        <w:ind w:left="1260" w:right="899" w:firstLine="360"/>
        <w:spacing w:after="0" w:line="253" w:lineRule="auto"/>
        <w:rPr>
          <w:sz w:val="20"/>
          <w:szCs w:val="20"/>
          <w:color w:val="auto"/>
        </w:rPr>
      </w:pPr>
      <w:r>
        <w:rPr>
          <w:rFonts w:ascii="Arial" w:cs="Arial" w:eastAsia="Arial" w:hAnsi="Arial"/>
          <w:sz w:val="18"/>
          <w:szCs w:val="18"/>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Proposed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6)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84"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04"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At May 22, 2020, the Company had $25,000 in cash and working capital deficit of $34,000.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or to consummate a Business Combination will be successful within the Combination Window. The financial statements do not include any adjustments that might result from the outcome of this uncertainty.</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The accompanying financial statements are presented in in conformity with accounting principles generally accepted in the United States of America (“GAAP”) and pursuant to the rules and regulations of the SEC.</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0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88"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79"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w:t>
      </w:r>
    </w:p>
    <w:p>
      <w:pPr>
        <w:spacing w:after="0" w:line="23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76"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May 22,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70"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color w:val="auto"/>
        </w:rPr>
        <w:t>The provision for income taxes was deemed to be immaterial for the period from April 30, 2020 (inception) through May 22, 2020.</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04"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6"/>
          <w:szCs w:val="16"/>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2,812,500 shares of common stock that are subject to forfeiture if the over-allotment option is not exercised by the underwriters (see Note 7). As of May 22,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04"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Measurements and Disclosures,” approximates the carrying amounts represented in the balance sheet, primarily due to their short-term nature.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Management does not believe that any recently issued, but not yet effective, accounting pronouncements, if currently adopted, would have a material effect on the Company’s financial statements.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Public Offering</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Pursuant to the Proposed Public Offering, the Company intends to offer for sale 75,000,000 Units (or 86,250,000 Units if the underwriters’ over-allotment option is exercised in full) at a price of $10.00 per Unit. Each Unit consists of one share of Class A common stock and one-fourth of one redeemable warrant (“Public Warrant”). Each whole Public Warrant entitles the holder to purchase one share of Class A common stock at a price of $11.50 per share, subject to adjustment (see Note 7).</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Private Placement</w:t>
      </w:r>
    </w:p>
    <w:p>
      <w:pPr>
        <w:spacing w:after="0" w:line="108"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The Sponsor will agree to purchase an aggregate of 16,000,000 Private Placement Warrants (or 18,250,000 Private Placement Warrants if the over-allotment option is exercised in full) at a price of $1.00 per Private Placement Warrant, for an aggregate purchase price of $16,000,000, or $18,250,000 if the</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839"/>
        <w:spacing w:after="0" w:line="253" w:lineRule="auto"/>
        <w:rPr>
          <w:sz w:val="20"/>
          <w:szCs w:val="20"/>
          <w:color w:val="auto"/>
        </w:rPr>
      </w:pPr>
      <w:r>
        <w:rPr>
          <w:rFonts w:ascii="Arial" w:cs="Arial" w:eastAsia="Arial" w:hAnsi="Arial"/>
          <w:sz w:val="18"/>
          <w:szCs w:val="18"/>
          <w:color w:val="auto"/>
        </w:rPr>
        <w:t>over-allotment option is exercised in full, in a private placement that will occur simultaneously with the closing of the Proposed Public Offering. Each Private Placement Warrant is exercisable to purchase one share of Class A common stock at a price of $11.50 per share. The proceeds from the Private Placement Warrants will be added to the proceeds from the Proposed Public Offering to be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Related Party Transactions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04"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On May 22, 2020, the Sponsor purchased 21,562,500 shares of the Company’s Class B common stock for an aggregate price of $25,000 (the “Founder Shares”). The Founder Shares include an aggregate of up to 2,812,500 shares subject to forfeiture to the extent that the underwriters’ over-allotment option is not exercised in full or in part, so that the Sponsor will own, on an as-converted basis, 20% of the Company’s issued and outstanding shares after the Proposed Public Offering (assuming the Sponsor does not purchase any Public Shares in the Proposed Public Offering).</w:t>
      </w:r>
    </w:p>
    <w:p>
      <w:pPr>
        <w:spacing w:after="0" w:line="8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$12.00 per share (as adjusted for stock splits, stock dividends, reorganizations, recapitalizations and the like) for any 20 trading days within any 30-trading day period commencing at least 150 days after a Business Combination, the Founder Shares will be released form the lock-up.</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04"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On May 13, 2020, the Sponsor agreed to loan the Company an aggregate of up to $600,000 to cover expenses related to the Proposed Public Offering pursuant to a promissory note (the “Promissory Note”). The Promissory Note is non-interest bearing and payable on the earlier of December 31, 2021 or the completion of the Proposed Public Offering. As of May 22, 2020, there was no amounts outstanding under the Promissory Note.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04"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color w:val="auto"/>
        </w:rPr>
        <w:t>The Company will agree, commencing on the effective date of the Proposed Public Offering through the earlier of the Company’s consummation of a Business Combination and its liquidation, to pay an affiliate of the Sponsor a total of $50,000 per month for office space, administrative and support services.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Advisory Fee</w:t>
      </w:r>
    </w:p>
    <w:p>
      <w:pPr>
        <w:spacing w:after="0" w:line="10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04" w:lineRule="exact"/>
        <w:rPr>
          <w:sz w:val="20"/>
          <w:szCs w:val="20"/>
          <w:color w:val="auto"/>
        </w:rPr>
      </w:pPr>
    </w:p>
    <w:p>
      <w:pPr>
        <w:ind w:left="1260" w:right="1139" w:firstLine="360"/>
        <w:spacing w:after="0" w:line="308" w:lineRule="auto"/>
        <w:rPr>
          <w:sz w:val="20"/>
          <w:szCs w:val="20"/>
          <w:color w:val="auto"/>
        </w:rPr>
      </w:pPr>
      <w:r>
        <w:rPr>
          <w:rFonts w:ascii="Arial" w:cs="Arial" w:eastAsia="Arial" w:hAnsi="Arial"/>
          <w:sz w:val="17"/>
          <w:szCs w:val="17"/>
          <w:color w:val="auto"/>
        </w:rPr>
        <w:t>In order to finance transaction costs in connection with a Business Combination, the Sponsor, an affiliate of the Sponsor, or the Company’s officers and directors may, but are not obligated to, loan the</w:t>
      </w:r>
    </w:p>
    <w:p>
      <w:pPr>
        <w:spacing w:after="0" w:line="2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819"/>
        <w:spacing w:after="0" w:line="269" w:lineRule="auto"/>
        <w:rPr>
          <w:sz w:val="20"/>
          <w:szCs w:val="20"/>
          <w:color w:val="auto"/>
        </w:rPr>
      </w:pPr>
      <w:r>
        <w:rPr>
          <w:rFonts w:ascii="Arial" w:cs="Arial" w:eastAsia="Arial" w:hAnsi="Arial"/>
          <w:sz w:val="17"/>
          <w:szCs w:val="17"/>
          <w:color w:val="auto"/>
        </w:rPr>
        <w:t>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$1.00 per warrant. The warrants would be identical to the Private Placement Warrants.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Commitments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0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pursuant to a registration rights agreement to be signed prior to or on the effective date of Proposed Public Offering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04" w:lineRule="exact"/>
        <w:rPr>
          <w:sz w:val="20"/>
          <w:szCs w:val="20"/>
          <w:color w:val="auto"/>
        </w:rPr>
      </w:pPr>
    </w:p>
    <w:p>
      <w:pPr>
        <w:jc w:val="both"/>
        <w:ind w:left="1260" w:right="739" w:firstLine="360"/>
        <w:spacing w:after="0" w:line="263" w:lineRule="auto"/>
        <w:rPr>
          <w:sz w:val="20"/>
          <w:szCs w:val="20"/>
          <w:color w:val="auto"/>
        </w:rPr>
      </w:pPr>
      <w:r>
        <w:rPr>
          <w:rFonts w:ascii="Arial" w:cs="Arial" w:eastAsia="Arial" w:hAnsi="Arial"/>
          <w:sz w:val="18"/>
          <w:szCs w:val="18"/>
          <w:color w:val="auto"/>
        </w:rPr>
        <w:t>The Company will grant the underwriters a 45-day option from the date of Proposed Public Offering to purchase up to 11,250,000 additional Units to cover over-allotments, if any, at the Proposed Public Offering price less the underwriting discounts and commissions.</w:t>
      </w:r>
    </w:p>
    <w:p>
      <w:pPr>
        <w:spacing w:after="0" w:line="76"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The underwriters will be entitled to a cash underwriting discount of $0.20 per Unit, or $15,000,000 in the aggregate (or $17,250,000 in the aggregate if the underwriters’ over-allotment option is exercised in full), payable upon the closing of the Proposed Public Offering. In addition, the underwriters will be entitled to a deferred fee of $0.35 per Unit, or $26,250,000 in the aggregate (or $30,187,500 in the aggregate if the underwriters’ over-allotment option is exercised in full). The deferred fee will be waived by the underwriters in the event that the Company does not complete a Business Combination, subject to the terms of the underwriting agreement.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Stockholder’s Equity</w:t>
      </w:r>
    </w:p>
    <w:p>
      <w:pPr>
        <w:spacing w:after="0" w:line="10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$0.0001 per share with such designations, voting and other rights and preferences as may be determined from time to time by the Company’s board of directors. At May 22, 2020, there were no shares of preferred stock issued or outstanding.</w:t>
      </w:r>
    </w:p>
    <w:p>
      <w:pPr>
        <w:spacing w:after="0" w:line="79" w:lineRule="exact"/>
        <w:rPr>
          <w:sz w:val="20"/>
          <w:szCs w:val="20"/>
          <w:color w:val="auto"/>
        </w:rPr>
      </w:pPr>
    </w:p>
    <w:p>
      <w:pPr>
        <w:jc w:val="both"/>
        <w:ind w:left="1260" w:right="839" w:firstLine="360"/>
        <w:spacing w:after="0" w:line="311" w:lineRule="auto"/>
        <w:rPr>
          <w:sz w:val="20"/>
          <w:szCs w:val="20"/>
          <w:color w:val="auto"/>
        </w:rPr>
      </w:pPr>
      <w:r>
        <w:rPr>
          <w:rFonts w:ascii="Arial" w:cs="Arial" w:eastAsia="Arial" w:hAnsi="Arial"/>
          <w:sz w:val="16"/>
          <w:szCs w:val="16"/>
          <w:b w:val="1"/>
          <w:bCs w:val="1"/>
          <w:i w:val="1"/>
          <w:iCs w:val="1"/>
          <w:color w:val="auto"/>
        </w:rPr>
        <w:t xml:space="preserve">Class A Common Stock </w:t>
      </w:r>
      <w:r>
        <w:rPr>
          <w:rFonts w:ascii="Arial" w:cs="Arial" w:eastAsia="Arial" w:hAnsi="Arial"/>
          <w:sz w:val="16"/>
          <w:szCs w:val="16"/>
          <w:color w:val="auto"/>
        </w:rPr>
        <w:t>— The Company is authorized to issue 240,000,000 shares of Class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with a par value of $0.0001 per share. Holders of Class A common stock are entitled to one vote for each share. At May 22, 2020, there were no shares of Class A common stock issued or outstanding.</w:t>
      </w:r>
    </w:p>
    <w:p>
      <w:pPr>
        <w:spacing w:after="0" w:line="41" w:lineRule="exact"/>
        <w:rPr>
          <w:sz w:val="20"/>
          <w:szCs w:val="20"/>
          <w:color w:val="auto"/>
        </w:rPr>
      </w:pPr>
    </w:p>
    <w:p>
      <w:pPr>
        <w:jc w:val="both"/>
        <w:ind w:left="1260" w:right="899" w:firstLine="360"/>
        <w:spacing w:after="0" w:line="311" w:lineRule="auto"/>
        <w:rPr>
          <w:sz w:val="20"/>
          <w:szCs w:val="20"/>
          <w:color w:val="auto"/>
        </w:rPr>
      </w:pP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 The Company is authorized to issue 60,000,000 shares of Class B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with a par value of $0.0001 per share. Holders of Class B common stock are entitled to one vote for each share. At May 22, 2020, there were 21,562,500 shares of Class B common stock issued and</w:t>
      </w: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859"/>
        <w:spacing w:after="0" w:line="279" w:lineRule="auto"/>
        <w:rPr>
          <w:sz w:val="20"/>
          <w:szCs w:val="20"/>
          <w:color w:val="auto"/>
        </w:rPr>
      </w:pPr>
      <w:r>
        <w:rPr>
          <w:rFonts w:ascii="Arial" w:cs="Arial" w:eastAsia="Arial" w:hAnsi="Arial"/>
          <w:sz w:val="17"/>
          <w:szCs w:val="17"/>
          <w:color w:val="auto"/>
        </w:rPr>
        <w:t>outstanding, of which an aggregate of up to 2,812,500 shares are subject to forfeiture to the extent that the underwriters’ over-allotment option is not exercised in full or in part, so that the Sponsor will collectively own 20% of the Company’s issued and outstanding common stock after the Proposed Public Offering (assuming the Sponsor does not purchase any Public Shares in the Proposed Public Offering).</w:t>
      </w:r>
    </w:p>
    <w:p>
      <w:pPr>
        <w:spacing w:after="0" w:line="63"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57"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Proposed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Proposed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76"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 Public Warrants may only be exercised for a whole number of shares. No fractional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will be issued upon separation of the Units and only whole warrants will trade. The Public Warrants will become exercisable on the later of (a) 30 days after the completion of a Business Combination or (b) 12 months from the closing of the Proposed Public Offering. The Public Warrants will expire five years after the completion of a Business Combination or earlier upon redemption or liquidation.</w:t>
      </w:r>
    </w:p>
    <w:p>
      <w:pPr>
        <w:spacing w:after="0" w:line="6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8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The Company will agree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ANNETTA ACQUISITION CORP</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185" w:lineRule="exact"/>
        <w:rPr>
          <w:sz w:val="20"/>
          <w:szCs w:val="20"/>
          <w:color w:val="auto"/>
        </w:rPr>
      </w:pPr>
    </w:p>
    <w:p>
      <w:pPr>
        <w:ind w:left="1980" w:hanging="352"/>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98"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129" w:lineRule="exact"/>
        <w:rPr>
          <w:rFonts w:ascii="Arial" w:cs="Arial" w:eastAsia="Arial" w:hAnsi="Arial"/>
          <w:sz w:val="18"/>
          <w:szCs w:val="18"/>
          <w:color w:val="auto"/>
        </w:rPr>
      </w:pPr>
    </w:p>
    <w:p>
      <w:pPr>
        <w:ind w:left="1980" w:right="679" w:hanging="352"/>
        <w:spacing w:after="0" w:line="286" w:lineRule="auto"/>
        <w:tabs>
          <w:tab w:leader="none" w:pos="19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warrant holders.</w:t>
      </w:r>
    </w:p>
    <w:p>
      <w:pPr>
        <w:spacing w:after="0" w:line="57" w:lineRule="exact"/>
        <w:rPr>
          <w:sz w:val="20"/>
          <w:szCs w:val="20"/>
          <w:color w:val="auto"/>
        </w:rPr>
      </w:pPr>
    </w:p>
    <w:p>
      <w:pPr>
        <w:ind w:left="1260" w:right="1319" w:firstLine="360"/>
        <w:spacing w:after="0" w:line="263"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76"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7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The Private Placement Warrants will be identical to the Public Warrants underlying the Units being sold in the Proposed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Subsequent Events</w:t>
      </w:r>
    </w:p>
    <w:p>
      <w:pPr>
        <w:spacing w:after="0" w:line="108" w:lineRule="exact"/>
        <w:rPr>
          <w:sz w:val="20"/>
          <w:szCs w:val="20"/>
          <w:color w:val="auto"/>
        </w:rPr>
      </w:pPr>
    </w:p>
    <w:p>
      <w:pPr>
        <w:jc w:val="both"/>
        <w:ind w:left="1260" w:right="859" w:firstLine="360"/>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and through May 27, 2020, the date that the financial statements were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306070</wp:posOffset>
            </wp:positionV>
            <wp:extent cx="521208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365760</wp:posOffset>
            </wp:positionV>
            <wp:extent cx="52120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40"/>
        <w:spacing w:after="0"/>
        <w:rPr>
          <w:sz w:val="20"/>
          <w:szCs w:val="20"/>
          <w:color w:val="auto"/>
        </w:rPr>
      </w:pPr>
      <w:r>
        <w:rPr>
          <w:rFonts w:ascii="Arial" w:cs="Arial" w:eastAsia="Arial" w:hAnsi="Arial"/>
          <w:sz w:val="32"/>
          <w:szCs w:val="32"/>
          <w:b w:val="1"/>
          <w:bCs w:val="1"/>
          <w:color w:val="auto"/>
        </w:rPr>
        <w:t>75,000,000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380"/>
        <w:spacing w:after="0"/>
        <w:rPr>
          <w:sz w:val="20"/>
          <w:szCs w:val="20"/>
          <w:color w:val="auto"/>
        </w:rPr>
      </w:pPr>
      <w:r>
        <w:rPr>
          <w:rFonts w:ascii="Arial" w:cs="Arial" w:eastAsia="Arial" w:hAnsi="Arial"/>
          <w:sz w:val="54"/>
          <w:szCs w:val="54"/>
          <w:b w:val="1"/>
          <w:bCs w:val="1"/>
          <w:color w:val="auto"/>
        </w:rPr>
        <w:t>Annetta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1133475</wp:posOffset>
            </wp:positionV>
            <wp:extent cx="123444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PRELIMINARY PROSPECTUS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214630</wp:posOffset>
            </wp:positionV>
            <wp:extent cx="12344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43"/>
          <w:szCs w:val="43"/>
          <w:b w:val="1"/>
          <w:bCs w:val="1"/>
          <w:color w:val="auto"/>
        </w:rPr>
        <w:t>Citigroup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Until , 2020 (25 days after the date of this prospectus), all dealers that buy, sell or trade shares of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607695</wp:posOffset>
            </wp:positionV>
            <wp:extent cx="52120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650240</wp:posOffset>
            </wp:positionV>
            <wp:extent cx="521208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916305</wp:posOffset>
            </wp:positionV>
            <wp:extent cx="68065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2" w:name="page173"/>
    <w:bookmarkEnd w:id="172"/>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8"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9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241,828</w:t>
            </w:r>
          </w:p>
        </w:tc>
      </w:tr>
      <w:tr>
        <w:trPr>
          <w:trHeight w:val="257"/>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57"/>
        </w:trPr>
        <w:tc>
          <w:tcPr>
            <w:tcW w:w="360" w:type="dxa"/>
            <w:vAlign w:val="bottom"/>
          </w:tcPr>
          <w:p>
            <w:pPr>
              <w:spacing w:after="0"/>
              <w:rPr>
                <w:sz w:val="22"/>
                <w:szCs w:val="22"/>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57"/>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Travel and road show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0"/>
        </w:trPr>
        <w:tc>
          <w:tcPr>
            <w:tcW w:w="360" w:type="dxa"/>
            <w:vAlign w:val="bottom"/>
          </w:tcPr>
          <w:p>
            <w:pPr>
              <w:spacing w:after="0"/>
              <w:rPr>
                <w:sz w:val="23"/>
                <w:szCs w:val="23"/>
                <w:color w:val="auto"/>
              </w:rPr>
            </w:pPr>
          </w:p>
        </w:tc>
        <w:tc>
          <w:tcPr>
            <w:tcW w:w="66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Directors and officers insurance premiums</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w:t>
            </w:r>
          </w:p>
        </w:tc>
      </w:tr>
      <w:tr>
        <w:trPr>
          <w:trHeight w:val="256"/>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57"/>
        </w:trPr>
        <w:tc>
          <w:tcPr>
            <w:tcW w:w="360" w:type="dxa"/>
            <w:vAlign w:val="bottom"/>
          </w:tcPr>
          <w:p>
            <w:pPr>
              <w:spacing w:after="0"/>
              <w:rPr>
                <w:sz w:val="22"/>
                <w:szCs w:val="22"/>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r>
      <w:tr>
        <w:trPr>
          <w:trHeight w:val="263"/>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Miscellaneous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8,172</w:t>
            </w:r>
          </w:p>
        </w:tc>
      </w:tr>
      <w:tr>
        <w:trPr>
          <w:trHeight w:val="277"/>
        </w:trPr>
        <w:tc>
          <w:tcPr>
            <w:tcW w:w="360" w:type="dxa"/>
            <w:vAlign w:val="bottom"/>
          </w:tcPr>
          <w:p>
            <w:pPr>
              <w:spacing w:after="0"/>
              <w:rPr>
                <w:sz w:val="24"/>
                <w:szCs w:val="24"/>
                <w:color w:val="auto"/>
              </w:rPr>
            </w:pPr>
          </w:p>
        </w:tc>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r>
      <w:tr>
        <w:trPr>
          <w:trHeight w:val="135"/>
        </w:trPr>
        <w:tc>
          <w:tcPr>
            <w:tcW w:w="3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-290830</wp:posOffset>
            </wp:positionV>
            <wp:extent cx="42259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74" w:lineRule="exact"/>
        <w:rPr>
          <w:sz w:val="20"/>
          <w:szCs w:val="20"/>
          <w:color w:val="auto"/>
        </w:rPr>
      </w:pPr>
    </w:p>
    <w:p>
      <w:pPr>
        <w:ind w:left="1620" w:right="939" w:hanging="352"/>
        <w:spacing w:after="0" w:line="248"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amount represents the approximate amount of annual director and officer liability insurance premiums the registrant anticipates paying following the completion of its initial public offering and until it completes a business combination.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8"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Section 145.  Indemnification of officers, directors, employees and agents; insurance.</w:t>
      </w:r>
    </w:p>
    <w:p>
      <w:pPr>
        <w:spacing w:after="0" w:line="104" w:lineRule="exact"/>
        <w:rPr>
          <w:sz w:val="20"/>
          <w:szCs w:val="20"/>
          <w:color w:val="auto"/>
        </w:rPr>
      </w:pPr>
    </w:p>
    <w:p>
      <w:pPr>
        <w:ind w:left="1260" w:right="679" w:firstLine="368"/>
        <w:spacing w:after="0" w:line="252" w:lineRule="auto"/>
        <w:tabs>
          <w:tab w:leader="none" w:pos="196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87" w:lineRule="exact"/>
        <w:rPr>
          <w:rFonts w:ascii="Arial" w:cs="Arial" w:eastAsia="Arial" w:hAnsi="Arial"/>
          <w:sz w:val="18"/>
          <w:szCs w:val="18"/>
          <w:color w:val="auto"/>
        </w:rPr>
      </w:pPr>
    </w:p>
    <w:p>
      <w:pPr>
        <w:ind w:left="1260" w:right="699" w:firstLine="368"/>
        <w:spacing w:after="0" w:line="271" w:lineRule="auto"/>
        <w:tabs>
          <w:tab w:leader="none" w:pos="1976"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5" w:lineRule="auto"/>
        <w:rPr>
          <w:sz w:val="20"/>
          <w:szCs w:val="20"/>
          <w:color w:val="auto"/>
        </w:rPr>
      </w:pPr>
      <w:r>
        <w:rPr>
          <w:rFonts w:ascii="Arial" w:cs="Arial" w:eastAsia="Arial" w:hAnsi="Arial"/>
          <w:sz w:val="17"/>
          <w:szCs w:val="17"/>
          <w:color w:val="auto"/>
        </w:rPr>
        <w:t>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68" w:lineRule="exact"/>
        <w:rPr>
          <w:sz w:val="20"/>
          <w:szCs w:val="20"/>
          <w:color w:val="auto"/>
        </w:rPr>
      </w:pPr>
    </w:p>
    <w:p>
      <w:pPr>
        <w:ind w:left="1260" w:right="819" w:firstLine="368"/>
        <w:spacing w:after="0" w:line="257" w:lineRule="auto"/>
        <w:tabs>
          <w:tab w:leader="none" w:pos="197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79" w:lineRule="exact"/>
        <w:rPr>
          <w:rFonts w:ascii="Arial" w:cs="Arial" w:eastAsia="Arial" w:hAnsi="Arial"/>
          <w:sz w:val="18"/>
          <w:szCs w:val="18"/>
          <w:color w:val="auto"/>
        </w:rPr>
      </w:pPr>
    </w:p>
    <w:p>
      <w:pPr>
        <w:ind w:left="1260" w:right="679" w:firstLine="368"/>
        <w:spacing w:after="0" w:line="270" w:lineRule="auto"/>
        <w:tabs>
          <w:tab w:leader="none" w:pos="1976"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72" w:lineRule="exact"/>
        <w:rPr>
          <w:rFonts w:ascii="Arial" w:cs="Arial" w:eastAsia="Arial" w:hAnsi="Arial"/>
          <w:sz w:val="17"/>
          <w:szCs w:val="17"/>
          <w:color w:val="auto"/>
        </w:rPr>
      </w:pPr>
    </w:p>
    <w:p>
      <w:pPr>
        <w:ind w:left="1260" w:right="819" w:firstLine="368"/>
        <w:spacing w:after="0" w:line="272" w:lineRule="auto"/>
        <w:tabs>
          <w:tab w:leader="none" w:pos="1976" w:val="left"/>
        </w:tabs>
        <w:numPr>
          <w:ilvl w:val="0"/>
          <w:numId w:val="91"/>
        </w:numPr>
        <w:rPr>
          <w:rFonts w:ascii="Arial" w:cs="Arial" w:eastAsia="Arial" w:hAnsi="Arial"/>
          <w:sz w:val="17"/>
          <w:szCs w:val="17"/>
          <w:color w:val="auto"/>
        </w:rPr>
      </w:pPr>
      <w:r>
        <w:rPr>
          <w:rFonts w:ascii="Arial" w:cs="Arial" w:eastAsia="Arial" w:hAnsi="Arial"/>
          <w:sz w:val="17"/>
          <w:szCs w:val="17"/>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69" w:lineRule="exact"/>
        <w:rPr>
          <w:rFonts w:ascii="Arial" w:cs="Arial" w:eastAsia="Arial" w:hAnsi="Arial"/>
          <w:sz w:val="17"/>
          <w:szCs w:val="17"/>
          <w:color w:val="auto"/>
        </w:rPr>
      </w:pPr>
    </w:p>
    <w:p>
      <w:pPr>
        <w:ind w:left="1260" w:right="739" w:firstLine="368"/>
        <w:spacing w:after="0" w:line="269" w:lineRule="auto"/>
        <w:tabs>
          <w:tab w:leader="none" w:pos="1953"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77" w:lineRule="exact"/>
        <w:rPr>
          <w:rFonts w:ascii="Arial" w:cs="Arial" w:eastAsia="Arial" w:hAnsi="Arial"/>
          <w:sz w:val="17"/>
          <w:szCs w:val="17"/>
          <w:color w:val="auto"/>
        </w:rPr>
      </w:pPr>
    </w:p>
    <w:p>
      <w:pPr>
        <w:ind w:left="1260" w:right="679" w:firstLine="368"/>
        <w:spacing w:after="0" w:line="255" w:lineRule="auto"/>
        <w:tabs>
          <w:tab w:leader="none" w:pos="19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84" w:lineRule="exact"/>
        <w:rPr>
          <w:rFonts w:ascii="Arial" w:cs="Arial" w:eastAsia="Arial" w:hAnsi="Arial"/>
          <w:sz w:val="18"/>
          <w:szCs w:val="18"/>
          <w:color w:val="auto"/>
        </w:rPr>
      </w:pPr>
    </w:p>
    <w:p>
      <w:pPr>
        <w:ind w:left="1260" w:right="739" w:firstLine="368"/>
        <w:spacing w:after="0" w:line="253" w:lineRule="auto"/>
        <w:tabs>
          <w:tab w:leader="none" w:pos="1986"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8"/>
        <w:spacing w:after="0" w:line="271" w:lineRule="auto"/>
        <w:tabs>
          <w:tab w:leader="none" w:pos="1946" w:val="left"/>
        </w:tabs>
        <w:numPr>
          <w:ilvl w:val="0"/>
          <w:numId w:val="92"/>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70" w:lineRule="exact"/>
        <w:rPr>
          <w:rFonts w:ascii="Arial" w:cs="Arial" w:eastAsia="Arial" w:hAnsi="Arial"/>
          <w:sz w:val="17"/>
          <w:szCs w:val="17"/>
          <w:color w:val="auto"/>
        </w:rPr>
      </w:pPr>
    </w:p>
    <w:p>
      <w:pPr>
        <w:jc w:val="both"/>
        <w:ind w:left="1260" w:right="719" w:firstLine="368"/>
        <w:spacing w:after="0" w:line="259" w:lineRule="auto"/>
        <w:tabs>
          <w:tab w:leader="none" w:pos="19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78" w:lineRule="exact"/>
        <w:rPr>
          <w:rFonts w:ascii="Arial" w:cs="Arial" w:eastAsia="Arial" w:hAnsi="Arial"/>
          <w:sz w:val="18"/>
          <w:szCs w:val="18"/>
          <w:color w:val="auto"/>
        </w:rPr>
      </w:pPr>
    </w:p>
    <w:p>
      <w:pPr>
        <w:ind w:left="1260" w:right="1039" w:firstLine="368"/>
        <w:spacing w:after="0" w:line="279" w:lineRule="auto"/>
        <w:tabs>
          <w:tab w:leader="none" w:pos="1983"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63"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In connection with this registration statement, we have undertaken that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 See Item 17 “Undertakings”.</w:t>
      </w:r>
    </w:p>
    <w:p>
      <w:pPr>
        <w:spacing w:after="0" w:line="7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77"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84"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79"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affecting indemnification rights, whether by our stockholders or by changes in law, or the adoption of any other provisions inconsistent therewith, will (unless otherwise required by applicable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78"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70"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applicable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87"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80"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8"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In May 2020, Annetta Sponsor LLC, purchased an aggregate of 21,562,500 founder shares, for an aggregate offering price of $25,000 at an average purchase price of approximately $0.001 per share. The number of founder shares issued was determined based on the expectation that the founder shares would represent 20% of the outstanding shares of common stock upon completion of this offering. Such securities were issued in connection with our organization pursuant to the exemption from registration contained in Section 4(a)(2) of the Securities Act. Annetta Sponsor LLC is an accredited investor for purposes of Rule 501 of Regulation D.</w:t>
      </w:r>
    </w:p>
    <w:p>
      <w:pPr>
        <w:spacing w:after="0" w:line="87"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In addition, Annetta Sponsor LLC has subscribed to purchase from us an aggregate of 16,000,000 private placement warrants (or 18,250,000 warrants if the underwriters’ option to purchase additional units is exercised in full) at $1.00 per warrant (for an aggregate purchase price of $16,000,000 or $18,250,000 if the underwriters’ option to purchase additional units is exercised in full). This purchase will take place on a private placement basis simultaneously with the completion of our initial public offering. Any such issuances will be made pursuant to the exemption from registration contained in Section 4(a)(2) of the Securities Act.</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8" w:lineRule="exact"/>
        <w:rPr>
          <w:sz w:val="20"/>
          <w:szCs w:val="20"/>
          <w:color w:val="auto"/>
        </w:rPr>
      </w:pPr>
    </w:p>
    <w:p>
      <w:pPr>
        <w:ind w:left="1620"/>
        <w:spacing w:after="0"/>
        <w:tabs>
          <w:tab w:leader="none" w:pos="1960" w:val="left"/>
          <w:tab w:leader="none" w:pos="27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i w:val="1"/>
          <w:iCs w:val="1"/>
          <w:color w:val="auto"/>
        </w:rPr>
        <w:t>Exhibits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following exhibits are being filed herewith:</w:t>
      </w:r>
    </w:p>
    <w:p>
      <w:pPr>
        <w:spacing w:after="0" w:line="149" w:lineRule="exact"/>
        <w:rPr>
          <w:sz w:val="20"/>
          <w:szCs w:val="20"/>
          <w:color w:val="auto"/>
        </w:rPr>
      </w:pPr>
    </w:p>
    <w:p>
      <w:pPr>
        <w:ind w:left="1260"/>
        <w:spacing w:after="0"/>
        <w:tabs>
          <w:tab w:leader="none" w:pos="54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52120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70" w:lineRule="exact"/>
        <w:rPr>
          <w:sz w:val="20"/>
          <w:szCs w:val="20"/>
          <w:color w:val="auto"/>
        </w:rPr>
      </w:pPr>
    </w:p>
    <w:p>
      <w:pPr>
        <w:ind w:left="1360"/>
        <w:spacing w:after="0"/>
        <w:tabs>
          <w:tab w:leader="none" w:pos="2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Form of Underwriting Agreement</w:t>
      </w:r>
    </w:p>
    <w:p>
      <w:pPr>
        <w:spacing w:after="0" w:line="50" w:lineRule="exact"/>
        <w:rPr>
          <w:sz w:val="20"/>
          <w:szCs w:val="20"/>
          <w:color w:val="auto"/>
        </w:rPr>
      </w:pPr>
    </w:p>
    <w:p>
      <w:pPr>
        <w:ind w:left="1360"/>
        <w:spacing w:after="0"/>
        <w:tabs>
          <w:tab w:leader="none" w:pos="20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Certificate of Incorporation</w:t>
      </w:r>
    </w:p>
    <w:p>
      <w:pPr>
        <w:spacing w:after="0" w:line="50" w:lineRule="exact"/>
        <w:rPr>
          <w:sz w:val="20"/>
          <w:szCs w:val="20"/>
          <w:color w:val="auto"/>
        </w:rPr>
      </w:pPr>
    </w:p>
    <w:p>
      <w:pPr>
        <w:ind w:left="1360"/>
        <w:spacing w:after="0"/>
        <w:tabs>
          <w:tab w:leader="none" w:pos="20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Form of Amended and Restated Certificate of Incorporation</w:t>
      </w:r>
    </w:p>
    <w:p>
      <w:pPr>
        <w:spacing w:after="0" w:line="63" w:lineRule="exact"/>
        <w:rPr>
          <w:sz w:val="20"/>
          <w:szCs w:val="20"/>
          <w:color w:val="auto"/>
        </w:rPr>
      </w:pPr>
    </w:p>
    <w:p>
      <w:pPr>
        <w:ind w:left="1360"/>
        <w:spacing w:after="0"/>
        <w:tabs>
          <w:tab w:leader="none" w:pos="20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Form of Amended and Restated Bylaws</w:t>
      </w:r>
    </w:p>
    <w:p>
      <w:pPr>
        <w:spacing w:after="0" w:line="63" w:lineRule="exact"/>
        <w:rPr>
          <w:sz w:val="20"/>
          <w:szCs w:val="20"/>
          <w:color w:val="auto"/>
        </w:rPr>
      </w:pPr>
    </w:p>
    <w:p>
      <w:pPr>
        <w:ind w:left="1360"/>
        <w:spacing w:after="0"/>
        <w:tabs>
          <w:tab w:leader="none" w:pos="20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Form of Specimen Unit Certificate</w:t>
      </w:r>
    </w:p>
    <w:p>
      <w:pPr>
        <w:spacing w:after="0" w:line="63" w:lineRule="exact"/>
        <w:rPr>
          <w:sz w:val="20"/>
          <w:szCs w:val="20"/>
          <w:color w:val="auto"/>
        </w:rPr>
      </w:pPr>
    </w:p>
    <w:p>
      <w:pPr>
        <w:ind w:left="1360"/>
        <w:spacing w:after="0"/>
        <w:tabs>
          <w:tab w:leader="none" w:pos="20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Form of Specimen Class A Common Stock Certificate</w:t>
      </w:r>
    </w:p>
    <w:p>
      <w:pPr>
        <w:spacing w:after="0" w:line="63" w:lineRule="exact"/>
        <w:rPr>
          <w:sz w:val="20"/>
          <w:szCs w:val="20"/>
          <w:color w:val="auto"/>
        </w:rPr>
      </w:pPr>
    </w:p>
    <w:p>
      <w:pPr>
        <w:ind w:left="1360"/>
        <w:spacing w:after="0"/>
        <w:tabs>
          <w:tab w:leader="none" w:pos="20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Form of Specimen Warrant Certificate (included in Exhibit 4.4)</w:t>
      </w:r>
    </w:p>
    <w:p>
      <w:pPr>
        <w:spacing w:after="0" w:line="50" w:lineRule="exact"/>
        <w:rPr>
          <w:sz w:val="20"/>
          <w:szCs w:val="20"/>
          <w:color w:val="auto"/>
        </w:rPr>
      </w:pPr>
    </w:p>
    <w:p>
      <w:pPr>
        <w:ind w:left="2020" w:right="1219" w:hanging="662"/>
        <w:spacing w:after="0" w:line="277" w:lineRule="auto"/>
        <w:tabs>
          <w:tab w:leader="none" w:pos="20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Warrant Agreement between Continental Stock Transfer &amp; Trust Company and the Registrant</w:t>
      </w:r>
    </w:p>
    <w:p>
      <w:pPr>
        <w:spacing w:after="0" w:line="22" w:lineRule="exact"/>
        <w:rPr>
          <w:sz w:val="20"/>
          <w:szCs w:val="20"/>
          <w:color w:val="auto"/>
        </w:rPr>
      </w:pPr>
    </w:p>
    <w:p>
      <w:pPr>
        <w:ind w:left="1360"/>
        <w:spacing w:after="0"/>
        <w:tabs>
          <w:tab w:leader="none" w:pos="20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Form of Opinion of Paul, Weiss, Rifkind, Wharton &amp; Garrison LLP</w:t>
      </w:r>
    </w:p>
    <w:p>
      <w:pPr>
        <w:spacing w:after="0" w:line="63"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Promissory Note, dated May 13, 2020, issued to the Sponsor</w:t>
      </w:r>
    </w:p>
    <w:p>
      <w:pPr>
        <w:spacing w:after="0" w:line="50" w:lineRule="exact"/>
        <w:rPr>
          <w:sz w:val="20"/>
          <w:szCs w:val="20"/>
          <w:color w:val="auto"/>
        </w:rPr>
      </w:pPr>
    </w:p>
    <w:p>
      <w:pPr>
        <w:ind w:left="2020" w:right="659" w:hanging="755"/>
        <w:spacing w:after="0" w:line="277" w:lineRule="auto"/>
        <w:tabs>
          <w:tab w:leader="none" w:pos="20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Letter Agreement among the Registrant and the Registrant’s officers and directors and the Sponsor and its members</w:t>
      </w:r>
    </w:p>
    <w:p>
      <w:pPr>
        <w:spacing w:after="0" w:line="8" w:lineRule="exact"/>
        <w:rPr>
          <w:sz w:val="20"/>
          <w:szCs w:val="20"/>
          <w:color w:val="auto"/>
        </w:rPr>
      </w:pPr>
    </w:p>
    <w:p>
      <w:pPr>
        <w:ind w:left="2020" w:right="899" w:hanging="755"/>
        <w:spacing w:after="0" w:line="277" w:lineRule="auto"/>
        <w:tabs>
          <w:tab w:leader="none" w:pos="20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Investment Management Trust Agreement between Continental Stock Transfer &amp; Trust Company and the Registrant</w:t>
      </w:r>
    </w:p>
    <w:p>
      <w:pPr>
        <w:spacing w:after="0" w:line="22"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Form of Registration Rights Agreement between the Registrant and certain security holders</w:t>
      </w:r>
    </w:p>
    <w:p>
      <w:pPr>
        <w:spacing w:after="0" w:line="63"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Securities Subscription Agreement, dated May 13, 2020, between the Registrant and the Sponsor</w:t>
      </w:r>
    </w:p>
    <w:p>
      <w:pPr>
        <w:spacing w:after="0" w:line="50"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Private Placement Warrants Purchase Agreement between the Registrant and the Sponsor</w:t>
      </w:r>
    </w:p>
    <w:p>
      <w:pPr>
        <w:spacing w:after="0" w:line="77"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Form of Indemnity Agreement</w:t>
      </w:r>
    </w:p>
    <w:p>
      <w:pPr>
        <w:spacing w:after="0" w:line="50" w:lineRule="exact"/>
        <w:rPr>
          <w:sz w:val="20"/>
          <w:szCs w:val="20"/>
          <w:color w:val="auto"/>
        </w:rPr>
      </w:pPr>
    </w:p>
    <w:p>
      <w:pPr>
        <w:ind w:left="2020" w:right="719" w:hanging="755"/>
        <w:spacing w:after="0" w:line="277" w:lineRule="auto"/>
        <w:tabs>
          <w:tab w:leader="none" w:pos="20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Administrative Services Agreement, by and between the Registrant and an affiliate of the Sponsor</w:t>
      </w:r>
    </w:p>
    <w:p>
      <w:pPr>
        <w:spacing w:after="0" w:line="22"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Consent of Marcum LLP</w:t>
      </w:r>
    </w:p>
    <w:p>
      <w:pPr>
        <w:spacing w:after="0" w:line="63"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Consent of Paul, Weiss, Rifkind, Wharton &amp; Garrison LLP (included in Exhibit 5.1)</w:t>
      </w:r>
    </w:p>
    <w:p>
      <w:pPr>
        <w:spacing w:after="0" w:line="63"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w:t>
      </w:r>
    </w:p>
    <w:p>
      <w:pPr>
        <w:spacing w:after="0" w:line="63"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Consent of Glenn R.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194945</wp:posOffset>
            </wp:positionV>
            <wp:extent cx="123444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620" w:hanging="352"/>
        <w:spacing w:after="0"/>
        <w:tabs>
          <w:tab w:leader="none" w:pos="1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279" w:firstLine="368"/>
        <w:spacing w:after="0" w:line="277" w:lineRule="auto"/>
        <w:tabs>
          <w:tab w:leader="none" w:pos="1986"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registration statement.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08" w:lineRule="exact"/>
        <w:rPr>
          <w:sz w:val="20"/>
          <w:szCs w:val="20"/>
          <w:color w:val="auto"/>
        </w:rPr>
      </w:pPr>
    </w:p>
    <w:p>
      <w:pPr>
        <w:jc w:val="both"/>
        <w:ind w:left="1260" w:right="699" w:firstLine="368"/>
        <w:spacing w:after="0" w:line="263" w:lineRule="auto"/>
        <w:tabs>
          <w:tab w:leader="none" w:pos="197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75" w:lineRule="exact"/>
        <w:rPr>
          <w:rFonts w:ascii="Arial" w:cs="Arial" w:eastAsia="Arial" w:hAnsi="Arial"/>
          <w:sz w:val="18"/>
          <w:szCs w:val="18"/>
          <w:color w:val="auto"/>
        </w:rPr>
      </w:pPr>
    </w:p>
    <w:p>
      <w:pPr>
        <w:ind w:left="1260" w:right="719" w:firstLine="368"/>
        <w:spacing w:after="0" w:line="253" w:lineRule="auto"/>
        <w:tabs>
          <w:tab w:leader="none" w:pos="1986"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3" w:lineRule="exact"/>
        <w:rPr>
          <w:rFonts w:ascii="Arial" w:cs="Arial" w:eastAsia="Arial" w:hAnsi="Arial"/>
          <w:sz w:val="18"/>
          <w:szCs w:val="18"/>
          <w:color w:val="auto"/>
        </w:rPr>
      </w:pPr>
    </w:p>
    <w:p>
      <w:pPr>
        <w:ind w:left="1980" w:hanging="352"/>
        <w:spacing w:after="0"/>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2340" w:right="939" w:hanging="352"/>
        <w:spacing w:after="0" w:line="275" w:lineRule="auto"/>
        <w:tabs>
          <w:tab w:leader="none" w:pos="23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8" w:lineRule="exact"/>
        <w:rPr>
          <w:rFonts w:ascii="Arial" w:cs="Arial" w:eastAsia="Arial" w:hAnsi="Arial"/>
          <w:sz w:val="17"/>
          <w:szCs w:val="17"/>
          <w:color w:val="auto"/>
        </w:rPr>
      </w:pPr>
    </w:p>
    <w:p>
      <w:pPr>
        <w:ind w:left="2340" w:right="1119" w:hanging="352"/>
        <w:spacing w:after="0" w:line="279" w:lineRule="auto"/>
        <w:tabs>
          <w:tab w:leader="none" w:pos="23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63" w:lineRule="exact"/>
        <w:rPr>
          <w:rFonts w:ascii="Arial" w:cs="Arial" w:eastAsia="Arial" w:hAnsi="Arial"/>
          <w:sz w:val="17"/>
          <w:szCs w:val="17"/>
          <w:color w:val="auto"/>
        </w:rPr>
      </w:pPr>
    </w:p>
    <w:p>
      <w:pPr>
        <w:ind w:left="2340" w:right="699" w:hanging="352"/>
        <w:spacing w:after="0" w:line="269" w:lineRule="auto"/>
        <w:tabs>
          <w:tab w:leader="none" w:pos="23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rFonts w:ascii="Arial" w:cs="Arial" w:eastAsia="Arial" w:hAnsi="Arial"/>
          <w:sz w:val="17"/>
          <w:szCs w:val="17"/>
          <w:color w:val="auto"/>
        </w:rPr>
      </w:pPr>
    </w:p>
    <w:p>
      <w:pPr>
        <w:ind w:left="2340" w:right="659" w:hanging="352"/>
        <w:spacing w:after="0" w:line="254" w:lineRule="auto"/>
        <w:tabs>
          <w:tab w:leader="none" w:pos="23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6" w:lineRule="exact"/>
        <w:rPr>
          <w:rFonts w:ascii="Arial" w:cs="Arial" w:eastAsia="Arial" w:hAnsi="Arial"/>
          <w:sz w:val="18"/>
          <w:szCs w:val="18"/>
          <w:color w:val="auto"/>
        </w:rPr>
      </w:pPr>
    </w:p>
    <w:p>
      <w:pPr>
        <w:ind w:left="2700" w:right="959" w:hanging="352"/>
        <w:spacing w:after="0" w:line="277" w:lineRule="auto"/>
        <w:tabs>
          <w:tab w:leader="none" w:pos="2700" w:val="left"/>
        </w:tabs>
        <w:numPr>
          <w:ilvl w:val="2"/>
          <w:numId w:val="9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2700" w:right="1179" w:hanging="352"/>
        <w:spacing w:after="0" w:line="277" w:lineRule="auto"/>
        <w:tabs>
          <w:tab w:leader="none" w:pos="2700" w:val="left"/>
        </w:tabs>
        <w:numPr>
          <w:ilvl w:val="2"/>
          <w:numId w:val="9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700" w:right="799" w:hanging="352"/>
        <w:spacing w:after="0" w:line="263" w:lineRule="auto"/>
        <w:tabs>
          <w:tab w:leader="none" w:pos="2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9" w:lineRule="exact"/>
        <w:rPr>
          <w:rFonts w:ascii="Arial" w:cs="Arial" w:eastAsia="Arial" w:hAnsi="Arial"/>
          <w:sz w:val="18"/>
          <w:szCs w:val="18"/>
          <w:color w:val="auto"/>
        </w:rPr>
      </w:pPr>
    </w:p>
    <w:p>
      <w:pPr>
        <w:ind w:left="2700" w:right="1259" w:hanging="352"/>
        <w:spacing w:after="0" w:line="277" w:lineRule="auto"/>
        <w:tabs>
          <w:tab w:leader="none" w:pos="2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5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w:t>
      </w:r>
    </w:p>
    <w:tbl>
      <w:tblPr>
        <w:tblLayout w:type="fixed"/>
        <w:tblInd w:w="126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New York, State of New York on the</w:t>
            </w:r>
          </w:p>
        </w:tc>
        <w:tc>
          <w:tcPr>
            <w:tcW w:w="640" w:type="dxa"/>
            <w:vAlign w:val="bottom"/>
          </w:tcPr>
          <w:p>
            <w:pPr>
              <w:ind w:left="320"/>
              <w:spacing w:after="0"/>
              <w:rPr>
                <w:sz w:val="20"/>
                <w:szCs w:val="20"/>
                <w:color w:val="auto"/>
              </w:rPr>
            </w:pPr>
            <w:r>
              <w:rPr>
                <w:rFonts w:ascii="Arial" w:cs="Arial" w:eastAsia="Arial" w:hAnsi="Arial"/>
                <w:sz w:val="18"/>
                <w:szCs w:val="18"/>
                <w:color w:val="auto"/>
              </w:rPr>
              <w:t>of</w:t>
            </w:r>
          </w:p>
        </w:tc>
        <w:tc>
          <w:tcPr>
            <w:tcW w:w="4460" w:type="dxa"/>
            <w:vAlign w:val="bottom"/>
            <w:gridSpan w:val="2"/>
          </w:tcPr>
          <w:p>
            <w:pPr>
              <w:jc w:val="right"/>
              <w:ind w:right="3350"/>
              <w:spacing w:after="0"/>
              <w:rPr>
                <w:sz w:val="20"/>
                <w:szCs w:val="20"/>
                <w:color w:val="auto"/>
              </w:rPr>
            </w:pPr>
            <w:r>
              <w:rPr>
                <w:rFonts w:ascii="Arial" w:cs="Arial" w:eastAsia="Arial" w:hAnsi="Arial"/>
                <w:sz w:val="18"/>
                <w:szCs w:val="18"/>
                <w:color w:val="auto"/>
              </w:rPr>
              <w:t>, 2020.</w:t>
            </w:r>
          </w:p>
        </w:tc>
      </w:tr>
      <w:tr>
        <w:trPr>
          <w:trHeight w:val="445"/>
        </w:trPr>
        <w:tc>
          <w:tcPr>
            <w:tcW w:w="3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b w:val="1"/>
                <w:bCs w:val="1"/>
                <w:color w:val="auto"/>
              </w:rPr>
              <w:t>ANNETTA ACQUISITION CORP</w:t>
            </w:r>
          </w:p>
        </w:tc>
      </w:tr>
      <w:tr>
        <w:trPr>
          <w:trHeight w:val="445"/>
        </w:trPr>
        <w:tc>
          <w:tcPr>
            <w:tcW w:w="3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By:</w:t>
            </w:r>
          </w:p>
        </w:tc>
      </w:tr>
      <w:tr>
        <w:trPr>
          <w:trHeight w:val="54"/>
        </w:trPr>
        <w:tc>
          <w:tcPr>
            <w:tcW w:w="3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r>
      <w:tr>
        <w:trPr>
          <w:trHeight w:val="222"/>
        </w:trPr>
        <w:tc>
          <w:tcPr>
            <w:tcW w:w="3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Name:</w:t>
            </w:r>
          </w:p>
        </w:tc>
      </w:tr>
      <w:tr>
        <w:trPr>
          <w:trHeight w:val="230"/>
        </w:trPr>
        <w:tc>
          <w:tcPr>
            <w:tcW w:w="3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25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POWER OF ATTORNEY</w:t>
      </w:r>
    </w:p>
    <w:p>
      <w:pPr>
        <w:spacing w:after="0" w:line="108"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20" w:type="dxa"/>
            <w:vAlign w:val="bottom"/>
          </w:tcPr>
          <w:p>
            <w:pPr>
              <w:spacing w:after="0"/>
              <w:rPr>
                <w:sz w:val="16"/>
                <w:szCs w:val="16"/>
                <w:color w:val="auto"/>
              </w:rPr>
            </w:pPr>
          </w:p>
        </w:tc>
        <w:tc>
          <w:tcPr>
            <w:tcW w:w="3020" w:type="dxa"/>
            <w:vAlign w:val="bottom"/>
            <w:gridSpan w:val="2"/>
          </w:tcPr>
          <w:p>
            <w:pPr>
              <w:ind w:left="1260"/>
              <w:spacing w:after="0"/>
              <w:rPr>
                <w:sz w:val="20"/>
                <w:szCs w:val="20"/>
                <w:color w:val="auto"/>
              </w:rPr>
            </w:pPr>
            <w:r>
              <w:rPr>
                <w:rFonts w:ascii="Arial" w:cs="Arial" w:eastAsia="Arial" w:hAnsi="Arial"/>
                <w:sz w:val="14"/>
                <w:szCs w:val="14"/>
                <w:b w:val="1"/>
                <w:bCs w:val="1"/>
                <w:color w:val="auto"/>
              </w:rPr>
              <w:t>Title</w:t>
            </w:r>
          </w:p>
        </w:tc>
        <w:tc>
          <w:tcPr>
            <w:tcW w:w="1840" w:type="dxa"/>
            <w:vAlign w:val="bottom"/>
          </w:tcPr>
          <w:p>
            <w:pPr>
              <w:jc w:val="right"/>
              <w:ind w:right="696"/>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6"/>
        </w:trPr>
        <w:tc>
          <w:tcPr>
            <w:tcW w:w="3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14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Chief Executive Officer, Chairman</w:t>
            </w:r>
          </w:p>
        </w:tc>
        <w:tc>
          <w:tcPr>
            <w:tcW w:w="1840" w:type="dxa"/>
            <w:vAlign w:val="bottom"/>
            <w:vMerge w:val="restart"/>
          </w:tcPr>
          <w:p>
            <w:pPr>
              <w:jc w:val="right"/>
              <w:ind w:right="316"/>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141"/>
        </w:trPr>
        <w:tc>
          <w:tcPr>
            <w:tcW w:w="3140" w:type="dxa"/>
            <w:vAlign w:val="bottom"/>
            <w:vMerge w:val="restart"/>
          </w:tcPr>
          <w:p>
            <w:pPr>
              <w:jc w:val="center"/>
              <w:spacing w:after="0"/>
              <w:rPr>
                <w:sz w:val="20"/>
                <w:szCs w:val="20"/>
                <w:color w:val="auto"/>
              </w:rPr>
            </w:pPr>
            <w:r>
              <w:rPr>
                <w:rFonts w:ascii="Arial" w:cs="Arial" w:eastAsia="Arial" w:hAnsi="Arial"/>
                <w:sz w:val="18"/>
                <w:szCs w:val="18"/>
                <w:color w:val="auto"/>
              </w:rPr>
              <w:t>Michael Klein</w:t>
            </w:r>
          </w:p>
        </w:tc>
        <w:tc>
          <w:tcPr>
            <w:tcW w:w="220" w:type="dxa"/>
            <w:vAlign w:val="bottom"/>
            <w:vMerge w:val="continue"/>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of the Board of Directors and</w:t>
            </w: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Director (Principal Executive</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14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Chief Financial Officer (Principal</w:t>
            </w:r>
          </w:p>
        </w:tc>
        <w:tc>
          <w:tcPr>
            <w:tcW w:w="1840" w:type="dxa"/>
            <w:vAlign w:val="bottom"/>
            <w:vMerge w:val="restart"/>
          </w:tcPr>
          <w:p>
            <w:pPr>
              <w:jc w:val="right"/>
              <w:ind w:right="316"/>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141"/>
        </w:trPr>
        <w:tc>
          <w:tcPr>
            <w:tcW w:w="3140" w:type="dxa"/>
            <w:vAlign w:val="bottom"/>
            <w:vMerge w:val="restart"/>
          </w:tcPr>
          <w:p>
            <w:pPr>
              <w:jc w:val="center"/>
              <w:spacing w:after="0"/>
              <w:rPr>
                <w:sz w:val="20"/>
                <w:szCs w:val="20"/>
                <w:color w:val="auto"/>
              </w:rPr>
            </w:pPr>
            <w:r>
              <w:rPr>
                <w:rFonts w:ascii="Arial" w:cs="Arial" w:eastAsia="Arial" w:hAnsi="Arial"/>
                <w:sz w:val="18"/>
                <w:szCs w:val="18"/>
                <w:color w:val="auto"/>
                <w:w w:val="91"/>
              </w:rPr>
              <w:t>Jay Taragin</w:t>
            </w:r>
          </w:p>
        </w:tc>
        <w:tc>
          <w:tcPr>
            <w:tcW w:w="220" w:type="dxa"/>
            <w:vAlign w:val="bottom"/>
            <w:vMerge w:val="continue"/>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Accounting Officer and Financial</w:t>
            </w: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20" w:type="dxa"/>
            <w:vAlign w:val="bottom"/>
            <w:gridSpan w:val="2"/>
            <w:vMerge w:val="continue"/>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center"/>
        <w:ind w:right="299"/>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0" w:name="page181"/>
    <w:bookmarkEnd w:id="180"/>
    <w:p>
      <w:pPr>
        <w:jc w:val="right"/>
        <w:spacing w:after="0"/>
        <w:rPr>
          <w:sz w:val="20"/>
          <w:szCs w:val="20"/>
          <w:color w:val="auto"/>
        </w:rPr>
      </w:pPr>
      <w:r>
        <w:rPr>
          <w:rFonts w:ascii="Arial" w:cs="Arial" w:eastAsia="Arial" w:hAnsi="Arial"/>
          <w:sz w:val="22"/>
          <w:szCs w:val="22"/>
          <w:b w:val="1"/>
          <w:bCs w:val="1"/>
          <w:color w:val="auto"/>
        </w:rPr>
        <w:t>Exhibit 3.1</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ANNETTA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undersigned, for the purposes of forming a corporation under the laws of the State of Delaware, does make, file, and record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and does hereby certify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corporation is Annetta Acquisition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850 New Burton Road, Suite 201, Dover, County of Kent, Delaware 19904, and the name of the Corporation’s registered agent at such address is Cogency Global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Authorized Capital Stock</w:t>
      </w:r>
      <w:r>
        <w:rPr>
          <w:rFonts w:ascii="Arial" w:cs="Arial" w:eastAsia="Arial" w:hAnsi="Arial"/>
          <w:sz w:val="17"/>
          <w:szCs w:val="17"/>
          <w:color w:val="auto"/>
        </w:rPr>
        <w:t xml:space="preserve">. The total number of shares of all classes of capital stock, each with a par value of $0.0001 per share, which the Corporation is authorized to issue is 301,000,000 shares, consisting of (a) 300,000,000 shares of common stock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i w:val="1"/>
          <w:iCs w:val="1"/>
          <w:color w:val="auto"/>
        </w:rPr>
        <w:t>”</w:t>
      </w:r>
      <w:r>
        <w:rPr>
          <w:rFonts w:ascii="Arial" w:cs="Arial" w:eastAsia="Arial" w:hAnsi="Arial"/>
          <w:sz w:val="17"/>
          <w:szCs w:val="17"/>
          <w:color w:val="auto"/>
        </w:rPr>
        <w:t xml:space="preserve">), including (i) 240,000,000 shares of Class A common stock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Class A Common Stock</w:t>
      </w:r>
      <w:r>
        <w:rPr>
          <w:rFonts w:ascii="Arial" w:cs="Arial" w:eastAsia="Arial" w:hAnsi="Arial"/>
          <w:sz w:val="17"/>
          <w:szCs w:val="17"/>
          <w:i w:val="1"/>
          <w:iCs w:val="1"/>
          <w:color w:val="auto"/>
        </w:rPr>
        <w:t>”</w:t>
      </w:r>
      <w:r>
        <w:rPr>
          <w:rFonts w:ascii="Arial" w:cs="Arial" w:eastAsia="Arial" w:hAnsi="Arial"/>
          <w:sz w:val="17"/>
          <w:szCs w:val="17"/>
          <w:color w:val="auto"/>
        </w:rPr>
        <w:t xml:space="preserve">), and (ii) 60,000,000 shares of Class B common stock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Class B Common Stock</w:t>
      </w:r>
      <w:r>
        <w:rPr>
          <w:rFonts w:ascii="Arial" w:cs="Arial" w:eastAsia="Arial" w:hAnsi="Arial"/>
          <w:sz w:val="17"/>
          <w:szCs w:val="17"/>
          <w:i w:val="1"/>
          <w:iCs w:val="1"/>
          <w:color w:val="auto"/>
        </w:rPr>
        <w:t>”</w:t>
      </w:r>
      <w:r>
        <w:rPr>
          <w:rFonts w:ascii="Arial" w:cs="Arial" w:eastAsia="Arial" w:hAnsi="Arial"/>
          <w:sz w:val="17"/>
          <w:szCs w:val="17"/>
          <w:color w:val="auto"/>
        </w:rPr>
        <w:t>), and (b) 1,000,000 shares of preferred stock (the</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Preferred Stock</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71"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hereby expressly authorized to provide, out of the unissued shares of the Preferred Stock,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6"/>
          <w:szCs w:val="16"/>
          <w:b w:val="1"/>
          <w:bCs w:val="1"/>
          <w:i w:val="1"/>
          <w:iCs w:val="1"/>
          <w:color w:val="auto"/>
        </w:rPr>
        <w:t>Preferred Stock Designation</w:t>
      </w:r>
      <w:r>
        <w:rPr>
          <w:rFonts w:ascii="Arial" w:cs="Arial" w:eastAsia="Arial" w:hAnsi="Arial"/>
          <w:sz w:val="16"/>
          <w:szCs w:val="16"/>
          <w:color w:val="auto"/>
        </w:rPr>
        <w:t>”) filed pursuant to the DGCL, and the Board is hereby expressly vested with the authority to the full extent provided by law, now or hereafter, to adopt any such resolution or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1" w:name="page182"/>
    <w:bookmarkEnd w:id="181"/>
    <w:p>
      <w:pPr>
        <w:ind w:left="180"/>
        <w:spacing w:after="0"/>
        <w:tabs>
          <w:tab w:leader="none" w:pos="12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25" w:lineRule="exact"/>
        <w:rPr>
          <w:sz w:val="20"/>
          <w:szCs w:val="20"/>
          <w:color w:val="auto"/>
        </w:rPr>
      </w:pPr>
    </w:p>
    <w:p>
      <w:pPr>
        <w:ind w:left="1300" w:hanging="468"/>
        <w:spacing w:after="0"/>
        <w:tabs>
          <w:tab w:leader="none" w:pos="1300" w:val="left"/>
        </w:tabs>
        <w:numPr>
          <w:ilvl w:val="2"/>
          <w:numId w:val="97"/>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20" w:firstLine="2406"/>
        <w:spacing w:after="0" w:line="277" w:lineRule="auto"/>
        <w:tabs>
          <w:tab w:leader="none" w:pos="2392" w:val="left"/>
        </w:tabs>
        <w:numPr>
          <w:ilvl w:val="3"/>
          <w:numId w:val="97"/>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the Common Stock shall exclusively possess all voting power with respect to the Corporation.</w:t>
      </w:r>
    </w:p>
    <w:p>
      <w:pPr>
        <w:spacing w:after="0" w:line="170" w:lineRule="exact"/>
        <w:rPr>
          <w:rFonts w:ascii="Arial" w:cs="Arial" w:eastAsia="Arial" w:hAnsi="Arial"/>
          <w:sz w:val="18"/>
          <w:szCs w:val="18"/>
          <w:color w:val="auto"/>
        </w:rPr>
      </w:pPr>
    </w:p>
    <w:p>
      <w:pPr>
        <w:jc w:val="both"/>
        <w:ind w:left="-1120" w:firstLine="2406"/>
        <w:spacing w:after="0" w:line="263" w:lineRule="auto"/>
        <w:tabs>
          <w:tab w:leader="none" w:pos="2383" w:val="left"/>
        </w:tabs>
        <w:numPr>
          <w:ilvl w:val="3"/>
          <w:numId w:val="97"/>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83" w:lineRule="exact"/>
        <w:rPr>
          <w:rFonts w:ascii="Arial" w:cs="Arial" w:eastAsia="Arial" w:hAnsi="Arial"/>
          <w:sz w:val="18"/>
          <w:szCs w:val="18"/>
          <w:color w:val="auto"/>
        </w:rPr>
      </w:pPr>
    </w:p>
    <w:p>
      <w:pPr>
        <w:jc w:val="both"/>
        <w:ind w:left="-1120" w:firstLine="2406"/>
        <w:spacing w:after="0" w:line="290" w:lineRule="auto"/>
        <w:tabs>
          <w:tab w:leader="none" w:pos="2265" w:val="left"/>
        </w:tabs>
        <w:numPr>
          <w:ilvl w:val="3"/>
          <w:numId w:val="97"/>
        </w:numPr>
        <w:rPr>
          <w:rFonts w:ascii="Arial" w:cs="Arial" w:eastAsia="Arial" w:hAnsi="Arial"/>
          <w:sz w:val="16"/>
          <w:szCs w:val="16"/>
          <w:color w:val="auto"/>
        </w:rPr>
      </w:pPr>
      <w:r>
        <w:rPr>
          <w:rFonts w:ascii="Arial" w:cs="Arial" w:eastAsia="Arial" w:hAnsi="Arial"/>
          <w:sz w:val="16"/>
          <w:szCs w:val="16"/>
          <w:color w:val="auto"/>
        </w:rPr>
        <w:t>Except as otherwise required by law or this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Certificate (including any Preferred Stock Designation), holders of shares of any series of Common Stock shall not be entitled to vote on any amendment to this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either separately or together with the holders of one or more other such series, to vote thereon pursuant to this Certificate (including any Preferred Stock Designation) or the DGCL.</w:t>
      </w:r>
    </w:p>
    <w:p>
      <w:pPr>
        <w:spacing w:after="0" w:line="165" w:lineRule="exact"/>
        <w:rPr>
          <w:rFonts w:ascii="Arial" w:cs="Arial" w:eastAsia="Arial" w:hAnsi="Arial"/>
          <w:sz w:val="16"/>
          <w:szCs w:val="16"/>
          <w:color w:val="auto"/>
        </w:rPr>
      </w:pPr>
    </w:p>
    <w:p>
      <w:pPr>
        <w:ind w:left="1260" w:hanging="428"/>
        <w:spacing w:after="0"/>
        <w:tabs>
          <w:tab w:leader="none" w:pos="1260" w:val="left"/>
        </w:tabs>
        <w:numPr>
          <w:ilvl w:val="2"/>
          <w:numId w:val="97"/>
        </w:numPr>
        <w:rPr>
          <w:rFonts w:ascii="Arial" w:cs="Arial" w:eastAsia="Arial" w:hAnsi="Arial"/>
          <w:sz w:val="18"/>
          <w:szCs w:val="18"/>
          <w:color w:val="auto"/>
        </w:rPr>
      </w:pPr>
      <w:r>
        <w:rPr>
          <w:rFonts w:ascii="Arial" w:cs="Arial" w:eastAsia="Arial" w:hAnsi="Arial"/>
          <w:sz w:val="18"/>
          <w:szCs w:val="18"/>
          <w:u w:val="single" w:color="auto"/>
          <w:color w:val="auto"/>
        </w:rPr>
        <w:t>Class B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120" w:firstLine="2406"/>
        <w:spacing w:after="0" w:line="263" w:lineRule="auto"/>
        <w:tabs>
          <w:tab w:leader="none" w:pos="2149" w:val="left"/>
        </w:tabs>
        <w:numPr>
          <w:ilvl w:val="3"/>
          <w:numId w:val="97"/>
        </w:numPr>
        <w:rPr>
          <w:rFonts w:ascii="Arial" w:cs="Arial" w:eastAsia="Arial" w:hAnsi="Arial"/>
          <w:sz w:val="18"/>
          <w:szCs w:val="18"/>
          <w:color w:val="auto"/>
        </w:rPr>
      </w:pPr>
      <w:r>
        <w:rPr>
          <w:rFonts w:ascii="Arial" w:cs="Arial" w:eastAsia="Arial" w:hAnsi="Arial"/>
          <w:sz w:val="18"/>
          <w:szCs w:val="18"/>
          <w:color w:val="auto"/>
        </w:rPr>
        <w:t>Shares of Class B Common Stock shall be convertible into shares of Class A Common Stock on a one-for-one basis (the “</w:t>
      </w:r>
      <w:r>
        <w:rPr>
          <w:rFonts w:ascii="Arial" w:cs="Arial" w:eastAsia="Arial" w:hAnsi="Arial"/>
          <w:sz w:val="18"/>
          <w:szCs w:val="18"/>
          <w:b w:val="1"/>
          <w:bCs w:val="1"/>
          <w:i w:val="1"/>
          <w:iCs w:val="1"/>
          <w:color w:val="auto"/>
        </w:rPr>
        <w:t>Initial Conversion Ratio</w:t>
      </w:r>
      <w:r>
        <w:rPr>
          <w:rFonts w:ascii="Arial" w:cs="Arial" w:eastAsia="Arial" w:hAnsi="Arial"/>
          <w:sz w:val="18"/>
          <w:szCs w:val="18"/>
          <w:color w:val="auto"/>
        </w:rPr>
        <w:t>”) (A) at any time and from time to time at the option of the holder thereof and (B) automatically upon the consummation of the Business Combination (as defined below).</w:t>
      </w:r>
    </w:p>
    <w:p>
      <w:pPr>
        <w:spacing w:after="0" w:line="183" w:lineRule="exact"/>
        <w:rPr>
          <w:rFonts w:ascii="Arial" w:cs="Arial" w:eastAsia="Arial" w:hAnsi="Arial"/>
          <w:sz w:val="18"/>
          <w:szCs w:val="18"/>
          <w:color w:val="auto"/>
        </w:rPr>
      </w:pPr>
    </w:p>
    <w:p>
      <w:pPr>
        <w:jc w:val="both"/>
        <w:ind w:left="-1120" w:firstLine="2406"/>
        <w:spacing w:after="0" w:line="275" w:lineRule="auto"/>
        <w:tabs>
          <w:tab w:leader="none" w:pos="2167" w:val="left"/>
        </w:tabs>
        <w:numPr>
          <w:ilvl w:val="3"/>
          <w:numId w:val="97"/>
        </w:numPr>
        <w:rPr>
          <w:rFonts w:ascii="Arial" w:cs="Arial" w:eastAsia="Arial" w:hAnsi="Arial"/>
          <w:sz w:val="17"/>
          <w:szCs w:val="17"/>
          <w:color w:val="auto"/>
        </w:rPr>
      </w:pPr>
      <w:r>
        <w:rPr>
          <w:rFonts w:ascii="Arial" w:cs="Arial" w:eastAsia="Arial" w:hAnsi="Arial"/>
          <w:sz w:val="17"/>
          <w:szCs w:val="17"/>
          <w:color w:val="auto"/>
        </w:rPr>
        <w:t>Notwithstanding the Initial Conversion Ratio, in the case that additional shares of Class A Common Stock, or equity-linked securities, are issued or deemed issued in excess of the amounts sold in the Corporation’s initial public offering of securities and related to the closing of the initial Business Combination, all issued and outstanding shares of Class B Common Stock shall automatically convert into shares of Class A Common Stock at the time of the closing of the Corporation’s initial merger, capital stock exchange, asset acquisition, stock purchase, reorganization or similar business combination with one or more businesses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at a ratio for which:</w:t>
      </w:r>
    </w:p>
    <w:p>
      <w:pPr>
        <w:spacing w:after="0" w:line="176" w:lineRule="exact"/>
        <w:rPr>
          <w:rFonts w:ascii="Arial" w:cs="Arial" w:eastAsia="Arial" w:hAnsi="Arial"/>
          <w:sz w:val="17"/>
          <w:szCs w:val="17"/>
          <w:color w:val="auto"/>
        </w:rPr>
      </w:pPr>
    </w:p>
    <w:p>
      <w:pPr>
        <w:jc w:val="both"/>
        <w:ind w:left="500" w:hanging="316"/>
        <w:spacing w:after="0" w:line="287" w:lineRule="auto"/>
        <w:tabs>
          <w:tab w:leader="none" w:pos="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numerator shall be equal to the sum of (A) 25% of all shares of Class A Common Stock issued or issuable (upon the conversion or exercise of any equity-linked securities or otherwise) by the Corporation, related to or in connection with the consummation of the initial Business Combination (excluding any securities issued or issuable to any seller in the initial Business Combination) plus</w:t>
      </w:r>
    </w:p>
    <w:p>
      <w:pPr>
        <w:spacing w:after="0" w:line="2" w:lineRule="exact"/>
        <w:rPr>
          <w:rFonts w:ascii="Arial" w:cs="Arial" w:eastAsia="Arial" w:hAnsi="Arial"/>
          <w:sz w:val="16"/>
          <w:szCs w:val="16"/>
          <w:color w:val="auto"/>
        </w:rPr>
      </w:pPr>
    </w:p>
    <w:p>
      <w:pPr>
        <w:ind w:left="800" w:hanging="292"/>
        <w:spacing w:after="0"/>
        <w:tabs>
          <w:tab w:leader="none" w:pos="8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number of shares of Class B Common Stock issued and outstanding prior to the closing of the initial Business Combination;</w:t>
      </w:r>
    </w:p>
    <w:p>
      <w:pPr>
        <w:spacing w:after="0" w:line="32"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2" w:name="page183"/>
    <w:bookmarkEnd w:id="182"/>
    <w:p>
      <w:pPr>
        <w:ind w:left="1620" w:hanging="316"/>
        <w:spacing w:after="0" w:line="277"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denominator shall be the number of shares of Class B Common Stock issued and outstanding prior to the closing of the initial Business Combination.</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Arial" w:cs="Arial" w:eastAsia="Arial" w:hAnsi="Arial"/>
          <w:sz w:val="18"/>
          <w:szCs w:val="18"/>
          <w:u w:val="single" w:color="auto"/>
          <w:color w:val="auto"/>
        </w:rPr>
        <w:t>Section 4.3(b)(iii)</w:t>
      </w:r>
      <w:r>
        <w:rPr>
          <w:rFonts w:ascii="Arial" w:cs="Arial" w:eastAsia="Arial" w:hAnsi="Arial"/>
          <w:sz w:val="18"/>
          <w:szCs w:val="18"/>
          <w:color w:val="auto"/>
        </w:rPr>
        <w:t>, and (ii) in no event shall the Class B Common Stock convert into Class A Common Stock at a ratio that is less than one-for-one.</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Certificate without a proportionate and corresponding subdivision, combination or similar reclassification or recapitalization of the outstanding shares of Class B Common Stock.</w:t>
      </w:r>
    </w:p>
    <w:p>
      <w:pPr>
        <w:spacing w:after="0" w:line="18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Each share of Class B Common Stock shall convert into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shares of Class A Common Stock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4.3(b)</w:t>
      </w:r>
      <w:r>
        <w:rPr>
          <w:rFonts w:ascii="Arial" w:cs="Arial" w:eastAsia="Arial" w:hAnsi="Arial"/>
          <w:sz w:val="18"/>
          <w:szCs w:val="18"/>
          <w:color w:val="auto"/>
        </w:rPr>
        <w:t xml:space="preser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and the denominator of which shall be the total number of issued and outstanding shares of Class B Common Stock at the time of conversion.</w:t>
      </w:r>
    </w:p>
    <w:p>
      <w:pPr>
        <w:spacing w:after="0" w:line="192" w:lineRule="exact"/>
        <w:rPr>
          <w:sz w:val="20"/>
          <w:szCs w:val="20"/>
          <w:color w:val="auto"/>
        </w:rPr>
      </w:pPr>
    </w:p>
    <w:p>
      <w:pPr>
        <w:jc w:val="both"/>
        <w:ind w:firstLine="2406"/>
        <w:spacing w:after="0" w:line="268" w:lineRule="auto"/>
        <w:tabs>
          <w:tab w:leader="none" w:pos="3207"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Except as otherwise required by law or this Certificate (including any Preferred Stock Designation),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so long as 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both"/>
        <w:ind w:firstLine="1952"/>
        <w:spacing w:after="0" w:line="259" w:lineRule="auto"/>
        <w:tabs>
          <w:tab w:leader="none" w:pos="2427"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the rights, if any, of the holders of any outstanding series of the Preferred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86" w:lineRule="exact"/>
        <w:rPr>
          <w:rFonts w:ascii="Arial" w:cs="Arial" w:eastAsia="Arial" w:hAnsi="Arial"/>
          <w:sz w:val="18"/>
          <w:szCs w:val="18"/>
          <w:color w:val="auto"/>
        </w:rPr>
      </w:pPr>
    </w:p>
    <w:p>
      <w:pPr>
        <w:jc w:val="both"/>
        <w:ind w:firstLine="1952"/>
        <w:spacing w:after="0" w:line="257" w:lineRule="auto"/>
        <w:tabs>
          <w:tab w:leader="none" w:pos="2406"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Liquidation, Dissolution or Winding Up of the Corporation. </w:t>
      </w:r>
      <w:r>
        <w:rPr>
          <w:rFonts w:ascii="Arial" w:cs="Arial" w:eastAsia="Arial" w:hAnsi="Arial"/>
          <w:sz w:val="18"/>
          <w:szCs w:val="18"/>
          <w:color w:val="auto"/>
        </w:rPr>
        <w:t>Subject to applicable law, the rights, if any, of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any outstanding series of the Preferred Stock,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Class A Common Stock (on an as converted basis with respect to the Class B Common Stock) held by them.</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920" w:type="dxa"/>
            <w:vAlign w:val="bottom"/>
            <w:gridSpan w:val="3"/>
          </w:tcPr>
          <w:p>
            <w:pPr>
              <w:jc w:val="center"/>
              <w:ind w:right="3212"/>
              <w:spacing w:after="0"/>
              <w:rPr>
                <w:sz w:val="20"/>
                <w:szCs w:val="20"/>
                <w:color w:val="auto"/>
              </w:rPr>
            </w:pPr>
            <w:r>
              <w:rPr>
                <w:rFonts w:ascii="Arial" w:cs="Arial" w:eastAsia="Arial" w:hAnsi="Arial"/>
                <w:sz w:val="18"/>
                <w:szCs w:val="18"/>
                <w:b w:val="1"/>
                <w:bCs w:val="1"/>
                <w:color w:val="auto"/>
              </w:rPr>
              <w:t>ARTICLE V</w:t>
            </w:r>
          </w:p>
        </w:tc>
      </w:tr>
      <w:tr>
        <w:trPr>
          <w:trHeight w:val="234"/>
        </w:trPr>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920" w:type="dxa"/>
            <w:vAlign w:val="bottom"/>
            <w:gridSpan w:val="3"/>
          </w:tcPr>
          <w:p>
            <w:pPr>
              <w:jc w:val="center"/>
              <w:ind w:right="3232"/>
              <w:spacing w:after="0"/>
              <w:rPr>
                <w:sz w:val="20"/>
                <w:szCs w:val="20"/>
                <w:color w:val="auto"/>
              </w:rPr>
            </w:pPr>
            <w:r>
              <w:rPr>
                <w:rFonts w:ascii="Arial" w:cs="Arial" w:eastAsia="Arial" w:hAnsi="Arial"/>
                <w:sz w:val="18"/>
                <w:szCs w:val="18"/>
                <w:b w:val="1"/>
                <w:bCs w:val="1"/>
                <w:color w:val="auto"/>
                <w:w w:val="99"/>
              </w:rPr>
              <w:t>INCORPORATOR</w:t>
            </w:r>
          </w:p>
        </w:tc>
      </w:tr>
      <w:tr>
        <w:trPr>
          <w:trHeight w:val="392"/>
        </w:trPr>
        <w:tc>
          <w:tcPr>
            <w:tcW w:w="1080" w:type="dxa"/>
            <w:vAlign w:val="bottom"/>
          </w:tcPr>
          <w:p>
            <w:pPr>
              <w:spacing w:after="0"/>
              <w:rPr>
                <w:sz w:val="24"/>
                <w:szCs w:val="24"/>
                <w:color w:val="auto"/>
              </w:rPr>
            </w:pPr>
          </w:p>
        </w:tc>
        <w:tc>
          <w:tcPr>
            <w:tcW w:w="10160" w:type="dxa"/>
            <w:vAlign w:val="bottom"/>
            <w:gridSpan w:val="5"/>
          </w:tcPr>
          <w:p>
            <w:pPr>
              <w:ind w:left="220"/>
              <w:spacing w:after="0"/>
              <w:rPr>
                <w:sz w:val="20"/>
                <w:szCs w:val="20"/>
                <w:color w:val="auto"/>
              </w:rPr>
            </w:pPr>
            <w:r>
              <w:rPr>
                <w:rFonts w:ascii="Arial" w:cs="Arial" w:eastAsia="Arial" w:hAnsi="Arial"/>
                <w:sz w:val="18"/>
                <w:szCs w:val="18"/>
                <w:color w:val="auto"/>
              </w:rPr>
              <w:t>Section 5.1    Incorporator. The name and mailing address of the sole incorporator of the Corporation are as follows:</w:t>
            </w:r>
          </w:p>
        </w:tc>
      </w:tr>
      <w:tr>
        <w:trPr>
          <w:trHeight w:val="466"/>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Address</w:t>
            </w:r>
          </w:p>
        </w:tc>
      </w:tr>
      <w:tr>
        <w:trPr>
          <w:trHeight w:val="236"/>
        </w:trPr>
        <w:tc>
          <w:tcPr>
            <w:tcW w:w="1080" w:type="dxa"/>
            <w:vAlign w:val="bottom"/>
          </w:tcPr>
          <w:p>
            <w:pPr>
              <w:spacing w:after="0"/>
              <w:rPr>
                <w:sz w:val="20"/>
                <w:szCs w:val="20"/>
                <w:color w:val="auto"/>
              </w:rPr>
            </w:pPr>
            <w:r>
              <w:rPr>
                <w:rFonts w:ascii="Arial" w:cs="Arial" w:eastAsia="Arial" w:hAnsi="Arial"/>
                <w:sz w:val="18"/>
                <w:szCs w:val="18"/>
                <w:color w:val="auto"/>
              </w:rPr>
              <w:t>Jay Taragin</w:t>
            </w: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line="236" w:lineRule="exact"/>
              <w:rPr>
                <w:sz w:val="20"/>
                <w:szCs w:val="20"/>
                <w:color w:val="auto"/>
              </w:rPr>
            </w:pPr>
            <w:r>
              <w:rPr>
                <w:rFonts w:ascii="Arial" w:cs="Arial" w:eastAsia="Arial" w:hAnsi="Arial"/>
                <w:sz w:val="17"/>
                <w:szCs w:val="17"/>
                <w:color w:val="auto"/>
              </w:rPr>
              <w:t>640 Fifth Avenue, 12</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r>
      <w:tr>
        <w:trPr>
          <w:trHeight w:val="230"/>
        </w:trPr>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New York, NY 10019</w:t>
            </w:r>
          </w:p>
        </w:tc>
      </w:tr>
    </w:tbl>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Initial Director</w:t>
      </w:r>
      <w:r>
        <w:rPr>
          <w:rFonts w:ascii="Arial" w:cs="Arial" w:eastAsia="Arial" w:hAnsi="Arial"/>
          <w:sz w:val="18"/>
          <w:szCs w:val="18"/>
          <w:color w:val="auto"/>
        </w:rPr>
        <w:t>. The powers of the incorporator shall terminate upon the filing of this Certificate of Incorporation with the Secretary of the State of Delaware. The name and mailing address of the person who is to serve as the initial director of the Corporation, or until his successor is duly elected and qualified,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34"/>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Address</w:t>
            </w:r>
          </w:p>
        </w:tc>
      </w:tr>
      <w:tr>
        <w:trPr>
          <w:trHeight w:val="236"/>
        </w:trPr>
        <w:tc>
          <w:tcPr>
            <w:tcW w:w="3040" w:type="dxa"/>
            <w:vAlign w:val="bottom"/>
          </w:tcPr>
          <w:p>
            <w:pPr>
              <w:spacing w:after="0"/>
              <w:rPr>
                <w:sz w:val="20"/>
                <w:szCs w:val="20"/>
                <w:color w:val="auto"/>
              </w:rPr>
            </w:pPr>
            <w:r>
              <w:rPr>
                <w:rFonts w:ascii="Arial" w:cs="Arial" w:eastAsia="Arial" w:hAnsi="Arial"/>
                <w:sz w:val="18"/>
                <w:szCs w:val="18"/>
                <w:color w:val="auto"/>
              </w:rPr>
              <w:t>Peter Seibold</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line="236" w:lineRule="exact"/>
              <w:rPr>
                <w:sz w:val="20"/>
                <w:szCs w:val="20"/>
                <w:color w:val="auto"/>
              </w:rPr>
            </w:pPr>
            <w:r>
              <w:rPr>
                <w:rFonts w:ascii="Arial" w:cs="Arial" w:eastAsia="Arial" w:hAnsi="Arial"/>
                <w:sz w:val="17"/>
                <w:szCs w:val="17"/>
                <w:color w:val="auto"/>
              </w:rPr>
              <w:t>640 Fifth Avenue, 12</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r>
      <w:tr>
        <w:trPr>
          <w:trHeight w:val="230"/>
        </w:trPr>
        <w:tc>
          <w:tcPr>
            <w:tcW w:w="30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New York, NY 10019</w:t>
            </w:r>
          </w:p>
        </w:tc>
      </w:tr>
      <w:tr>
        <w:trPr>
          <w:trHeight w:val="414"/>
        </w:trPr>
        <w:tc>
          <w:tcPr>
            <w:tcW w:w="3040" w:type="dxa"/>
            <w:vAlign w:val="bottom"/>
          </w:tcPr>
          <w:p>
            <w:pPr>
              <w:spacing w:after="0"/>
              <w:rPr>
                <w:sz w:val="24"/>
                <w:szCs w:val="24"/>
                <w:color w:val="auto"/>
              </w:rPr>
            </w:pPr>
          </w:p>
        </w:tc>
        <w:tc>
          <w:tcPr>
            <w:tcW w:w="8200" w:type="dxa"/>
            <w:vAlign w:val="bottom"/>
            <w:gridSpan w:val="3"/>
          </w:tcPr>
          <w:p>
            <w:pPr>
              <w:ind w:left="2060"/>
              <w:spacing w:after="0"/>
              <w:rPr>
                <w:sz w:val="20"/>
                <w:szCs w:val="20"/>
                <w:color w:val="auto"/>
              </w:rPr>
            </w:pPr>
            <w:r>
              <w:rPr>
                <w:rFonts w:ascii="Arial" w:cs="Arial" w:eastAsia="Arial" w:hAnsi="Arial"/>
                <w:sz w:val="18"/>
                <w:szCs w:val="18"/>
                <w:b w:val="1"/>
                <w:bCs w:val="1"/>
                <w:color w:val="auto"/>
              </w:rPr>
              <w:t>ARTICLE VI</w:t>
            </w:r>
          </w:p>
        </w:tc>
      </w:tr>
      <w:tr>
        <w:trPr>
          <w:trHeight w:val="234"/>
        </w:trPr>
        <w:tc>
          <w:tcPr>
            <w:tcW w:w="3040" w:type="dxa"/>
            <w:vAlign w:val="bottom"/>
          </w:tcPr>
          <w:p>
            <w:pPr>
              <w:spacing w:after="0"/>
              <w:rPr>
                <w:sz w:val="20"/>
                <w:szCs w:val="20"/>
                <w:color w:val="auto"/>
              </w:rPr>
            </w:pPr>
          </w:p>
        </w:tc>
        <w:tc>
          <w:tcPr>
            <w:tcW w:w="8200" w:type="dxa"/>
            <w:vAlign w:val="bottom"/>
            <w:gridSpan w:val="3"/>
          </w:tcPr>
          <w:p>
            <w:pPr>
              <w:ind w:left="2060"/>
              <w:spacing w:after="0"/>
              <w:rPr>
                <w:sz w:val="20"/>
                <w:szCs w:val="20"/>
                <w:color w:val="auto"/>
              </w:rPr>
            </w:pPr>
            <w:r>
              <w:rPr>
                <w:rFonts w:ascii="Arial" w:cs="Arial" w:eastAsia="Arial" w:hAnsi="Arial"/>
                <w:sz w:val="18"/>
                <w:szCs w:val="18"/>
                <w:b w:val="1"/>
                <w:bCs w:val="1"/>
                <w:color w:val="auto"/>
              </w:rPr>
              <w:t>DIRECTORS</w:t>
            </w:r>
          </w:p>
        </w:tc>
      </w:tr>
    </w:tbl>
    <w:p>
      <w:pPr>
        <w:spacing w:after="0" w:line="202"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Board Powers.</w:t>
      </w:r>
      <w:r>
        <w:rPr>
          <w:rFonts w:ascii="Arial" w:cs="Arial" w:eastAsia="Arial" w:hAnsi="Arial"/>
          <w:sz w:val="17"/>
          <w:szCs w:val="17"/>
          <w:color w:val="auto"/>
        </w:rPr>
        <w:t xml:space="preserve"> The business and affairs of the Corporation shall be managed by, or under the direction of, the Board. In addition to the powers and authority expressly conferred upon the Board by statute, this Certificate or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Corporation, the Board is hereby empowered to exercise all such powers and do all such acts and things as may be exercised or done by the Corporation, subject, nevertheless, to the provisions of the DGCL, this Certificate and any Bylaws adopted by the stockholders; provided, however, that no Bylaws hereafter adopted by the stockholders shall invalidate any prior act of the Board that would have been valid if such Bylaws had not been adopted.</w:t>
      </w:r>
    </w:p>
    <w:p>
      <w:pPr>
        <w:spacing w:after="0" w:line="176"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 xml:space="preserve">Election. </w:t>
      </w:r>
      <w:r>
        <w:rPr>
          <w:rFonts w:ascii="Arial" w:cs="Arial" w:eastAsia="Arial" w:hAnsi="Arial"/>
          <w:sz w:val="16"/>
          <w:szCs w:val="16"/>
          <w:color w:val="auto"/>
        </w:rPr>
        <w:t>Unless and except to the extent that the Bylaws shall so require, the election of directors need not be by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ballot.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furtherance and not in limitation of the powers conferred upon it by law, the Board shall have the power to adopt, amend, alter, change, add or repeal the Bylaws. The Bylaws also may be adopted, amended, altered or repealed by the stockholders.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xml:space="preserve">. A director of the Corporation shall not be personally liable to the Corporation or its stockholders for monetary damages for any breach of fiduciary duty by such director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by the stockholders of the Corporation shall not adversely affect any right or protection of a director of the Corporation with respect to events occurring prior to the time of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ind w:firstLine="1296"/>
        <w:spacing w:after="0" w:line="255"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INSOLVENCY; SALE, LEASE OR EXCHANGE OF ASSETS</w:t>
      </w:r>
    </w:p>
    <w:p>
      <w:pPr>
        <w:spacing w:after="0" w:line="211"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The Corporation reserves the right to amend, alter, change, add or repeal any provision contained in this Certificate (including any Preferred Stock Designation), in the manner now or hereafter prescribed by this Certificate and the DGCL; and except as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all rights, preferences and privileges herein conferred upon stockholders, directors or any other persons by and pursuant to this Certificate in its present form or as hereafter amended are granted subject to the right reserved in this Article.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ind w:left="462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Jay Taragin</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Incorporator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Annetta Acquisition Corp Certificate of Incorporation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187" w:name="page188"/>
    <w:bookmarkEnd w:id="187"/>
    <w:p>
      <w:pPr>
        <w:ind w:left="10360"/>
        <w:spacing w:after="0"/>
        <w:rPr>
          <w:sz w:val="20"/>
          <w:szCs w:val="20"/>
          <w:color w:val="auto"/>
        </w:rPr>
      </w:pPr>
      <w:r>
        <w:rPr>
          <w:rFonts w:ascii="Arial" w:cs="Arial" w:eastAsia="Arial" w:hAnsi="Arial"/>
          <w:sz w:val="17"/>
          <w:szCs w:val="17"/>
          <w:b w:val="1"/>
          <w:bCs w:val="1"/>
          <w:color w:val="auto"/>
        </w:rPr>
        <w:t>Exhibit 3.2</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[COMPANY], a corporation organized and existing under the laws of the State of Delaware, DOES HEREBY CERTIFY AS FOLLOWS:</w:t>
      </w:r>
    </w:p>
    <w:p>
      <w:pPr>
        <w:spacing w:after="0" w:line="225" w:lineRule="exact"/>
        <w:rPr>
          <w:sz w:val="20"/>
          <w:szCs w:val="20"/>
          <w:color w:val="auto"/>
        </w:rPr>
      </w:pPr>
    </w:p>
    <w:p>
      <w:pPr>
        <w:ind w:right="120" w:firstLine="1304"/>
        <w:spacing w:after="0" w:line="277" w:lineRule="auto"/>
        <w:tabs>
          <w:tab w:leader="none" w:pos="147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name of the Corporation is “</w:t>
      </w:r>
      <w:r>
        <w:rPr>
          <w:rFonts w:ascii="Arial" w:cs="Arial" w:eastAsia="Arial" w:hAnsi="Arial"/>
          <w:sz w:val="18"/>
          <w:szCs w:val="18"/>
          <w:u w:val="single" w:color="auto"/>
          <w:color w:val="auto"/>
        </w:rPr>
        <w:t>[COMPANY]</w:t>
      </w:r>
      <w:r>
        <w:rPr>
          <w:rFonts w:ascii="Arial" w:cs="Arial" w:eastAsia="Arial" w:hAnsi="Arial"/>
          <w:sz w:val="18"/>
          <w:szCs w:val="18"/>
          <w:color w:val="auto"/>
        </w:rPr>
        <w:t>”. The original certificate of incorporation of the Corporation was filed under the name of [COMPANY] with the Secretary of State of the State of Delaware on [DATE] (the “</w:t>
      </w:r>
      <w:r>
        <w:rPr>
          <w:rFonts w:ascii="Arial" w:cs="Arial" w:eastAsia="Arial" w:hAnsi="Arial"/>
          <w:sz w:val="18"/>
          <w:szCs w:val="18"/>
          <w:u w:val="single" w:color="auto"/>
          <w:color w:val="auto"/>
        </w:rPr>
        <w:t>Original Certificate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0" w:firstLine="1304"/>
        <w:spacing w:after="0" w:line="263" w:lineRule="auto"/>
        <w:tabs>
          <w:tab w:leader="none" w:pos="147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(the “</w:t>
      </w:r>
      <w:r>
        <w:rPr>
          <w:rFonts w:ascii="Arial" w:cs="Arial" w:eastAsia="Arial" w:hAnsi="Arial"/>
          <w:sz w:val="18"/>
          <w:szCs w:val="18"/>
          <w:u w:val="single" w:color="auto"/>
          <w:color w:val="auto"/>
        </w:rPr>
        <w:t>Amended and Restated Certificate</w:t>
      </w:r>
      <w:r>
        <w:rPr>
          <w:rFonts w:ascii="Arial" w:cs="Arial" w:eastAsia="Arial" w:hAnsi="Arial"/>
          <w:sz w:val="18"/>
          <w:szCs w:val="18"/>
          <w:color w:val="auto"/>
        </w:rPr>
        <w:t>”), which both restates and amends the provisions of the Original Certificate, was duly adopted in accordance with Sections 228, 242 and 245 of the General Corporation Law of the State of Delaware,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480" w:hanging="176"/>
        <w:spacing w:after="0"/>
        <w:tabs>
          <w:tab w:leader="none" w:pos="14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This Amended and Restated Certificate of Incorporation shall become effective on the date of filing with the Secretary of State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Delaware.</w:t>
      </w:r>
    </w:p>
    <w:p>
      <w:pPr>
        <w:spacing w:after="0" w:line="210" w:lineRule="exact"/>
        <w:rPr>
          <w:rFonts w:ascii="Arial" w:cs="Arial" w:eastAsia="Arial" w:hAnsi="Arial"/>
          <w:sz w:val="17"/>
          <w:szCs w:val="17"/>
          <w:color w:val="auto"/>
        </w:rPr>
      </w:pPr>
    </w:p>
    <w:p>
      <w:pPr>
        <w:ind w:left="1480" w:hanging="176"/>
        <w:spacing w:after="0"/>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text of the Original Certificate is hereby restated and amended in its entirety to read as follows: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corporation is [COMPANY]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160" w:firstLine="1296"/>
        <w:spacing w:after="0" w:line="275" w:lineRule="auto"/>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effecting a merger, capital stock exchange, asset acquisition, stock purchase, reorganization or similar business combination, involving the Corporation and one or more businesses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8" w:name="page189"/>
    <w:bookmarkEnd w:id="188"/>
    <w:p>
      <w:pPr>
        <w:jc w:val="center"/>
        <w:ind w:right="-17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850 New Burton Road, Suite 201, Dover, County of Kent, State of Delaware, 19904, and the name of the Corporation’s registered agent at such address is Cogency Global Inc.</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Authorized Capital Stock</w:t>
      </w:r>
      <w:r>
        <w:rPr>
          <w:rFonts w:ascii="Arial" w:cs="Arial" w:eastAsia="Arial" w:hAnsi="Arial"/>
          <w:sz w:val="17"/>
          <w:szCs w:val="17"/>
          <w:color w:val="auto"/>
        </w:rPr>
        <w:t>. The total number of shares of all classes of capital stock, each with a par value of $0.0001 per share, which the Corporation is authorized to issue is 301,000,000 shares, consisting of (a) 300,000,000 shares of common stock (the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including (i) 240,000,000 shares of Class A common stock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and (ii) 60,000,000 shares of Class B common stock (the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and (b) 1,000,000 shares of preferred stock (the “</w:t>
      </w:r>
      <w:r>
        <w:rPr>
          <w:rFonts w:ascii="Arial" w:cs="Arial" w:eastAsia="Arial" w:hAnsi="Arial"/>
          <w:sz w:val="17"/>
          <w:szCs w:val="17"/>
          <w:u w:val="single" w:color="auto"/>
          <w:color w:val="auto"/>
        </w:rPr>
        <w:t>Preferred Stock</w:t>
      </w:r>
      <w:r>
        <w:rPr>
          <w:rFonts w:ascii="Arial" w:cs="Arial" w:eastAsia="Arial" w:hAnsi="Arial"/>
          <w:sz w:val="17"/>
          <w:szCs w:val="17"/>
          <w:color w:val="auto"/>
        </w:rPr>
        <w:t>”).”</w:t>
      </w:r>
    </w:p>
    <w:p>
      <w:pPr>
        <w:spacing w:after="0" w:line="171" w:lineRule="exact"/>
        <w:rPr>
          <w:sz w:val="20"/>
          <w:szCs w:val="20"/>
          <w:color w:val="auto"/>
        </w:rPr>
      </w:pPr>
    </w:p>
    <w:p>
      <w:pPr>
        <w:ind w:right="80" w:firstLine="1296"/>
        <w:spacing w:after="0" w:line="272"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of this Amended and Restated Certificate, 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7"/>
          <w:szCs w:val="17"/>
          <w:u w:val="single" w:color="auto"/>
          <w:color w:val="auto"/>
        </w:rPr>
        <w:t>Preferred Stock Designation</w:t>
      </w:r>
      <w:r>
        <w:rPr>
          <w:rFonts w:ascii="Arial" w:cs="Arial" w:eastAsia="Arial" w:hAnsi="Arial"/>
          <w:sz w:val="17"/>
          <w:szCs w:val="17"/>
          <w:color w:val="auto"/>
        </w:rPr>
        <w:t>”) filed pursuant to the DGCL, and the Board is hereby expressly vested with the authority to the full extent provided by law, now or hereafter, to adopt any such resolution or resolutions.</w:t>
      </w:r>
    </w:p>
    <w:p>
      <w:pPr>
        <w:spacing w:after="0" w:line="17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25" w:lineRule="exact"/>
        <w:rPr>
          <w:sz w:val="20"/>
          <w:szCs w:val="20"/>
          <w:color w:val="auto"/>
        </w:rPr>
      </w:pPr>
    </w:p>
    <w:p>
      <w:pPr>
        <w:ind w:left="2820" w:hanging="868"/>
        <w:spacing w:after="0"/>
        <w:tabs>
          <w:tab w:leader="none" w:pos="28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80" w:firstLine="2600"/>
        <w:spacing w:after="0" w:line="342" w:lineRule="auto"/>
        <w:tabs>
          <w:tab w:leader="none" w:pos="3436"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Except as otherwise required by law or this Amended and Restated Certificate (including any Preferred Stock Designation and Section 9.9), the holders of shares of Common Stock shall exclusively possess all voting power with respect to the Corporation.</w:t>
      </w:r>
    </w:p>
    <w:p>
      <w:pPr>
        <w:spacing w:after="0" w:line="123" w:lineRule="exact"/>
        <w:rPr>
          <w:rFonts w:ascii="Arial" w:cs="Arial" w:eastAsia="Arial" w:hAnsi="Arial"/>
          <w:sz w:val="16"/>
          <w:szCs w:val="16"/>
          <w:color w:val="auto"/>
        </w:rPr>
      </w:pPr>
    </w:p>
    <w:p>
      <w:pPr>
        <w:ind w:right="180" w:firstLine="2600"/>
        <w:spacing w:after="0" w:line="263" w:lineRule="auto"/>
        <w:tabs>
          <w:tab w:leader="none" w:pos="344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Except as otherwise required by law or this Amended and Restated Certificate (including any Preferred Stock Designation), the holders of shares of Common Stock shall be entitled to one vote for each such share on each matter properly submitted to the stockholders of the Corporation on which the holders of the Common Stock are entitled to vote.</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189" w:name="page190"/>
    <w:bookmarkEnd w:id="189"/>
    <w:p>
      <w:pPr>
        <w:ind w:left="-40" w:firstLine="2600"/>
        <w:spacing w:after="0" w:line="270" w:lineRule="auto"/>
        <w:tabs>
          <w:tab w:leader="none" w:pos="3362" w:val="left"/>
        </w:tabs>
        <w:numPr>
          <w:ilvl w:val="1"/>
          <w:numId w:val="104"/>
        </w:numPr>
        <w:rPr>
          <w:rFonts w:ascii="Arial" w:cs="Arial" w:eastAsia="Arial" w:hAnsi="Arial"/>
          <w:sz w:val="17"/>
          <w:szCs w:val="17"/>
          <w:color w:val="auto"/>
        </w:rPr>
      </w:pPr>
      <w:r>
        <w:rPr>
          <w:rFonts w:ascii="Arial" w:cs="Arial" w:eastAsia="Arial" w:hAnsi="Arial"/>
          <w:sz w:val="17"/>
          <w:szCs w:val="17"/>
          <w:color w:val="auto"/>
        </w:rPr>
        <w:t>Except as otherwise required by law or this Amended and Restated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Amended and Restated Certificate (including any Preferred Stock Designation), holders of shares of any series of Common Stock shall not be entitled to vote on any amendment to this Amended and Restated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either separately or together with the holders of one or more other such series, to vote thereon pursuant to this Amended and Restated Certificate (including any Preferred Stock Designation) or the DGCL.</w:t>
      </w:r>
    </w:p>
    <w:p>
      <w:pPr>
        <w:spacing w:after="0" w:line="180" w:lineRule="exact"/>
        <w:rPr>
          <w:rFonts w:ascii="Arial" w:cs="Arial" w:eastAsia="Arial" w:hAnsi="Arial"/>
          <w:sz w:val="17"/>
          <w:szCs w:val="17"/>
          <w:color w:val="auto"/>
        </w:rPr>
      </w:pPr>
    </w:p>
    <w:p>
      <w:pPr>
        <w:ind w:left="2800" w:hanging="888"/>
        <w:spacing w:after="0"/>
        <w:tabs>
          <w:tab w:leader="none" w:pos="28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Class B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100" w:firstLine="2600"/>
        <w:spacing w:after="0" w:line="277" w:lineRule="auto"/>
        <w:tabs>
          <w:tab w:leader="none" w:pos="339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Shares of Class B Common Stock shall be convertible into shares of Class A Common Stock on a one-for-one basis (the “</w:t>
      </w:r>
      <w:r>
        <w:rPr>
          <w:rFonts w:ascii="Arial" w:cs="Arial" w:eastAsia="Arial" w:hAnsi="Arial"/>
          <w:sz w:val="18"/>
          <w:szCs w:val="18"/>
          <w:u w:val="single" w:color="auto"/>
          <w:color w:val="auto"/>
        </w:rPr>
        <w:t>Initial Conversion Ratio</w:t>
      </w:r>
      <w:r>
        <w:rPr>
          <w:rFonts w:ascii="Arial" w:cs="Arial" w:eastAsia="Arial" w:hAnsi="Arial"/>
          <w:sz w:val="18"/>
          <w:szCs w:val="18"/>
          <w:color w:val="auto"/>
        </w:rPr>
        <w:t>”) automatically at the time of the Business Combination.</w:t>
      </w:r>
    </w:p>
    <w:p>
      <w:pPr>
        <w:spacing w:after="0" w:line="170" w:lineRule="exact"/>
        <w:rPr>
          <w:sz w:val="20"/>
          <w:szCs w:val="20"/>
          <w:color w:val="auto"/>
        </w:rPr>
      </w:pPr>
    </w:p>
    <w:p>
      <w:pPr>
        <w:ind w:left="-40" w:firstLine="2600"/>
        <w:spacing w:after="0" w:line="268" w:lineRule="auto"/>
        <w:tabs>
          <w:tab w:leader="none" w:pos="340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Notwithstanding the Initial Conversion Ratio, in the case that additional shares of Class A Common Stock, or Equity-linked Securities (as defined below), are issued or deemed issued in excess of the amounts sold in the Corporation’s initial public offering of securities (the “</w:t>
      </w:r>
      <w:r>
        <w:rPr>
          <w:rFonts w:ascii="Arial" w:cs="Arial" w:eastAsia="Arial" w:hAnsi="Arial"/>
          <w:sz w:val="17"/>
          <w:szCs w:val="17"/>
          <w:u w:val="single" w:color="auto"/>
          <w:color w:val="auto"/>
        </w:rPr>
        <w:t>Offering</w:t>
      </w:r>
      <w:r>
        <w:rPr>
          <w:rFonts w:ascii="Arial" w:cs="Arial" w:eastAsia="Arial" w:hAnsi="Arial"/>
          <w:sz w:val="17"/>
          <w:szCs w:val="17"/>
          <w:color w:val="auto"/>
        </w:rPr>
        <w:t>”) and related to or in connection with the closing of the initial Business Combination, the number of shares of Class A Common Stock into which all issued and outstanding shares of Class B Common Stock shall automatically convert at the time of the closing of the initial Business Combination will be adjusted (unless the holders of a majority of the outstanding shares of Class B Common Stock agree to waive such adjustments with respect to any such issuance or deemed issuance) so that the number of shares of Class A Common Stock issuable upon conversion of all shares of Class B Common Stock will equal, in the aggregate, 25% of the sum of (a) the total number of all shares of Class A Common Stock issued in the Offering (including any shares of Class A Common Stock issued pursuant to the underwriters’ over-allotment option) plus (b) the sum of (i)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or equity-linked securities or rights issued, or to be issued, to any seller in a Business Combination in consideration for such seller’s interest in the Business Combination target, any private placement warrants issued to [SPONSOR COMPANY], (the “</w:t>
      </w:r>
      <w:r>
        <w:rPr>
          <w:rFonts w:ascii="Arial" w:cs="Arial" w:eastAsia="Arial" w:hAnsi="Arial"/>
          <w:sz w:val="17"/>
          <w:szCs w:val="17"/>
          <w:u w:val="single" w:color="auto"/>
          <w:color w:val="auto"/>
        </w:rPr>
        <w:t>Sponsor</w:t>
      </w:r>
      <w:r>
        <w:rPr>
          <w:rFonts w:ascii="Arial" w:cs="Arial" w:eastAsia="Arial" w:hAnsi="Arial"/>
          <w:sz w:val="17"/>
          <w:szCs w:val="17"/>
          <w:color w:val="auto"/>
        </w:rPr>
        <w:t>”), or an affiliate of the Sponsor or the Corporation’s officers and directors upon the conversion of working capital loans made to the Corporation and any warrants issued pursuant to a forward purchase agreement, minus (ii) the number of shares of Class A Common Stock redeemed in connection with a Business Combination, provided that such conversion of shares of Class B Common Stock shall never be less than the Initial Conversion Ratio.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190" w:name="page191"/>
    <w:bookmarkEnd w:id="190"/>
    <w:p>
      <w:pPr>
        <w:ind w:right="160" w:firstLine="1296"/>
        <w:spacing w:after="0" w:line="277" w:lineRule="auto"/>
        <w:rPr>
          <w:sz w:val="20"/>
          <w:szCs w:val="20"/>
          <w:color w:val="auto"/>
        </w:rPr>
      </w:pPr>
      <w:r>
        <w:rPr>
          <w:rFonts w:ascii="Arial" w:cs="Arial" w:eastAsia="Arial" w:hAnsi="Arial"/>
          <w:sz w:val="18"/>
          <w:szCs w:val="18"/>
          <w:color w:val="auto"/>
        </w:rPr>
        <w:t>As used herein, the term “</w:t>
      </w:r>
      <w:r>
        <w:rPr>
          <w:rFonts w:ascii="Arial" w:cs="Arial" w:eastAsia="Arial" w:hAnsi="Arial"/>
          <w:sz w:val="18"/>
          <w:szCs w:val="18"/>
          <w:u w:val="single" w:color="auto"/>
          <w:color w:val="auto"/>
        </w:rPr>
        <w:t>Equity-linked Securities</w:t>
      </w:r>
      <w:r>
        <w:rPr>
          <w:rFonts w:ascii="Arial" w:cs="Arial" w:eastAsia="Arial" w:hAnsi="Arial"/>
          <w:sz w:val="18"/>
          <w:szCs w:val="18"/>
          <w:color w:val="auto"/>
        </w:rPr>
        <w:t>” means any securities of the Corporation which are convertible into or exchangeable or exercisable for Common Stock.</w:t>
      </w:r>
    </w:p>
    <w:p>
      <w:pPr>
        <w:spacing w:after="0" w:line="170"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Arial" w:cs="Arial" w:eastAsia="Arial" w:hAnsi="Arial"/>
          <w:sz w:val="18"/>
          <w:szCs w:val="18"/>
          <w:u w:val="single" w:color="auto"/>
          <w:color w:val="auto"/>
        </w:rPr>
        <w:t>Section 4.3(b)(iii)</w:t>
      </w:r>
      <w:r>
        <w:rPr>
          <w:rFonts w:ascii="Arial" w:cs="Arial" w:eastAsia="Arial" w:hAnsi="Arial"/>
          <w:sz w:val="18"/>
          <w:szCs w:val="18"/>
          <w:color w:val="auto"/>
        </w:rPr>
        <w:t>, and (ii) in no event shall the Class B Common Stock convert into Class A Common Stock at a ratio that is less than one-for-one.</w:t>
      </w:r>
    </w:p>
    <w:p>
      <w:pPr>
        <w:spacing w:after="0" w:line="188"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Amended and Restated Certificate without a proportionate and corresponding subdivision, combination or similar reclassification or recapitalization of the outstanding shares of Class B Common Stock.</w:t>
      </w:r>
    </w:p>
    <w:p>
      <w:pPr>
        <w:spacing w:after="0" w:line="188" w:lineRule="exact"/>
        <w:rPr>
          <w:sz w:val="20"/>
          <w:szCs w:val="20"/>
          <w:color w:val="auto"/>
        </w:rPr>
      </w:pPr>
    </w:p>
    <w:p>
      <w:pPr>
        <w:ind w:right="20" w:firstLine="1296"/>
        <w:spacing w:after="0" w:line="255" w:lineRule="auto"/>
        <w:rPr>
          <w:sz w:val="20"/>
          <w:szCs w:val="20"/>
          <w:color w:val="auto"/>
        </w:rPr>
      </w:pPr>
      <w:r>
        <w:rPr>
          <w:rFonts w:ascii="Arial" w:cs="Arial" w:eastAsia="Arial" w:hAnsi="Arial"/>
          <w:sz w:val="18"/>
          <w:szCs w:val="18"/>
          <w:color w:val="auto"/>
        </w:rPr>
        <w:t xml:space="preserve">Each share of Class B Common Stock shall convert into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shares of Class A Common Stock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4.3(b)</w:t>
      </w:r>
      <w:r>
        <w:rPr>
          <w:rFonts w:ascii="Arial" w:cs="Arial" w:eastAsia="Arial" w:hAnsi="Arial"/>
          <w:sz w:val="18"/>
          <w:szCs w:val="18"/>
          <w:color w:val="auto"/>
        </w:rPr>
        <w:t xml:space="preser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and the denominator of which shall be the total number of issued and outstanding shares of Class B Common Stock at the time of conversion.</w:t>
      </w:r>
    </w:p>
    <w:p>
      <w:pPr>
        <w:spacing w:after="0" w:line="192" w:lineRule="exact"/>
        <w:rPr>
          <w:sz w:val="20"/>
          <w:szCs w:val="20"/>
          <w:color w:val="auto"/>
        </w:rPr>
      </w:pPr>
    </w:p>
    <w:p>
      <w:pPr>
        <w:ind w:firstLine="2600"/>
        <w:spacing w:after="0" w:line="286" w:lineRule="auto"/>
        <w:tabs>
          <w:tab w:leader="none" w:pos="340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i w:val="1"/>
          <w:iCs w:val="1"/>
          <w:color w:val="auto"/>
        </w:rPr>
        <w:t>.</w:t>
      </w:r>
      <w:r>
        <w:rPr>
          <w:rFonts w:ascii="Arial" w:cs="Arial" w:eastAsia="Arial" w:hAnsi="Arial"/>
          <w:sz w:val="16"/>
          <w:szCs w:val="16"/>
          <w:color w:val="auto"/>
        </w:rPr>
        <w:t xml:space="preserve"> Except as otherwise required by law or this Amended and Restated Certificate (including any Preferred Stock Designation), for so long as 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Amended and Restated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to the Secretary of the Corporation or another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1" w:name="page192"/>
    <w:bookmarkEnd w:id="191"/>
    <w:p>
      <w:pPr>
        <w:ind w:right="40" w:firstLine="1952"/>
        <w:spacing w:after="0" w:line="279" w:lineRule="auto"/>
        <w:tabs>
          <w:tab w:leader="none" w:pos="2818"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i w:val="1"/>
          <w:iCs w:val="1"/>
          <w:color w:val="auto"/>
        </w:rPr>
        <w:t>.</w:t>
      </w:r>
      <w:r>
        <w:rPr>
          <w:rFonts w:ascii="Arial" w:cs="Arial" w:eastAsia="Arial" w:hAnsi="Arial"/>
          <w:sz w:val="17"/>
          <w:szCs w:val="17"/>
          <w:color w:val="auto"/>
        </w:rPr>
        <w:t xml:space="preserve"> Subject to applicable law, the rights, if any, of the holders of any outstanding series of the Preferred Stock and the provisions of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hereof,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71" w:lineRule="exact"/>
        <w:rPr>
          <w:rFonts w:ascii="Arial" w:cs="Arial" w:eastAsia="Arial" w:hAnsi="Arial"/>
          <w:sz w:val="17"/>
          <w:szCs w:val="17"/>
          <w:color w:val="auto"/>
        </w:rPr>
      </w:pPr>
    </w:p>
    <w:p>
      <w:pPr>
        <w:ind w:right="260" w:firstLine="1952"/>
        <w:spacing w:after="0" w:line="296" w:lineRule="auto"/>
        <w:tabs>
          <w:tab w:leader="none" w:pos="2828"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Liquidation, Dissolution or Winding Up of the Corporation</w:t>
      </w:r>
      <w:r>
        <w:rPr>
          <w:rFonts w:ascii="Arial" w:cs="Arial" w:eastAsia="Arial" w:hAnsi="Arial"/>
          <w:sz w:val="16"/>
          <w:szCs w:val="16"/>
          <w:i w:val="1"/>
          <w:iCs w:val="1"/>
          <w:color w:val="auto"/>
        </w:rPr>
        <w:t>.</w:t>
      </w:r>
      <w:r>
        <w:rPr>
          <w:rFonts w:ascii="Arial" w:cs="Arial" w:eastAsia="Arial" w:hAnsi="Arial"/>
          <w:sz w:val="16"/>
          <w:szCs w:val="16"/>
          <w:color w:val="auto"/>
        </w:rPr>
        <w:t xml:space="preserve"> Subject to applicable law, the rights, if any, of the holders of any outstanding series of the Preferred Stock and the provisions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hereof,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Class A Common Stock (on an as converted basis with respect to the Class B Common Stock) held by them.</w:t>
      </w:r>
    </w:p>
    <w:p>
      <w:pPr>
        <w:spacing w:after="0" w:line="161"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consideration to be received for any shares of capital stock issuable upon exercise thereof may not be less than the par value thereof.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Board Powers</w:t>
      </w:r>
      <w:r>
        <w:rPr>
          <w:rFonts w:ascii="Arial" w:cs="Arial" w:eastAsia="Arial" w:hAnsi="Arial"/>
          <w:sz w:val="18"/>
          <w:szCs w:val="18"/>
          <w:color w:val="auto"/>
        </w:rPr>
        <w:t>. The business and affairs of the Corporation shall be managed by, or under the direction of, the Board. In addition to the powers and authority expressly conferred upon the Board by statute, this Amended and Restated Certificate or the By Laws of the Corporation (“</w:t>
      </w:r>
      <w:r>
        <w:rPr>
          <w:rFonts w:ascii="Arial" w:cs="Arial" w:eastAsia="Arial" w:hAnsi="Arial"/>
          <w:sz w:val="18"/>
          <w:szCs w:val="18"/>
          <w:u w:val="single" w:color="auto"/>
          <w:color w:val="auto"/>
        </w:rPr>
        <w:t>Bylaws</w:t>
      </w:r>
      <w:r>
        <w:rPr>
          <w:rFonts w:ascii="Arial" w:cs="Arial" w:eastAsia="Arial" w:hAnsi="Arial"/>
          <w:sz w:val="18"/>
          <w:szCs w:val="18"/>
          <w:color w:val="auto"/>
        </w:rPr>
        <w:t xml:space="preserve">”), the Board is hereby empowered to exercise all such powers and do all such acts and things as may be exercised or done by the Corporation, subject, nevertheless, to the provisions of the DGCL, this Amended and Restated Certificate, and any Bylaws adopted by the stockholders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Bylaws hereafter adopted by the stockholders of the Corporation shall invalidate any prior act of the Board that would have been valid if such Bylaws had not been adopted.</w:t>
      </w:r>
    </w:p>
    <w:p>
      <w:pPr>
        <w:spacing w:after="0" w:line="19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w:t>
      </w:r>
    </w:p>
    <w:p>
      <w:pPr>
        <w:spacing w:after="0" w:line="225" w:lineRule="exact"/>
        <w:rPr>
          <w:sz w:val="20"/>
          <w:szCs w:val="20"/>
          <w:color w:val="auto"/>
        </w:rPr>
      </w:pPr>
    </w:p>
    <w:p>
      <w:pPr>
        <w:ind w:right="60" w:firstLine="1952"/>
        <w:spacing w:after="0" w:line="263" w:lineRule="auto"/>
        <w:tabs>
          <w:tab w:leader="none" w:pos="281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83" w:lineRule="exact"/>
        <w:rPr>
          <w:rFonts w:ascii="Arial" w:cs="Arial" w:eastAsia="Arial" w:hAnsi="Arial"/>
          <w:sz w:val="18"/>
          <w:szCs w:val="18"/>
          <w:color w:val="auto"/>
        </w:rPr>
      </w:pPr>
    </w:p>
    <w:p>
      <w:pPr>
        <w:ind w:right="20" w:firstLine="1952"/>
        <w:spacing w:after="0" w:line="268" w:lineRule="auto"/>
        <w:tabs>
          <w:tab w:leader="none" w:pos="282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hereof, the Board shall be divided into three classes, as nearly equal in number as possible and designated Class I, Class II and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of the Corporation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successors to the class of directors whose term expires at that annual meeting shall be elected for a three-year term or until the election and qualification of their respective successors in office, subject to their earlier death, resignation or removal. Subject to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hereof, if the number of directors is changed, any increase or decrease shall be apportioned by the Board among the classes so as to maintain the number of directors in each class as nearly equal as possible, but in no case shall a decrease in the number of directors shorten the term of any incumbent director. Directors shall be elected by a plurality of the votes cast at an annual meeting of stockholders by holders of the Common Stock.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w:t>
      </w:r>
    </w:p>
    <w:p>
      <w:pPr>
        <w:spacing w:after="0" w:line="184" w:lineRule="exact"/>
        <w:rPr>
          <w:rFonts w:ascii="Arial" w:cs="Arial" w:eastAsia="Arial" w:hAnsi="Arial"/>
          <w:sz w:val="17"/>
          <w:szCs w:val="17"/>
          <w:color w:val="auto"/>
        </w:rPr>
      </w:pPr>
    </w:p>
    <w:p>
      <w:pPr>
        <w:ind w:left="2820" w:hanging="868"/>
        <w:spacing w:after="0"/>
        <w:tabs>
          <w:tab w:leader="none" w:pos="28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Unless and except to the extent that the Bylaws shall so require, the election of directors need not be by written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ballot.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3" w:name="page194"/>
    <w:bookmarkEnd w:id="193"/>
    <w:p>
      <w:pPr>
        <w:ind w:firstLine="1296"/>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92" w:lineRule="exact"/>
        <w:rPr>
          <w:sz w:val="20"/>
          <w:szCs w:val="20"/>
          <w:color w:val="auto"/>
        </w:rPr>
      </w:pPr>
    </w:p>
    <w:p>
      <w:pPr>
        <w:ind w:right="280" w:firstLine="1296"/>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and except as otherwise required by this Amended and Restated Certificate (including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hereof), any or all of the directors may be removed from office at any time, but only for cause and only by the affirmative vote of holders of a majority of the voting power of all then outstanding shares of capital stock of the Corporation entitled to vote generally in the election of directors, voting together as a single class.</w:t>
      </w:r>
    </w:p>
    <w:p>
      <w:pPr>
        <w:spacing w:after="0" w:line="187"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Preferred Stock—Directors</w:t>
      </w:r>
      <w:r>
        <w:rPr>
          <w:rFonts w:ascii="Arial" w:cs="Arial" w:eastAsia="Arial" w:hAnsi="Arial"/>
          <w:sz w:val="17"/>
          <w:szCs w:val="17"/>
          <w:color w:val="auto"/>
        </w:rPr>
        <w:t xml:space="preserve">. Notwithstanding any other provision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unless expressly provided by such terms.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ind w:right="60" w:firstLine="1296"/>
        <w:spacing w:after="0" w:line="291" w:lineRule="auto"/>
        <w:rPr>
          <w:sz w:val="20"/>
          <w:szCs w:val="20"/>
          <w:color w:val="auto"/>
        </w:rPr>
      </w:pPr>
      <w:r>
        <w:rPr>
          <w:rFonts w:ascii="Arial" w:cs="Arial" w:eastAsia="Arial" w:hAnsi="Arial"/>
          <w:sz w:val="16"/>
          <w:szCs w:val="16"/>
          <w:color w:val="auto"/>
        </w:rPr>
        <w:t xml:space="preserve">In furtherance and not in limitation of the powers conferred upon it by law, the Board shall have the power and is expressly authorized to adopt, amend, alter or repeal the Bylaws. The Bylaws also may be adopted, amended, altered or repealed by the stockholders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addition to any vote of the holders of any class or series of capital stock of the Corporation required by law or by this Amended and Restated Certificate (including any Preferred Stock Designation), the affirmative vote of the holders of a majority of the voting power of all then outstanding shares of capital stock of the Corporation entitled to vote generally in the election of directors, voting together as a single class, shall be required for the stockholders of the Corporation to adopt, amend, alter or repeal the Bylaws;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Bylaws hereafter adopted by the stockholders of the Corporation shall invalidate any prior act of the Board that would have been valid if such Bylaws had not been adopted.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MEETINGS OF STOCKHOLDERS; ACTION BY WRITTEN CONSENT</w:t>
      </w:r>
    </w:p>
    <w:p>
      <w:pPr>
        <w:spacing w:after="0" w:line="211"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spacing w:after="0" w:line="188"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70"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Except as may be otherwise provided for or fixed pursuant to this Amended and Restated Certificate (including any Preferred Stock Designation) relating to the rights of the holders of any outstanding series of Preferred Stock, subsequent to the consummation of the Offering, any action required or permitted to be taken by the stockholders of the Corporation must be effected by a duly called annual or special meeting of such stockholders and may not be effected by written consent of the stockholders other than with respect to the Class B Common Stock with respect to which action may be taken by written consent.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ind w:right="120" w:firstLine="1296"/>
        <w:spacing w:after="0" w:line="25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88"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Indemnification and Advancement of Expenses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83" w:lineRule="auto"/>
        <w:tabs>
          <w:tab w:leader="none" w:pos="281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advancement of expenses conferred by this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ind w:right="20"/>
        <w:spacing w:after="0" w:line="295" w:lineRule="auto"/>
        <w:rPr>
          <w:rFonts w:ascii="Arial" w:cs="Arial" w:eastAsia="Arial" w:hAnsi="Arial"/>
          <w:sz w:val="16"/>
          <w:szCs w:val="16"/>
          <w:color w:val="auto"/>
        </w:rPr>
      </w:pPr>
      <w:r>
        <w:rPr>
          <w:rFonts w:ascii="Arial" w:cs="Arial" w:eastAsia="Arial" w:hAnsi="Arial"/>
          <w:sz w:val="16"/>
          <w:szCs w:val="16"/>
          <w:u w:val="single" w:color="auto"/>
          <w:color w:val="auto"/>
        </w:rPr>
        <w:t>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6"/>
          <w:szCs w:val="16"/>
          <w:u w:val="single" w:color="auto"/>
          <w:color w:val="auto"/>
        </w:rPr>
        <w:t>Section 8.2(a)</w:t>
      </w:r>
      <w:r>
        <w:rPr>
          <w:rFonts w:ascii="Arial" w:cs="Arial" w:eastAsia="Arial" w:hAnsi="Arial"/>
          <w:sz w:val="16"/>
          <w:szCs w:val="16"/>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left="-100" w:right="160" w:firstLine="1952"/>
        <w:spacing w:after="0" w:line="263" w:lineRule="auto"/>
        <w:tabs>
          <w:tab w:leader="none" w:pos="272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conferred on any indemnitee by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be exclusive of any other rights that any indemnitee may have or hereafter acquire under law, this Amended and Restated Certificate, the Bylaws, an agreement, vote of stockholders or disinterested directors, or otherwise.</w:t>
      </w:r>
    </w:p>
    <w:p>
      <w:pPr>
        <w:spacing w:after="0" w:line="183" w:lineRule="exact"/>
        <w:rPr>
          <w:rFonts w:ascii="Arial" w:cs="Arial" w:eastAsia="Arial" w:hAnsi="Arial"/>
          <w:sz w:val="18"/>
          <w:szCs w:val="18"/>
          <w:color w:val="auto"/>
        </w:rPr>
      </w:pPr>
    </w:p>
    <w:p>
      <w:pPr>
        <w:ind w:left="-100" w:firstLine="1952"/>
        <w:spacing w:after="0" w:line="293" w:lineRule="auto"/>
        <w:tabs>
          <w:tab w:leader="none" w:pos="271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Any repeal or amendment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by the stockholders of the Corporation or by changes in law, or the adoption of any other provision of this Amended and Restated Certificate inconsistent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64" w:lineRule="exact"/>
        <w:rPr>
          <w:rFonts w:ascii="Arial" w:cs="Arial" w:eastAsia="Arial" w:hAnsi="Arial"/>
          <w:sz w:val="16"/>
          <w:szCs w:val="16"/>
          <w:color w:val="auto"/>
        </w:rPr>
      </w:pPr>
    </w:p>
    <w:p>
      <w:pPr>
        <w:ind w:left="-100" w:right="20" w:firstLine="1952"/>
        <w:spacing w:after="0" w:line="277" w:lineRule="auto"/>
        <w:tabs>
          <w:tab w:leader="none" w:pos="272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420" w:top="908" w:right="419" w:bottom="1440" w:gutter="0" w:footer="0" w:header="0"/>
        </w:sectPr>
      </w:pPr>
    </w:p>
    <w:bookmarkStart w:id="196" w:name="page197"/>
    <w:bookmarkEnd w:id="196"/>
    <w:p>
      <w:pPr>
        <w:ind w:left="-60" w:firstLine="1952"/>
        <w:spacing w:after="0" w:line="269" w:lineRule="auto"/>
        <w:tabs>
          <w:tab w:leader="none" w:pos="275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To the extent an indemnitee has rights to indemnification, advancement of expenses and/or insurance provided by a third party, (i) the Corporation shall be the indemnitor of first resort (i.e., that its obligations to an indemnitee are primary and any obligation of such third party to advance expenses or to provide indemnification for the same expenses or liabilities incurred by an indemnitee are secondary), (ii) the Corporation shall be required to advance the full amount of expenses incurred by an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Amended and Restated Certificate of Incorporation, the Bylaws and the agreements to which the Corporation is a party, without regard to any rights an indemnitee may have against such third party and (iii) the Corporation irrevocably waives, relinquishes and releases such third party from any and all claims against them for contribution, subrogation or any other recovery of any kind in respect thereof. No advancement or payment by such third party on behalf of an indemnitee with respect to any claim for which an indemnitee has sought indemnification from the Corporation shall affect the foregoing, and such third party shall have a right of contribution and be subrogated to the extent of such advancement or payment to all of the rights of recovery of an indemnitee against the Corporation.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REQUIREMENTS; EXISTENCE</w:t>
      </w:r>
    </w:p>
    <w:p>
      <w:pPr>
        <w:spacing w:after="0" w:line="211" w:lineRule="exact"/>
        <w:rPr>
          <w:sz w:val="20"/>
          <w:szCs w:val="20"/>
          <w:color w:val="auto"/>
        </w:rPr>
      </w:pPr>
    </w:p>
    <w:p>
      <w:pPr>
        <w:ind w:left="1240"/>
        <w:spacing w:after="0"/>
        <w:tabs>
          <w:tab w:leader="none" w:pos="258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pacing w:after="0" w:line="225" w:lineRule="exact"/>
        <w:rPr>
          <w:sz w:val="20"/>
          <w:szCs w:val="20"/>
          <w:color w:val="auto"/>
        </w:rPr>
      </w:pPr>
    </w:p>
    <w:p>
      <w:pPr>
        <w:ind w:left="-60" w:right="20" w:firstLine="1952"/>
        <w:spacing w:after="0" w:line="259" w:lineRule="auto"/>
        <w:tabs>
          <w:tab w:leader="none" w:pos="275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apply during the period commencing upon the effectiveness of this Amended and Restated Certificate and terminating upon the consummation of the Corporation’s initial Business Combination and no amendment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effective prior to the consummation of the initial Business Combination unless approved by the affirmative vote of the holders of at least sixty-five percent (65%) of all then outstanding shares of the Common Stock.</w:t>
      </w:r>
    </w:p>
    <w:p>
      <w:pPr>
        <w:spacing w:after="0" w:line="186" w:lineRule="exact"/>
        <w:rPr>
          <w:rFonts w:ascii="Arial" w:cs="Arial" w:eastAsia="Arial" w:hAnsi="Arial"/>
          <w:sz w:val="18"/>
          <w:szCs w:val="18"/>
          <w:color w:val="auto"/>
        </w:rPr>
      </w:pPr>
    </w:p>
    <w:p>
      <w:pPr>
        <w:ind w:left="-60" w:right="80" w:firstLine="1952"/>
        <w:spacing w:after="0" w:line="268" w:lineRule="auto"/>
        <w:tabs>
          <w:tab w:leader="none" w:pos="276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[DATE], as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be deposited in a trust account (the “</w:t>
      </w:r>
      <w:r>
        <w:rPr>
          <w:rFonts w:ascii="Arial" w:cs="Arial" w:eastAsia="Arial" w:hAnsi="Arial"/>
          <w:sz w:val="17"/>
          <w:szCs w:val="17"/>
          <w:u w:val="single" w:color="auto"/>
          <w:color w:val="auto"/>
        </w:rPr>
        <w:t>Trust Account</w:t>
      </w:r>
      <w:r>
        <w:rPr>
          <w:rFonts w:ascii="Arial" w:cs="Arial" w:eastAsia="Arial" w:hAnsi="Arial"/>
          <w:sz w:val="17"/>
          <w:szCs w:val="17"/>
          <w:color w:val="auto"/>
        </w:rPr>
        <w:t>”), established for the benefit of the Public Stockholders (as defined below) pursuant to a trust agreement described in the Registration Statement. Except for the amounts withdrawn to fund the Corporation’s working capital requirements, subject to an annual limit of $[•], and/or to pay the Corporation’s taxes (“</w:t>
      </w:r>
      <w:r>
        <w:rPr>
          <w:rFonts w:ascii="Arial" w:cs="Arial" w:eastAsia="Arial" w:hAnsi="Arial"/>
          <w:sz w:val="17"/>
          <w:szCs w:val="17"/>
          <w:u w:val="single" w:color="auto"/>
          <w:color w:val="auto"/>
        </w:rPr>
        <w:t>Permitted Withdrawals</w:t>
      </w:r>
      <w:r>
        <w:rPr>
          <w:rFonts w:ascii="Arial" w:cs="Arial" w:eastAsia="Arial" w:hAnsi="Arial"/>
          <w:sz w:val="17"/>
          <w:szCs w:val="17"/>
          <w:color w:val="auto"/>
        </w:rPr>
        <w:t>”),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within the 24 months from the closing of the Offering, or 27 months from the closing of the Offering if the Company has executed a letter of intent, agreement in principle or definitive agreement for an initial business combination within 24 months from the closing of the Offering (“</w:t>
      </w:r>
      <w:r>
        <w:rPr>
          <w:rFonts w:ascii="Arial" w:cs="Arial" w:eastAsia="Arial" w:hAnsi="Arial"/>
          <w:sz w:val="17"/>
          <w:szCs w:val="17"/>
          <w:u w:val="single" w:color="auto"/>
          <w:color w:val="auto"/>
        </w:rPr>
        <w:t>Completion Window</w:t>
      </w:r>
      <w:r>
        <w:rPr>
          <w:rFonts w:ascii="Arial" w:cs="Arial" w:eastAsia="Arial" w:hAnsi="Arial"/>
          <w:sz w:val="17"/>
          <w:szCs w:val="17"/>
          <w:color w:val="auto"/>
        </w:rPr>
        <w:t xml:space="preserve">”) or (iii) the redemption of shares in connection with a vote seeking to amend any provisions of this Amended and Restated Certificate as described in </w:t>
      </w:r>
      <w:r>
        <w:rPr>
          <w:rFonts w:ascii="Arial" w:cs="Arial" w:eastAsia="Arial" w:hAnsi="Arial"/>
          <w:sz w:val="17"/>
          <w:szCs w:val="17"/>
          <w:u w:val="single" w:color="auto"/>
          <w:color w:val="auto"/>
        </w:rPr>
        <w:t>Section 9.7</w:t>
      </w:r>
      <w:r>
        <w:rPr>
          <w:rFonts w:ascii="Arial" w:cs="Arial" w:eastAsia="Arial" w:hAnsi="Arial"/>
          <w:sz w:val="17"/>
          <w:szCs w:val="17"/>
          <w:color w:val="auto"/>
        </w:rPr>
        <w:t>. Holders of shares of the Common Stock included as part of the units sold in the Offering (the “</w:t>
      </w:r>
      <w:r>
        <w:rPr>
          <w:rFonts w:ascii="Arial" w:cs="Arial" w:eastAsia="Arial" w:hAnsi="Arial"/>
          <w:sz w:val="17"/>
          <w:szCs w:val="17"/>
          <w:u w:val="single" w:color="auto"/>
          <w:color w:val="auto"/>
        </w:rPr>
        <w:t>Offering Shares</w:t>
      </w:r>
      <w:r>
        <w:rPr>
          <w:rFonts w:ascii="Arial" w:cs="Arial" w:eastAsia="Arial" w:hAnsi="Arial"/>
          <w:sz w:val="17"/>
          <w:szCs w:val="17"/>
          <w:color w:val="auto"/>
        </w:rPr>
        <w:t>”) (whether such Offering Shares were purchased in the Offering or in the secondary market following the Offering and whether or not such holders are affiliates or officers or directors of the Corporation, or affiliates of any of the foregoing) are referred to herein as “</w:t>
      </w:r>
      <w:r>
        <w:rPr>
          <w:rFonts w:ascii="Arial" w:cs="Arial" w:eastAsia="Arial" w:hAnsi="Arial"/>
          <w:sz w:val="17"/>
          <w:szCs w:val="17"/>
          <w:u w:val="single" w:color="auto"/>
          <w:color w:val="auto"/>
        </w:rPr>
        <w:t>Public</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Stockholders</w:t>
      </w:r>
      <w:r>
        <w:rPr>
          <w:rFonts w:ascii="Arial" w:cs="Arial" w:eastAsia="Arial" w:hAnsi="Arial"/>
          <w:sz w:val="17"/>
          <w:szCs w:val="17"/>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908" w:right="379" w:bottom="1440" w:gutter="0" w:footer="0" w:header="0"/>
        </w:sectPr>
      </w:pPr>
    </w:p>
    <w:bookmarkStart w:id="197" w:name="page198"/>
    <w:bookmarkEnd w:id="197"/>
    <w:p>
      <w:pPr>
        <w:ind w:left="1300"/>
        <w:spacing w:after="0"/>
        <w:tabs>
          <w:tab w:leader="none" w:pos="26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Redemption Rights</w:t>
      </w:r>
      <w:r>
        <w:rPr>
          <w:rFonts w:ascii="Arial" w:cs="Arial" w:eastAsia="Arial" w:hAnsi="Arial"/>
          <w:sz w:val="16"/>
          <w:szCs w:val="16"/>
          <w:color w:val="auto"/>
        </w:rPr>
        <w:t>.</w:t>
      </w:r>
    </w:p>
    <w:p>
      <w:pPr>
        <w:spacing w:after="0" w:line="225" w:lineRule="exact"/>
        <w:rPr>
          <w:sz w:val="20"/>
          <w:szCs w:val="20"/>
          <w:color w:val="auto"/>
        </w:rPr>
      </w:pPr>
    </w:p>
    <w:p>
      <w:pPr>
        <w:ind w:right="40" w:firstLine="1952"/>
        <w:spacing w:after="0" w:line="288" w:lineRule="auto"/>
        <w:tabs>
          <w:tab w:leader="none" w:pos="281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Arial" w:cs="Arial" w:eastAsia="Arial" w:hAnsi="Arial"/>
          <w:sz w:val="16"/>
          <w:szCs w:val="16"/>
          <w:u w:val="single" w:color="auto"/>
          <w:color w:val="auto"/>
        </w:rPr>
        <w:t>Sections 9.2(b)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9.2(c)</w:t>
      </w:r>
      <w:r>
        <w:rPr>
          <w:rFonts w:ascii="Arial" w:cs="Arial" w:eastAsia="Arial" w:hAnsi="Arial"/>
          <w:sz w:val="16"/>
          <w:szCs w:val="16"/>
          <w:color w:val="auto"/>
        </w:rPr>
        <w:t xml:space="preserve"> (such rights of such holders to have their Offering Shares redeemed pursuant to such Sections, the “</w:t>
      </w:r>
      <w:r>
        <w:rPr>
          <w:rFonts w:ascii="Arial" w:cs="Arial" w:eastAsia="Arial" w:hAnsi="Arial"/>
          <w:sz w:val="16"/>
          <w:szCs w:val="16"/>
          <w:u w:val="single" w:color="auto"/>
          <w:color w:val="auto"/>
        </w:rPr>
        <w:t>Redemption Rights</w:t>
      </w:r>
      <w:r>
        <w:rPr>
          <w:rFonts w:ascii="Arial" w:cs="Arial" w:eastAsia="Arial" w:hAnsi="Arial"/>
          <w:sz w:val="16"/>
          <w:szCs w:val="16"/>
          <w:color w:val="auto"/>
        </w:rPr>
        <w:t xml:space="preserve">”) hereof for cash equal to the applicable redemption price per share determined in accordance with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hereof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provided, however, that the Corporation shall not redeem or repurchase Offering Shares to the extent that such redemption would result in the Corporation’s failure to have net tangible assets (as determined in accordance with Rule 3a51-1(g)(1)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(or any successor rule)) in excess of $5 million or any greater net tangible asset or cash requirement upon consummation of the Corporation’s initial Business Combination which may be contained in the agreement relating to the initial Business Combination (such limitation hereinafter called the “</w:t>
      </w:r>
      <w:r>
        <w:rPr>
          <w:rFonts w:ascii="Arial" w:cs="Arial" w:eastAsia="Arial" w:hAnsi="Arial"/>
          <w:sz w:val="16"/>
          <w:szCs w:val="16"/>
          <w:u w:val="single" w:color="auto"/>
          <w:color w:val="auto"/>
        </w:rPr>
        <w:t>Redemption Limitation</w:t>
      </w:r>
      <w:r>
        <w:rPr>
          <w:rFonts w:ascii="Arial" w:cs="Arial" w:eastAsia="Arial" w:hAnsi="Arial"/>
          <w:sz w:val="16"/>
          <w:szCs w:val="16"/>
          <w:color w:val="auto"/>
        </w:rPr>
        <w:t>”). Notwithstanding anything to the contrary contained in this Amended and Restated Certificate, there shall be no Redemption Rights or liquidating distributions with respect to any warrant issued pursuant to the Offering.</w:t>
      </w:r>
    </w:p>
    <w:p>
      <w:pPr>
        <w:spacing w:after="0" w:line="168" w:lineRule="exact"/>
        <w:rPr>
          <w:rFonts w:ascii="Arial" w:cs="Arial" w:eastAsia="Arial" w:hAnsi="Arial"/>
          <w:sz w:val="16"/>
          <w:szCs w:val="16"/>
          <w:color w:val="auto"/>
        </w:rPr>
      </w:pPr>
    </w:p>
    <w:p>
      <w:pPr>
        <w:ind w:firstLine="1952"/>
        <w:spacing w:after="0" w:line="284" w:lineRule="auto"/>
        <w:tabs>
          <w:tab w:leader="none" w:pos="282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If the Corporation offers to redeem the Offering Shares other than in conjunction with a stockholder vote on an initial Business Combination with a proxy solicitation pursuant to Regulation 14A under the Exchange Act (or any successor rules or regulations) and filing proxy materials with the SEC, the Corporation shall offer to redeem the Offering Shares upon the consummation of the initial Business Combination,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pursuant to a tender offer in accordance with Rule 13e-4 and Regulation 14E under the Exchange Act (or any successor rule or regulation) (such rules and regulations hereinafter called the “</w:t>
      </w:r>
      <w:r>
        <w:rPr>
          <w:rFonts w:ascii="Arial" w:cs="Arial" w:eastAsia="Arial" w:hAnsi="Arial"/>
          <w:sz w:val="16"/>
          <w:szCs w:val="16"/>
          <w:u w:val="single" w:color="auto"/>
          <w:color w:val="auto"/>
        </w:rPr>
        <w:t>Tender Offer</w:t>
      </w:r>
      <w:r>
        <w:rPr>
          <w:rFonts w:ascii="Arial" w:cs="Arial" w:eastAsia="Arial" w:hAnsi="Arial"/>
          <w:sz w:val="16"/>
          <w:szCs w:val="16"/>
          <w:color w:val="auto"/>
        </w:rPr>
        <w:t xml:space="preserve"> </w:t>
      </w:r>
      <w:r>
        <w:rPr>
          <w:rFonts w:ascii="Arial" w:cs="Arial" w:eastAsia="Arial" w:hAnsi="Arial"/>
          <w:sz w:val="16"/>
          <w:szCs w:val="16"/>
          <w:u w:val="single" w:color="auto"/>
          <w:color w:val="auto"/>
        </w:rPr>
        <w:t>Rules</w:t>
      </w:r>
      <w:r>
        <w:rPr>
          <w:rFonts w:ascii="Arial" w:cs="Arial" w:eastAsia="Arial" w:hAnsi="Arial"/>
          <w:sz w:val="16"/>
          <w:szCs w:val="16"/>
          <w:color w:val="auto"/>
        </w:rPr>
        <w:t>”) which it shall commence prior to the consummation of the initial Business Combination and shall file tender offer documents with the SEC prior to the consummation of the initial Business Combination that contain substantially the same financial and other information about the initial Business Combination and the Redemption Rights as is required under Regulation 14A under the Exchange Act (or any successor rule or regulation) (such rules and regulations hereinafter called the “</w:t>
      </w:r>
      <w:r>
        <w:rPr>
          <w:rFonts w:ascii="Arial" w:cs="Arial" w:eastAsia="Arial" w:hAnsi="Arial"/>
          <w:sz w:val="16"/>
          <w:szCs w:val="16"/>
          <w:u w:val="single" w:color="auto"/>
          <w:color w:val="auto"/>
        </w:rPr>
        <w:t>Proxy Solicitation Rules</w:t>
      </w:r>
      <w:r>
        <w:rPr>
          <w:rFonts w:ascii="Arial" w:cs="Arial" w:eastAsia="Arial" w:hAnsi="Arial"/>
          <w:sz w:val="16"/>
          <w:szCs w:val="16"/>
          <w:color w:val="auto"/>
        </w:rPr>
        <w:t xml:space="preserve">”), even if such information is not required under the Tender Offer Rules; provided, however, that if a stockholder vote is required by law to approve the proposed initial Business Combination, or the Corporation decides to submit the proposed initial Business Combination to the stockholders for their approval for business or other legal reasons, the Corporation shall offer to redeem the Offering Shares,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in conjunction with a proxy solicitation pursuant to the Proxy Solicitation Rules (and not the Tender Offer Rules) at a price per share equal to the Redemption Price calculated in accordance with the following provisions of this </w:t>
      </w:r>
      <w:r>
        <w:rPr>
          <w:rFonts w:ascii="Arial" w:cs="Arial" w:eastAsia="Arial" w:hAnsi="Arial"/>
          <w:sz w:val="16"/>
          <w:szCs w:val="16"/>
          <w:u w:val="single" w:color="auto"/>
          <w:color w:val="auto"/>
        </w:rPr>
        <w:t>Section 9.2(b)</w:t>
      </w:r>
      <w:r>
        <w:rPr>
          <w:rFonts w:ascii="Arial" w:cs="Arial" w:eastAsia="Arial" w:hAnsi="Arial"/>
          <w:sz w:val="16"/>
          <w:szCs w:val="16"/>
          <w:color w:val="auto"/>
        </w:rPr>
        <w:t>. In the event that the Corporation offers to redeem the Offering Shares pursuant to a tender offer in accordance with the Tender Offer Rules, the Redemption Price per share of the Common Stock payable to holders of the Offering Shares tendering their Offering Shares pursuant to such tender offer shall be equal to the quotient obtained by dividing: (i) the aggregate amount on deposit in the Trust Account as of two business days prior to the consummation of the initial Business Combination, including interest not previously released to the Corporation as Permitted Withdrawals, by (ii) the total number of then outstanding Offering Shares. If the Corporation offers to redeem the Offering Shares in conjunction with a stockholder vote on the proposed initial Business Combination pursuant to a proxy solicitation, the Redemption Price per share of the Common Stock payable to holders of the Offering Shares exercising their Redemption Rights (irrespective of whether they voted in favor or against the Business Combination) shall be equal to the quotient obtained by dividing (a) the aggregate amount on deposit in the Trust Account as of two business days prior to the consummation of the initial Business Combination, including interest not previously released to the Corporation as Permitted Withdrawals, by (b) the total number of then outstanding Offering Shares.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ind w:left="-40" w:firstLine="1952"/>
        <w:spacing w:after="0" w:line="279" w:lineRule="auto"/>
        <w:tabs>
          <w:tab w:leader="none" w:pos="277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If the Corporation offers to redeem the Offering Shares in conjunction with a stockholder vote on an initial Business Combination pursuant to a proxy solicitation, a Public Stockholder, together with any affiliate of such stockholder or any other person with whom such stockholder is acting in concert or as a “</w:t>
      </w:r>
      <w:r>
        <w:rPr>
          <w:rFonts w:ascii="Arial" w:cs="Arial" w:eastAsia="Arial" w:hAnsi="Arial"/>
          <w:sz w:val="17"/>
          <w:szCs w:val="17"/>
          <w:u w:val="single" w:color="auto"/>
          <w:color w:val="auto"/>
        </w:rPr>
        <w:t>group</w:t>
      </w:r>
      <w:r>
        <w:rPr>
          <w:rFonts w:ascii="Arial" w:cs="Arial" w:eastAsia="Arial" w:hAnsi="Arial"/>
          <w:sz w:val="17"/>
          <w:szCs w:val="17"/>
          <w:color w:val="auto"/>
        </w:rPr>
        <w:t>” (as defined under Section 13(d)(3) of the Exchange Act), shall be restricted from seeking Redemption Rights with respect to more than an aggregate of 15% of the Offering Shares without the consent of the Corporation.</w:t>
      </w:r>
    </w:p>
    <w:p>
      <w:pPr>
        <w:spacing w:after="0" w:line="171" w:lineRule="exact"/>
        <w:rPr>
          <w:rFonts w:ascii="Arial" w:cs="Arial" w:eastAsia="Arial" w:hAnsi="Arial"/>
          <w:sz w:val="17"/>
          <w:szCs w:val="17"/>
          <w:color w:val="auto"/>
        </w:rPr>
      </w:pPr>
    </w:p>
    <w:p>
      <w:pPr>
        <w:ind w:left="-40" w:firstLine="1952"/>
        <w:spacing w:after="0" w:line="270" w:lineRule="auto"/>
        <w:tabs>
          <w:tab w:leader="none" w:pos="278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 the event that the Corporation has not consummated an initial Business Combination within the Completion Window, the Corporation shall (i) cease all operations except for the purpose of winding up, (ii) as promptly as reasonably possible but not more than ten business days thereafter subject to lawfully available funds therefor, redeem 100% of the Offering Shares in consideration of a per share price, payable in cash, equal to the quotient obtained by dividing (A) the aggregate amount then on deposit in the Trust Account (net of amounts withdrawn as Permitted Withdrawals and less up to $[•] of such net interest to pay dissolution expenses), including interest, by (B) the total number of then outstanding Offering Shares, which redemption will completely extinguish rights of the Public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Corporation’s obligations under the DGCL to provide for claims of creditors and other requirements of applicable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199" w:name="page200"/>
    <w:bookmarkEnd w:id="199"/>
    <w:p>
      <w:pPr>
        <w:ind w:firstLine="1952"/>
        <w:spacing w:after="0" w:line="257" w:lineRule="auto"/>
        <w:tabs>
          <w:tab w:leader="none" w:pos="281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the Corporation shall consummate the proposed initial Business Combination only if (i) such initial Business Combination is approved by the affirmative vote of the holders of a majority of the shares of the Common Stock that are voted at a stockholder meeting held to consider such initial Business Combination (or such other vote as the applicable law or stock exchange rules then in effect may require) and (ii) the Redemption Limitation is not exceeded.</w:t>
      </w:r>
    </w:p>
    <w:p>
      <w:pPr>
        <w:spacing w:after="0" w:line="187" w:lineRule="exact"/>
        <w:rPr>
          <w:rFonts w:ascii="Arial" w:cs="Arial" w:eastAsia="Arial" w:hAnsi="Arial"/>
          <w:sz w:val="18"/>
          <w:szCs w:val="18"/>
          <w:color w:val="auto"/>
        </w:rPr>
      </w:pPr>
    </w:p>
    <w:p>
      <w:pPr>
        <w:ind w:right="640" w:firstLine="1952"/>
        <w:spacing w:after="0" w:line="277" w:lineRule="auto"/>
        <w:tabs>
          <w:tab w:leader="none" w:pos="284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If the Corporation conducts a tender offer pursuant to </w:t>
      </w:r>
      <w:r>
        <w:rPr>
          <w:rFonts w:ascii="Arial" w:cs="Arial" w:eastAsia="Arial" w:hAnsi="Arial"/>
          <w:sz w:val="18"/>
          <w:szCs w:val="18"/>
          <w:u w:val="single" w:color="auto"/>
          <w:color w:val="auto"/>
        </w:rPr>
        <w:t>Section 9.2(b)</w:t>
      </w:r>
      <w:r>
        <w:rPr>
          <w:rFonts w:ascii="Arial" w:cs="Arial" w:eastAsia="Arial" w:hAnsi="Arial"/>
          <w:sz w:val="18"/>
          <w:szCs w:val="18"/>
          <w:color w:val="auto"/>
        </w:rPr>
        <w:t>, the Corporation shall consummate the proposed initial Business Combination only if the Redemption Limitation is not exceeded.</w:t>
      </w:r>
    </w:p>
    <w:p>
      <w:pPr>
        <w:spacing w:after="0" w:line="170"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Distributions from the Trust Account</w:t>
      </w:r>
      <w:r>
        <w:rPr>
          <w:rFonts w:ascii="Arial" w:cs="Arial" w:eastAsia="Arial" w:hAnsi="Arial"/>
          <w:sz w:val="16"/>
          <w:szCs w:val="16"/>
          <w:color w:val="auto"/>
        </w:rPr>
        <w:t>.</w:t>
      </w:r>
    </w:p>
    <w:p>
      <w:pPr>
        <w:spacing w:after="0" w:line="225" w:lineRule="exact"/>
        <w:rPr>
          <w:sz w:val="20"/>
          <w:szCs w:val="20"/>
          <w:color w:val="auto"/>
        </w:rPr>
      </w:pPr>
    </w:p>
    <w:p>
      <w:pPr>
        <w:jc w:val="both"/>
        <w:ind w:right="120" w:firstLine="1952"/>
        <w:spacing w:after="0" w:line="286" w:lineRule="auto"/>
        <w:tabs>
          <w:tab w:leader="none" w:pos="281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A Public Stockholder shall be entitled to receive funds from the Trust Account only as provided in </w:t>
      </w:r>
      <w:r>
        <w:rPr>
          <w:rFonts w:ascii="Arial" w:cs="Arial" w:eastAsia="Arial" w:hAnsi="Arial"/>
          <w:sz w:val="17"/>
          <w:szCs w:val="17"/>
          <w:u w:val="single" w:color="auto"/>
          <w:color w:val="auto"/>
        </w:rPr>
        <w:t>Sections 9.2(a)</w:t>
      </w:r>
      <w:r>
        <w:rPr>
          <w:rFonts w:ascii="Arial" w:cs="Arial" w:eastAsia="Arial" w:hAnsi="Arial"/>
          <w:sz w:val="17"/>
          <w:szCs w:val="17"/>
          <w:color w:val="auto"/>
        </w:rPr>
        <w:t xml:space="preserve">, </w:t>
      </w:r>
      <w:r>
        <w:rPr>
          <w:rFonts w:ascii="Arial" w:cs="Arial" w:eastAsia="Arial" w:hAnsi="Arial"/>
          <w:sz w:val="17"/>
          <w:szCs w:val="17"/>
          <w:u w:val="single" w:color="auto"/>
          <w:color w:val="auto"/>
        </w:rPr>
        <w:t>9.2(b)</w:t>
      </w:r>
      <w:r>
        <w:rPr>
          <w:rFonts w:ascii="Arial" w:cs="Arial" w:eastAsia="Arial" w:hAnsi="Arial"/>
          <w:sz w:val="17"/>
          <w:szCs w:val="17"/>
          <w:color w:val="auto"/>
        </w:rPr>
        <w:t xml:space="preserve">, </w:t>
      </w:r>
      <w:r>
        <w:rPr>
          <w:rFonts w:ascii="Arial" w:cs="Arial" w:eastAsia="Arial" w:hAnsi="Arial"/>
          <w:sz w:val="17"/>
          <w:szCs w:val="17"/>
          <w:u w:val="single" w:color="auto"/>
          <w:color w:val="auto"/>
        </w:rPr>
        <w:t>9.2(d)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9.7</w:t>
      </w:r>
      <w:r>
        <w:rPr>
          <w:rFonts w:ascii="Arial" w:cs="Arial" w:eastAsia="Arial" w:hAnsi="Arial"/>
          <w:sz w:val="17"/>
          <w:szCs w:val="17"/>
          <w:color w:val="auto"/>
        </w:rPr>
        <w:t xml:space="preserve"> hereof. In no other circumstances shall a Public Stockholder have any right or interest of any kind in or to distributions from the Trust Account, and no stockholder other than a Public Stockholder shall have any interest in or to the Trust Account.</w:t>
      </w:r>
    </w:p>
    <w:p>
      <w:pPr>
        <w:spacing w:after="0" w:line="165" w:lineRule="exact"/>
        <w:rPr>
          <w:rFonts w:ascii="Arial" w:cs="Arial" w:eastAsia="Arial" w:hAnsi="Arial"/>
          <w:sz w:val="17"/>
          <w:szCs w:val="17"/>
          <w:color w:val="auto"/>
        </w:rPr>
      </w:pPr>
    </w:p>
    <w:p>
      <w:pPr>
        <w:ind w:right="60" w:firstLine="1952"/>
        <w:spacing w:after="0" w:line="311" w:lineRule="auto"/>
        <w:tabs>
          <w:tab w:leader="none" w:pos="282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Each Public Stockholder that does not exercise its Redemption Rights shall retain its interest in the Corporation and shall be deemed to have given its consent to the release of the remaining funds in the Trust Account to the Corporation, and following payment to any Public Stockholders exercising their Redemption Rights, the remaining funds in the Trust Account shall be released to the Corporation.</w:t>
      </w:r>
    </w:p>
    <w:p>
      <w:pPr>
        <w:spacing w:after="0" w:line="148" w:lineRule="exact"/>
        <w:rPr>
          <w:rFonts w:ascii="Arial" w:cs="Arial" w:eastAsia="Arial" w:hAnsi="Arial"/>
          <w:sz w:val="16"/>
          <w:szCs w:val="16"/>
          <w:color w:val="auto"/>
        </w:rPr>
      </w:pPr>
    </w:p>
    <w:p>
      <w:pPr>
        <w:ind w:right="20" w:firstLine="1952"/>
        <w:spacing w:after="0" w:line="259" w:lineRule="auto"/>
        <w:tabs>
          <w:tab w:leader="none" w:pos="281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exercise by a Public Stockholder of the Redemption Rights shall be conditioned on such Public Stockholder following the specific procedures for redemptions set forth by the Corporation in any applicable tender offer or proxy materials sent to the Public Stockholders relating to the proposed initial Business Combination. Payment of the amounts necessary to satisfy the Redemption Rights properly exercised shall be made as promptly as practical after the consummation of the initial Business Combination.</w:t>
      </w:r>
    </w:p>
    <w:p>
      <w:pPr>
        <w:spacing w:after="0" w:line="187"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Share Issuances</w:t>
      </w:r>
      <w:r>
        <w:rPr>
          <w:rFonts w:ascii="Arial" w:cs="Arial" w:eastAsia="Arial" w:hAnsi="Arial"/>
          <w:sz w:val="18"/>
          <w:szCs w:val="18"/>
          <w:color w:val="auto"/>
        </w:rPr>
        <w:t xml:space="preserve">. Prior to the consummation of the Corporation’s initial Business Combination, the Corporation shall not issue any additional shares of capital stock of the Corporation that would entitle the holders thereof to receive funds from the Trust Account or vote on any initial Business Combination, on any pre-Business Combination activity or on any amendment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00" w:name="page201"/>
    <w:bookmarkEnd w:id="200"/>
    <w:p>
      <w:pPr>
        <w:ind w:firstLine="1296"/>
        <w:spacing w:after="0" w:line="257"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In the event the Corporation enters into an initial Business Combination with a target business that is affiliated with an owner of Class B Common Stock, or the directors or officers of the Corporation, the Corporation, or a committee of the independent directors of the Corporation, shall obtain an opinion from an independent accounting firm or an independent investment banking firm that is a member of the Financial Industry Regulatory Authority or an independent accounting firm that such Business Combination is fair to the Corporation from a financial point of view.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ind w:left="1300"/>
              <w:spacing w:after="0"/>
              <w:rPr>
                <w:sz w:val="20"/>
                <w:szCs w:val="20"/>
                <w:color w:val="auto"/>
              </w:rPr>
            </w:pPr>
            <w:r>
              <w:rPr>
                <w:rFonts w:ascii="Arial" w:cs="Arial" w:eastAsia="Arial" w:hAnsi="Arial"/>
                <w:sz w:val="18"/>
                <w:szCs w:val="18"/>
                <w:color w:val="auto"/>
              </w:rPr>
              <w:t>Section 9.6</w:t>
            </w:r>
          </w:p>
        </w:tc>
        <w:tc>
          <w:tcPr>
            <w:tcW w:w="8220" w:type="dxa"/>
            <w:vAlign w:val="bottom"/>
            <w:gridSpan w:val="5"/>
          </w:tcPr>
          <w:p>
            <w:pPr>
              <w:spacing w:after="0"/>
              <w:rPr>
                <w:sz w:val="20"/>
                <w:szCs w:val="20"/>
                <w:color w:val="auto"/>
              </w:rPr>
            </w:pPr>
            <w:r>
              <w:rPr>
                <w:rFonts w:ascii="Arial" w:cs="Arial" w:eastAsia="Arial" w:hAnsi="Arial"/>
                <w:sz w:val="18"/>
                <w:szCs w:val="18"/>
                <w:color w:val="auto"/>
                <w:w w:val="95"/>
              </w:rPr>
              <w:t>No Transactions with Other Blank Check Companies. The Corporation shall not enter into an initial Business</w:t>
            </w:r>
          </w:p>
        </w:tc>
      </w:tr>
      <w:tr>
        <w:trPr>
          <w:trHeight w:val="20"/>
        </w:trPr>
        <w:tc>
          <w:tcPr>
            <w:tcW w:w="28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37"/>
        </w:trPr>
        <w:tc>
          <w:tcPr>
            <w:tcW w:w="11080" w:type="dxa"/>
            <w:vAlign w:val="bottom"/>
            <w:gridSpan w:val="6"/>
          </w:tcPr>
          <w:p>
            <w:pPr>
              <w:spacing w:after="0"/>
              <w:rPr>
                <w:sz w:val="20"/>
                <w:szCs w:val="20"/>
                <w:color w:val="auto"/>
              </w:rPr>
            </w:pPr>
            <w:r>
              <w:rPr>
                <w:rFonts w:ascii="Arial" w:cs="Arial" w:eastAsia="Arial" w:hAnsi="Arial"/>
                <w:sz w:val="18"/>
                <w:szCs w:val="18"/>
                <w:color w:val="auto"/>
              </w:rPr>
              <w:t>Combination with another blank check company or a similar company with nominal operations.</w:t>
            </w:r>
          </w:p>
        </w:tc>
      </w:tr>
      <w:tr>
        <w:trPr>
          <w:trHeight w:val="391"/>
        </w:trPr>
        <w:tc>
          <w:tcPr>
            <w:tcW w:w="2860" w:type="dxa"/>
            <w:vAlign w:val="bottom"/>
          </w:tcPr>
          <w:p>
            <w:pPr>
              <w:ind w:left="1300"/>
              <w:spacing w:after="0"/>
              <w:rPr>
                <w:sz w:val="20"/>
                <w:szCs w:val="20"/>
                <w:color w:val="auto"/>
              </w:rPr>
            </w:pPr>
            <w:r>
              <w:rPr>
                <w:rFonts w:ascii="Arial" w:cs="Arial" w:eastAsia="Arial" w:hAnsi="Arial"/>
                <w:sz w:val="18"/>
                <w:szCs w:val="18"/>
                <w:color w:val="auto"/>
              </w:rPr>
              <w:t>Section 9.7</w:t>
            </w:r>
          </w:p>
        </w:tc>
        <w:tc>
          <w:tcPr>
            <w:tcW w:w="8220" w:type="dxa"/>
            <w:vAlign w:val="bottom"/>
            <w:gridSpan w:val="5"/>
          </w:tcPr>
          <w:p>
            <w:pPr>
              <w:spacing w:after="0"/>
              <w:rPr>
                <w:sz w:val="20"/>
                <w:szCs w:val="20"/>
                <w:color w:val="auto"/>
              </w:rPr>
            </w:pPr>
            <w:r>
              <w:rPr>
                <w:rFonts w:ascii="Arial" w:cs="Arial" w:eastAsia="Arial" w:hAnsi="Arial"/>
                <w:sz w:val="18"/>
                <w:szCs w:val="18"/>
                <w:color w:val="auto"/>
                <w:w w:val="91"/>
              </w:rPr>
              <w:t>Additional Redemption Rights. If, in accordance with Section 9.1(a), any amendment is made to this Certificate of</w:t>
            </w:r>
          </w:p>
        </w:tc>
      </w:tr>
      <w:tr>
        <w:trPr>
          <w:trHeight w:val="20"/>
        </w:trPr>
        <w:tc>
          <w:tcPr>
            <w:tcW w:w="2860" w:type="dxa"/>
            <w:vAlign w:val="bottom"/>
            <w:tcBorders>
              <w:right w:val="single" w:sz="8" w:color="auto"/>
            </w:tcBorders>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Incorporation to modify the substance or timing of the Corporation’s obligation to provide for the redemption of the Offering Shares in connection with an initial Business Combination or to redeem 100% of the Offering Shares if the Corporation has not consummated an initial Business Combination within the Completion Window or with respect to any other material provisions of this Certificate of Incorporation relating to stockholder’s rights or pre-initial Business Combination activity, the Public Stockholders shall be provided with the opportunity to redeem their Offering Shares upon the approval of any such amendment, at a per share price, payable in cash, equal to the aggregate amount then on deposit in the Trust Account, including interest (net of amounts withdrawn as Permitted Withdrawals), divided by the number of then outstanding Offering Shares. The Corporation’s ability to provide such opportunity is subject to the Redemption Limitation.</w:t>
      </w:r>
    </w:p>
    <w:p>
      <w:pPr>
        <w:spacing w:after="0" w:line="195" w:lineRule="exact"/>
        <w:rPr>
          <w:sz w:val="20"/>
          <w:szCs w:val="20"/>
          <w:color w:val="auto"/>
        </w:rPr>
      </w:pPr>
    </w:p>
    <w:p>
      <w:pPr>
        <w:ind w:right="160" w:firstLine="1296"/>
        <w:spacing w:after="0" w:line="311"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Minimum Value of Target</w:t>
      </w:r>
      <w:r>
        <w:rPr>
          <w:rFonts w:ascii="Arial" w:cs="Arial" w:eastAsia="Arial" w:hAnsi="Arial"/>
          <w:sz w:val="16"/>
          <w:szCs w:val="16"/>
          <w:color w:val="auto"/>
        </w:rPr>
        <w:t>. The Corporation’s initial Business Combination must occur with one or more operating businesses that together have a fair market value of at least 80% of the net assets held in the Trust Account (net of amounts disbursed as Permitted Withdrawals and excluding the amount of any deferred underwriting discount) at the time of the agreement to enter into the initial Business Combination.</w:t>
      </w:r>
    </w:p>
    <w:p>
      <w:pPr>
        <w:spacing w:after="0" w:line="149" w:lineRule="exact"/>
        <w:rPr>
          <w:sz w:val="20"/>
          <w:szCs w:val="20"/>
          <w:color w:val="auto"/>
        </w:rPr>
      </w:pPr>
    </w:p>
    <w:p>
      <w:pPr>
        <w:ind w:right="80" w:firstLine="1296"/>
        <w:spacing w:after="0" w:line="279" w:lineRule="auto"/>
        <w:rPr>
          <w:sz w:val="20"/>
          <w:szCs w:val="20"/>
          <w:color w:val="auto"/>
        </w:rPr>
      </w:pPr>
      <w:r>
        <w:rPr>
          <w:rFonts w:ascii="Arial" w:cs="Arial" w:eastAsia="Arial" w:hAnsi="Arial"/>
          <w:sz w:val="17"/>
          <w:szCs w:val="17"/>
          <w:color w:val="auto"/>
        </w:rPr>
        <w:t xml:space="preserve">Section 9.9 </w:t>
      </w:r>
      <w:r>
        <w:rPr>
          <w:rFonts w:ascii="Arial" w:cs="Arial" w:eastAsia="Arial" w:hAnsi="Arial"/>
          <w:sz w:val="17"/>
          <w:szCs w:val="17"/>
          <w:u w:val="single" w:color="auto"/>
          <w:color w:val="auto"/>
        </w:rPr>
        <w:t>Appointment and Removal of Directors</w:t>
      </w:r>
      <w:r>
        <w:rPr>
          <w:rFonts w:ascii="Arial" w:cs="Arial" w:eastAsia="Arial" w:hAnsi="Arial"/>
          <w:sz w:val="17"/>
          <w:szCs w:val="17"/>
          <w:color w:val="auto"/>
        </w:rPr>
        <w:t>. Notwithstanding any other provision in this Amended and Restated Certificate, prior to the closing of the initial Business Combination, the holders of Class B Common Stock shall have the exclusive right to elect and remove any director, and the holders of Class A Common Stock shall have no right to vote on the election or removal of any director. This Section 9.9 may be amended only by a resolution passed by a holders of at least 90% of the outstanding Common Stock entitled to vote thereon.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560" w:type="dxa"/>
            <w:vAlign w:val="bottom"/>
          </w:tcPr>
          <w:p>
            <w:pPr>
              <w:jc w:val="center"/>
              <w:ind w:right="4590"/>
              <w:spacing w:after="0"/>
              <w:rPr>
                <w:sz w:val="20"/>
                <w:szCs w:val="20"/>
                <w:color w:val="auto"/>
              </w:rPr>
            </w:pPr>
            <w:r>
              <w:rPr>
                <w:rFonts w:ascii="Arial" w:cs="Arial" w:eastAsia="Arial" w:hAnsi="Arial"/>
                <w:sz w:val="18"/>
                <w:szCs w:val="18"/>
                <w:b w:val="1"/>
                <w:bCs w:val="1"/>
                <w:color w:val="auto"/>
              </w:rPr>
              <w:t>ARTICLE X</w:t>
            </w:r>
          </w:p>
        </w:tc>
      </w:tr>
      <w:tr>
        <w:trPr>
          <w:trHeight w:val="234"/>
        </w:trPr>
        <w:tc>
          <w:tcPr>
            <w:tcW w:w="2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0" w:type="dxa"/>
            <w:vAlign w:val="bottom"/>
            <w:gridSpan w:val="2"/>
          </w:tcPr>
          <w:p>
            <w:pPr>
              <w:jc w:val="center"/>
              <w:ind w:right="2750"/>
              <w:spacing w:after="0"/>
              <w:rPr>
                <w:sz w:val="20"/>
                <w:szCs w:val="20"/>
                <w:color w:val="auto"/>
              </w:rPr>
            </w:pPr>
            <w:r>
              <w:rPr>
                <w:rFonts w:ascii="Arial" w:cs="Arial" w:eastAsia="Arial" w:hAnsi="Arial"/>
                <w:sz w:val="18"/>
                <w:szCs w:val="18"/>
                <w:b w:val="1"/>
                <w:bCs w:val="1"/>
                <w:color w:val="auto"/>
                <w:w w:val="99"/>
              </w:rPr>
              <w:t>BUSINESS COMBINATIONS</w:t>
            </w:r>
          </w:p>
        </w:tc>
      </w:tr>
      <w:tr>
        <w:trPr>
          <w:trHeight w:val="391"/>
        </w:trPr>
        <w:tc>
          <w:tcPr>
            <w:tcW w:w="2520" w:type="dxa"/>
            <w:vAlign w:val="bottom"/>
          </w:tcPr>
          <w:p>
            <w:pPr>
              <w:ind w:left="1300"/>
              <w:spacing w:after="0"/>
              <w:rPr>
                <w:sz w:val="20"/>
                <w:szCs w:val="20"/>
                <w:color w:val="auto"/>
              </w:rPr>
            </w:pPr>
            <w:r>
              <w:rPr>
                <w:rFonts w:ascii="Arial" w:cs="Arial" w:eastAsia="Arial" w:hAnsi="Arial"/>
                <w:sz w:val="18"/>
                <w:szCs w:val="18"/>
                <w:color w:val="auto"/>
              </w:rPr>
              <w:t>Section 10.1</w:t>
            </w:r>
          </w:p>
        </w:tc>
        <w:tc>
          <w:tcPr>
            <w:tcW w:w="8720" w:type="dxa"/>
            <w:vAlign w:val="bottom"/>
            <w:gridSpan w:val="3"/>
          </w:tcPr>
          <w:p>
            <w:pPr>
              <w:ind w:left="320"/>
              <w:spacing w:after="0"/>
              <w:rPr>
                <w:sz w:val="20"/>
                <w:szCs w:val="20"/>
                <w:color w:val="auto"/>
              </w:rPr>
            </w:pPr>
            <w:r>
              <w:rPr>
                <w:rFonts w:ascii="Arial" w:cs="Arial" w:eastAsia="Arial" w:hAnsi="Arial"/>
                <w:sz w:val="18"/>
                <w:szCs w:val="18"/>
                <w:color w:val="auto"/>
              </w:rPr>
              <w:t>Section 203 of the DGCL. The Corporation will not be subject to Section 203 of the DGCL.</w:t>
            </w:r>
          </w:p>
        </w:tc>
      </w:tr>
      <w:tr>
        <w:trPr>
          <w:trHeight w:val="668"/>
        </w:trPr>
        <w:tc>
          <w:tcPr>
            <w:tcW w:w="2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tcPr>
          <w:p>
            <w:pPr>
              <w:spacing w:after="0"/>
              <w:rPr>
                <w:sz w:val="24"/>
                <w:szCs w:val="24"/>
                <w:color w:val="auto"/>
              </w:rPr>
            </w:pPr>
          </w:p>
        </w:tc>
        <w:tc>
          <w:tcPr>
            <w:tcW w:w="6560" w:type="dxa"/>
            <w:vAlign w:val="bottom"/>
            <w:tcBorders>
              <w:bottom w:val="single" w:sz="8" w:color="auto"/>
            </w:tcBorders>
          </w:tcPr>
          <w:p>
            <w:pPr>
              <w:jc w:val="center"/>
              <w:ind w:right="4570"/>
              <w:spacing w:after="0"/>
              <w:rPr>
                <w:sz w:val="20"/>
                <w:szCs w:val="20"/>
                <w:color w:val="auto"/>
              </w:rPr>
            </w:pPr>
            <w:r>
              <w:rPr>
                <w:rFonts w:ascii="Arial" w:cs="Arial" w:eastAsia="Arial" w:hAnsi="Arial"/>
                <w:sz w:val="18"/>
                <w:szCs w:val="18"/>
                <w:color w:val="auto"/>
                <w:w w:val="89"/>
              </w:rPr>
              <w:t>14</w:t>
            </w:r>
          </w:p>
        </w:tc>
      </w:tr>
    </w:tbl>
    <w:p>
      <w:pPr>
        <w:sectPr>
          <w:pgSz w:w="11900" w:h="16838" w:orient="portrait"/>
          <w:cols w:equalWidth="0" w:num="1">
            <w:col w:w="11240"/>
          </w:cols>
          <w:pgMar w:left="320" w:top="908" w:right="339" w:bottom="1440" w:gutter="0" w:footer="0" w:header="0"/>
        </w:sectPr>
      </w:pPr>
    </w:p>
    <w:bookmarkStart w:id="201" w:name="page202"/>
    <w:bookmarkEnd w:id="201"/>
    <w:p>
      <w:pPr>
        <w:ind w:right="180" w:firstLine="1296"/>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Limitations on Business Combinations</w:t>
      </w:r>
      <w:r>
        <w:rPr>
          <w:rFonts w:ascii="Arial" w:cs="Arial" w:eastAsia="Arial" w:hAnsi="Arial"/>
          <w:sz w:val="18"/>
          <w:szCs w:val="18"/>
          <w:color w:val="auto"/>
        </w:rPr>
        <w:t>. Notwithstanding Section 10.1, the Corporation shall not engage in any business combination (as defined below), at any point in time at which the Corporation’s common stock is registered under Section 12(b) or 12(g) of the Exchange Act (as defined below), with any interested stockholder (as defined below) for a period of three years following the time that such stockholder became an interested stockholder, unless:</w:t>
      </w:r>
    </w:p>
    <w:p>
      <w:pPr>
        <w:spacing w:after="0" w:line="187" w:lineRule="exact"/>
        <w:rPr>
          <w:sz w:val="20"/>
          <w:szCs w:val="20"/>
          <w:color w:val="auto"/>
        </w:rPr>
      </w:pPr>
    </w:p>
    <w:p>
      <w:pPr>
        <w:ind w:right="580" w:firstLine="1952"/>
        <w:spacing w:after="0" w:line="277" w:lineRule="auto"/>
        <w:tabs>
          <w:tab w:leader="none" w:pos="263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170" w:lineRule="exact"/>
        <w:rPr>
          <w:rFonts w:ascii="Arial" w:cs="Arial" w:eastAsia="Arial" w:hAnsi="Arial"/>
          <w:sz w:val="18"/>
          <w:szCs w:val="18"/>
          <w:color w:val="auto"/>
        </w:rPr>
      </w:pPr>
    </w:p>
    <w:p>
      <w:pPr>
        <w:ind w:right="20" w:firstLine="1952"/>
        <w:spacing w:after="0" w:line="296" w:lineRule="auto"/>
        <w:tabs>
          <w:tab w:leader="none" w:pos="264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of the Corporation or (ii) employee stock plans in which employee participants do not have the right to determine confidentially whether shares held subject to the plan will be tendered in a tender or exchange offer, or</w:t>
      </w:r>
    </w:p>
    <w:p>
      <w:pPr>
        <w:spacing w:after="0" w:line="161" w:lineRule="exact"/>
        <w:rPr>
          <w:rFonts w:ascii="Arial" w:cs="Arial" w:eastAsia="Arial" w:hAnsi="Arial"/>
          <w:sz w:val="16"/>
          <w:szCs w:val="16"/>
          <w:color w:val="auto"/>
        </w:rPr>
      </w:pPr>
    </w:p>
    <w:p>
      <w:pPr>
        <w:ind w:right="120" w:firstLine="1952"/>
        <w:spacing w:after="0" w:line="263" w:lineRule="auto"/>
        <w:tabs>
          <w:tab w:leader="none" w:pos="263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spacing w:after="0" w:line="18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the purposes of this</w:t>
      </w:r>
      <w:r>
        <w:rPr>
          <w:rFonts w:ascii="Arial" w:cs="Arial" w:eastAsia="Arial" w:hAnsi="Arial"/>
          <w:sz w:val="16"/>
          <w:szCs w:val="16"/>
          <w:u w:val="single" w:color="auto"/>
          <w:color w:val="auto"/>
        </w:rPr>
        <w:t xml:space="preserve"> Article X</w:t>
      </w:r>
      <w:r>
        <w:rPr>
          <w:rFonts w:ascii="Arial" w:cs="Arial" w:eastAsia="Arial" w:hAnsi="Arial"/>
          <w:sz w:val="16"/>
          <w:szCs w:val="16"/>
          <w:color w:val="auto"/>
        </w:rPr>
        <w:t>:</w:t>
      </w:r>
    </w:p>
    <w:p>
      <w:pPr>
        <w:spacing w:after="0" w:line="225" w:lineRule="exact"/>
        <w:rPr>
          <w:sz w:val="20"/>
          <w:szCs w:val="20"/>
          <w:color w:val="auto"/>
        </w:rPr>
      </w:pPr>
    </w:p>
    <w:p>
      <w:pPr>
        <w:ind w:right="100" w:firstLine="1952"/>
        <w:spacing w:after="0" w:line="277" w:lineRule="auto"/>
        <w:tabs>
          <w:tab w:leader="none" w:pos="263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ind w:firstLine="1952"/>
        <w:spacing w:after="0" w:line="301" w:lineRule="auto"/>
        <w:tabs>
          <w:tab w:leader="none" w:pos="264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associate</w:t>
      </w:r>
      <w:r>
        <w:rPr>
          <w:rFonts w:ascii="Arial" w:cs="Arial" w:eastAsia="Arial" w:hAnsi="Arial"/>
          <w:sz w:val="16"/>
          <w:szCs w:val="16"/>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57" w:lineRule="exact"/>
        <w:rPr>
          <w:rFonts w:ascii="Arial" w:cs="Arial" w:eastAsia="Arial" w:hAnsi="Arial"/>
          <w:sz w:val="16"/>
          <w:szCs w:val="16"/>
          <w:color w:val="auto"/>
        </w:rPr>
      </w:pPr>
    </w:p>
    <w:p>
      <w:pPr>
        <w:ind w:left="2640" w:hanging="688"/>
        <w:spacing w:after="0"/>
        <w:tabs>
          <w:tab w:leader="none" w:pos="2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when used in reference to the Corporation and any interested stockholder, means:</w:t>
      </w:r>
    </w:p>
    <w:p>
      <w:pPr>
        <w:spacing w:after="0" w:line="225" w:lineRule="exact"/>
        <w:rPr>
          <w:rFonts w:ascii="Arial" w:cs="Arial" w:eastAsia="Arial" w:hAnsi="Arial"/>
          <w:sz w:val="18"/>
          <w:szCs w:val="18"/>
          <w:color w:val="auto"/>
        </w:rPr>
      </w:pPr>
    </w:p>
    <w:p>
      <w:pPr>
        <w:jc w:val="both"/>
        <w:ind w:right="160" w:firstLine="2600"/>
        <w:spacing w:after="0" w:line="311" w:lineRule="auto"/>
        <w:tabs>
          <w:tab w:leader="none" w:pos="343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is not applicable to the surviving entity;</w:t>
      </w: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02" w:name="page203"/>
    <w:bookmarkEnd w:id="202"/>
    <w:p>
      <w:pPr>
        <w:ind w:left="-40" w:firstLine="2600"/>
        <w:spacing w:after="0" w:line="257" w:lineRule="auto"/>
        <w:tabs>
          <w:tab w:leader="none" w:pos="335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87" w:lineRule="exact"/>
        <w:rPr>
          <w:rFonts w:ascii="Arial" w:cs="Arial" w:eastAsia="Arial" w:hAnsi="Arial"/>
          <w:sz w:val="18"/>
          <w:szCs w:val="18"/>
          <w:color w:val="auto"/>
        </w:rPr>
      </w:pPr>
    </w:p>
    <w:p>
      <w:pPr>
        <w:ind w:left="-40" w:right="20" w:firstLine="2600"/>
        <w:spacing w:after="0" w:line="288" w:lineRule="auto"/>
        <w:tabs>
          <w:tab w:leader="none" w:pos="336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under items (c)-(e)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68" w:lineRule="exact"/>
        <w:rPr>
          <w:rFonts w:ascii="Arial" w:cs="Arial" w:eastAsia="Arial" w:hAnsi="Arial"/>
          <w:sz w:val="16"/>
          <w:szCs w:val="16"/>
          <w:color w:val="auto"/>
        </w:rPr>
      </w:pPr>
    </w:p>
    <w:p>
      <w:pPr>
        <w:ind w:left="-40" w:firstLine="2600"/>
        <w:spacing w:after="0" w:line="257" w:lineRule="auto"/>
        <w:tabs>
          <w:tab w:leader="none" w:pos="335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87" w:lineRule="exact"/>
        <w:rPr>
          <w:rFonts w:ascii="Arial" w:cs="Arial" w:eastAsia="Arial" w:hAnsi="Arial"/>
          <w:sz w:val="18"/>
          <w:szCs w:val="18"/>
          <w:color w:val="auto"/>
        </w:rPr>
      </w:pPr>
    </w:p>
    <w:p>
      <w:pPr>
        <w:ind w:left="-40" w:right="40" w:firstLine="2600"/>
        <w:spacing w:after="0" w:line="263" w:lineRule="auto"/>
        <w:tabs>
          <w:tab w:leader="none" w:pos="33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or pledges (other than those expressly permitted in subsections (i)-(iv) above) provided by or through the Corporation or any direct or indirect majority-owned subsidiary.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203" w:name="page204"/>
    <w:bookmarkEnd w:id="203"/>
    <w:p>
      <w:pPr>
        <w:ind w:left="-40" w:right="40" w:firstLine="1952"/>
        <w:spacing w:after="0" w:line="254" w:lineRule="auto"/>
        <w:tabs>
          <w:tab w:leader="none" w:pos="25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xml:space="preserve">,”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Arial" w:cs="Arial" w:eastAsia="Arial" w:hAnsi="Arial"/>
          <w:sz w:val="18"/>
          <w:szCs w:val="18"/>
          <w:u w:val="single" w:color="auto"/>
          <w:color w:val="auto"/>
        </w:rPr>
        <w:t>Article X</w:t>
      </w:r>
      <w:r>
        <w:rPr>
          <w:rFonts w:ascii="Arial" w:cs="Arial" w:eastAsia="Arial" w:hAnsi="Arial"/>
          <w:sz w:val="18"/>
          <w:szCs w:val="18"/>
          <w:color w:val="auto"/>
        </w:rPr>
        <w:t>, as an agent, bank, broker, nominee, custodian or trustee for one or more owners who do not individually or as a group have control of such entity.</w:t>
      </w:r>
    </w:p>
    <w:p>
      <w:pPr>
        <w:spacing w:after="0" w:line="194" w:lineRule="exact"/>
        <w:rPr>
          <w:rFonts w:ascii="Arial" w:cs="Arial" w:eastAsia="Arial" w:hAnsi="Arial"/>
          <w:sz w:val="18"/>
          <w:szCs w:val="18"/>
          <w:color w:val="auto"/>
        </w:rPr>
      </w:pPr>
    </w:p>
    <w:p>
      <w:pPr>
        <w:ind w:left="-40" w:right="40" w:firstLine="1952"/>
        <w:spacing w:after="0" w:line="287" w:lineRule="auto"/>
        <w:tabs>
          <w:tab w:leader="none" w:pos="255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 “interested stockholder” shall not include (a) the Principal Stockholder or Principal Stockholder Transferees or any “group” (within the meaning of Rule 13d-5 of the Exchange Act) that includes any Principal Stockholder or Principal Stockholder Transferee or (b) any person whose ownership of shares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specified in this clause (b)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67" w:lineRule="exact"/>
        <w:rPr>
          <w:rFonts w:ascii="Arial" w:cs="Arial" w:eastAsia="Arial" w:hAnsi="Arial"/>
          <w:sz w:val="16"/>
          <w:szCs w:val="16"/>
          <w:color w:val="auto"/>
        </w:rPr>
      </w:pPr>
    </w:p>
    <w:p>
      <w:pPr>
        <w:ind w:left="-40" w:right="800" w:firstLine="1952"/>
        <w:spacing w:after="0" w:line="277" w:lineRule="auto"/>
        <w:tabs>
          <w:tab w:leader="none" w:pos="257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170" w:lineRule="exact"/>
        <w:rPr>
          <w:rFonts w:ascii="Arial" w:cs="Arial" w:eastAsia="Arial" w:hAnsi="Arial"/>
          <w:sz w:val="18"/>
          <w:szCs w:val="18"/>
          <w:color w:val="auto"/>
        </w:rPr>
      </w:pPr>
    </w:p>
    <w:p>
      <w:pPr>
        <w:ind w:left="3400" w:hanging="840"/>
        <w:spacing w:after="0"/>
        <w:tabs>
          <w:tab w:leader="none" w:pos="34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5" w:lineRule="exact"/>
        <w:rPr>
          <w:rFonts w:ascii="Arial" w:cs="Arial" w:eastAsia="Arial" w:hAnsi="Arial"/>
          <w:sz w:val="18"/>
          <w:szCs w:val="18"/>
          <w:color w:val="auto"/>
        </w:rPr>
      </w:pPr>
    </w:p>
    <w:p>
      <w:pPr>
        <w:ind w:left="-40" w:firstLine="2600"/>
        <w:spacing w:after="0" w:line="272" w:lineRule="auto"/>
        <w:tabs>
          <w:tab w:leader="none" w:pos="3401"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204" w:name="page205"/>
    <w:bookmarkEnd w:id="204"/>
    <w:p>
      <w:pPr>
        <w:jc w:val="both"/>
        <w:ind w:right="320" w:firstLine="2600"/>
        <w:spacing w:after="0" w:line="263" w:lineRule="auto"/>
        <w:tabs>
          <w:tab w:leader="none" w:pos="3402" w:val="left"/>
        </w:tabs>
        <w:numPr>
          <w:ilvl w:val="2"/>
          <w:numId w:val="122"/>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83" w:lineRule="exact"/>
        <w:rPr>
          <w:rFonts w:ascii="Arial" w:cs="Arial" w:eastAsia="Arial" w:hAnsi="Arial"/>
          <w:sz w:val="18"/>
          <w:szCs w:val="18"/>
          <w:color w:val="auto"/>
        </w:rPr>
      </w:pPr>
    </w:p>
    <w:p>
      <w:pPr>
        <w:ind w:left="2560" w:hanging="608"/>
        <w:spacing w:after="0"/>
        <w:tabs>
          <w:tab w:leader="none" w:pos="25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w:t>
      </w:r>
      <w:r>
        <w:rPr>
          <w:rFonts w:ascii="Arial" w:cs="Arial" w:eastAsia="Arial" w:hAnsi="Arial"/>
          <w:sz w:val="16"/>
          <w:szCs w:val="16"/>
          <w:color w:val="auto"/>
        </w:rPr>
        <w:t>” means, with respect to any corporation, capital stock and, with respect to any other entity, any equity interest.</w:t>
      </w:r>
    </w:p>
    <w:p>
      <w:pPr>
        <w:spacing w:after="0" w:line="248" w:lineRule="exact"/>
        <w:rPr>
          <w:rFonts w:ascii="Arial" w:cs="Arial" w:eastAsia="Arial" w:hAnsi="Arial"/>
          <w:sz w:val="16"/>
          <w:szCs w:val="16"/>
          <w:color w:val="auto"/>
        </w:rPr>
      </w:pPr>
    </w:p>
    <w:p>
      <w:pPr>
        <w:ind w:left="2620" w:hanging="668"/>
        <w:spacing w:after="0"/>
        <w:tabs>
          <w:tab w:leader="none" w:pos="26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Stockholder</w:t>
      </w:r>
      <w:r>
        <w:rPr>
          <w:rFonts w:ascii="Arial" w:cs="Arial" w:eastAsia="Arial" w:hAnsi="Arial"/>
          <w:sz w:val="17"/>
          <w:szCs w:val="17"/>
          <w:color w:val="auto"/>
        </w:rPr>
        <w:t>” means, collectively, (i) the Sponsor, (ii) M. Klein and Company, (iii) Michael S. Klein, and</w:t>
      </w:r>
    </w:p>
    <w:p>
      <w:pPr>
        <w:spacing w:after="0" w:line="34" w:lineRule="exact"/>
        <w:rPr>
          <w:rFonts w:ascii="Arial" w:cs="Arial" w:eastAsia="Arial" w:hAnsi="Arial"/>
          <w:sz w:val="17"/>
          <w:szCs w:val="17"/>
          <w:color w:val="auto"/>
        </w:rPr>
      </w:pPr>
    </w:p>
    <w:p>
      <w:pPr>
        <w:ind w:left="320" w:hanging="312"/>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affiliate or successor of a person referenced in clauses (i) through (iii) of this definition.</w:t>
      </w:r>
    </w:p>
    <w:p>
      <w:pPr>
        <w:spacing w:after="0" w:line="210" w:lineRule="exact"/>
        <w:rPr>
          <w:rFonts w:ascii="Arial" w:cs="Arial" w:eastAsia="Arial" w:hAnsi="Arial"/>
          <w:sz w:val="18"/>
          <w:szCs w:val="18"/>
          <w:color w:val="auto"/>
        </w:rPr>
      </w:pPr>
    </w:p>
    <w:p>
      <w:pPr>
        <w:ind w:right="40" w:firstLine="1952"/>
        <w:spacing w:after="0" w:line="263" w:lineRule="auto"/>
        <w:tabs>
          <w:tab w:leader="none" w:pos="260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Stockholder Transferee</w:t>
      </w:r>
      <w:r>
        <w:rPr>
          <w:rFonts w:ascii="Arial" w:cs="Arial" w:eastAsia="Arial" w:hAnsi="Arial"/>
          <w:sz w:val="18"/>
          <w:szCs w:val="18"/>
          <w:color w:val="auto"/>
        </w:rPr>
        <w:t>” means any Person who acquires voting stock of the Corporation from the Principal Stockholder (other than in connection with a public offering) and who is designated in writing by the Principal Stockholder as a “Principal Stockholder Transferee.”</w:t>
      </w:r>
    </w:p>
    <w:p>
      <w:pPr>
        <w:spacing w:after="0" w:line="183" w:lineRule="exact"/>
        <w:rPr>
          <w:rFonts w:ascii="Arial" w:cs="Arial" w:eastAsia="Arial" w:hAnsi="Arial"/>
          <w:sz w:val="18"/>
          <w:szCs w:val="18"/>
          <w:color w:val="auto"/>
        </w:rPr>
      </w:pPr>
    </w:p>
    <w:p>
      <w:pPr>
        <w:ind w:left="2620" w:hanging="668"/>
        <w:spacing w:after="0"/>
        <w:tabs>
          <w:tab w:leader="none" w:pos="26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CORPORATE OPPORTUNITY</w:t>
      </w:r>
    </w:p>
    <w:p>
      <w:pPr>
        <w:spacing w:after="0" w:line="211"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To the fullest extent allowed by law (including without limitation Section 122(17) of the DGCL,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or any of their respective affiliates,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and exclusively in his or her capacity as a director or officer of the Corporation and such opportunity is one the Corporation is legally and contractually permitted to undertake and would otherwise be reasonable for the Corporation to pursue, and to the extent the director or officer is permitted to refer that opportunity to the Corporation without violating any legal obligation.</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AMENDED AND RESTATED CERTIFICATE OF INCORPORATION</w:t>
      </w:r>
    </w:p>
    <w:p>
      <w:pPr>
        <w:spacing w:after="0" w:line="211" w:lineRule="exact"/>
        <w:rPr>
          <w:sz w:val="20"/>
          <w:szCs w:val="20"/>
          <w:color w:val="auto"/>
        </w:rPr>
      </w:pPr>
    </w:p>
    <w:p>
      <w:pPr>
        <w:ind w:right="60" w:firstLine="1296"/>
        <w:spacing w:after="0" w:line="293" w:lineRule="auto"/>
        <w:rPr>
          <w:sz w:val="20"/>
          <w:szCs w:val="20"/>
          <w:color w:val="auto"/>
        </w:rPr>
      </w:pPr>
      <w:r>
        <w:rPr>
          <w:rFonts w:ascii="Arial" w:cs="Arial" w:eastAsia="Arial" w:hAnsi="Arial"/>
          <w:sz w:val="16"/>
          <w:szCs w:val="16"/>
          <w:color w:val="auto"/>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of this Amended and Restated Certificate may be amended only as provided therein.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EXCLUSIVE FORUM FOR CERTAIN LAWSUITS</w:t>
      </w:r>
    </w:p>
    <w:p>
      <w:pPr>
        <w:spacing w:after="0" w:line="211"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Section 13.1 </w:t>
      </w:r>
      <w:r>
        <w:rPr>
          <w:rFonts w:ascii="Arial" w:cs="Arial" w:eastAsia="Arial" w:hAnsi="Arial"/>
          <w:sz w:val="16"/>
          <w:szCs w:val="16"/>
          <w:u w:val="single" w:color="auto"/>
          <w:color w:val="auto"/>
        </w:rPr>
        <w:t>Forum.</w:t>
      </w:r>
      <w:r>
        <w:rPr>
          <w:rFonts w:ascii="Arial" w:cs="Arial" w:eastAsia="Arial" w:hAnsi="Arial"/>
          <w:sz w:val="16"/>
          <w:szCs w:val="16"/>
          <w:color w:val="auto"/>
        </w:rPr>
        <w:t xml:space="preserve"> Unless the Corporation consents in writing to the selection of an alternative forum,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or the Bylaws, or (iv) any action asserting a claim against the Corporation, its directors, officers or employees governed by the internal affairs doctrine, except for, as to each of (i) through (iv)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of 1933, as amended, as to which the Court of Chancery and the federal district court for the District of Delaware shall have concurrent jurisdiction. Notwithstanding the foregoing, the provisions of this Section 13.1 will not apply to suits brought to enforce a duty or liability creased by the Exchange Act or any other claim for which the federal courts have exclusive jurisdiction.</w:t>
      </w:r>
    </w:p>
    <w:p>
      <w:pPr>
        <w:spacing w:after="0" w:line="168" w:lineRule="exact"/>
        <w:rPr>
          <w:sz w:val="20"/>
          <w:szCs w:val="20"/>
          <w:color w:val="auto"/>
        </w:rPr>
      </w:pPr>
    </w:p>
    <w:p>
      <w:pPr>
        <w:ind w:right="60" w:firstLine="1296"/>
        <w:spacing w:after="0" w:line="296"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xml:space="preserve">. If any action the subject matter of which is within the scope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immediately above is filed in a court other than a court located within the State of Delaware (a “</w:t>
      </w:r>
      <w:r>
        <w:rPr>
          <w:rFonts w:ascii="Arial" w:cs="Arial" w:eastAsia="Arial" w:hAnsi="Arial"/>
          <w:sz w:val="16"/>
          <w:szCs w:val="16"/>
          <w:u w:val="single" w:color="auto"/>
          <w:color w:val="auto"/>
        </w:rPr>
        <w:t>Foreign Action</w:t>
      </w:r>
      <w:r>
        <w:rPr>
          <w:rFonts w:ascii="Arial" w:cs="Arial" w:eastAsia="Arial" w:hAnsi="Arial"/>
          <w:sz w:val="16"/>
          <w:szCs w:val="16"/>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immediately above (an “</w:t>
      </w:r>
      <w:r>
        <w:rPr>
          <w:rFonts w:ascii="Arial" w:cs="Arial" w:eastAsia="Arial" w:hAnsi="Arial"/>
          <w:sz w:val="16"/>
          <w:szCs w:val="16"/>
          <w:u w:val="single" w:color="auto"/>
          <w:color w:val="auto"/>
        </w:rPr>
        <w:t>FSC Enforcement Action</w:t>
      </w:r>
      <w:r>
        <w:rPr>
          <w:rFonts w:ascii="Arial" w:cs="Arial" w:eastAsia="Arial" w:hAnsi="Arial"/>
          <w:sz w:val="16"/>
          <w:szCs w:val="16"/>
          <w:color w:val="auto"/>
        </w:rPr>
        <w:t>”) and (ii) having service of process made upon such stockholder in any such FSC Enforcement Action by service upon such stockholder’s counsel in the Foreign Action as agent for such stockholder.</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SEVERABILITY</w:t>
      </w:r>
    </w:p>
    <w:p>
      <w:pPr>
        <w:spacing w:after="0" w:line="211"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If any provision or provisions (or any part thereof) of this Amended and Restated Certificate shall be held to be invalid, illegal or unenforceable as applied to any person or entity or circumstance for any reason whatsoever, then, to the fullest extent permitted by law, (i)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 Amended and Restated Certificate (including, without limitation, each portion of any paragraph of this Amended and Restated Certificate containing any such provision held to be invalid, illegal or unenforceable) shall be construed so as to permit the Corporation to protect its directors, officers, employees and agents from personal liability in respect of their faith service or for the benefit of the Corporation to the fullest extent permitted by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7" w:name="page208"/>
    <w:bookmarkEnd w:id="207"/>
    <w:p>
      <w:pPr>
        <w:ind w:firstLine="1296"/>
        <w:spacing w:after="0" w:line="277" w:lineRule="auto"/>
        <w:rPr>
          <w:sz w:val="20"/>
          <w:szCs w:val="20"/>
          <w:color w:val="auto"/>
        </w:rPr>
      </w:pPr>
      <w:r>
        <w:rPr>
          <w:rFonts w:ascii="Arial" w:cs="Arial" w:eastAsia="Arial" w:hAnsi="Arial"/>
          <w:sz w:val="18"/>
          <w:szCs w:val="18"/>
          <w:color w:val="auto"/>
        </w:rPr>
        <w:t>IN WITNESS WHEREOF, [COMPANY] has caused this Amended and Restated Certificate to be duly executed and acknowledged in its name and on its behalf by an authorized officer as of the date first set forth above.</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Certificate of Incorporation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08" w:name="page209"/>
    <w:bookmarkEnd w:id="208"/>
    <w:p>
      <w:pPr>
        <w:jc w:val="right"/>
        <w:spacing w:after="0"/>
        <w:rPr>
          <w:sz w:val="20"/>
          <w:szCs w:val="20"/>
          <w:color w:val="auto"/>
        </w:rPr>
      </w:pPr>
      <w:r>
        <w:rPr>
          <w:rFonts w:ascii="Arial" w:cs="Arial" w:eastAsia="Arial" w:hAnsi="Arial"/>
          <w:sz w:val="22"/>
          <w:szCs w:val="22"/>
          <w:b w:val="1"/>
          <w:bCs w:val="1"/>
          <w:color w:val="auto"/>
        </w:rPr>
        <w:t>Exhibit 3.3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9" w:lineRule="exact"/>
        <w:rPr>
          <w:sz w:val="20"/>
          <w:szCs w:val="20"/>
          <w:color w:val="auto"/>
        </w:rPr>
      </w:pPr>
    </w:p>
    <w:p>
      <w:pPr>
        <w:ind w:right="220" w:firstLine="1296"/>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within the State of Delaware shall be located at either (a) the principal place of business of the Corporation in the State of Delaware or (b) the office of the corporation or individual acting as the Corporation’s registered agent in Delaware.</w:t>
      </w:r>
    </w:p>
    <w:p>
      <w:pPr>
        <w:spacing w:after="0" w:line="184" w:lineRule="exact"/>
        <w:rPr>
          <w:sz w:val="20"/>
          <w:szCs w:val="20"/>
          <w:color w:val="auto"/>
        </w:rPr>
      </w:pPr>
    </w:p>
    <w:p>
      <w:pPr>
        <w:jc w:val="both"/>
        <w:ind w:right="120" w:firstLine="1296"/>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in addition to its registered office in the State of Delaware, have such other offices and places of business, both within and outside the State of Delaware,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determine or as the business and affairs of the Corporation may require.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29" w:lineRule="exact"/>
        <w:rPr>
          <w:sz w:val="20"/>
          <w:szCs w:val="20"/>
          <w:color w:val="auto"/>
        </w:rPr>
      </w:pPr>
    </w:p>
    <w:p>
      <w:pPr>
        <w:ind w:right="80" w:firstLine="1296"/>
        <w:spacing w:after="0" w:line="296"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Annual Meetings</w:t>
      </w:r>
      <w:r>
        <w:rPr>
          <w:rFonts w:ascii="Arial" w:cs="Arial" w:eastAsia="Arial" w:hAnsi="Arial"/>
          <w:sz w:val="16"/>
          <w:szCs w:val="16"/>
          <w:color w:val="auto"/>
        </w:rPr>
        <w:t xml:space="preserve">. The annual meeting of stockholders shall be held at such place, either within or without the State of Delaware, and 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9.5(a)</w:t>
      </w:r>
      <w:r>
        <w:rPr>
          <w:rFonts w:ascii="Arial" w:cs="Arial" w:eastAsia="Arial" w:hAnsi="Arial"/>
          <w:sz w:val="16"/>
          <w:szCs w:val="16"/>
          <w:color w:val="auto"/>
        </w:rPr>
        <w:t>.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w:t>
      </w:r>
    </w:p>
    <w:p>
      <w:pPr>
        <w:spacing w:after="0" w:line="161" w:lineRule="exact"/>
        <w:rPr>
          <w:sz w:val="20"/>
          <w:szCs w:val="20"/>
          <w:color w:val="auto"/>
        </w:rPr>
      </w:pPr>
    </w:p>
    <w:p>
      <w:pPr>
        <w:ind w:right="80" w:firstLine="1296"/>
        <w:spacing w:after="0" w:line="25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the rights of the holders of any outstanding series of the preferred stock of the Corporation (“</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and to the requirements of applicable law, special meetings of stockholders, for any purpose or purposes, may be called only by the Chairman of the Board, Chief Executive Officer,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in the Corporation’s notice of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may in its sole discretion determine that the meeting shall not be held at any place, but may instead be held solely by means of remote communication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9.5(a)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9" w:name="page210"/>
    <w:bookmarkEnd w:id="209"/>
    <w:p>
      <w:pPr>
        <w:ind w:firstLine="1296"/>
        <w:spacing w:after="0" w:line="288"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Written notice of each stockholders meeting stating the place, if any, date, and time of the meeting, and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xml:space="preserve">”).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meeting of stockholders as to which notice has been given may be cancelled, by the Board upon public announcement (as defined in </w:t>
      </w:r>
      <w:r>
        <w:rPr>
          <w:rFonts w:ascii="Arial" w:cs="Arial" w:eastAsia="Arial" w:hAnsi="Arial"/>
          <w:sz w:val="16"/>
          <w:szCs w:val="16"/>
          <w:u w:val="single" w:color="auto"/>
          <w:color w:val="auto"/>
        </w:rPr>
        <w:t>Section 2.7(c)</w:t>
      </w:r>
      <w:r>
        <w:rPr>
          <w:rFonts w:ascii="Arial" w:cs="Arial" w:eastAsia="Arial" w:hAnsi="Arial"/>
          <w:sz w:val="16"/>
          <w:szCs w:val="16"/>
          <w:color w:val="auto"/>
        </w:rPr>
        <w:t>) given before the date previously scheduled for such meeting.</w:t>
      </w:r>
    </w:p>
    <w:p>
      <w:pPr>
        <w:spacing w:after="0" w:line="168" w:lineRule="exact"/>
        <w:rPr>
          <w:sz w:val="20"/>
          <w:szCs w:val="20"/>
          <w:color w:val="auto"/>
        </w:rPr>
      </w:pPr>
    </w:p>
    <w:p>
      <w:pPr>
        <w:ind w:right="40" w:firstLine="1296"/>
        <w:spacing w:after="0" w:line="287"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Quorum</w:t>
      </w:r>
      <w:r>
        <w:rPr>
          <w:rFonts w:ascii="Arial" w:cs="Arial" w:eastAsia="Arial" w:hAnsi="Arial"/>
          <w:sz w:val="16"/>
          <w:szCs w:val="16"/>
          <w:color w:val="auto"/>
        </w:rPr>
        <w:t>. Except as otherwise provided by applicable law, the Corporation’s Certificate of Incorporation, as the same may be amended or restated from time to time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xml:space="preserve">”) or these By Laws,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limit the right of the Corporation or any such other corporation to vote shares held by it in a fiduciary capacity.</w:t>
      </w:r>
    </w:p>
    <w:p>
      <w:pPr>
        <w:spacing w:after="0" w:line="168"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Voting of Shares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68" w:lineRule="auto"/>
        <w:tabs>
          <w:tab w:leader="none" w:pos="2818"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Voting Lists</w:t>
      </w:r>
      <w:r>
        <w:rPr>
          <w:rFonts w:ascii="Arial" w:cs="Arial" w:eastAsia="Arial" w:hAnsi="Arial"/>
          <w:sz w:val="17"/>
          <w:szCs w:val="17"/>
          <w:color w:val="auto"/>
        </w:rPr>
        <w:t>. The Secretary of the Corporation (the “</w:t>
      </w:r>
      <w:r>
        <w:rPr>
          <w:rFonts w:ascii="Arial" w:cs="Arial" w:eastAsia="Arial" w:hAnsi="Arial"/>
          <w:sz w:val="17"/>
          <w:szCs w:val="17"/>
          <w:u w:val="single" w:color="auto"/>
          <w:color w:val="auto"/>
        </w:rPr>
        <w:t>Secretary</w:t>
      </w:r>
      <w:r>
        <w:rPr>
          <w:rFonts w:ascii="Arial" w:cs="Arial" w:eastAsia="Arial" w:hAnsi="Arial"/>
          <w:sz w:val="17"/>
          <w:szCs w:val="17"/>
          <w:color w:val="auto"/>
        </w:rPr>
        <w:t xml:space="preserve">”) shall prepare, or shall cause the officer or agent who has charge of the stock ledger of the Corporation to prepare and make, at least 10 days before every meeting of stockholders, a complete list of the stockholders of record entitled to vote at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record date for determining the stockholders entitled to vote is less than 10 days before the meeting date, the list shall reflect the stockholders entitled to vote as of the tenth day before the meeting date, arranged in alphabetical order and showing the address and the number and class of shares registered in the name of each stockholder. Nothing contained in this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w:t>
      </w:r>
      <w:r>
        <w:rPr>
          <w:rFonts w:ascii="Arial" w:cs="Arial" w:eastAsia="Arial" w:hAnsi="Arial"/>
          <w:sz w:val="17"/>
          <w:szCs w:val="17"/>
          <w:u w:val="single" w:color="auto"/>
          <w:color w:val="auto"/>
        </w:rPr>
        <w:t>Section 9.5(a)</w:t>
      </w:r>
      <w:r>
        <w:rPr>
          <w:rFonts w:ascii="Arial" w:cs="Arial" w:eastAsia="Arial" w:hAnsi="Arial"/>
          <w:sz w:val="17"/>
          <w:szCs w:val="17"/>
          <w:color w:val="auto"/>
        </w:rPr>
        <w:t xml:space="preserve">,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or to vote in person or by proxy at any meeting of stockholders.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ind w:left="-20" w:firstLine="1952"/>
        <w:spacing w:after="0" w:line="255" w:lineRule="auto"/>
        <w:tabs>
          <w:tab w:leader="none" w:pos="2808"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Manner of Voting</w:t>
      </w:r>
      <w:r>
        <w:rPr>
          <w:rFonts w:ascii="Arial" w:cs="Arial" w:eastAsia="Arial" w:hAnsi="Arial"/>
          <w:sz w:val="18"/>
          <w:szCs w:val="18"/>
          <w:color w:val="auto"/>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spacing w:after="0" w:line="192" w:lineRule="exact"/>
        <w:rPr>
          <w:rFonts w:ascii="Arial" w:cs="Arial" w:eastAsia="Arial" w:hAnsi="Arial"/>
          <w:sz w:val="18"/>
          <w:szCs w:val="18"/>
          <w:color w:val="auto"/>
        </w:rPr>
      </w:pPr>
    </w:p>
    <w:p>
      <w:pPr>
        <w:ind w:left="-20" w:right="20" w:firstLine="1952"/>
        <w:spacing w:after="0" w:line="255" w:lineRule="auto"/>
        <w:tabs>
          <w:tab w:leader="none" w:pos="2798"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spacing w:after="0" w:line="192" w:lineRule="exact"/>
        <w:rPr>
          <w:rFonts w:ascii="Arial" w:cs="Arial" w:eastAsia="Arial" w:hAnsi="Arial"/>
          <w:sz w:val="18"/>
          <w:szCs w:val="18"/>
          <w:color w:val="auto"/>
        </w:rPr>
      </w:pPr>
    </w:p>
    <w:p>
      <w:pPr>
        <w:ind w:left="-20" w:right="120" w:firstLine="2600"/>
        <w:spacing w:after="0" w:line="311" w:lineRule="auto"/>
        <w:tabs>
          <w:tab w:leader="none" w:pos="3506"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48" w:lineRule="exact"/>
        <w:rPr>
          <w:rFonts w:ascii="Arial" w:cs="Arial" w:eastAsia="Arial" w:hAnsi="Arial"/>
          <w:sz w:val="16"/>
          <w:szCs w:val="16"/>
          <w:color w:val="auto"/>
        </w:rPr>
      </w:pPr>
    </w:p>
    <w:p>
      <w:pPr>
        <w:ind w:left="-20" w:right="40" w:firstLine="2600"/>
        <w:spacing w:after="0" w:line="271" w:lineRule="auto"/>
        <w:tabs>
          <w:tab w:leader="none" w:pos="3421" w:val="left"/>
        </w:tabs>
        <w:numPr>
          <w:ilvl w:val="1"/>
          <w:numId w:val="126"/>
        </w:numPr>
        <w:rPr>
          <w:rFonts w:ascii="Arial" w:cs="Arial" w:eastAsia="Arial" w:hAnsi="Arial"/>
          <w:sz w:val="17"/>
          <w:szCs w:val="17"/>
          <w:color w:val="auto"/>
        </w:rPr>
      </w:pPr>
      <w:r>
        <w:rPr>
          <w:rFonts w:ascii="Arial" w:cs="Arial" w:eastAsia="Arial" w:hAnsi="Arial"/>
          <w:sz w:val="17"/>
          <w:szCs w:val="17"/>
          <w:color w:val="auto"/>
        </w:rPr>
        <w:t xml:space="preserve">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copy, facsimile telecommunication or other reproduction shall be a complete reproduction of the entire original writing or transmission.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11" w:name="page212"/>
    <w:bookmarkEnd w:id="211"/>
    <w:p>
      <w:pPr>
        <w:ind w:firstLine="1952"/>
        <w:spacing w:after="0" w:line="272" w:lineRule="auto"/>
        <w:tabs>
          <w:tab w:leader="none" w:pos="2828"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Required Vote</w:t>
      </w:r>
      <w:r>
        <w:rPr>
          <w:rFonts w:ascii="Arial" w:cs="Arial" w:eastAsia="Arial" w:hAnsi="Arial"/>
          <w:sz w:val="17"/>
          <w:szCs w:val="17"/>
          <w:color w:val="auto"/>
        </w:rPr>
        <w:t>.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 Laws or applicable stock exchange rules, a different vote is required, in which case such provision shall govern and control the decision of such matter.</w:t>
      </w:r>
    </w:p>
    <w:p>
      <w:pPr>
        <w:spacing w:after="0" w:line="177" w:lineRule="exact"/>
        <w:rPr>
          <w:rFonts w:ascii="Arial" w:cs="Arial" w:eastAsia="Arial" w:hAnsi="Arial"/>
          <w:sz w:val="17"/>
          <w:szCs w:val="17"/>
          <w:color w:val="auto"/>
        </w:rPr>
      </w:pPr>
    </w:p>
    <w:p>
      <w:pPr>
        <w:ind w:firstLine="1952"/>
        <w:spacing w:after="0" w:line="269" w:lineRule="auto"/>
        <w:tabs>
          <w:tab w:leader="none" w:pos="2818"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79" w:lineRule="exact"/>
        <w:rPr>
          <w:sz w:val="20"/>
          <w:szCs w:val="20"/>
          <w:color w:val="auto"/>
        </w:rPr>
      </w:pPr>
    </w:p>
    <w:p>
      <w:pPr>
        <w:ind w:right="40" w:firstLine="1296"/>
        <w:spacing w:after="0" w:line="289"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Adjournments</w:t>
      </w:r>
      <w:r>
        <w:rPr>
          <w:rFonts w:ascii="Arial" w:cs="Arial" w:eastAsia="Arial" w:hAnsi="Arial"/>
          <w:sz w:val="16"/>
          <w:szCs w:val="16"/>
          <w:color w:val="auto"/>
        </w:rPr>
        <w:t xml:space="preserve">. Any meeting of stockholders, annual or special, may be adjourned by the chairman of the meeting, from time to 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 and shall give notice of the adjourned meeting to each stockholder of record entitled to vote at such adjourned meeting as of the record date fixed for notice of such adjourned meeting.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ind w:left="1280"/>
        <w:spacing w:after="0"/>
        <w:tabs>
          <w:tab w:leader="none" w:pos="262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Advance Notice for Business</w:t>
      </w:r>
      <w:r>
        <w:rPr>
          <w:rFonts w:ascii="Arial" w:cs="Arial" w:eastAsia="Arial" w:hAnsi="Arial"/>
          <w:sz w:val="16"/>
          <w:szCs w:val="16"/>
          <w:color w:val="auto"/>
        </w:rPr>
        <w:t>.</w:t>
      </w:r>
    </w:p>
    <w:p>
      <w:pPr>
        <w:spacing w:after="0" w:line="225" w:lineRule="exact"/>
        <w:rPr>
          <w:sz w:val="20"/>
          <w:szCs w:val="20"/>
          <w:color w:val="auto"/>
        </w:rPr>
      </w:pPr>
    </w:p>
    <w:p>
      <w:pPr>
        <w:ind w:left="-20" w:firstLine="1952"/>
        <w:spacing w:after="0" w:line="254" w:lineRule="auto"/>
        <w:tabs>
          <w:tab w:leader="none" w:pos="2798"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 xml:space="preserve">.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and on the record date for the determination of stockholders entitled to vote at such annual meeting and (y) who complies with the notice procedures set forth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to the contrary, only persons nominated for election as a director to fill any term of a directorship that expires on the date of the annual meeting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will be considered for election at such meeting.</w:t>
      </w:r>
    </w:p>
    <w:p>
      <w:pPr>
        <w:spacing w:after="0" w:line="191" w:lineRule="exact"/>
        <w:rPr>
          <w:rFonts w:ascii="Arial" w:cs="Arial" w:eastAsia="Arial" w:hAnsi="Arial"/>
          <w:sz w:val="18"/>
          <w:szCs w:val="18"/>
          <w:color w:val="auto"/>
        </w:rPr>
      </w:pPr>
    </w:p>
    <w:p>
      <w:pPr>
        <w:ind w:left="-20" w:firstLine="2600"/>
        <w:spacing w:after="0" w:line="288" w:lineRule="auto"/>
        <w:tabs>
          <w:tab w:leader="none" w:pos="3506"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and such business must otherwise be a proper matter for stockholder action. Subject to </w:t>
      </w:r>
      <w:r>
        <w:rPr>
          <w:rFonts w:ascii="Arial" w:cs="Arial" w:eastAsia="Arial" w:hAnsi="Arial"/>
          <w:sz w:val="16"/>
          <w:szCs w:val="16"/>
          <w:u w:val="single" w:color="auto"/>
          <w:color w:val="auto"/>
        </w:rPr>
        <w:t>Section 2.7(a)(iii)</w:t>
      </w:r>
      <w:r>
        <w:rPr>
          <w:rFonts w:ascii="Arial" w:cs="Arial" w:eastAsia="Arial" w:hAnsi="Arial"/>
          <w:sz w:val="16"/>
          <w:szCs w:val="16"/>
          <w:color w:val="auto"/>
        </w:rPr>
        <w:t xml:space="preserve">, a stockholder’s notice to the Secretary with respect to such business, to be timely, must be received by the Secretary at the principal executive offices of the Corporation not later than the close of business on the 90th day nor earlier than the close of business on the 120th day before the anniversary date of the immediately preceding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the annual meeting is more than 30 days before or more than 60 days after such anniversary date, notice by the stockholder to be timely must be so delivered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w:t>
      </w:r>
      <w:r>
        <w:rPr>
          <w:rFonts w:ascii="Arial" w:cs="Arial" w:eastAsia="Arial" w:hAnsi="Arial"/>
          <w:sz w:val="16"/>
          <w:szCs w:val="16"/>
          <w:u w:val="single" w:color="auto"/>
          <w:color w:val="auto"/>
        </w:rPr>
        <w:t>Section 2.7(a)</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20" w:firstLine="2600"/>
        <w:spacing w:after="0" w:line="287" w:lineRule="auto"/>
        <w:tabs>
          <w:tab w:leader="none" w:pos="3421"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 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13" w:name="page214"/>
    <w:bookmarkEnd w:id="213"/>
    <w:p>
      <w:pPr>
        <w:ind w:left="-20" w:firstLine="2600"/>
        <w:spacing w:after="0" w:line="287" w:lineRule="auto"/>
        <w:tabs>
          <w:tab w:leader="none" w:pos="3382"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The foregoing notice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once business has been properly brought before the annual meeting in accordance with such procedures, nothing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to preclude discussion by any stockholder of any such business. If the Board or the chairman of the annual meeting determines that any stockholder proposal was not made in accordance with the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such proposal shall not be presented for action at the annual meeting. Notwithstanding the foregoing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167" w:lineRule="exact"/>
        <w:rPr>
          <w:rFonts w:ascii="Arial" w:cs="Arial" w:eastAsia="Arial" w:hAnsi="Arial"/>
          <w:sz w:val="16"/>
          <w:szCs w:val="16"/>
          <w:color w:val="auto"/>
        </w:rPr>
      </w:pPr>
    </w:p>
    <w:p>
      <w:pPr>
        <w:ind w:left="-20" w:right="140" w:firstLine="2600"/>
        <w:spacing w:after="0" w:line="259" w:lineRule="auto"/>
        <w:tabs>
          <w:tab w:leader="none" w:pos="3416"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In addition to the provisions of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a stockholder shall also comply with all applicable requirements of the Exchange Act and the rules and regulations thereunder with respect to the matters set forth herein. Nothing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shall be deemed to affect any rights of stockholders to request inclusion of proposals in the Corporation’s proxy statement pursuant to Rule 14a-8 under the Exchange Act.</w:t>
      </w:r>
    </w:p>
    <w:p>
      <w:pPr>
        <w:spacing w:after="0" w:line="186" w:lineRule="exact"/>
        <w:rPr>
          <w:rFonts w:ascii="Arial" w:cs="Arial" w:eastAsia="Arial" w:hAnsi="Arial"/>
          <w:sz w:val="18"/>
          <w:szCs w:val="18"/>
          <w:color w:val="auto"/>
        </w:rPr>
      </w:pPr>
    </w:p>
    <w:p>
      <w:pPr>
        <w:ind w:left="-20" w:right="40" w:firstLine="1952"/>
        <w:spacing w:after="0" w:line="311" w:lineRule="auto"/>
        <w:tabs>
          <w:tab w:leader="none" w:pos="2808"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20" w:right="40" w:firstLine="1952"/>
        <w:spacing w:after="0" w:line="286" w:lineRule="auto"/>
        <w:tabs>
          <w:tab w:leader="none" w:pos="2798"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Public Announcement</w:t>
      </w:r>
      <w:r>
        <w:rPr>
          <w:rFonts w:ascii="Arial" w:cs="Arial" w:eastAsia="Arial" w:hAnsi="Arial"/>
          <w:sz w:val="17"/>
          <w:szCs w:val="17"/>
          <w:color w:val="auto"/>
        </w:rPr>
        <w:t>. For purposes of these By Laws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public announcement</w:t>
      </w:r>
      <w:r>
        <w:rPr>
          <w:rFonts w:ascii="Arial" w:cs="Arial" w:eastAsia="Arial" w:hAnsi="Arial"/>
          <w:sz w:val="17"/>
          <w:szCs w:val="17"/>
          <w:color w:val="auto"/>
        </w:rPr>
        <w: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14" w:name="page215"/>
    <w:bookmarkEnd w:id="214"/>
    <w:p>
      <w:pPr>
        <w:ind w:firstLine="1296"/>
        <w:spacing w:after="0" w:line="267"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Conduct of Meetings</w:t>
      </w:r>
      <w:r>
        <w:rPr>
          <w:rFonts w:ascii="Arial" w:cs="Arial" w:eastAsia="Arial" w:hAnsi="Arial"/>
          <w:sz w:val="17"/>
          <w:szCs w:val="17"/>
          <w:color w:val="auto"/>
        </w:rPr>
        <w:t>. The chairman of each annual and special meeting of stockholders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 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190" w:lineRule="exact"/>
        <w:rPr>
          <w:sz w:val="20"/>
          <w:szCs w:val="20"/>
          <w:color w:val="auto"/>
        </w:rPr>
      </w:pPr>
    </w:p>
    <w:p>
      <w:pPr>
        <w:ind w:right="20" w:firstLine="1296"/>
        <w:spacing w:after="0" w:line="271"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Consents in Lieu of Meeting</w:t>
      </w:r>
      <w:r>
        <w:rPr>
          <w:rFonts w:ascii="Arial" w:cs="Arial" w:eastAsia="Arial" w:hAnsi="Arial"/>
          <w:sz w:val="17"/>
          <w:szCs w:val="17"/>
          <w:color w:val="auto"/>
        </w:rPr>
        <w:t>. Unless otherwise provided by the Certificate of Incorporation, until the Corporation consummates an initial public offering (“</w:t>
      </w:r>
      <w:r>
        <w:rPr>
          <w:rFonts w:ascii="Arial" w:cs="Arial" w:eastAsia="Arial" w:hAnsi="Arial"/>
          <w:sz w:val="17"/>
          <w:szCs w:val="17"/>
          <w:u w:val="single" w:color="auto"/>
          <w:color w:val="auto"/>
        </w:rPr>
        <w:t>Offering</w:t>
      </w:r>
      <w:r>
        <w:rPr>
          <w:rFonts w:ascii="Arial" w:cs="Arial" w:eastAsia="Arial" w:hAnsi="Arial"/>
          <w:sz w:val="17"/>
          <w:szCs w:val="17"/>
          <w:color w:val="auto"/>
        </w:rPr>
        <w:t>”), any action required to be taken at any annual or special meeting of stockholders, or any action which may be taken at any annual or special meeting of such stockholders, may be taken without a meeting, without prior notice and without a vote, if a consent in writing, setting forth the action so taken, shall be signed by the holders of outstanding stock entitled to vote thereon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178"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and the DGCL to the Corporation, written consents signed by a sufficient number of holders entitled to vote to take action are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right="40" w:firstLine="1296"/>
        <w:spacing w:after="0" w:line="279"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Powers; Number</w:t>
      </w:r>
      <w:r>
        <w:rPr>
          <w:rFonts w:ascii="Arial" w:cs="Arial" w:eastAsia="Arial" w:hAnsi="Arial"/>
          <w:sz w:val="17"/>
          <w:szCs w:val="17"/>
          <w:color w:val="auto"/>
        </w:rPr>
        <w:t>. The business and affairs of the Corporation shall be managed by or under the direction of the Board, which may exercise all such powers of the Corporation and do all such lawful acts and things as are not by statute or by the Certificate of Incorporation or by these By Laws required to be exercised or done by the stockholders. Directors need not be stockholders or residents of the State of Delaware. Subject to the Certificate of Incorporation, the number of directors shall be fixed exclusively by resolution of the Board.</w:t>
      </w:r>
    </w:p>
    <w:p>
      <w:pPr>
        <w:spacing w:after="0" w:line="17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Advance Notice for Nomination of Directors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72" w:lineRule="auto"/>
        <w:tabs>
          <w:tab w:leader="none" w:pos="281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(x) who is a stockholder of record entitled to vote in the election of directors on the date of the giving of the notice provided for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on the record date for the determination of stockholders entitled to vote at such meeting and (y) who complies with the notice procedures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firstLine="1952"/>
        <w:spacing w:after="0" w:line="287" w:lineRule="auto"/>
        <w:tabs>
          <w:tab w:leader="none" w:pos="282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close of business on the 120th day before the anniversary date of the immediately preceding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the annual meeting is more than 30 days before or more than 60 days after such anniversary date,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6" w:name="page217"/>
    <w:bookmarkEnd w:id="216"/>
    <w:p>
      <w:pPr>
        <w:ind w:left="-80" w:firstLine="1952"/>
        <w:spacing w:after="0" w:line="291" w:lineRule="auto"/>
        <w:tabs>
          <w:tab w:leader="none" w:pos="273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166" w:lineRule="exact"/>
        <w:rPr>
          <w:rFonts w:ascii="Arial" w:cs="Arial" w:eastAsia="Arial" w:hAnsi="Arial"/>
          <w:sz w:val="16"/>
          <w:szCs w:val="16"/>
          <w:color w:val="auto"/>
        </w:rPr>
      </w:pPr>
    </w:p>
    <w:p>
      <w:pPr>
        <w:ind w:left="-80" w:firstLine="1952"/>
        <w:spacing w:after="0" w:line="286" w:lineRule="auto"/>
        <w:tabs>
          <w:tab w:leader="none" w:pos="274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(E)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400" w:top="908" w:right="419" w:bottom="1440" w:gutter="0" w:footer="0" w:header="0"/>
        </w:sectPr>
      </w:pPr>
    </w:p>
    <w:bookmarkStart w:id="217" w:name="page218"/>
    <w:bookmarkEnd w:id="217"/>
    <w:p>
      <w:pPr>
        <w:ind w:right="20" w:firstLine="1952"/>
        <w:spacing w:after="0" w:line="296" w:lineRule="auto"/>
        <w:tabs>
          <w:tab w:leader="none" w:pos="281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If the Board or the chairman of the meeting of stockholders determines that any nomination was not made in accordance with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then such nomination shall not be considered at the meeting in question. Notwithstanding the foregoing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61" w:lineRule="exact"/>
        <w:rPr>
          <w:rFonts w:ascii="Arial" w:cs="Arial" w:eastAsia="Arial" w:hAnsi="Arial"/>
          <w:sz w:val="16"/>
          <w:szCs w:val="16"/>
          <w:color w:val="auto"/>
        </w:rPr>
      </w:pPr>
    </w:p>
    <w:p>
      <w:pPr>
        <w:ind w:right="120" w:firstLine="1952"/>
        <w:spacing w:after="0" w:line="286" w:lineRule="auto"/>
        <w:tabs>
          <w:tab w:leader="none" w:pos="284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In addition to the provisions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 stockholder shall also comply with all of the applicable requirements of the Exchange Act and the rules and regulations thereunder with respect to the matters set forth herein. Nothing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be deemed to affect any rights of the holders of Preferred Stock to elect directors pursuant to the Certificate of Incorporation.</w:t>
      </w:r>
    </w:p>
    <w:p>
      <w:pPr>
        <w:spacing w:after="0" w:line="165" w:lineRule="exact"/>
        <w:rPr>
          <w:sz w:val="20"/>
          <w:szCs w:val="20"/>
          <w:color w:val="auto"/>
        </w:rPr>
      </w:pPr>
    </w:p>
    <w:p>
      <w:pPr>
        <w:jc w:val="both"/>
        <w:ind w:right="120" w:firstLine="1296"/>
        <w:spacing w:after="0" w:line="29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Compensation</w:t>
      </w:r>
      <w:r>
        <w:rPr>
          <w:rFonts w:ascii="Arial" w:cs="Arial" w:eastAsia="Arial" w:hAnsi="Arial"/>
          <w:sz w:val="16"/>
          <w:szCs w:val="16"/>
          <w:color w:val="auto"/>
        </w:rPr>
        <w:t>. Unless otherwise restricted by the Certificate of Incorporation or these By Laws, the Board shall have the authority to 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ind w:right="260" w:firstLine="1296"/>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Annual Meetings</w:t>
      </w:r>
      <w:r>
        <w:rPr>
          <w:rFonts w:ascii="Arial" w:cs="Arial" w:eastAsia="Arial" w:hAnsi="Arial"/>
          <w:sz w:val="18"/>
          <w:szCs w:val="18"/>
          <w:color w:val="auto"/>
        </w:rPr>
        <w:t xml:space="preserve">. The Board shall meet as soon as practicable after the adjournment of each annual stockholders meeting at 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w:t>
      </w:r>
      <w:r>
        <w:rPr>
          <w:rFonts w:ascii="Arial" w:cs="Arial" w:eastAsia="Arial" w:hAnsi="Arial"/>
          <w:sz w:val="18"/>
          <w:szCs w:val="18"/>
          <w:color w:val="auto"/>
        </w:rPr>
        <w:t>.</w:t>
      </w:r>
    </w:p>
    <w:p>
      <w:pPr>
        <w:spacing w:after="0" w:line="187"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Regularly scheduled, periodic meetings of the Board may be held without notice at such times, dates and places (within or without the State of Delaware) as shall from time to time be determined by the Board.</w:t>
      </w:r>
    </w:p>
    <w:p>
      <w:pPr>
        <w:spacing w:after="0" w:line="170"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Special Meetings</w:t>
      </w:r>
      <w:r>
        <w:rPr>
          <w:rFonts w:ascii="Arial" w:cs="Arial" w:eastAsia="Arial" w:hAnsi="Arial"/>
          <w:sz w:val="16"/>
          <w:szCs w:val="16"/>
          <w:color w:val="auto"/>
        </w:rPr>
        <w:t xml:space="preserve">. Special meetings of the Board (a) may be called by the Chairman of the Board or President and (b) shall be called by the Chairman of the Board, President or Secretary on the written request of at least a majority of directors then in office,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 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Arial" w:cs="Arial" w:eastAsia="Arial" w:hAnsi="Arial"/>
          <w:sz w:val="16"/>
          <w:szCs w:val="16"/>
          <w:u w:val="single" w:color="auto"/>
          <w:color w:val="auto"/>
        </w:rPr>
        <w:t>Section 9.4</w:t>
      </w:r>
      <w:r>
        <w:rPr>
          <w:rFonts w:ascii="Arial" w:cs="Arial" w:eastAsia="Arial" w:hAnsi="Arial"/>
          <w:sz w:val="16"/>
          <w:szCs w:val="16"/>
          <w:color w:val="auto"/>
        </w:rPr>
        <w: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8" w:name="page219"/>
    <w:bookmarkEnd w:id="218"/>
    <w:p>
      <w:pPr>
        <w:ind w:right="260" w:firstLine="1296"/>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Quorum; Required Vote</w:t>
      </w:r>
      <w:r>
        <w:rPr>
          <w:rFonts w:ascii="Arial" w:cs="Arial" w:eastAsia="Arial" w:hAnsi="Arial"/>
          <w:sz w:val="18"/>
          <w:szCs w:val="18"/>
          <w:color w:val="auto"/>
        </w:rPr>
        <w:t>. A majority of the Board shall constitute a quorum for the transaction of business at any meeting of the Board, and the act of a majority of the directors present at any meeting at which there is a quorum shall be the act of the Board, except as may be otherwise specifically provided by applicable law, the Certificate of Incorporation or these By Laws. If a quorum shall not be present at any meeting, a majority of the directors present may adjourn the meeting from time to time, without notice other than announcement at the meeting, until a quorum is present.</w:t>
      </w:r>
    </w:p>
    <w:p>
      <w:pPr>
        <w:spacing w:after="0" w:line="188"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Consent In Lieu of Meeting</w:t>
      </w:r>
      <w:r>
        <w:rPr>
          <w:rFonts w:ascii="Arial" w:cs="Arial" w:eastAsia="Arial" w:hAnsi="Arial"/>
          <w:sz w:val="17"/>
          <w:szCs w:val="17"/>
          <w:color w:val="auto"/>
        </w:rPr>
        <w:t>. Unless otherwise restricted by the Certificate of Incorporation or these By Laws, any action 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176"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Organization</w:t>
      </w:r>
      <w:r>
        <w:rPr>
          <w:rFonts w:ascii="Arial" w:cs="Arial" w:eastAsia="Arial" w:hAnsi="Arial"/>
          <w:sz w:val="18"/>
          <w:szCs w:val="18"/>
          <w:color w:val="auto"/>
        </w:rPr>
        <w:t>. The chairman of each meeting of the Board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COMMITTEES OF DIRECTORS</w:t>
      </w:r>
    </w:p>
    <w:p>
      <w:pPr>
        <w:spacing w:after="0" w:line="229"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Establishment</w:t>
      </w:r>
      <w:r>
        <w:rPr>
          <w:rFonts w:ascii="Arial" w:cs="Arial" w:eastAsia="Arial" w:hAnsi="Arial"/>
          <w:sz w:val="18"/>
          <w:szCs w:val="18"/>
          <w:color w:val="auto"/>
        </w:rPr>
        <w:t>. The Board may by resolution of the Board designate one or more committees, each committee to consist of one or more 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spacing w:after="0" w:line="187"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Available Powers</w:t>
      </w:r>
      <w:r>
        <w:rPr>
          <w:rFonts w:ascii="Arial" w:cs="Arial" w:eastAsia="Arial" w:hAnsi="Arial"/>
          <w:sz w:val="18"/>
          <w:szCs w:val="18"/>
          <w:color w:val="auto"/>
        </w:rPr>
        <w:t xml:space="preserve">. Any committee established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9" w:name="page220"/>
    <w:bookmarkEnd w:id="219"/>
    <w:p>
      <w:pPr>
        <w:jc w:val="both"/>
        <w:ind w:firstLine="1296"/>
        <w:spacing w:after="0" w:line="279"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Alternate Members</w:t>
      </w:r>
      <w:r>
        <w:rPr>
          <w:rFonts w:ascii="Arial" w:cs="Arial" w:eastAsia="Arial" w:hAnsi="Arial"/>
          <w:sz w:val="17"/>
          <w:szCs w:val="17"/>
          <w:color w:val="auto"/>
        </w:rPr>
        <w:t>.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171" w:lineRule="exact"/>
        <w:rPr>
          <w:sz w:val="20"/>
          <w:szCs w:val="20"/>
          <w:color w:val="auto"/>
        </w:rPr>
      </w:pPr>
    </w:p>
    <w:p>
      <w:pPr>
        <w:ind w:firstLine="1296"/>
        <w:spacing w:after="0" w:line="289"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Procedures</w:t>
      </w:r>
      <w:r>
        <w:rPr>
          <w:rFonts w:ascii="Arial" w:cs="Arial" w:eastAsia="Arial" w:hAnsi="Arial"/>
          <w:sz w:val="16"/>
          <w:szCs w:val="16"/>
          <w:color w:val="auto"/>
        </w:rPr>
        <w:t xml:space="preserve">.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 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 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these By Laws.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Officers</w:t>
      </w:r>
      <w:r>
        <w:rPr>
          <w:rFonts w:ascii="Arial" w:cs="Arial" w:eastAsia="Arial" w:hAnsi="Arial"/>
          <w:sz w:val="16"/>
          <w:szCs w:val="16"/>
          <w:color w:val="auto"/>
        </w:rPr>
        <w:t xml:space="preserve">. The officers of the Corporation elected by the Board shall be a Chief Executive Officer, a Chief Financial Officer, a Secretary and such other officers (including without limitation, a Chairman of the Board, Presidents, Vice Presidents, Assistant Secretaries and a Treasurer) as the Board from time to time may determine. Officers elected by the Board shall each have such powers and duties as generally pertain to their respective offices, subject to the specific provisions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 Laws or as may be prescribed by the Board or, if such officer has been appointed by the Chief Executive Officer or President, as may be prescribed by the appointing officer.</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20" w:name="page221"/>
    <w:bookmarkEnd w:id="220"/>
    <w:p>
      <w:pPr>
        <w:ind w:left="-20" w:right="80" w:firstLine="1952"/>
        <w:spacing w:after="0" w:line="272" w:lineRule="auto"/>
        <w:tabs>
          <w:tab w:leader="none" w:pos="2798"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Chairman of the Board</w:t>
      </w:r>
      <w:r>
        <w:rPr>
          <w:rFonts w:ascii="Arial" w:cs="Arial" w:eastAsia="Arial" w:hAnsi="Arial"/>
          <w:sz w:val="17"/>
          <w:szCs w:val="17"/>
          <w:color w:val="auto"/>
        </w:rPr>
        <w:t>.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177" w:lineRule="exact"/>
        <w:rPr>
          <w:rFonts w:ascii="Arial" w:cs="Arial" w:eastAsia="Arial" w:hAnsi="Arial"/>
          <w:sz w:val="17"/>
          <w:szCs w:val="17"/>
          <w:color w:val="auto"/>
        </w:rPr>
      </w:pPr>
    </w:p>
    <w:p>
      <w:pPr>
        <w:ind w:left="-20" w:right="60" w:firstLine="1952"/>
        <w:spacing w:after="0" w:line="273" w:lineRule="auto"/>
        <w:tabs>
          <w:tab w:leader="none" w:pos="2808"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Chief Executive Officer</w:t>
      </w:r>
      <w:r>
        <w:rPr>
          <w:rFonts w:ascii="Arial" w:cs="Arial" w:eastAsia="Arial" w:hAnsi="Arial"/>
          <w:sz w:val="17"/>
          <w:szCs w:val="17"/>
          <w:color w:val="auto"/>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above. In the absence (or inability or refusal to act) of the Chairman of the Board, the Chief Executive Officer (if he or she shall be a director) shall preside when present at all meetings of the stockholders and the Board. The position of Chief Executive Officer and President may be held by the same person.</w:t>
      </w:r>
    </w:p>
    <w:p>
      <w:pPr>
        <w:spacing w:after="0" w:line="177" w:lineRule="exact"/>
        <w:rPr>
          <w:rFonts w:ascii="Arial" w:cs="Arial" w:eastAsia="Arial" w:hAnsi="Arial"/>
          <w:sz w:val="17"/>
          <w:szCs w:val="17"/>
          <w:color w:val="auto"/>
        </w:rPr>
      </w:pPr>
    </w:p>
    <w:p>
      <w:pPr>
        <w:ind w:left="-20" w:right="100" w:firstLine="1952"/>
        <w:spacing w:after="0" w:line="257" w:lineRule="auto"/>
        <w:tabs>
          <w:tab w:leader="none" w:pos="279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make recommendations to the Chief Executive Officer on all operational matters that would normally be reserved for the final executive responsibility of the Chief Executive Officer. In the absence (or inability or refusal to act) of the Chairman of the Board and Chief Executive Officer, the President (if he or she shall be a director) shall preside when present at all meetings of the stockholders and the Board. The President shall also perform such duties and have such powers as shall be designated by the Board. The position of President and Chief Executive Officer may be held by the same person.</w:t>
      </w:r>
    </w:p>
    <w:p>
      <w:pPr>
        <w:spacing w:after="0" w:line="187" w:lineRule="exact"/>
        <w:rPr>
          <w:rFonts w:ascii="Arial" w:cs="Arial" w:eastAsia="Arial" w:hAnsi="Arial"/>
          <w:sz w:val="18"/>
          <w:szCs w:val="18"/>
          <w:color w:val="auto"/>
        </w:rPr>
      </w:pPr>
    </w:p>
    <w:p>
      <w:pPr>
        <w:ind w:left="-20" w:right="340" w:firstLine="1952"/>
        <w:spacing w:after="0" w:line="286" w:lineRule="auto"/>
        <w:tabs>
          <w:tab w:leader="none" w:pos="2808"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Vice Presidents</w:t>
      </w:r>
      <w:r>
        <w:rPr>
          <w:rFonts w:ascii="Arial" w:cs="Arial" w:eastAsia="Arial" w:hAnsi="Arial"/>
          <w:sz w:val="17"/>
          <w:szCs w:val="17"/>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spacing w:after="0" w:line="165" w:lineRule="exact"/>
        <w:rPr>
          <w:rFonts w:ascii="Arial" w:cs="Arial" w:eastAsia="Arial" w:hAnsi="Arial"/>
          <w:sz w:val="17"/>
          <w:szCs w:val="17"/>
          <w:color w:val="auto"/>
        </w:rPr>
      </w:pPr>
    </w:p>
    <w:p>
      <w:pPr>
        <w:ind w:left="2800" w:hanging="868"/>
        <w:spacing w:after="0"/>
        <w:tabs>
          <w:tab w:leader="none" w:pos="28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Secretary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2600"/>
        <w:spacing w:after="0" w:line="254" w:lineRule="auto"/>
        <w:tabs>
          <w:tab w:leader="none" w:pos="350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21" w:name="page222"/>
    <w:bookmarkEnd w:id="221"/>
    <w:p>
      <w:pPr>
        <w:ind w:right="80" w:firstLine="2600"/>
        <w:spacing w:after="0" w:line="259" w:lineRule="auto"/>
        <w:tabs>
          <w:tab w:leader="none" w:pos="344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86" w:lineRule="exact"/>
        <w:rPr>
          <w:rFonts w:ascii="Arial" w:cs="Arial" w:eastAsia="Arial" w:hAnsi="Arial"/>
          <w:sz w:val="18"/>
          <w:szCs w:val="18"/>
          <w:color w:val="auto"/>
        </w:rPr>
      </w:pPr>
    </w:p>
    <w:p>
      <w:pPr>
        <w:ind w:right="260" w:firstLine="1952"/>
        <w:spacing w:after="0" w:line="342" w:lineRule="auto"/>
        <w:tabs>
          <w:tab w:leader="none" w:pos="2843"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Assistant Secretaries</w:t>
      </w:r>
      <w:r>
        <w:rPr>
          <w:rFonts w:ascii="Arial" w:cs="Arial" w:eastAsia="Arial" w:hAnsi="Arial"/>
          <w:sz w:val="16"/>
          <w:szCs w:val="16"/>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23" w:lineRule="exact"/>
        <w:rPr>
          <w:rFonts w:ascii="Arial" w:cs="Arial" w:eastAsia="Arial" w:hAnsi="Arial"/>
          <w:sz w:val="16"/>
          <w:szCs w:val="16"/>
          <w:color w:val="auto"/>
        </w:rPr>
      </w:pPr>
    </w:p>
    <w:p>
      <w:pPr>
        <w:jc w:val="both"/>
        <w:ind w:right="80" w:firstLine="1952"/>
        <w:spacing w:after="0" w:line="259" w:lineRule="auto"/>
        <w:tabs>
          <w:tab w:leader="none" w:pos="282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spacing w:after="0" w:line="186" w:lineRule="exact"/>
        <w:rPr>
          <w:rFonts w:ascii="Arial" w:cs="Arial" w:eastAsia="Arial" w:hAnsi="Arial"/>
          <w:sz w:val="18"/>
          <w:szCs w:val="18"/>
          <w:color w:val="auto"/>
        </w:rPr>
      </w:pPr>
    </w:p>
    <w:p>
      <w:pPr>
        <w:ind w:right="120" w:firstLine="1952"/>
        <w:spacing w:after="0" w:line="277" w:lineRule="auto"/>
        <w:tabs>
          <w:tab w:leader="none" w:pos="282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in the absence (or inability or refusal to act) of the Chief Financial Officer, perform the duties and exercise the powers of the Chief Financial Officer.</w:t>
      </w:r>
    </w:p>
    <w:p>
      <w:pPr>
        <w:spacing w:after="0" w:line="170"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Term of Office; Removal; Vacancies</w:t>
      </w:r>
      <w:r>
        <w:rPr>
          <w:rFonts w:ascii="Arial" w:cs="Arial" w:eastAsia="Arial" w:hAnsi="Arial"/>
          <w:sz w:val="17"/>
          <w:szCs w:val="17"/>
          <w:color w:val="auto"/>
        </w:rPr>
        <w:t>. The elected officers of the Corporation shall be appointed by the Board and shall hold office 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77" w:lineRule="exact"/>
        <w:rPr>
          <w:sz w:val="20"/>
          <w:szCs w:val="20"/>
          <w:color w:val="auto"/>
        </w:rPr>
      </w:pPr>
    </w:p>
    <w:p>
      <w:pPr>
        <w:ind w:right="300" w:firstLine="1296"/>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Other Officers</w:t>
      </w:r>
      <w:r>
        <w:rPr>
          <w:rFonts w:ascii="Arial" w:cs="Arial" w:eastAsia="Arial" w:hAnsi="Arial"/>
          <w:sz w:val="18"/>
          <w:szCs w:val="18"/>
          <w:color w:val="auto"/>
        </w:rPr>
        <w:t>. The Board may delegate the power to appoint such other officers and agents, and may also remove such officers and agents or delegate the power to remove same, as it shall from time to time deem necessary or desirable.</w:t>
      </w:r>
    </w:p>
    <w:p>
      <w:pPr>
        <w:spacing w:after="0" w:line="170" w:lineRule="exact"/>
        <w:rPr>
          <w:sz w:val="20"/>
          <w:szCs w:val="20"/>
          <w:color w:val="auto"/>
        </w:rPr>
      </w:pPr>
    </w:p>
    <w:p>
      <w:pPr>
        <w:ind w:right="280" w:firstLine="1296"/>
        <w:spacing w:after="0" w:line="342"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Multiple Officeholders; Stockholder and Director Officers</w:t>
      </w:r>
      <w:r>
        <w:rPr>
          <w:rFonts w:ascii="Arial" w:cs="Arial" w:eastAsia="Arial" w:hAnsi="Arial"/>
          <w:sz w:val="16"/>
          <w:szCs w:val="16"/>
          <w:color w:val="auto"/>
        </w:rPr>
        <w:t>. Any number of offices may be held by the same person unless the Certificate of Incorporation or these By Laws otherwise provide. Officers need not be stockholders or residents of the State of Delaware.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w:t>
      </w:r>
    </w:p>
    <w:p>
      <w:pPr>
        <w:spacing w:after="0" w:line="229"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Certificated and Uncertificated Shares</w:t>
      </w:r>
      <w:r>
        <w:rPr>
          <w:rFonts w:ascii="Arial" w:cs="Arial" w:eastAsia="Arial" w:hAnsi="Arial"/>
          <w:sz w:val="18"/>
          <w:szCs w:val="18"/>
          <w:color w:val="auto"/>
        </w:rPr>
        <w:t>. The shares of the Corporation may be certificated or uncertificated, subject to the sole discretion of the Board and the requirements of the DGCL.</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222" w:name="page223"/>
    <w:bookmarkEnd w:id="222"/>
    <w:p>
      <w:pPr>
        <w:ind w:firstLine="1296"/>
        <w:spacing w:after="0" w:line="25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Multiple Classes of Stock</w:t>
      </w:r>
      <w:r>
        <w:rPr>
          <w:rFonts w:ascii="Arial" w:cs="Arial" w:eastAsia="Arial" w:hAnsi="Arial"/>
          <w:sz w:val="18"/>
          <w:szCs w:val="18"/>
          <w:color w:val="auto"/>
        </w:rPr>
        <w:t xml:space="preserve">. If the Corporation shall be authorized to issue more than one class of stock or more than one series of any 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94"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Signatures</w:t>
      </w:r>
      <w:r>
        <w:rPr>
          <w:rFonts w:ascii="Arial" w:cs="Arial" w:eastAsia="Arial" w:hAnsi="Arial"/>
          <w:sz w:val="18"/>
          <w:szCs w:val="18"/>
          <w:color w:val="auto"/>
        </w:rPr>
        <w:t>. Each certificate representing capital stock of the Corporation shall be signed by or in the name of the Corporation by (a) the 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9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5"/>
          <w:szCs w:val="15"/>
          <w:u w:val="single" w:color="auto"/>
          <w:color w:val="auto"/>
        </w:rPr>
        <w:t>Consideration and Payment for Shares</w:t>
      </w:r>
      <w:r>
        <w:rPr>
          <w:rFonts w:ascii="Arial" w:cs="Arial" w:eastAsia="Arial" w:hAnsi="Arial"/>
          <w:sz w:val="15"/>
          <w:szCs w:val="15"/>
          <w:color w:val="auto"/>
        </w:rPr>
        <w:t>.</w:t>
      </w:r>
    </w:p>
    <w:p>
      <w:pPr>
        <w:spacing w:after="0" w:line="225" w:lineRule="exact"/>
        <w:rPr>
          <w:sz w:val="20"/>
          <w:szCs w:val="20"/>
          <w:color w:val="auto"/>
        </w:rPr>
      </w:pPr>
    </w:p>
    <w:p>
      <w:pPr>
        <w:ind w:right="80" w:firstLine="1952"/>
        <w:spacing w:after="0" w:line="259" w:lineRule="auto"/>
        <w:tabs>
          <w:tab w:leader="none" w:pos="281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3" w:name="page224"/>
    <w:bookmarkEnd w:id="223"/>
    <w:p>
      <w:pPr>
        <w:ind w:right="80" w:firstLine="1952"/>
        <w:spacing w:after="0" w:line="257" w:lineRule="auto"/>
        <w:tabs>
          <w:tab w:leader="none" w:pos="282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188"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Lost, Destroyed or Wrongfully Taken Certificates</w:t>
      </w:r>
      <w:r>
        <w:rPr>
          <w:rFonts w:ascii="Arial" w:cs="Arial" w:eastAsia="Arial" w:hAnsi="Arial"/>
          <w:sz w:val="16"/>
          <w:szCs w:val="16"/>
          <w:color w:val="auto"/>
        </w:rPr>
        <w:t>.</w:t>
      </w:r>
    </w:p>
    <w:p>
      <w:pPr>
        <w:spacing w:after="0" w:line="225" w:lineRule="exact"/>
        <w:rPr>
          <w:sz w:val="20"/>
          <w:szCs w:val="20"/>
          <w:color w:val="auto"/>
        </w:rPr>
      </w:pPr>
    </w:p>
    <w:p>
      <w:pPr>
        <w:ind w:right="20" w:firstLine="1952"/>
        <w:spacing w:after="0" w:line="255" w:lineRule="auto"/>
        <w:tabs>
          <w:tab w:leader="none" w:pos="281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192" w:lineRule="exact"/>
        <w:rPr>
          <w:rFonts w:ascii="Arial" w:cs="Arial" w:eastAsia="Arial" w:hAnsi="Arial"/>
          <w:sz w:val="18"/>
          <w:szCs w:val="18"/>
          <w:color w:val="auto"/>
        </w:rPr>
      </w:pPr>
    </w:p>
    <w:p>
      <w:pPr>
        <w:ind w:right="40" w:firstLine="1952"/>
        <w:spacing w:after="0" w:line="279" w:lineRule="auto"/>
        <w:tabs>
          <w:tab w:leader="none" w:pos="282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7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Transfer of Stock</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63" w:lineRule="auto"/>
        <w:tabs>
          <w:tab w:leader="none" w:pos="281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spacing w:after="0" w:line="183" w:lineRule="exact"/>
        <w:rPr>
          <w:rFonts w:ascii="Arial" w:cs="Arial" w:eastAsia="Arial" w:hAnsi="Arial"/>
          <w:sz w:val="18"/>
          <w:szCs w:val="18"/>
          <w:color w:val="auto"/>
        </w:rPr>
      </w:pPr>
    </w:p>
    <w:p>
      <w:pPr>
        <w:ind w:left="3540" w:hanging="940"/>
        <w:spacing w:after="0"/>
        <w:tabs>
          <w:tab w:leader="none" w:pos="354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in the case of certificated shares, the certificate representing such shares has been surrendered;</w:t>
      </w:r>
    </w:p>
    <w:p>
      <w:pPr>
        <w:spacing w:after="0" w:line="236" w:lineRule="exact"/>
        <w:rPr>
          <w:rFonts w:ascii="Arial" w:cs="Arial" w:eastAsia="Arial" w:hAnsi="Arial"/>
          <w:sz w:val="17"/>
          <w:szCs w:val="17"/>
          <w:color w:val="auto"/>
        </w:rPr>
      </w:pPr>
    </w:p>
    <w:p>
      <w:pPr>
        <w:ind w:firstLine="2600"/>
        <w:spacing w:after="0" w:line="259" w:lineRule="auto"/>
        <w:tabs>
          <w:tab w:leader="none" w:pos="344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186" w:lineRule="exact"/>
        <w:rPr>
          <w:rFonts w:ascii="Arial" w:cs="Arial" w:eastAsia="Arial" w:hAnsi="Arial"/>
          <w:sz w:val="18"/>
          <w:szCs w:val="18"/>
          <w:color w:val="auto"/>
        </w:rPr>
      </w:pPr>
    </w:p>
    <w:p>
      <w:pPr>
        <w:ind w:left="3400" w:hanging="800"/>
        <w:spacing w:after="0"/>
        <w:tabs>
          <w:tab w:leader="none" w:pos="34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Corporation has received a guarantee of signature of the person signing such endorsement or instruction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such other reasonable assurance that the endorsement or instruction is genuine and authorized as the Corporation may request;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24" w:name="page225"/>
    <w:bookmarkEnd w:id="224"/>
    <w:p>
      <w:pPr>
        <w:ind w:left="3440" w:hanging="840"/>
        <w:spacing w:after="0"/>
        <w:tabs>
          <w:tab w:leader="none" w:pos="34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transfer does not violate any restriction on transfer imposed by the Corporation that is enforceable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7.8(a)</w:t>
      </w:r>
      <w:r>
        <w:rPr>
          <w:rFonts w:ascii="Arial" w:cs="Arial" w:eastAsia="Arial" w:hAnsi="Arial"/>
          <w:sz w:val="18"/>
          <w:szCs w:val="18"/>
          <w:color w:val="auto"/>
        </w:rPr>
        <w:t>; and</w:t>
      </w:r>
    </w:p>
    <w:p>
      <w:pPr>
        <w:spacing w:after="0" w:line="211" w:lineRule="exact"/>
        <w:rPr>
          <w:sz w:val="20"/>
          <w:szCs w:val="20"/>
          <w:color w:val="auto"/>
        </w:rPr>
      </w:pPr>
    </w:p>
    <w:p>
      <w:pPr>
        <w:ind w:left="3480" w:hanging="880"/>
        <w:spacing w:after="0"/>
        <w:tabs>
          <w:tab w:leader="none" w:pos="34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such other conditions for such transfer as shall be provided for under applicable law have been satisfied.</w:t>
      </w:r>
    </w:p>
    <w:p>
      <w:pPr>
        <w:spacing w:after="0" w:line="248" w:lineRule="exact"/>
        <w:rPr>
          <w:rFonts w:ascii="Arial" w:cs="Arial" w:eastAsia="Arial" w:hAnsi="Arial"/>
          <w:sz w:val="16"/>
          <w:szCs w:val="16"/>
          <w:color w:val="auto"/>
        </w:rPr>
      </w:pPr>
    </w:p>
    <w:p>
      <w:pPr>
        <w:ind w:right="280" w:firstLine="1952"/>
        <w:spacing w:after="0" w:line="259" w:lineRule="auto"/>
        <w:tabs>
          <w:tab w:leader="none" w:pos="28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87"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9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Effect of the Corporation’s Restriction on Transfer</w:t>
      </w:r>
      <w:r>
        <w:rPr>
          <w:rFonts w:ascii="Arial" w:cs="Arial" w:eastAsia="Arial" w:hAnsi="Arial"/>
          <w:sz w:val="16"/>
          <w:szCs w:val="16"/>
          <w:color w:val="auto"/>
        </w:rPr>
        <w:t>.</w:t>
      </w:r>
    </w:p>
    <w:p>
      <w:pPr>
        <w:spacing w:after="0" w:line="225" w:lineRule="exact"/>
        <w:rPr>
          <w:sz w:val="20"/>
          <w:szCs w:val="20"/>
          <w:color w:val="auto"/>
        </w:rPr>
      </w:pPr>
    </w:p>
    <w:p>
      <w:pPr>
        <w:ind w:right="40" w:firstLine="1952"/>
        <w:spacing w:after="0" w:line="255" w:lineRule="auto"/>
        <w:tabs>
          <w:tab w:leader="none" w:pos="281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92" w:lineRule="exact"/>
        <w:rPr>
          <w:rFonts w:ascii="Arial" w:cs="Arial" w:eastAsia="Arial" w:hAnsi="Arial"/>
          <w:sz w:val="18"/>
          <w:szCs w:val="18"/>
          <w:color w:val="auto"/>
        </w:rPr>
      </w:pPr>
    </w:p>
    <w:p>
      <w:pPr>
        <w:ind w:right="40" w:firstLine="1952"/>
        <w:spacing w:after="0" w:line="275" w:lineRule="auto"/>
        <w:tabs>
          <w:tab w:leader="none" w:pos="282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within a reasonable time prior to or after the issuance or transfer of such shares.</w:t>
      </w:r>
    </w:p>
    <w:p>
      <w:pPr>
        <w:spacing w:after="0" w:line="176" w:lineRule="exact"/>
        <w:rPr>
          <w:sz w:val="20"/>
          <w:szCs w:val="20"/>
          <w:color w:val="auto"/>
        </w:rPr>
      </w:pPr>
    </w:p>
    <w:p>
      <w:pPr>
        <w:ind w:right="200" w:firstLine="1296"/>
        <w:spacing w:after="0" w:line="259"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Regulations</w:t>
      </w:r>
      <w:r>
        <w:rPr>
          <w:rFonts w:ascii="Arial" w:cs="Arial" w:eastAsia="Arial" w:hAnsi="Arial"/>
          <w:sz w:val="18"/>
          <w:szCs w:val="18"/>
          <w:color w:val="auto"/>
        </w:rPr>
        <w:t>.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To the fullest extent permitted by applicable law, as the same exists or may hereafter be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amended, the Corporation shall indemnify and hold harmless each person who was or is made a party or is threatened to be made a party to or is otherwise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involved in any threatened, pending or completed action, suit or proceeding, whether civil, criminal, administrative or investigative (hereinafter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serving at the request of the Corporation as a director, officer, employee or agent of another corporation or of a partnership, joint venture, trust,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enterprise or nonprofit entity, including service with respect to an employee benefit plan (hereinafter an “</w:t>
      </w:r>
      <w:r>
        <w:rPr>
          <w:rFonts w:ascii="Arial" w:cs="Arial" w:eastAsia="Arial" w:hAnsi="Arial"/>
          <w:sz w:val="17"/>
          <w:szCs w:val="17"/>
          <w:u w:val="single" w:color="auto"/>
          <w:color w:val="auto"/>
        </w:rPr>
        <w:t>Indemnitee</w:t>
      </w:r>
      <w:r>
        <w:rPr>
          <w:rFonts w:ascii="Arial" w:cs="Arial" w:eastAsia="Arial" w:hAnsi="Arial"/>
          <w:sz w:val="17"/>
          <w:szCs w:val="17"/>
          <w:color w:val="auto"/>
        </w:rPr>
        <w:t>”), whether the basis of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proceeding is alleged action in an official capacity as a director, officer, employee or agent, or in any other capacity while serving as a director,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 or agent, against all liability and loss suffered and expenses (including, without limitation, attorneys’ fees, judgments, fines, ERISA excise taxes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penalties and amounts paid in settlement) reasonably incurred by such Indemnitee in connection with such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respect to proceedings to enforce rights to indemnification, the Corporation shall indemnify an Indemnitee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a proceeding (or part thereof) initiated by such Indemnitee only if such proceeding (or part thereof) was authorized by the Board.</w:t>
      </w:r>
    </w:p>
    <w:p>
      <w:pPr>
        <w:spacing w:after="0" w:line="211"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Right to Advancement of Expenses</w:t>
      </w:r>
      <w:r>
        <w:rPr>
          <w:rFonts w:ascii="Arial" w:cs="Arial" w:eastAsia="Arial" w:hAnsi="Arial"/>
          <w:sz w:val="18"/>
          <w:szCs w:val="18"/>
          <w:color w:val="auto"/>
        </w:rPr>
        <w:t xml:space="preserve">. In addition to the right to indemnification conferred in </w:t>
      </w:r>
      <w:r>
        <w:rPr>
          <w:rFonts w:ascii="Arial" w:cs="Arial" w:eastAsia="Arial" w:hAnsi="Arial"/>
          <w:sz w:val="18"/>
          <w:szCs w:val="18"/>
          <w:u w:val="single" w:color="auto"/>
          <w:color w:val="auto"/>
        </w:rPr>
        <w:t>Section 8.1</w:t>
      </w:r>
      <w:r>
        <w:rPr>
          <w:rFonts w:ascii="Arial" w:cs="Arial" w:eastAsia="Arial" w:hAnsi="Arial"/>
          <w:sz w:val="18"/>
          <w:szCs w:val="18"/>
          <w:color w:val="auto"/>
        </w:rPr>
        <w:t>,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Arial" w:cs="Arial" w:eastAsia="Arial" w:hAnsi="Arial"/>
          <w:sz w:val="18"/>
          <w:szCs w:val="18"/>
          <w:u w:val="single" w:color="auto"/>
          <w:color w:val="auto"/>
        </w:rPr>
        <w:t>advancement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Arial" w:cs="Arial" w:eastAsia="Arial" w:hAnsi="Arial"/>
          <w:sz w:val="18"/>
          <w:szCs w:val="18"/>
          <w:u w:val="single" w:color="auto"/>
          <w:color w:val="auto"/>
        </w:rPr>
        <w:t>undertaking</w:t>
      </w:r>
      <w:r>
        <w:rPr>
          <w:rFonts w:ascii="Arial" w:cs="Arial" w:eastAsia="Arial" w:hAnsi="Arial"/>
          <w:sz w:val="18"/>
          <w:szCs w:val="18"/>
          <w:color w:val="auto"/>
        </w:rPr>
        <w:t xml:space="preserve">”), by or on behalf of such Indemnitee, to repay all amounts so advanced if it shall ultimately be determined that such Indemnitee is not entitled to be indemnified under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or otherwise.</w:t>
      </w:r>
    </w:p>
    <w:p>
      <w:pPr>
        <w:spacing w:after="0" w:line="192" w:lineRule="exact"/>
        <w:rPr>
          <w:sz w:val="20"/>
          <w:szCs w:val="20"/>
          <w:color w:val="auto"/>
        </w:rPr>
      </w:pPr>
    </w:p>
    <w:p>
      <w:pPr>
        <w:ind w:right="20" w:firstLine="1296"/>
        <w:spacing w:after="0" w:line="285"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Right of Indemnitee to Bring Suit</w:t>
      </w:r>
      <w:r>
        <w:rPr>
          <w:rFonts w:ascii="Arial" w:cs="Arial" w:eastAsia="Arial" w:hAnsi="Arial"/>
          <w:sz w:val="16"/>
          <w:szCs w:val="16"/>
          <w:color w:val="auto"/>
        </w:rPr>
        <w:t xml:space="preserve">. If a claim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Arial" w:cs="Arial" w:eastAsia="Arial" w:hAnsi="Arial"/>
          <w:sz w:val="16"/>
          <w:szCs w:val="16"/>
          <w:u w:val="single" w:color="auto"/>
          <w:color w:val="auto"/>
        </w:rPr>
        <w:t>final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adjudication</w:t>
      </w:r>
      <w:r>
        <w:rPr>
          <w:rFonts w:ascii="Arial" w:cs="Arial" w:eastAsia="Arial" w:hAnsi="Arial"/>
          <w:sz w:val="16"/>
          <w:szCs w:val="16"/>
          <w:color w:val="auto"/>
        </w:rPr>
        <w:t xml:space="preserve">”)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shall be on the Corporation.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ind w:right="140" w:firstLine="1296"/>
        <w:spacing w:after="0" w:line="263"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provided to any Indemnitee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be exclusive of any other right, which such Indemnitee may have or hereafter acquire under applicable law, the Certificate of Incorporation, these By Laws, an agreement, a vote of stockholders or disinterested directors, or otherwise.</w:t>
      </w:r>
    </w:p>
    <w:p>
      <w:pPr>
        <w:spacing w:after="0" w:line="184" w:lineRule="exact"/>
        <w:rPr>
          <w:sz w:val="20"/>
          <w:szCs w:val="20"/>
          <w:color w:val="auto"/>
        </w:rPr>
      </w:pPr>
    </w:p>
    <w:p>
      <w:pPr>
        <w:jc w:val="both"/>
        <w:ind w:right="460" w:firstLine="1296"/>
        <w:spacing w:after="0" w:line="286"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maintain insurance, at its expense, to protect itself and/or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65" w:lineRule="exact"/>
        <w:rPr>
          <w:sz w:val="20"/>
          <w:szCs w:val="20"/>
          <w:color w:val="auto"/>
        </w:rPr>
      </w:pPr>
    </w:p>
    <w:p>
      <w:pPr>
        <w:ind w:right="40" w:firstLine="1296"/>
        <w:spacing w:after="0" w:line="293"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Indemnification of Other Persons</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the indemnification and advancement of expenses of Indemnitees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64"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Any repeal or amendment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by the Board or the stockholders of the Corporation or by changes in applicable law, or the adoption of any other provision of these By Laws inconsistent with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amendments or repeals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require the affirmative vote of the stockholders holding at least 66.7% of the voting power of all outstanding shares of capital stock of the Corporation.</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27" w:name="page228"/>
    <w:bookmarkEnd w:id="227"/>
    <w:p>
      <w:pPr>
        <w:ind w:left="1300"/>
        <w:spacing w:after="0"/>
        <w:tabs>
          <w:tab w:leader="none" w:pos="2640" w:val="left"/>
        </w:tabs>
        <w:rPr>
          <w:sz w:val="20"/>
          <w:szCs w:val="20"/>
          <w:color w:val="auto"/>
        </w:rPr>
      </w:pPr>
      <w:r>
        <w:rPr>
          <w:rFonts w:ascii="Arial" w:cs="Arial" w:eastAsia="Arial" w:hAnsi="Arial"/>
          <w:sz w:val="18"/>
          <w:szCs w:val="18"/>
          <w:color w:val="auto"/>
        </w:rPr>
        <w:t>Section 8.8</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w:t>
      </w:r>
      <w:r>
        <w:rPr>
          <w:rFonts w:ascii="Arial" w:cs="Arial" w:eastAsia="Arial" w:hAnsi="Arial"/>
          <w:sz w:val="16"/>
          <w:szCs w:val="16"/>
          <w:u w:val="single" w:color="auto"/>
          <w:color w:val="auto"/>
        </w:rPr>
        <w:t xml:space="preserve"> Article VIII</w:t>
      </w:r>
      <w:r>
        <w:rPr>
          <w:rFonts w:ascii="Arial" w:cs="Arial" w:eastAsia="Arial" w:hAnsi="Arial"/>
          <w:sz w:val="16"/>
          <w:szCs w:val="16"/>
          <w:color w:val="auto"/>
        </w:rPr>
        <w:t>, (a) references to “</w:t>
      </w:r>
      <w:r>
        <w:rPr>
          <w:rFonts w:ascii="Arial" w:cs="Arial" w:eastAsia="Arial" w:hAnsi="Arial"/>
          <w:sz w:val="16"/>
          <w:szCs w:val="16"/>
          <w:i w:val="1"/>
          <w:iCs w:val="1"/>
          <w:color w:val="auto"/>
        </w:rPr>
        <w:t>other enterprise</w:t>
      </w:r>
      <w:r>
        <w:rPr>
          <w:rFonts w:ascii="Arial" w:cs="Arial" w:eastAsia="Arial" w:hAnsi="Arial"/>
          <w:sz w:val="16"/>
          <w:szCs w:val="16"/>
          <w:color w:val="auto"/>
        </w:rPr>
        <w:t>” shall include any employee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benefit plan; (b) references to “</w:t>
      </w:r>
      <w:r>
        <w:rPr>
          <w:rFonts w:ascii="Arial" w:cs="Arial" w:eastAsia="Arial" w:hAnsi="Arial"/>
          <w:sz w:val="17"/>
          <w:szCs w:val="17"/>
          <w:i w:val="1"/>
          <w:iCs w:val="1"/>
          <w:color w:val="auto"/>
        </w:rPr>
        <w:t>fines</w:t>
      </w:r>
      <w:r>
        <w:rPr>
          <w:rFonts w:ascii="Arial" w:cs="Arial" w:eastAsia="Arial" w:hAnsi="Arial"/>
          <w:sz w:val="17"/>
          <w:szCs w:val="17"/>
          <w:color w:val="auto"/>
        </w:rPr>
        <w:t>” shall include any excise taxes assessed on a person with respect to an employee benefit plan; (c) references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serving at the request of the Corporation</w:t>
      </w:r>
      <w:r>
        <w:rPr>
          <w:rFonts w:ascii="Arial" w:cs="Arial" w:eastAsia="Arial" w:hAnsi="Arial"/>
          <w:sz w:val="16"/>
          <w:szCs w:val="16"/>
          <w:color w:val="auto"/>
        </w:rPr>
        <w:t>” shall include any service that imposes duties on, or involves services by, a person with respect to any employee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 plan, its participants, or beneficiaries; and (d) a person who acted in good faith and in a manner such person reasonably believed to be in the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participants and beneficiaries of an employee benefit plan shall be deemed to have acted in a manner “not opposed to the best interest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Corporation” for purposes of Section 145 of the DGCL.</w:t>
      </w:r>
    </w:p>
    <w:p>
      <w:pPr>
        <w:spacing w:after="0" w:line="211"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Contract Rights</w:t>
      </w:r>
      <w:r>
        <w:rPr>
          <w:rFonts w:ascii="Arial" w:cs="Arial" w:eastAsia="Arial" w:hAnsi="Arial"/>
          <w:sz w:val="18"/>
          <w:szCs w:val="18"/>
          <w:color w:val="auto"/>
        </w:rPr>
        <w:t xml:space="preserve">. The rights provided to Indemnitees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contract rights and such rights shall continue as to an Indemnitee who has ceased to be a director, officer, agent or employee and shall inure to the benefit of the Indemnitee’s heirs, executors and administrators.</w:t>
      </w:r>
    </w:p>
    <w:p>
      <w:pPr>
        <w:spacing w:after="0" w:line="184" w:lineRule="exact"/>
        <w:rPr>
          <w:sz w:val="20"/>
          <w:szCs w:val="20"/>
          <w:color w:val="auto"/>
        </w:rPr>
      </w:pPr>
    </w:p>
    <w:p>
      <w:pPr>
        <w:ind w:right="200" w:firstLine="1296"/>
        <w:spacing w:after="0" w:line="25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or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held to be invalid, illegal or unenforceable for any reason whatsoever: (a) the validity, legality and enforceability of the remaining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in any way be affected or impaired thereby; and (b) to the fullest extent possible,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(including, without limitation, each such portion of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40" w:firstLine="1296"/>
        <w:spacing w:after="0" w:line="279"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Place of Meetings</w:t>
      </w:r>
      <w:r>
        <w:rPr>
          <w:rFonts w:ascii="Arial" w:cs="Arial" w:eastAsia="Arial" w:hAnsi="Arial"/>
          <w:sz w:val="17"/>
          <w:szCs w:val="17"/>
          <w:color w:val="auto"/>
        </w:rPr>
        <w:t xml:space="preserve">. If the place of any meeting of stockholders, the Board or committee of the Board for which notice is required under these By Laws is not designated in the notice of such meeting, such meeting shall be held at the principal business office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if the Board has, in its sole discretion, determined that a meeting shall not be held at any place, but instead shall be held by means of remote communication pursuant to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hereof, then such meeting shall not be held at any place.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8" w:name="page229"/>
    <w:bookmarkEnd w:id="228"/>
    <w:p>
      <w:pPr>
        <w:ind w:left="1300"/>
        <w:spacing w:after="0"/>
        <w:tabs>
          <w:tab w:leader="none" w:pos="26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Fixing Record Dates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69" w:lineRule="auto"/>
        <w:tabs>
          <w:tab w:leader="none" w:pos="281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at the adjourned meeting.</w:t>
      </w:r>
    </w:p>
    <w:p>
      <w:pPr>
        <w:spacing w:after="0" w:line="181" w:lineRule="exact"/>
        <w:rPr>
          <w:rFonts w:ascii="Arial" w:cs="Arial" w:eastAsia="Arial" w:hAnsi="Arial"/>
          <w:sz w:val="17"/>
          <w:szCs w:val="17"/>
          <w:color w:val="auto"/>
        </w:rPr>
      </w:pPr>
    </w:p>
    <w:p>
      <w:pPr>
        <w:ind w:right="100" w:firstLine="1952"/>
        <w:spacing w:after="0" w:line="296" w:lineRule="auto"/>
        <w:tabs>
          <w:tab w:leader="none" w:pos="282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6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Means of Giving Notice</w:t>
      </w:r>
      <w:r>
        <w:rPr>
          <w:rFonts w:ascii="Arial" w:cs="Arial" w:eastAsia="Arial" w:hAnsi="Arial"/>
          <w:sz w:val="16"/>
          <w:szCs w:val="16"/>
          <w:color w:val="auto"/>
        </w:rPr>
        <w:t>.</w:t>
      </w:r>
    </w:p>
    <w:p>
      <w:pPr>
        <w:spacing w:after="0" w:line="225" w:lineRule="exact"/>
        <w:rPr>
          <w:sz w:val="20"/>
          <w:szCs w:val="20"/>
          <w:color w:val="auto"/>
        </w:rPr>
      </w:pPr>
    </w:p>
    <w:p>
      <w:pPr>
        <w:ind w:right="180" w:firstLine="1952"/>
        <w:spacing w:after="0" w:line="288" w:lineRule="auto"/>
        <w:tabs>
          <w:tab w:leader="none" w:pos="2818"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Notice to Directors</w:t>
      </w:r>
      <w:r>
        <w:rPr>
          <w:rFonts w:ascii="Arial" w:cs="Arial" w:eastAsia="Arial" w:hAnsi="Arial"/>
          <w:sz w:val="16"/>
          <w:szCs w:val="16"/>
          <w:color w:val="auto"/>
        </w:rPr>
        <w:t>. Whenever under applicable law, the Certificate of Incorporation or these By 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ind w:left="-8" w:firstLine="1952"/>
        <w:spacing w:after="0" w:line="286" w:lineRule="auto"/>
        <w:tabs>
          <w:tab w:leader="none" w:pos="2820"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Notice to Stockholders</w:t>
      </w:r>
      <w:r>
        <w:rPr>
          <w:rFonts w:ascii="Arial" w:cs="Arial" w:eastAsia="Arial" w:hAnsi="Arial"/>
          <w:sz w:val="16"/>
          <w:szCs w:val="16"/>
          <w:color w:val="auto"/>
        </w:rPr>
        <w:t>. Whenever under applicable law, the Certificate of Incorporation or these By 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w:t>
      </w:r>
    </w:p>
    <w:p>
      <w:pPr>
        <w:spacing w:after="0" w:line="1" w:lineRule="exact"/>
        <w:rPr>
          <w:rFonts w:ascii="Arial" w:cs="Arial" w:eastAsia="Arial" w:hAnsi="Arial"/>
          <w:sz w:val="16"/>
          <w:szCs w:val="16"/>
          <w:color w:val="auto"/>
        </w:rPr>
      </w:pPr>
    </w:p>
    <w:p>
      <w:pPr>
        <w:ind w:left="-8" w:right="20" w:firstLine="8"/>
        <w:spacing w:after="0" w:line="285" w:lineRule="auto"/>
        <w:tabs>
          <w:tab w:leader="none" w:pos="20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inadvertent failure to treat such inability as a revocation shall not invalidate any meeting or other action.</w:t>
      </w:r>
    </w:p>
    <w:p>
      <w:pPr>
        <w:spacing w:after="0" w:line="169" w:lineRule="exact"/>
        <w:rPr>
          <w:rFonts w:ascii="Arial" w:cs="Arial" w:eastAsia="Arial" w:hAnsi="Arial"/>
          <w:sz w:val="16"/>
          <w:szCs w:val="16"/>
          <w:color w:val="auto"/>
        </w:rPr>
      </w:pPr>
    </w:p>
    <w:p>
      <w:pPr>
        <w:ind w:left="-8" w:firstLine="1952"/>
        <w:spacing w:after="0" w:line="259" w:lineRule="auto"/>
        <w:tabs>
          <w:tab w:leader="none" w:pos="2810"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6" w:lineRule="exact"/>
        <w:rPr>
          <w:rFonts w:ascii="Arial" w:cs="Arial" w:eastAsia="Arial" w:hAnsi="Arial"/>
          <w:sz w:val="18"/>
          <w:szCs w:val="18"/>
          <w:color w:val="auto"/>
        </w:rPr>
      </w:pPr>
    </w:p>
    <w:p>
      <w:pPr>
        <w:ind w:left="-8" w:right="60" w:firstLine="1952"/>
        <w:spacing w:after="0" w:line="293" w:lineRule="auto"/>
        <w:tabs>
          <w:tab w:leader="none" w:pos="2820"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Notice to Stockholders Sharing Same Address</w:t>
      </w:r>
      <w:r>
        <w:rPr>
          <w:rFonts w:ascii="Arial" w:cs="Arial" w:eastAsia="Arial" w:hAnsi="Arial"/>
          <w:sz w:val="16"/>
          <w:szCs w:val="16"/>
          <w:color w:val="auto"/>
        </w:rPr>
        <w:t>. Without limiting the manner by which notice otherwise may be given effectively by the Corporation to stockholders, any notice to stockholders given by the Corporation under any provision of the DGCL, the Certificate of Incorporation or these By 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30" w:name="page231"/>
    <w:bookmarkEnd w:id="230"/>
    <w:p>
      <w:pPr>
        <w:ind w:right="160" w:firstLine="1952"/>
        <w:spacing w:after="0" w:line="272" w:lineRule="auto"/>
        <w:tabs>
          <w:tab w:leader="none" w:pos="2818"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Exceptions to Notice Requirements</w:t>
      </w:r>
      <w:r>
        <w:rPr>
          <w:rFonts w:ascii="Arial" w:cs="Arial" w:eastAsia="Arial" w:hAnsi="Arial"/>
          <w:sz w:val="17"/>
          <w:szCs w:val="17"/>
          <w:color w:val="auto"/>
        </w:rPr>
        <w:t>. Whenever notice is required to be given, under the DGCL, the Certificate of Incorporation or these By 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77" w:lineRule="exact"/>
        <w:rPr>
          <w:sz w:val="20"/>
          <w:szCs w:val="20"/>
          <w:color w:val="auto"/>
        </w:rPr>
      </w:pPr>
    </w:p>
    <w:p>
      <w:pPr>
        <w:ind w:firstLine="1944"/>
        <w:spacing w:after="0" w:line="269" w:lineRule="auto"/>
        <w:rPr>
          <w:sz w:val="20"/>
          <w:szCs w:val="20"/>
          <w:color w:val="auto"/>
        </w:rPr>
      </w:pPr>
      <w:r>
        <w:rPr>
          <w:rFonts w:ascii="Arial" w:cs="Arial" w:eastAsia="Arial" w:hAnsi="Arial"/>
          <w:sz w:val="17"/>
          <w:szCs w:val="17"/>
          <w:color w:val="auto"/>
        </w:rPr>
        <w:t>Whenever notice is required to be given by the Corporation, under any provision of the DGCL, the Certificate of Incorporation or these By 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179" w:lineRule="exact"/>
        <w:rPr>
          <w:sz w:val="20"/>
          <w:szCs w:val="20"/>
          <w:color w:val="auto"/>
        </w:rPr>
      </w:pPr>
    </w:p>
    <w:p>
      <w:pPr>
        <w:ind w:right="120" w:firstLine="1296"/>
        <w:spacing w:after="0" w:line="296"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any notice is required to be given under applicable law, the Certificate of Incorporation, or these By Laws, 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31" w:name="page232"/>
    <w:bookmarkEnd w:id="231"/>
    <w:p>
      <w:pPr>
        <w:ind w:left="1300"/>
        <w:spacing w:after="0"/>
        <w:tabs>
          <w:tab w:leader="none" w:pos="264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Meeting Attendance via Remote Communication Equipment</w:t>
      </w:r>
      <w:r>
        <w:rPr>
          <w:rFonts w:ascii="Arial" w:cs="Arial" w:eastAsia="Arial" w:hAnsi="Arial"/>
          <w:sz w:val="16"/>
          <w:szCs w:val="16"/>
          <w:color w:val="auto"/>
        </w:rPr>
        <w:t>.</w:t>
      </w:r>
    </w:p>
    <w:p>
      <w:pPr>
        <w:spacing w:after="0" w:line="225" w:lineRule="exact"/>
        <w:rPr>
          <w:sz w:val="20"/>
          <w:szCs w:val="20"/>
          <w:color w:val="auto"/>
        </w:rPr>
      </w:pPr>
    </w:p>
    <w:p>
      <w:pPr>
        <w:ind w:right="360" w:firstLine="1952"/>
        <w:spacing w:after="0" w:line="263" w:lineRule="auto"/>
        <w:tabs>
          <w:tab w:leader="none" w:pos="2818"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Stockholder Meetings</w:t>
      </w:r>
      <w:r>
        <w:rPr>
          <w:rFonts w:ascii="Arial" w:cs="Arial" w:eastAsia="Arial" w:hAnsi="Arial"/>
          <w:sz w:val="18"/>
          <w:szCs w:val="18"/>
          <w:color w:val="auto"/>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spacing w:after="0" w:line="183" w:lineRule="exact"/>
        <w:rPr>
          <w:rFonts w:ascii="Arial" w:cs="Arial" w:eastAsia="Arial" w:hAnsi="Arial"/>
          <w:sz w:val="18"/>
          <w:szCs w:val="18"/>
          <w:color w:val="auto"/>
        </w:rPr>
      </w:pPr>
    </w:p>
    <w:p>
      <w:pPr>
        <w:ind w:left="3440" w:hanging="840"/>
        <w:spacing w:after="0"/>
        <w:tabs>
          <w:tab w:leader="none" w:pos="34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ind w:right="80" w:firstLine="2600"/>
        <w:spacing w:after="0" w:line="272" w:lineRule="auto"/>
        <w:tabs>
          <w:tab w:leader="none" w:pos="3441" w:val="left"/>
        </w:tabs>
        <w:numPr>
          <w:ilvl w:val="1"/>
          <w:numId w:val="150"/>
        </w:numPr>
        <w:rPr>
          <w:rFonts w:ascii="Arial" w:cs="Arial" w:eastAsia="Arial" w:hAnsi="Arial"/>
          <w:sz w:val="17"/>
          <w:szCs w:val="17"/>
          <w:color w:val="auto"/>
        </w:rPr>
      </w:pPr>
      <w:r>
        <w:rPr>
          <w:rFonts w:ascii="Arial" w:cs="Arial" w:eastAsia="Arial" w:hAnsi="Arial"/>
          <w:sz w:val="17"/>
          <w:szCs w:val="17"/>
          <w:color w:val="auto"/>
        </w:rPr>
        <w:t xml:space="preserve">be deemed present in person and vote at a meeting of stockholders, whether such meeting is to be held at a designated place or solely by means of remote communication,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177" w:lineRule="exact"/>
        <w:rPr>
          <w:rFonts w:ascii="Arial" w:cs="Arial" w:eastAsia="Arial" w:hAnsi="Arial"/>
          <w:sz w:val="17"/>
          <w:szCs w:val="17"/>
          <w:color w:val="auto"/>
        </w:rPr>
      </w:pPr>
    </w:p>
    <w:p>
      <w:pPr>
        <w:ind w:right="40" w:firstLine="1952"/>
        <w:spacing w:after="0" w:line="257" w:lineRule="auto"/>
        <w:tabs>
          <w:tab w:leader="none" w:pos="2828"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Board Meetings</w:t>
      </w:r>
      <w:r>
        <w:rPr>
          <w:rFonts w:ascii="Arial" w:cs="Arial" w:eastAsia="Arial" w:hAnsi="Arial"/>
          <w:sz w:val="18"/>
          <w:szCs w:val="18"/>
          <w:color w:val="auto"/>
        </w:rPr>
        <w:t>. Unless otherwise restricted by applicable law, the Certificate of Incorporation or these By 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88"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Dividends</w:t>
      </w:r>
      <w:r>
        <w:rPr>
          <w:rFonts w:ascii="Arial" w:cs="Arial" w:eastAsia="Arial" w:hAnsi="Arial"/>
          <w:sz w:val="18"/>
          <w:szCs w:val="18"/>
          <w:color w:val="auto"/>
        </w:rPr>
        <w:t>. The Board may from time to time declare, and the Corporation may pay, dividends (payable in cash, property or shares of the Corporation’s capital stock) on the Corporation’s outstanding shares of capital stock, subject to applicable law and the Certificate of Incorporation.</w:t>
      </w:r>
    </w:p>
    <w:p>
      <w:pPr>
        <w:spacing w:after="0" w:line="184"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Reserves</w:t>
      </w:r>
      <w:r>
        <w:rPr>
          <w:rFonts w:ascii="Arial" w:cs="Arial" w:eastAsia="Arial" w:hAnsi="Arial"/>
          <w:sz w:val="18"/>
          <w:szCs w:val="18"/>
          <w:color w:val="auto"/>
        </w:rPr>
        <w:t>. The Board may set apart out of the funds of the Corporation available for dividends a reserve or reserves for any proper purpose and may abolish any such reserve.</w:t>
      </w:r>
    </w:p>
    <w:p>
      <w:pPr>
        <w:spacing w:after="0" w:line="170"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Contracts and Negotiable Instruments</w:t>
      </w:r>
      <w:r>
        <w:rPr>
          <w:rFonts w:ascii="Arial" w:cs="Arial" w:eastAsia="Arial" w:hAnsi="Arial"/>
          <w:sz w:val="18"/>
          <w:szCs w:val="18"/>
          <w:color w:val="auto"/>
        </w:rPr>
        <w:t>. Except as otherwise provided by applicable law, the Certificate of Incorporation or these By 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ind w:left="1300"/>
        <w:spacing w:after="0"/>
        <w:tabs>
          <w:tab w:leader="none" w:pos="2640" w:val="left"/>
        </w:tabs>
        <w:rPr>
          <w:sz w:val="20"/>
          <w:szCs w:val="20"/>
          <w:color w:val="auto"/>
        </w:rPr>
      </w:pPr>
      <w:r>
        <w:rPr>
          <w:rFonts w:ascii="Arial" w:cs="Arial" w:eastAsia="Arial" w:hAnsi="Arial"/>
          <w:sz w:val="18"/>
          <w:szCs w:val="18"/>
          <w:color w:val="auto"/>
        </w:rPr>
        <w:t>Section 9.9</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by the Board.</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Seal</w:t>
      </w:r>
      <w:r>
        <w:rPr>
          <w:rFonts w:ascii="Arial" w:cs="Arial" w:eastAsia="Arial" w:hAnsi="Arial"/>
          <w:sz w:val="18"/>
          <w:szCs w:val="18"/>
          <w:color w:val="auto"/>
        </w:rPr>
        <w:t>. The Board may adopt a corporate seal, which shall be in such form as the Board determines. The seal may be used by causing it or a facsimile thereof to be impressed, affixed or otherwise reproduced.</w:t>
      </w:r>
    </w:p>
    <w:p>
      <w:pPr>
        <w:spacing w:after="0" w:line="170" w:lineRule="exact"/>
        <w:rPr>
          <w:sz w:val="20"/>
          <w:szCs w:val="20"/>
          <w:color w:val="auto"/>
        </w:rPr>
      </w:pPr>
    </w:p>
    <w:p>
      <w:pPr>
        <w:ind w:right="200" w:firstLine="1296"/>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books and records of the Corporation may be kept within or outside the State of Delaware at such place or places as may from time to time be designated by the Board.</w:t>
      </w:r>
    </w:p>
    <w:p>
      <w:pPr>
        <w:spacing w:after="0" w:line="170"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committee member or officer may resign by giving notice thereof in writing or by electronic transmission to the Chairman of the Board,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spacing w:after="0" w:line="187" w:lineRule="exact"/>
        <w:rPr>
          <w:sz w:val="20"/>
          <w:szCs w:val="20"/>
          <w:color w:val="auto"/>
        </w:rPr>
      </w:pPr>
    </w:p>
    <w:p>
      <w:pPr>
        <w:ind w:right="60" w:firstLine="1296"/>
        <w:spacing w:after="0" w:line="255"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Surety Bonds</w:t>
      </w:r>
      <w:r>
        <w:rPr>
          <w:rFonts w:ascii="Arial" w:cs="Arial" w:eastAsia="Arial" w:hAnsi="Arial"/>
          <w:sz w:val="18"/>
          <w:szCs w:val="18"/>
          <w:color w:val="auto"/>
        </w:rPr>
        <w:t>. Such officers, employees and agents of the Corporation (if any) as the Chairman of the Board, Chief Executive 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w:t>
      </w:r>
    </w:p>
    <w:p>
      <w:pPr>
        <w:spacing w:after="0" w:line="192" w:lineRule="exact"/>
        <w:rPr>
          <w:sz w:val="20"/>
          <w:szCs w:val="20"/>
          <w:color w:val="auto"/>
        </w:rPr>
      </w:pPr>
    </w:p>
    <w:p>
      <w:pPr>
        <w:ind w:right="80" w:firstLine="1296"/>
        <w:spacing w:after="0" w:line="271"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Securities of Other Corporations</w:t>
      </w:r>
      <w:r>
        <w:rPr>
          <w:rFonts w:ascii="Arial" w:cs="Arial" w:eastAsia="Arial" w:hAnsi="Arial"/>
          <w:sz w:val="17"/>
          <w:szCs w:val="17"/>
          <w:color w:val="auto"/>
        </w:rPr>
        <w:t>. Powers of attorney, proxies, waivers of notice of meeting, consents in writing and other 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78"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The Board shall have the power to adopt, amend, alter or repeal the By Laws. The affirmative vote of a majority of the Board shall be required to adopt, amend, alter or repeal the By Laws. The By Laws also may be adopted, amended, altered or repealed by the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addition to any vote of the holders of any class or series of capital stock of the Corporation required by applicable law or the Certificate of Incorporation, the affirmative vote of the holders of at least a majority of the voting power (except as otherwise provided in </w:t>
      </w:r>
      <w:r>
        <w:rPr>
          <w:rFonts w:ascii="Arial" w:cs="Arial" w:eastAsia="Arial" w:hAnsi="Arial"/>
          <w:sz w:val="17"/>
          <w:szCs w:val="17"/>
          <w:u w:val="single" w:color="auto"/>
          <w:color w:val="auto"/>
        </w:rPr>
        <w:t>Section 8.7</w:t>
      </w:r>
      <w:r>
        <w:rPr>
          <w:rFonts w:ascii="Arial" w:cs="Arial" w:eastAsia="Arial" w:hAnsi="Arial"/>
          <w:sz w:val="17"/>
          <w:szCs w:val="17"/>
          <w:color w:val="auto"/>
        </w:rPr>
        <w:t>) of all outstanding shares of capital stock of the Corporation entitled to vote generally in the election of directors, voting together as a single class, shall be required for the stockholders to adopt, amend, alter or repeal the By Laws.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NUMBER OF UNITS</w:t>
      </w:r>
    </w:p>
    <w:p>
      <w:pPr>
        <w:spacing w:after="0" w:line="225" w:lineRule="exact"/>
        <w:rPr>
          <w:sz w:val="20"/>
          <w:szCs w:val="20"/>
          <w:color w:val="auto"/>
        </w:rPr>
      </w:pPr>
    </w:p>
    <w:p>
      <w:pPr>
        <w:ind w:left="10420"/>
        <w:spacing w:after="0"/>
        <w:rPr>
          <w:sz w:val="20"/>
          <w:szCs w:val="20"/>
          <w:color w:val="auto"/>
        </w:rPr>
      </w:pPr>
      <w:r>
        <w:rPr>
          <w:rFonts w:ascii="Arial" w:cs="Arial" w:eastAsia="Arial" w:hAnsi="Arial"/>
          <w:sz w:val="18"/>
          <w:szCs w:val="18"/>
          <w:color w:val="auto"/>
        </w:rPr>
        <w:t>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REVERSE FOR CERTAIN DEFINITIONS</w:t>
      </w:r>
    </w:p>
    <w:p>
      <w:pPr>
        <w:spacing w:after="0" w:line="225" w:lineRule="exact"/>
        <w:rPr>
          <w:sz w:val="20"/>
          <w:szCs w:val="20"/>
          <w:color w:val="auto"/>
        </w:rPr>
      </w:pPr>
    </w:p>
    <w:p>
      <w:pPr>
        <w:ind w:left="9660"/>
        <w:spacing w:after="0"/>
        <w:rPr>
          <w:sz w:val="20"/>
          <w:szCs w:val="20"/>
          <w:color w:val="auto"/>
        </w:rPr>
      </w:pPr>
      <w:r>
        <w:rPr>
          <w:rFonts w:ascii="Arial" w:cs="Arial" w:eastAsia="Arial" w:hAnsi="Arial"/>
          <w:sz w:val="16"/>
          <w:szCs w:val="16"/>
          <w:color w:val="auto"/>
        </w:rPr>
        <w:t>CUSIP [__________]</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 CONSISTING OF ONE SHARE OF CLASS A COMMON STOCK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ONE-FOURTH OF ONE REDEEMABLE WARRANT, EACH WHOLE WARRANT ENTITLING THE HOLDER TO PURCHASE ONE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CERTIFIES THAT is the owner of Units.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Each Unit (“</w:t>
      </w:r>
      <w:r>
        <w:rPr>
          <w:rFonts w:ascii="Arial" w:cs="Arial" w:eastAsia="Arial" w:hAnsi="Arial"/>
          <w:sz w:val="16"/>
          <w:szCs w:val="16"/>
          <w:u w:val="single" w:color="auto"/>
          <w:color w:val="auto"/>
        </w:rPr>
        <w:t>Unit</w:t>
      </w:r>
      <w:r>
        <w:rPr>
          <w:rFonts w:ascii="Arial" w:cs="Arial" w:eastAsia="Arial" w:hAnsi="Arial"/>
          <w:sz w:val="16"/>
          <w:szCs w:val="16"/>
          <w:color w:val="auto"/>
        </w:rPr>
        <w:t>”) consists of one (1) share of Class A common stock, par value $0.0001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one-fourth (1/4) of one warrant (each whole warrant, a “</w:t>
      </w:r>
      <w:r>
        <w:rPr>
          <w:rFonts w:ascii="Arial" w:cs="Arial" w:eastAsia="Arial" w:hAnsi="Arial"/>
          <w:sz w:val="16"/>
          <w:szCs w:val="16"/>
          <w:u w:val="single" w:color="auto"/>
          <w:color w:val="auto"/>
        </w:rPr>
        <w:t>Warrant</w:t>
      </w:r>
      <w:r>
        <w:rPr>
          <w:rFonts w:ascii="Arial" w:cs="Arial" w:eastAsia="Arial" w:hAnsi="Arial"/>
          <w:sz w:val="16"/>
          <w:szCs w:val="16"/>
          <w:color w:val="auto"/>
        </w:rPr>
        <w:t>”). Each whole Warrant entitles the holder to purchase one (1) share (subject to adjustment) of Common Stock for $11.50 per share (subject to adjustment). Only whole Warrants are exercisable. Each whole Warrant will become exercisable on the later of (i) thirty (30) days after the Company’s completion of a merger, capital stock exchange, asset acquisition, stock purchase, reorganization or other similar business combination with one or more businesses (each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or (ii) twelve (12) months from the closing of the Company’s initial public offering, and will expire unless exercised before 5:00 p.m., New York City Time, on the date that is five (5) years after the date on which the Company completes its initial Business Combination, or earlier upon redemption or liquidation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The Common Stock and Warrants comprising the Units represented by this certificate are not transferable separately prior to [DATE], unless Citigroup Global Markets Inc. elects to allow earlier separate trading, subject to the Company’s filing of a Current Report on Form 8-K with the Securities and Exchange Commission containing an audited balance sheet reflecting the Company’s receipt of the gross proceeds of the Company’s initial public offering and issuing a press release announcing when separate trading will begin. No fractional Warrants will be issued upon separation of the Units. The terms of the Warrants are governed by a Warrant Agreement, dated as of [DATE], between the Company and Continental Stock Transfer &amp; Trust Company, as Warrant Agent, and are subject to the terms and provisions contained therein, all of which terms and provisions the holder of this certificate consents to by acceptance hereof. Copies of the Warrant Agreement are on file at the office of the Warrant Agent at One State Street, New York, New York 10004, and are available to any Warrant holder on written request and without cost.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shall be governed by and construed in accordance with the internal laws of the State of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the facsimile signature of its duly authorized officers.</w:t>
      </w:r>
    </w:p>
    <w:p>
      <w:pPr>
        <w:spacing w:after="0" w:line="239"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Secretary</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The Company will furnish without charge to each unitholder who so requests, a statement of the powers, designations, preferences and relative, participating, optional or other special rights of each class of stock or series thereof of the Company and the qualifications, limitations, or restrictions of such preferences and/or rights.</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TEN COM —</w:t>
            </w:r>
          </w:p>
        </w:tc>
        <w:tc>
          <w:tcPr>
            <w:tcW w:w="3400" w:type="dxa"/>
            <w:vAlign w:val="bottom"/>
          </w:tcPr>
          <w:p>
            <w:pPr>
              <w:ind w:left="80"/>
              <w:spacing w:after="0"/>
              <w:rPr>
                <w:sz w:val="20"/>
                <w:szCs w:val="20"/>
                <w:color w:val="auto"/>
              </w:rPr>
            </w:pPr>
            <w:r>
              <w:rPr>
                <w:rFonts w:ascii="Arial" w:cs="Arial" w:eastAsia="Arial" w:hAnsi="Arial"/>
                <w:sz w:val="18"/>
                <w:szCs w:val="18"/>
                <w:color w:val="auto"/>
              </w:rPr>
              <w:t>as tenants in common</w:t>
            </w:r>
          </w:p>
        </w:tc>
        <w:tc>
          <w:tcPr>
            <w:tcW w:w="2400" w:type="dxa"/>
            <w:vAlign w:val="bottom"/>
          </w:tcPr>
          <w:p>
            <w:pPr>
              <w:ind w:left="40"/>
              <w:spacing w:after="0"/>
              <w:rPr>
                <w:sz w:val="20"/>
                <w:szCs w:val="20"/>
                <w:color w:val="auto"/>
              </w:rPr>
            </w:pPr>
            <w:r>
              <w:rPr>
                <w:rFonts w:ascii="Arial" w:cs="Arial" w:eastAsia="Arial" w:hAnsi="Arial"/>
                <w:sz w:val="18"/>
                <w:szCs w:val="18"/>
                <w:color w:val="auto"/>
              </w:rPr>
              <w:t>UNIF GIFT MIN ACT —</w:t>
            </w:r>
          </w:p>
        </w:tc>
        <w:tc>
          <w:tcPr>
            <w:tcW w:w="1000" w:type="dxa"/>
            <w:vAlign w:val="bottom"/>
          </w:tcPr>
          <w:p>
            <w:pPr>
              <w:spacing w:after="0"/>
              <w:rPr>
                <w:sz w:val="20"/>
                <w:szCs w:val="20"/>
                <w:color w:val="auto"/>
              </w:rPr>
            </w:pPr>
          </w:p>
        </w:tc>
        <w:tc>
          <w:tcPr>
            <w:tcW w:w="3260" w:type="dxa"/>
            <w:vAlign w:val="bottom"/>
          </w:tcPr>
          <w:p>
            <w:pPr>
              <w:jc w:val="center"/>
              <w:ind w:right="450"/>
              <w:spacing w:after="0"/>
              <w:rPr>
                <w:sz w:val="20"/>
                <w:szCs w:val="20"/>
                <w:color w:val="auto"/>
              </w:rPr>
            </w:pPr>
            <w:r>
              <w:rPr>
                <w:rFonts w:ascii="Arial" w:cs="Arial" w:eastAsia="Arial" w:hAnsi="Arial"/>
                <w:sz w:val="18"/>
                <w:szCs w:val="18"/>
                <w:color w:val="auto"/>
                <w:w w:val="88"/>
              </w:rPr>
              <w:t>Custodian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TEN ENT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400" w:type="dxa"/>
            <w:vAlign w:val="bottom"/>
          </w:tcPr>
          <w:p>
            <w:pPr>
              <w:ind w:left="80"/>
              <w:spacing w:after="0"/>
              <w:rPr>
                <w:sz w:val="20"/>
                <w:szCs w:val="20"/>
                <w:color w:val="auto"/>
              </w:rPr>
            </w:pPr>
            <w:r>
              <w:rPr>
                <w:rFonts w:ascii="Arial" w:cs="Arial" w:eastAsia="Arial" w:hAnsi="Arial"/>
                <w:sz w:val="18"/>
                <w:szCs w:val="18"/>
                <w:color w:val="auto"/>
              </w:rPr>
              <w:t>as tenants by the entireties</w:t>
            </w:r>
          </w:p>
        </w:tc>
        <w:tc>
          <w:tcPr>
            <w:tcW w:w="240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rPr>
              <w:t>(Cust)</w:t>
            </w:r>
          </w:p>
        </w:tc>
        <w:tc>
          <w:tcPr>
            <w:tcW w:w="3260" w:type="dxa"/>
            <w:vAlign w:val="bottom"/>
          </w:tcPr>
          <w:p>
            <w:pPr>
              <w:ind w:left="2700"/>
              <w:spacing w:after="0"/>
              <w:rPr>
                <w:sz w:val="20"/>
                <w:szCs w:val="20"/>
                <w:color w:val="auto"/>
              </w:rPr>
            </w:pPr>
            <w:r>
              <w:rPr>
                <w:rFonts w:ascii="Arial" w:cs="Arial" w:eastAsia="Arial" w:hAnsi="Arial"/>
                <w:sz w:val="18"/>
                <w:szCs w:val="18"/>
                <w:color w:val="auto"/>
                <w:w w:val="94"/>
              </w:rPr>
              <w:t>(Minor)</w:t>
            </w:r>
          </w:p>
        </w:tc>
      </w:tr>
      <w:tr>
        <w:trPr>
          <w:trHeight w:val="634"/>
        </w:trPr>
        <w:tc>
          <w:tcPr>
            <w:tcW w:w="840" w:type="dxa"/>
            <w:vAlign w:val="bottom"/>
          </w:tcPr>
          <w:p>
            <w:pPr>
              <w:spacing w:after="0"/>
              <w:rPr>
                <w:sz w:val="20"/>
                <w:szCs w:val="20"/>
                <w:color w:val="auto"/>
              </w:rPr>
            </w:pPr>
            <w:r>
              <w:rPr>
                <w:rFonts w:ascii="Arial" w:cs="Arial" w:eastAsia="Arial" w:hAnsi="Arial"/>
                <w:sz w:val="18"/>
                <w:szCs w:val="18"/>
                <w:color w:val="auto"/>
              </w:rPr>
              <w:t>JT TEN</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400" w:type="dxa"/>
            <w:vAlign w:val="bottom"/>
          </w:tcPr>
          <w:p>
            <w:pPr>
              <w:ind w:left="80"/>
              <w:spacing w:after="0"/>
              <w:rPr>
                <w:sz w:val="20"/>
                <w:szCs w:val="20"/>
                <w:color w:val="auto"/>
              </w:rPr>
            </w:pPr>
            <w:r>
              <w:rPr>
                <w:rFonts w:ascii="Arial" w:cs="Arial" w:eastAsia="Arial" w:hAnsi="Arial"/>
                <w:sz w:val="18"/>
                <w:szCs w:val="18"/>
                <w:color w:val="auto"/>
                <w:w w:val="93"/>
              </w:rPr>
              <w:t>as joint tenants with right of survivorship and</w:t>
            </w:r>
          </w:p>
        </w:tc>
        <w:tc>
          <w:tcPr>
            <w:tcW w:w="2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60" w:type="dxa"/>
            <w:vAlign w:val="bottom"/>
          </w:tcPr>
          <w:p>
            <w:pPr>
              <w:jc w:val="center"/>
              <w:ind w:right="470"/>
              <w:spacing w:after="0"/>
              <w:rPr>
                <w:sz w:val="20"/>
                <w:szCs w:val="20"/>
                <w:color w:val="auto"/>
              </w:rPr>
            </w:pPr>
            <w:r>
              <w:rPr>
                <w:rFonts w:ascii="Arial" w:cs="Arial" w:eastAsia="Arial" w:hAnsi="Arial"/>
                <w:sz w:val="18"/>
                <w:szCs w:val="18"/>
                <w:color w:val="auto"/>
                <w:w w:val="95"/>
              </w:rPr>
              <w:t>under Uniform Gifts to Minors Act</w:t>
            </w:r>
          </w:p>
        </w:tc>
      </w:tr>
      <w:tr>
        <w:trPr>
          <w:trHeight w:val="230"/>
        </w:trPr>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tcPr>
          <w:p>
            <w:pPr>
              <w:ind w:left="80"/>
              <w:spacing w:after="0"/>
              <w:rPr>
                <w:sz w:val="20"/>
                <w:szCs w:val="20"/>
                <w:color w:val="auto"/>
              </w:rPr>
            </w:pPr>
            <w:r>
              <w:rPr>
                <w:rFonts w:ascii="Arial" w:cs="Arial" w:eastAsia="Arial" w:hAnsi="Arial"/>
                <w:sz w:val="18"/>
                <w:szCs w:val="18"/>
                <w:color w:val="auto"/>
              </w:rPr>
              <w:t>not as tenants in common</w:t>
            </w:r>
          </w:p>
        </w:tc>
        <w:tc>
          <w:tcPr>
            <w:tcW w:w="2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60" w:type="dxa"/>
            <w:vAlign w:val="bottom"/>
          </w:tcPr>
          <w:p>
            <w:pPr>
              <w:jc w:val="center"/>
              <w:ind w:right="450"/>
              <w:spacing w:after="0"/>
              <w:rPr>
                <w:sz w:val="20"/>
                <w:szCs w:val="20"/>
                <w:color w:val="auto"/>
              </w:rPr>
            </w:pPr>
            <w:r>
              <w:rPr>
                <w:rFonts w:ascii="Arial" w:cs="Arial" w:eastAsia="Arial" w:hAnsi="Arial"/>
                <w:sz w:val="18"/>
                <w:szCs w:val="18"/>
                <w:color w:val="auto"/>
                <w:w w:val="88"/>
              </w:rPr>
              <w:t>(State)</w:t>
            </w:r>
          </w:p>
        </w:tc>
      </w:tr>
    </w:tbl>
    <w:p>
      <w:pPr>
        <w:spacing w:after="0" w:line="200" w:lineRule="exact"/>
        <w:rPr>
          <w:sz w:val="20"/>
          <w:szCs w:val="20"/>
          <w:color w:val="auto"/>
        </w:rPr>
      </w:pPr>
    </w:p>
    <w:p>
      <w:pPr>
        <w:spacing w:after="0" w:line="218"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value received, hereby sell, assign and transfer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IDENTIFYING NUMBER OF ASSIGNEE</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Units represented by the within Certificate, and do hereby irrevocably constitute and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the said Units on the books of the within named Company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0" w:lineRule="exact"/>
        <w:rPr>
          <w:sz w:val="20"/>
          <w:szCs w:val="20"/>
          <w:color w:val="auto"/>
        </w:rPr>
      </w:pPr>
    </w:p>
    <w:p>
      <w:pPr>
        <w:spacing w:after="0" w:line="237"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The signature to this assignment must correspond with the name</w:t>
      </w:r>
    </w:p>
    <w:p>
      <w:pPr>
        <w:spacing w:after="0" w:line="5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written upon the face of the certificate in every particular, without</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alteration or enlargement or any change whatever.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spacing w:after="0" w:line="269" w:lineRule="auto"/>
        <w:rPr>
          <w:sz w:val="20"/>
          <w:szCs w:val="20"/>
          <w:color w:val="auto"/>
        </w:rPr>
      </w:pPr>
      <w:r>
        <w:rPr>
          <w:rFonts w:ascii="Arial" w:cs="Arial" w:eastAsia="Arial" w:hAnsi="Arial"/>
          <w:sz w:val="17"/>
          <w:szCs w:val="17"/>
          <w:color w:val="auto"/>
        </w:rPr>
        <w:t>In each case, as more fully described in the Company’s final prospectus dated [DATE], the holder(s) of the Company’s Class A common stock shall be entitled to receive a pro-rata portion of certain funds held in the trust account established in connection with the Company’s initial public offering only in the event that (i) the Company redeems the shares of Class A common stock sold in its initial public offering and liquidates because it does not consummate an initial business combination by [DATE] (or such later date if such period is extended pursuant to the Company’s Certificate of Incorporation as in effect at such time), (ii) the Company redeems the shares of Class A common stock sold in its initial public offering in connection with a stockholder vote to amend the Company’s amended and restated certificate of incorporation to modify the substance or timing of the Company’s obligation to redeem 100% of the Class A common stock if it does not consummate an initial business combination by [DATE] (or such later date, if such period is extended pursuant to the Company’s Certificate of Incorporation as in effect at such time) or with respect to any other material provisions relating to stockholders’ rights of pre-initial business combination activity, or (iii) if the holder(s) seek(s) to redeem for cash his, her or its respective shares of Class A common stock in connection with a tender offer (or proxy solicitation, solely in the event the Company seeks stockholder approval of the proposed initial business combination) setting forth the details of a proposed initial business combination. In no other circumstances shall the holder(s) have any right or interest of any kind in or to the trust account.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ind w:left="10240"/>
        <w:spacing w:after="0"/>
        <w:rPr>
          <w:sz w:val="20"/>
          <w:szCs w:val="20"/>
          <w:color w:val="auto"/>
        </w:rPr>
      </w:pPr>
      <w:r>
        <w:rPr>
          <w:rFonts w:ascii="Arial" w:cs="Arial" w:eastAsia="Arial" w:hAnsi="Arial"/>
          <w:sz w:val="19"/>
          <w:szCs w:val="19"/>
          <w:b w:val="1"/>
          <w:bCs w:val="1"/>
          <w:color w:val="auto"/>
        </w:rPr>
        <w:t>Exhibit 4.2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REVERSE FOR CERTAIN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UNDER THE LAWS OF THE STATE OF DELAWARE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FULLY PAID AND NON-ASSESSABLE SHARES OF THE PAR VALUE OF $0.0001 EACH OF THE CLASS A COMMON STOCK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transferable on the books of the Corporation in person or by duly authorized attorney upon surrender of this certificate properly endorsed.</w:t>
      </w:r>
    </w:p>
    <w:p>
      <w:pPr>
        <w:spacing w:after="0" w:line="225"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 Corporation will be forced to offer to redeem of all its shares of Class A common stock in connection with an initial business combination or to redeem all of its shares of Class A common stock if it is unable to complete a business combination by [DATE] (unless extended pursuant to the Corporation’s Certificate of Incorporation as in effect at such time) , all as more fully described in the Corporation’s final prospectus dated [DATE].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the seal of the Corporation and the facsimile signatures of its duly authorized officers.</w:t>
      </w:r>
    </w:p>
    <w:p>
      <w:pPr>
        <w:spacing w:after="0" w:line="200" w:lineRule="exact"/>
        <w:rPr>
          <w:sz w:val="20"/>
          <w:szCs w:val="20"/>
          <w:color w:val="auto"/>
        </w:rPr>
      </w:pPr>
    </w:p>
    <w:p>
      <w:pPr>
        <w:spacing w:after="0" w:line="255" w:lineRule="exact"/>
        <w:rPr>
          <w:sz w:val="20"/>
          <w:szCs w:val="20"/>
          <w:color w:val="auto"/>
        </w:rPr>
      </w:pPr>
    </w:p>
    <w:p>
      <w:pPr>
        <w:spacing w:after="0"/>
        <w:tabs>
          <w:tab w:leader="none" w:pos="4240" w:val="left"/>
          <w:tab w:leader="none" w:pos="7180" w:val="left"/>
        </w:tabs>
        <w:rPr>
          <w:sz w:val="20"/>
          <w:szCs w:val="20"/>
          <w:color w:val="auto"/>
        </w:rPr>
      </w:pPr>
      <w:r>
        <w:rPr>
          <w:rFonts w:ascii="Arial" w:cs="Arial" w:eastAsia="Arial" w:hAnsi="Arial"/>
          <w:sz w:val="18"/>
          <w:szCs w:val="18"/>
          <w:color w:val="auto"/>
        </w:rPr>
        <w:t>Secretary</w:t>
      </w:r>
      <w:r>
        <w:rPr>
          <w:sz w:val="20"/>
          <w:szCs w:val="20"/>
          <w:color w:val="auto"/>
        </w:rPr>
        <w:tab/>
      </w:r>
      <w:r>
        <w:rPr>
          <w:rFonts w:ascii="Arial" w:cs="Arial" w:eastAsia="Arial" w:hAnsi="Arial"/>
          <w:sz w:val="18"/>
          <w:szCs w:val="18"/>
          <w:u w:val="single" w:color="auto"/>
          <w:color w:val="auto"/>
        </w:rPr>
        <w:t>[Corporate Seal] Delaware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5628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264033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Corporation will furnish without charge to each stockholder who so requests the powers, designations, preferences and relative, participating, optional or other special rights of each class of stock or series thereof of the Corporation and the qualifications, limitations, or restrictions of such preferences and/or rights. This certificate and the shares represented thereby are issued and shall be held subject to all the provisions of the Certificate of Incorporation and all amendments thereto and resolutions of the Board of Directors providing for the issue of securities (copies of which may be obtained from the secretary of the Corporation),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TEN COM</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3400" w:type="dxa"/>
            <w:vAlign w:val="bottom"/>
          </w:tcPr>
          <w:p>
            <w:pPr>
              <w:ind w:left="240"/>
              <w:spacing w:after="0"/>
              <w:rPr>
                <w:sz w:val="20"/>
                <w:szCs w:val="20"/>
                <w:color w:val="auto"/>
              </w:rPr>
            </w:pPr>
            <w:r>
              <w:rPr>
                <w:rFonts w:ascii="Arial" w:cs="Arial" w:eastAsia="Arial" w:hAnsi="Arial"/>
                <w:sz w:val="18"/>
                <w:szCs w:val="18"/>
                <w:color w:val="auto"/>
              </w:rPr>
              <w:t>as tenants in common</w:t>
            </w:r>
          </w:p>
        </w:tc>
        <w:tc>
          <w:tcPr>
            <w:tcW w:w="2380" w:type="dxa"/>
            <w:vAlign w:val="bottom"/>
          </w:tcPr>
          <w:p>
            <w:pPr>
              <w:ind w:left="200"/>
              <w:spacing w:after="0"/>
              <w:rPr>
                <w:sz w:val="20"/>
                <w:szCs w:val="20"/>
                <w:color w:val="auto"/>
              </w:rPr>
            </w:pPr>
            <w:r>
              <w:rPr>
                <w:rFonts w:ascii="Arial" w:cs="Arial" w:eastAsia="Arial" w:hAnsi="Arial"/>
                <w:sz w:val="18"/>
                <w:szCs w:val="18"/>
                <w:color w:val="auto"/>
              </w:rPr>
              <w:t>UNIF GIFT MIN ACT —</w:t>
            </w:r>
          </w:p>
        </w:tc>
        <w:tc>
          <w:tcPr>
            <w:tcW w:w="1320" w:type="dxa"/>
            <w:vAlign w:val="bottom"/>
          </w:tcPr>
          <w:p>
            <w:pPr>
              <w:spacing w:after="0"/>
              <w:rPr>
                <w:sz w:val="20"/>
                <w:szCs w:val="20"/>
                <w:color w:val="auto"/>
              </w:rPr>
            </w:pPr>
          </w:p>
        </w:tc>
        <w:tc>
          <w:tcPr>
            <w:tcW w:w="2440" w:type="dxa"/>
            <w:vAlign w:val="bottom"/>
            <w:gridSpan w:val="3"/>
          </w:tcPr>
          <w:p>
            <w:pPr>
              <w:jc w:val="center"/>
              <w:ind w:right="1230"/>
              <w:spacing w:after="0"/>
              <w:rPr>
                <w:sz w:val="20"/>
                <w:szCs w:val="20"/>
                <w:color w:val="auto"/>
              </w:rPr>
            </w:pPr>
            <w:r>
              <w:rPr>
                <w:rFonts w:ascii="Arial" w:cs="Arial" w:eastAsia="Arial" w:hAnsi="Arial"/>
                <w:sz w:val="18"/>
                <w:szCs w:val="18"/>
                <w:color w:val="auto"/>
                <w:w w:val="88"/>
              </w:rPr>
              <w:t>Custodian</w:t>
            </w: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20"/>
                <w:szCs w:val="20"/>
                <w:color w:val="auto"/>
              </w:rPr>
            </w:pPr>
            <w:r>
              <w:rPr>
                <w:rFonts w:ascii="Arial" w:cs="Arial" w:eastAsia="Arial" w:hAnsi="Arial"/>
                <w:sz w:val="18"/>
                <w:szCs w:val="18"/>
                <w:color w:val="auto"/>
              </w:rPr>
              <w:t>TEN ENT</w:t>
            </w:r>
          </w:p>
        </w:tc>
        <w:tc>
          <w:tcPr>
            <w:tcW w:w="6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400" w:type="dxa"/>
            <w:vAlign w:val="bottom"/>
            <w:vMerge w:val="restart"/>
          </w:tcPr>
          <w:p>
            <w:pPr>
              <w:ind w:left="240"/>
              <w:spacing w:after="0"/>
              <w:rPr>
                <w:sz w:val="20"/>
                <w:szCs w:val="20"/>
                <w:color w:val="auto"/>
              </w:rPr>
            </w:pPr>
            <w:r>
              <w:rPr>
                <w:rFonts w:ascii="Arial" w:cs="Arial" w:eastAsia="Arial" w:hAnsi="Arial"/>
                <w:sz w:val="18"/>
                <w:szCs w:val="18"/>
                <w:color w:val="auto"/>
              </w:rPr>
              <w:t>as tenants by the entireties</w:t>
            </w:r>
          </w:p>
        </w:tc>
        <w:tc>
          <w:tcPr>
            <w:tcW w:w="23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340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Pr>
          <w:p>
            <w:pPr>
              <w:ind w:left="680"/>
              <w:spacing w:after="0"/>
              <w:rPr>
                <w:sz w:val="20"/>
                <w:szCs w:val="20"/>
                <w:color w:val="auto"/>
              </w:rPr>
            </w:pPr>
            <w:r>
              <w:rPr>
                <w:rFonts w:ascii="Arial" w:cs="Arial" w:eastAsia="Arial" w:hAnsi="Arial"/>
                <w:sz w:val="18"/>
                <w:szCs w:val="18"/>
                <w:color w:val="auto"/>
              </w:rPr>
              <w:t>(Cust)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ind w:left="62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403"/>
        </w:trPr>
        <w:tc>
          <w:tcPr>
            <w:tcW w:w="1020" w:type="dxa"/>
            <w:vAlign w:val="bottom"/>
          </w:tcPr>
          <w:p>
            <w:pPr>
              <w:spacing w:after="0"/>
              <w:rPr>
                <w:sz w:val="20"/>
                <w:szCs w:val="20"/>
                <w:color w:val="auto"/>
              </w:rPr>
            </w:pPr>
            <w:r>
              <w:rPr>
                <w:rFonts w:ascii="Arial" w:cs="Arial" w:eastAsia="Arial" w:hAnsi="Arial"/>
                <w:sz w:val="18"/>
                <w:szCs w:val="18"/>
                <w:color w:val="auto"/>
              </w:rPr>
              <w:t>JT TEN</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3400" w:type="dxa"/>
            <w:vAlign w:val="bottom"/>
          </w:tcPr>
          <w:p>
            <w:pPr>
              <w:ind w:left="240"/>
              <w:spacing w:after="0"/>
              <w:rPr>
                <w:sz w:val="20"/>
                <w:szCs w:val="20"/>
                <w:color w:val="auto"/>
              </w:rPr>
            </w:pPr>
            <w:r>
              <w:rPr>
                <w:rFonts w:ascii="Arial" w:cs="Arial" w:eastAsia="Arial" w:hAnsi="Arial"/>
                <w:sz w:val="18"/>
                <w:szCs w:val="18"/>
                <w:color w:val="auto"/>
                <w:w w:val="98"/>
              </w:rPr>
              <w:t>as joint tenants with right of survivorship</w:t>
            </w:r>
          </w:p>
        </w:tc>
        <w:tc>
          <w:tcPr>
            <w:tcW w:w="2380" w:type="dxa"/>
            <w:vAlign w:val="bottom"/>
          </w:tcPr>
          <w:p>
            <w:pPr>
              <w:spacing w:after="0"/>
              <w:rPr>
                <w:sz w:val="24"/>
                <w:szCs w:val="24"/>
                <w:color w:val="auto"/>
              </w:rPr>
            </w:pPr>
          </w:p>
        </w:tc>
        <w:tc>
          <w:tcPr>
            <w:tcW w:w="3760" w:type="dxa"/>
            <w:vAlign w:val="bottom"/>
            <w:gridSpan w:val="4"/>
          </w:tcPr>
          <w:p>
            <w:pPr>
              <w:jc w:val="center"/>
              <w:spacing w:after="0"/>
              <w:rPr>
                <w:sz w:val="20"/>
                <w:szCs w:val="20"/>
                <w:color w:val="auto"/>
              </w:rPr>
            </w:pPr>
            <w:r>
              <w:rPr>
                <w:rFonts w:ascii="Arial" w:cs="Arial" w:eastAsia="Arial" w:hAnsi="Arial"/>
                <w:sz w:val="18"/>
                <w:szCs w:val="18"/>
                <w:color w:val="auto"/>
                <w:w w:val="95"/>
              </w:rPr>
              <w:t>under Uniform Gifts to Minors Act</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and not as tenants in common</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40" w:type="dxa"/>
            <w:vAlign w:val="bottom"/>
            <w:gridSpan w:val="3"/>
          </w:tcPr>
          <w:p>
            <w:pPr>
              <w:jc w:val="center"/>
              <w:ind w:right="1230"/>
              <w:spacing w:after="0"/>
              <w:rPr>
                <w:sz w:val="20"/>
                <w:szCs w:val="20"/>
                <w:color w:val="auto"/>
              </w:rPr>
            </w:pPr>
            <w:r>
              <w:rPr>
                <w:rFonts w:ascii="Arial" w:cs="Arial" w:eastAsia="Arial" w:hAnsi="Arial"/>
                <w:sz w:val="18"/>
                <w:szCs w:val="18"/>
                <w:color w:val="auto"/>
                <w:w w:val="88"/>
              </w:rPr>
              <w:t>(State)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value received, hereby sells, assigns and transfers unto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of the capital stock represented by the within Certificate, and hereby irrevocably constitutes and appoints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Attorney to transfer the said stock on the books of the within named Corporation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21" w:lineRule="exact"/>
        <w:rPr>
          <w:sz w:val="20"/>
          <w:szCs w:val="20"/>
          <w:color w:val="auto"/>
        </w:rPr>
      </w:pPr>
    </w:p>
    <w:p>
      <w:pPr>
        <w:ind w:left="4540" w:right="60"/>
        <w:spacing w:after="0" w:line="257"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The signature to this assignment must correspond with the name as written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face of the certificate in every particular, without alteration or enlargement or any change whatever.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8" w:name="page239"/>
    <w:bookmarkEnd w:id="238"/>
    <w:p>
      <w:pPr>
        <w:ind w:firstLine="648"/>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18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each case, as more fully described in the Corporation’s final prospectus dated [DATE], the holder(s) of this certificate shall be entitled to receive a pro-rata portion of certain funds held in the trust account established in connection with its initial public offering only in the event that (i) the Corporation redeems the shares of Class A common stock sold in the Company’s initial public offering and liquidates because it does not consummate an initial business combination by [DATE] (or such later date if such period is extended pursuant to the Company’s Certificate of Incorporation as in effect at such time), (ii) the Corporation redeems the shares of Class A common stock sold in its initial public offering in connection with a stockholder vote to amend the Corporation’s amended and restated certificate of incorporation to modify the substance or timing of the Corporation’s obligation to redeem 100% of the Class A common stock if it does not consummate an initial business combination by [DATE] (or such later date if such period is extended pursuant to the Company’s Certificate of Incorporation as in effect at such time) or with respect to any other material provisions relating to stockholders’ rights of pre-initial business combination activity, or (iii) if the holder(s) seek(s) to redeem for cash his, her or its respective shares of Class A common stock in connection with a tender offer (or proxy solicitation, solely in the event the Corporation seeks stockholder approval of the proposed initial business combination) setting forth the details of a proposed initial business combination. In no other circumstances shall the holder(s) have any right or interest of any kind in or to the trust account.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[DATE]</w:t>
      </w:r>
    </w:p>
    <w:p>
      <w:pPr>
        <w:spacing w:after="0" w:line="221" w:lineRule="exact"/>
        <w:rPr>
          <w:sz w:val="20"/>
          <w:szCs w:val="20"/>
          <w:color w:val="auto"/>
        </w:rPr>
      </w:pPr>
    </w:p>
    <w:p>
      <w:pPr>
        <w:ind w:right="640" w:firstLine="648"/>
        <w:spacing w:after="0" w:line="312" w:lineRule="auto"/>
        <w:rPr>
          <w:sz w:val="20"/>
          <w:szCs w:val="20"/>
          <w:color w:val="auto"/>
        </w:rPr>
      </w:pPr>
      <w:r>
        <w:rPr>
          <w:rFonts w:ascii="Arial" w:cs="Arial" w:eastAsia="Arial" w:hAnsi="Arial"/>
          <w:sz w:val="17"/>
          <w:szCs w:val="17"/>
          <w:color w:val="auto"/>
        </w:rPr>
        <w:t>THIS WARRANT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[DATE] is by and between [COMPANY],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Continental Stock Transfer &amp; Trust Company, a New York corporation, as warrant agent (the “</w:t>
      </w:r>
      <w:r>
        <w:rPr>
          <w:rFonts w:ascii="Arial" w:cs="Arial" w:eastAsia="Arial" w:hAnsi="Arial"/>
          <w:sz w:val="17"/>
          <w:szCs w:val="17"/>
          <w:b w:val="1"/>
          <w:bCs w:val="1"/>
          <w:color w:val="auto"/>
        </w:rPr>
        <w:t>Warrant Agent</w:t>
      </w:r>
      <w:r>
        <w:rPr>
          <w:rFonts w:ascii="Arial" w:cs="Arial" w:eastAsia="Arial" w:hAnsi="Arial"/>
          <w:sz w:val="17"/>
          <w:szCs w:val="17"/>
          <w:color w:val="auto"/>
        </w:rPr>
        <w:t>”).</w:t>
      </w:r>
    </w:p>
    <w:p>
      <w:pPr>
        <w:spacing w:after="0" w:line="14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WHEREAS, on [DATE], the Company entered into that certain Private Placement Warrants Purchase Agreement, with [SPONSOR COMPANY], a Delaware limited liability company (“</w:t>
      </w:r>
      <w:r>
        <w:rPr>
          <w:rFonts w:ascii="Arial" w:cs="Arial" w:eastAsia="Arial" w:hAnsi="Arial"/>
          <w:sz w:val="18"/>
          <w:szCs w:val="18"/>
          <w:b w:val="1"/>
          <w:bCs w:val="1"/>
          <w:color w:val="auto"/>
        </w:rPr>
        <w:t>Sponsor</w:t>
      </w:r>
      <w:r>
        <w:rPr>
          <w:rFonts w:ascii="Arial" w:cs="Arial" w:eastAsia="Arial" w:hAnsi="Arial"/>
          <w:sz w:val="18"/>
          <w:szCs w:val="18"/>
          <w:color w:val="auto"/>
        </w:rPr>
        <w:t>”), pursuant to which Sponsor will purchase an aggregate of up to [·] warrants (including up to [·] warrants subject to the Over-allotment Option (as defined below)) simultaneously with the closing of the Offering (and the closing of the Over-allotment Option) (as defined below), if applicable), bearing the legend set forth in Exhibit B hereto (the “</w:t>
      </w:r>
      <w:r>
        <w:rPr>
          <w:rFonts w:ascii="Arial" w:cs="Arial" w:eastAsia="Arial" w:hAnsi="Arial"/>
          <w:sz w:val="18"/>
          <w:szCs w:val="18"/>
          <w:b w:val="1"/>
          <w:bCs w:val="1"/>
          <w:color w:val="auto"/>
        </w:rPr>
        <w:t>Private Placement Warrants</w:t>
      </w:r>
      <w:r>
        <w:rPr>
          <w:rFonts w:ascii="Arial" w:cs="Arial" w:eastAsia="Arial" w:hAnsi="Arial"/>
          <w:sz w:val="18"/>
          <w:szCs w:val="18"/>
          <w:color w:val="auto"/>
        </w:rPr>
        <w:t>”) at a purchase price of $1.00 per Private Placement Warrant; and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in order to finance the Company’s transaction costs in connection with an intended Business Combination, the Sponsor or affiliates of the Sponsor or certain of the Company’s officers and directors may, but are not obligated to, loan the Company funds as the Company may require, of which up to $[·] may be convertible into up to an additional [·] Private Placement Warrants of the post Business Combination entity at a price of $1.00 per warrant;</w:t>
      </w:r>
    </w:p>
    <w:p>
      <w:pPr>
        <w:spacing w:after="0" w:line="18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WHEREAS, the Company is engaged in an initial public offering (the “</w:t>
      </w:r>
      <w:r>
        <w:rPr>
          <w:rFonts w:ascii="Arial" w:cs="Arial" w:eastAsia="Arial" w:hAnsi="Arial"/>
          <w:sz w:val="18"/>
          <w:szCs w:val="18"/>
          <w:b w:val="1"/>
          <w:bCs w:val="1"/>
          <w:color w:val="auto"/>
        </w:rPr>
        <w:t>Offering</w:t>
      </w:r>
      <w:r>
        <w:rPr>
          <w:rFonts w:ascii="Arial" w:cs="Arial" w:eastAsia="Arial" w:hAnsi="Arial"/>
          <w:sz w:val="18"/>
          <w:szCs w:val="18"/>
          <w:color w:val="auto"/>
        </w:rPr>
        <w:t>”) of units of the Company’s equity securities, each such unit comprised of one share of Common Stock (as defined below) and one-fourth of one redeemable Public Warrant (as defined below) (the “</w:t>
      </w:r>
      <w:r>
        <w:rPr>
          <w:rFonts w:ascii="Arial" w:cs="Arial" w:eastAsia="Arial" w:hAnsi="Arial"/>
          <w:sz w:val="18"/>
          <w:szCs w:val="18"/>
          <w:b w:val="1"/>
          <w:bCs w:val="1"/>
          <w:color w:val="auto"/>
        </w:rPr>
        <w:t>Units</w:t>
      </w:r>
      <w:r>
        <w:rPr>
          <w:rFonts w:ascii="Arial" w:cs="Arial" w:eastAsia="Arial" w:hAnsi="Arial"/>
          <w:sz w:val="18"/>
          <w:szCs w:val="18"/>
          <w:color w:val="auto"/>
        </w:rPr>
        <w:t>”) and, in connection therewith, has determined to issue and deliver up to [·] warrants (including up to [·] warrants subject to the Over-allotment Option (as defined below)) to public investors in the Offering (the “</w:t>
      </w:r>
      <w:r>
        <w:rPr>
          <w:rFonts w:ascii="Arial" w:cs="Arial" w:eastAsia="Arial" w:hAnsi="Arial"/>
          <w:sz w:val="18"/>
          <w:szCs w:val="18"/>
          <w:b w:val="1"/>
          <w:b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color w:val="auto"/>
        </w:rPr>
        <w:t>Warrants</w:t>
      </w:r>
      <w:r>
        <w:rPr>
          <w:rFonts w:ascii="Arial" w:cs="Arial" w:eastAsia="Arial" w:hAnsi="Arial"/>
          <w:sz w:val="18"/>
          <w:szCs w:val="18"/>
          <w:color w:val="auto"/>
        </w:rPr>
        <w:t>”). Each whole Warrant entitles the holder thereof to purchase one share of Class A common stock of the Company, par value $0.0001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for $11.50 per whole share, subject to adjustment as described herein. Only whole warrants are exercisable. A holder of the Public Warrants will not be able to exercise any fraction of a Warrant;</w:t>
      </w:r>
    </w:p>
    <w:p>
      <w:pPr>
        <w:spacing w:after="0" w:line="189"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WHEREAS, the Company has filed with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 registration statement on Form S-1, File No. 333-[·] and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of the Units, the Public Warrants and the shares of Common Stock included in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0" w:name="page241"/>
    <w:bookmarkEnd w:id="240"/>
    <w:p>
      <w:pPr>
        <w:ind w:right="260" w:firstLine="648"/>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right="140" w:firstLine="656"/>
        <w:spacing w:after="0" w:line="263" w:lineRule="auto"/>
        <w:tabs>
          <w:tab w:leader="none" w:pos="1592"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for the Company for the Warrants, and the Warrant Agent hereby accepts such appointment and agrees to perform the same in accordance with the express terms and conditions set forth in this Agreement.</w:t>
      </w:r>
    </w:p>
    <w:p>
      <w:pPr>
        <w:spacing w:after="0" w:line="183" w:lineRule="exact"/>
        <w:rPr>
          <w:rFonts w:ascii="Arial" w:cs="Arial" w:eastAsia="Arial" w:hAnsi="Arial"/>
          <w:sz w:val="18"/>
          <w:szCs w:val="18"/>
          <w:color w:val="auto"/>
        </w:rPr>
      </w:pPr>
    </w:p>
    <w:p>
      <w:pPr>
        <w:ind w:left="1600" w:hanging="944"/>
        <w:spacing w:after="0"/>
        <w:tabs>
          <w:tab w:leader="none" w:pos="16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2.1</w:t>
            </w:r>
          </w:p>
        </w:tc>
        <w:tc>
          <w:tcPr>
            <w:tcW w:w="8440" w:type="dxa"/>
            <w:vAlign w:val="bottom"/>
            <w:gridSpan w:val="3"/>
          </w:tcPr>
          <w:p>
            <w:pPr>
              <w:spacing w:after="0"/>
              <w:rPr>
                <w:sz w:val="20"/>
                <w:szCs w:val="20"/>
                <w:color w:val="auto"/>
              </w:rPr>
            </w:pPr>
            <w:r>
              <w:rPr>
                <w:rFonts w:ascii="Arial" w:cs="Arial" w:eastAsia="Arial" w:hAnsi="Arial"/>
                <w:sz w:val="18"/>
                <w:szCs w:val="18"/>
                <w:color w:val="auto"/>
                <w:w w:val="91"/>
              </w:rPr>
              <w:t>Form of Warrant. Each Warrant shall initially be issued in registered form only. Warrants may be represented by one</w:t>
            </w:r>
          </w:p>
        </w:tc>
      </w:tr>
      <w:tr>
        <w:trPr>
          <w:trHeight w:val="20"/>
        </w:trPr>
        <w:tc>
          <w:tcPr>
            <w:tcW w:w="2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237"/>
        </w:trPr>
        <w:tc>
          <w:tcPr>
            <w:tcW w:w="10580" w:type="dxa"/>
            <w:vAlign w:val="bottom"/>
            <w:gridSpan w:val="4"/>
          </w:tcPr>
          <w:p>
            <w:pPr>
              <w:spacing w:after="0"/>
              <w:rPr>
                <w:sz w:val="20"/>
                <w:szCs w:val="20"/>
                <w:color w:val="auto"/>
              </w:rPr>
            </w:pPr>
            <w:r>
              <w:rPr>
                <w:rFonts w:ascii="Arial" w:cs="Arial" w:eastAsia="Arial" w:hAnsi="Arial"/>
                <w:sz w:val="18"/>
                <w:szCs w:val="18"/>
                <w:color w:val="auto"/>
              </w:rPr>
              <w:t>or more physical definitive certificates or by book entry.</w:t>
            </w:r>
          </w:p>
        </w:tc>
      </w:tr>
      <w:tr>
        <w:trPr>
          <w:trHeight w:val="392"/>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2.2</w:t>
            </w:r>
          </w:p>
        </w:tc>
        <w:tc>
          <w:tcPr>
            <w:tcW w:w="8440" w:type="dxa"/>
            <w:vAlign w:val="bottom"/>
            <w:gridSpan w:val="3"/>
          </w:tcPr>
          <w:p>
            <w:pPr>
              <w:spacing w:after="0"/>
              <w:rPr>
                <w:sz w:val="20"/>
                <w:szCs w:val="20"/>
                <w:color w:val="auto"/>
              </w:rPr>
            </w:pPr>
            <w:r>
              <w:rPr>
                <w:rFonts w:ascii="Arial" w:cs="Arial" w:eastAsia="Arial" w:hAnsi="Arial"/>
                <w:sz w:val="18"/>
                <w:szCs w:val="18"/>
                <w:color w:val="auto"/>
                <w:w w:val="91"/>
              </w:rPr>
              <w:t>Effect of Countersignature. If a physical definitive certificate is issued, unless and until countersigned by the Warrant</w:t>
            </w:r>
          </w:p>
        </w:tc>
      </w:tr>
      <w:tr>
        <w:trPr>
          <w:trHeight w:val="20"/>
        </w:trPr>
        <w:tc>
          <w:tcPr>
            <w:tcW w:w="2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bl>
    <w:p>
      <w:pPr>
        <w:spacing w:after="0" w:line="13"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Agent, either by manual or facsimile signature, pursuant to this Agreement, a Warrant certificate shall be invalid and of no effect and may not be exercised by the holder thereof.</w:t>
      </w:r>
    </w:p>
    <w:p>
      <w:pPr>
        <w:spacing w:after="0" w:line="153"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Arial" w:cs="Arial" w:eastAsia="Arial" w:hAnsi="Arial"/>
                <w:sz w:val="18"/>
                <w:szCs w:val="18"/>
                <w:color w:val="auto"/>
                <w:w w:val="79"/>
              </w:rPr>
              <w:t>2.3</w:t>
            </w:r>
          </w:p>
        </w:tc>
        <w:tc>
          <w:tcPr>
            <w:tcW w:w="1320" w:type="dxa"/>
            <w:vAlign w:val="bottom"/>
            <w:gridSpan w:val="2"/>
          </w:tcPr>
          <w:p>
            <w:pPr>
              <w:spacing w:after="0"/>
              <w:rPr>
                <w:sz w:val="20"/>
                <w:szCs w:val="20"/>
                <w:color w:val="auto"/>
              </w:rPr>
            </w:pPr>
            <w:r>
              <w:rPr>
                <w:rFonts w:ascii="Arial" w:cs="Arial" w:eastAsia="Arial" w:hAnsi="Arial"/>
                <w:sz w:val="18"/>
                <w:szCs w:val="18"/>
                <w:color w:val="auto"/>
              </w:rPr>
              <w:t>Registration.</w:t>
            </w:r>
          </w:p>
        </w:tc>
        <w:tc>
          <w:tcPr>
            <w:tcW w:w="122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412"/>
        </w:trPr>
        <w:tc>
          <w:tcPr>
            <w:tcW w:w="840" w:type="dxa"/>
            <w:vAlign w:val="bottom"/>
          </w:tcPr>
          <w:p>
            <w:pPr>
              <w:spacing w:after="0"/>
              <w:rPr>
                <w:sz w:val="24"/>
                <w:szCs w:val="24"/>
                <w:color w:val="auto"/>
              </w:rPr>
            </w:pPr>
          </w:p>
        </w:tc>
        <w:tc>
          <w:tcPr>
            <w:tcW w:w="8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w w:val="91"/>
              </w:rPr>
              <w:t>Warrant Register. The Warrant Agent shall maintain books (the “</w:t>
            </w:r>
            <w:r>
              <w:rPr>
                <w:rFonts w:ascii="Arial" w:cs="Arial" w:eastAsia="Arial" w:hAnsi="Arial"/>
                <w:sz w:val="18"/>
                <w:szCs w:val="18"/>
                <w:b w:val="1"/>
                <w:bCs w:val="1"/>
                <w:color w:val="auto"/>
                <w:w w:val="91"/>
              </w:rPr>
              <w:t>Warrant Register</w:t>
            </w:r>
            <w:r>
              <w:rPr>
                <w:rFonts w:ascii="Arial" w:cs="Arial" w:eastAsia="Arial" w:hAnsi="Arial"/>
                <w:sz w:val="18"/>
                <w:szCs w:val="18"/>
                <w:color w:val="auto"/>
                <w:w w:val="91"/>
              </w:rPr>
              <w:t>”), for the</w:t>
            </w: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060"/>
        <w:spacing w:after="0" w:line="286" w:lineRule="auto"/>
        <w:rPr>
          <w:sz w:val="20"/>
          <w:szCs w:val="20"/>
          <w:color w:val="auto"/>
        </w:rPr>
      </w:pPr>
      <w:r>
        <w:rPr>
          <w:rFonts w:ascii="Arial" w:cs="Arial" w:eastAsia="Arial" w:hAnsi="Arial"/>
          <w:sz w:val="16"/>
          <w:szCs w:val="16"/>
          <w:color w:val="auto"/>
        </w:rPr>
        <w:t>registration of original issuance and the registration of transfer of the Warrants. Upon the initial issuance of the Warrants in book-entry form, the Warrant Agent shall issue and register the Warrants in the names of the respective holders thereof in such denominations and otherwise in accordance with instructions delivered to the Warrant Agent by the Company. All of the Public Warrants shall initially be represented by one or more book entry certificates deposited with the Depository and registered in the name of a nominee of the Depositary (as defined below).</w:t>
      </w:r>
    </w:p>
    <w:p>
      <w:pPr>
        <w:spacing w:after="0" w:line="1" w:lineRule="exact"/>
        <w:rPr>
          <w:sz w:val="20"/>
          <w:szCs w:val="20"/>
          <w:color w:val="auto"/>
        </w:rPr>
      </w:pPr>
    </w:p>
    <w:p>
      <w:pPr>
        <w:ind w:left="1060" w:right="360"/>
        <w:spacing w:after="0" w:line="302" w:lineRule="auto"/>
        <w:rPr>
          <w:sz w:val="20"/>
          <w:szCs w:val="20"/>
          <w:color w:val="auto"/>
        </w:rPr>
      </w:pPr>
      <w:r>
        <w:rPr>
          <w:rFonts w:ascii="Arial" w:cs="Arial" w:eastAsia="Arial" w:hAnsi="Arial"/>
          <w:sz w:val="16"/>
          <w:szCs w:val="16"/>
          <w:color w:val="auto"/>
        </w:rPr>
        <w:t>Ownership of beneficial interests in the Public Warrants shall be shown on, and the transfer of such ownership shall be effected through, records maintained by (i) the Depositary or its nominee for each book-entry certificate or (ii) institutions that have accounts with The Depository Trust Company (the “</w:t>
      </w:r>
      <w:r>
        <w:rPr>
          <w:rFonts w:ascii="Arial" w:cs="Arial" w:eastAsia="Arial" w:hAnsi="Arial"/>
          <w:sz w:val="16"/>
          <w:szCs w:val="16"/>
          <w:b w:val="1"/>
          <w:bCs w:val="1"/>
          <w:color w:val="auto"/>
        </w:rPr>
        <w:t>Depositary</w:t>
      </w:r>
      <w:r>
        <w:rPr>
          <w:rFonts w:ascii="Arial" w:cs="Arial" w:eastAsia="Arial" w:hAnsi="Arial"/>
          <w:sz w:val="16"/>
          <w:szCs w:val="16"/>
          <w:color w:val="auto"/>
        </w:rPr>
        <w:t>”) (such institution, with respect to a Warrant in its account, a “</w:t>
      </w:r>
      <w:r>
        <w:rPr>
          <w:rFonts w:ascii="Arial" w:cs="Arial" w:eastAsia="Arial" w:hAnsi="Arial"/>
          <w:sz w:val="16"/>
          <w:szCs w:val="16"/>
          <w:b w:val="1"/>
          <w:bCs w:val="1"/>
          <w:color w:val="auto"/>
        </w:rPr>
        <w:t>Participant</w:t>
      </w:r>
      <w:r>
        <w:rPr>
          <w:rFonts w:ascii="Arial" w:cs="Arial" w:eastAsia="Arial" w:hAnsi="Arial"/>
          <w:sz w:val="16"/>
          <w:szCs w:val="16"/>
          <w:color w:val="auto"/>
        </w:rPr>
        <w: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ind w:right="40" w:firstLine="648"/>
        <w:spacing w:after="0" w:line="275" w:lineRule="auto"/>
        <w:rPr>
          <w:sz w:val="20"/>
          <w:szCs w:val="20"/>
          <w:color w:val="auto"/>
        </w:rPr>
      </w:pPr>
      <w:r>
        <w:rPr>
          <w:rFonts w:ascii="Arial" w:cs="Arial" w:eastAsia="Arial" w:hAnsi="Arial"/>
          <w:sz w:val="17"/>
          <w:szCs w:val="17"/>
          <w:color w:val="auto"/>
        </w:rPr>
        <w:t xml:space="preserve">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Public Warrant, and the Company shall instruct the Warrant Agent to deliver to the Depositary definitive certificates in physical form evidencing such Warrants which shall be in the form annexed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physical definitive certificates, if issued, shall be signed by, or bear the facsimile signature of, the Chairman of the Board, Chief Executive Officer, Chief Financial Officer, the President or the Secretary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71" w:lineRule="exact"/>
        <w:rPr>
          <w:sz w:val="20"/>
          <w:szCs w:val="20"/>
          <w:color w:val="auto"/>
        </w:rPr>
      </w:pPr>
    </w:p>
    <w:p>
      <w:pPr>
        <w:ind w:left="1060" w:firstLine="1944"/>
        <w:spacing w:after="0" w:line="255"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registered in the Warrant Register (the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any physical definitive certificate made by anyone other than the Company or the Warrant Agent), for the purpose of any exercise thereof, and for all other purposes, and neither the Company nor the Warrant Agent shall be affected by any notice to the contrary.</w:t>
      </w:r>
    </w:p>
    <w:p>
      <w:pPr>
        <w:spacing w:after="0" w:line="192" w:lineRule="exact"/>
        <w:rPr>
          <w:sz w:val="20"/>
          <w:szCs w:val="20"/>
          <w:color w:val="auto"/>
        </w:rPr>
      </w:pPr>
    </w:p>
    <w:p>
      <w:pPr>
        <w:ind w:left="660" w:right="80" w:firstLine="1296"/>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The shares of Common Stock and Public Warrants comprising the Units shall begin separate trading on the 52nd day following the date of the Prospectus or, if such 52nd day is not on a day other than a Saturday, Sunday or federal holiday on which banks in New York City are generally open for normal business (a “</w:t>
      </w:r>
      <w:r>
        <w:rPr>
          <w:rFonts w:ascii="Arial" w:cs="Arial" w:eastAsia="Arial" w:hAnsi="Arial"/>
          <w:sz w:val="16"/>
          <w:szCs w:val="16"/>
          <w:b w:val="1"/>
          <w:bCs w:val="1"/>
          <w:color w:val="auto"/>
        </w:rPr>
        <w:t>Business Day</w:t>
      </w:r>
      <w:r>
        <w:rPr>
          <w:rFonts w:ascii="Arial" w:cs="Arial" w:eastAsia="Arial" w:hAnsi="Arial"/>
          <w:sz w:val="16"/>
          <w:szCs w:val="16"/>
          <w:color w:val="auto"/>
        </w:rPr>
        <w:t>”), then on the immediately succeeding Business Day following such date, or earlier (the “</w:t>
      </w:r>
      <w:r>
        <w:rPr>
          <w:rFonts w:ascii="Arial" w:cs="Arial" w:eastAsia="Arial" w:hAnsi="Arial"/>
          <w:sz w:val="16"/>
          <w:szCs w:val="16"/>
          <w:b w:val="1"/>
          <w:bCs w:val="1"/>
          <w:color w:val="auto"/>
        </w:rPr>
        <w:t>Detachment Date</w:t>
      </w:r>
      <w:r>
        <w:rPr>
          <w:rFonts w:ascii="Arial" w:cs="Arial" w:eastAsia="Arial" w:hAnsi="Arial"/>
          <w:sz w:val="16"/>
          <w:szCs w:val="16"/>
          <w:color w:val="auto"/>
        </w:rPr>
        <w:t>”) with the consent of Citibank Global Markets Inc. but in no event shall the shares of Common Stock and the Public Warrants comprising the Units be separately traded until (A) the Company has filed a current report on Form 8-K with the Commission containing an audited balance sheet reflecting the receipt by the Company of the gross proceeds of the Offering, including the proceeds received by the Company from the exercise by the underwriters of their right to purchase additional Units in the Offering (the “</w:t>
      </w:r>
      <w:r>
        <w:rPr>
          <w:rFonts w:ascii="Arial" w:cs="Arial" w:eastAsia="Arial" w:hAnsi="Arial"/>
          <w:sz w:val="16"/>
          <w:szCs w:val="16"/>
          <w:b w:val="1"/>
          <w:bCs w:val="1"/>
          <w:color w:val="auto"/>
        </w:rPr>
        <w:t>Over-allotment Option</w:t>
      </w:r>
      <w:r>
        <w:rPr>
          <w:rFonts w:ascii="Arial" w:cs="Arial" w:eastAsia="Arial" w:hAnsi="Arial"/>
          <w:sz w:val="16"/>
          <w:szCs w:val="16"/>
          <w:color w:val="auto"/>
        </w:rPr>
        <w:t>”), if the Over-allotment Option is exercised prior to the filing of the Form 8-K, and a second or amended current report on Form 8-K to provide updated financial information to reflect the exercise of the Underwriters’ Over-allotment option, if the Over-allotment option is exercised following the initial filing of such current report on Form 8-K and (B) the Company issues a press release and files with the Commission a Current Report on Form 8-K announcing when such separate trading shall begin.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2" w:name="page243"/>
    <w:bookmarkEnd w:id="242"/>
    <w:p>
      <w:pPr>
        <w:jc w:val="both"/>
        <w:ind w:left="660" w:right="80" w:firstLine="129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Company shall not issue fractional Warrants other than as part of the Units, each of which is comprised of one share of Common Stock and one-fourth of one Public Warrant. If, upon the detachment of Public Warrants from the Units or otherwise, a holder of Warrants would be entitled to receive a fractional Warrant, the Company shall round down to the nearest whole number the number of Warrants to be issued to such holder.</w:t>
      </w:r>
    </w:p>
    <w:p>
      <w:pPr>
        <w:spacing w:after="0" w:line="187" w:lineRule="exact"/>
        <w:rPr>
          <w:sz w:val="20"/>
          <w:szCs w:val="20"/>
          <w:color w:val="auto"/>
        </w:rPr>
      </w:pPr>
    </w:p>
    <w:p>
      <w:pPr>
        <w:ind w:left="660" w:firstLine="1296"/>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xml:space="preserve">. The Private Placement Warrants shall be identical to the Public Warrants, except that so long as they are held by the Sponsor or any of its Permitted Transferees (as defined below) the Private Placement Warrants: (i) may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hereof, (ii) may not be transferred, assigned or sold until thirty (30) days after the completion by the Company of an initial Business Combination (as defined below), and (iii) shall not be redeemable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(ii), the Private Placement Warrants and any shares of Common Stock issued upon exercise of the Private Placement Warrants may be transferred by the holders thereof:</w:t>
      </w:r>
    </w:p>
    <w:p>
      <w:pPr>
        <w:spacing w:after="0" w:line="192" w:lineRule="exact"/>
        <w:rPr>
          <w:sz w:val="20"/>
          <w:szCs w:val="20"/>
          <w:color w:val="auto"/>
        </w:rPr>
      </w:pPr>
    </w:p>
    <w:p>
      <w:pPr>
        <w:ind w:right="160" w:firstLine="2600"/>
        <w:spacing w:after="0" w:line="277" w:lineRule="auto"/>
        <w:tabs>
          <w:tab w:leader="none" w:pos="346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the Company’s officers or directors, any affiliates or family members of any of the Company’s officers or directors, any members of the Sponsor, or any affiliates of the Sponsor;</w:t>
      </w:r>
    </w:p>
    <w:p>
      <w:pPr>
        <w:spacing w:after="0" w:line="170" w:lineRule="exact"/>
        <w:rPr>
          <w:rFonts w:ascii="Arial" w:cs="Arial" w:eastAsia="Arial" w:hAnsi="Arial"/>
          <w:sz w:val="18"/>
          <w:szCs w:val="18"/>
          <w:color w:val="auto"/>
        </w:rPr>
      </w:pPr>
    </w:p>
    <w:p>
      <w:pPr>
        <w:ind w:left="3480" w:hanging="880"/>
        <w:spacing w:after="0"/>
        <w:tabs>
          <w:tab w:leader="none" w:pos="34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the case of an individual, transfers by gift to a member of the individual’s immediate family, to a trust,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beneficiary of which is a member of the individual’s immediate family or an affiliate of such person, or to a charitable organization;</w:t>
      </w:r>
    </w:p>
    <w:p>
      <w:pPr>
        <w:spacing w:after="0" w:line="210" w:lineRule="exact"/>
        <w:rPr>
          <w:rFonts w:ascii="Arial" w:cs="Arial" w:eastAsia="Arial" w:hAnsi="Arial"/>
          <w:sz w:val="17"/>
          <w:szCs w:val="17"/>
          <w:color w:val="auto"/>
        </w:rPr>
      </w:pPr>
    </w:p>
    <w:p>
      <w:pPr>
        <w:ind w:left="3480" w:hanging="880"/>
        <w:spacing w:after="0"/>
        <w:tabs>
          <w:tab w:leader="none" w:pos="34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the case of an individual, transfers by virtue of laws of descent and distribution upon death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individual;</w:t>
      </w:r>
    </w:p>
    <w:p>
      <w:pPr>
        <w:spacing w:after="0" w:line="210" w:lineRule="exact"/>
        <w:rPr>
          <w:rFonts w:ascii="Arial" w:cs="Arial" w:eastAsia="Arial" w:hAnsi="Arial"/>
          <w:sz w:val="17"/>
          <w:szCs w:val="17"/>
          <w:color w:val="auto"/>
        </w:rPr>
      </w:pPr>
    </w:p>
    <w:p>
      <w:pPr>
        <w:ind w:left="3480" w:hanging="880"/>
        <w:spacing w:after="0"/>
        <w:tabs>
          <w:tab w:leader="none" w:pos="3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an individual, transfers pursuant to a qualified domestic relations order;</w:t>
      </w:r>
    </w:p>
    <w:p>
      <w:pPr>
        <w:spacing w:after="0" w:line="225" w:lineRule="exact"/>
        <w:rPr>
          <w:rFonts w:ascii="Arial" w:cs="Arial" w:eastAsia="Arial" w:hAnsi="Arial"/>
          <w:sz w:val="18"/>
          <w:szCs w:val="18"/>
          <w:color w:val="auto"/>
        </w:rPr>
      </w:pPr>
    </w:p>
    <w:p>
      <w:pPr>
        <w:ind w:left="3480" w:hanging="880"/>
        <w:spacing w:after="0"/>
        <w:tabs>
          <w:tab w:leader="none" w:pos="3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transfers by private sales or transfers made in connection with the consummation of a Business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Combination at prices no greater than the price at which the securities were originally purchased;</w:t>
      </w:r>
    </w:p>
    <w:p>
      <w:pPr>
        <w:spacing w:after="0" w:line="210" w:lineRule="exact"/>
        <w:rPr>
          <w:rFonts w:ascii="Arial" w:cs="Arial" w:eastAsia="Arial" w:hAnsi="Arial"/>
          <w:sz w:val="18"/>
          <w:szCs w:val="18"/>
          <w:color w:val="auto"/>
        </w:rPr>
      </w:pPr>
    </w:p>
    <w:p>
      <w:pPr>
        <w:ind w:left="3500" w:hanging="900"/>
        <w:spacing w:after="0"/>
        <w:tabs>
          <w:tab w:leader="none" w:pos="35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transfers in the event of the Company’s liquidation prior to the completion of an initial Business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Combination;</w:t>
      </w:r>
    </w:p>
    <w:p>
      <w:pPr>
        <w:spacing w:after="0" w:line="210" w:lineRule="exact"/>
        <w:rPr>
          <w:rFonts w:ascii="Arial" w:cs="Arial" w:eastAsia="Arial" w:hAnsi="Arial"/>
          <w:sz w:val="18"/>
          <w:szCs w:val="18"/>
          <w:color w:val="auto"/>
        </w:rPr>
      </w:pPr>
    </w:p>
    <w:p>
      <w:pPr>
        <w:ind w:left="3480" w:hanging="880"/>
        <w:spacing w:after="0"/>
        <w:tabs>
          <w:tab w:leader="none" w:pos="3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transfers by virtue of the laws of the State of Delaware or the Sponsor’s limited liability company</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agreement upon dissolution of the Sponsor;</w:t>
      </w:r>
    </w:p>
    <w:p>
      <w:pPr>
        <w:spacing w:after="0" w:line="210" w:lineRule="exact"/>
        <w:rPr>
          <w:rFonts w:ascii="Arial" w:cs="Arial" w:eastAsia="Arial" w:hAnsi="Arial"/>
          <w:sz w:val="18"/>
          <w:szCs w:val="18"/>
          <w:color w:val="auto"/>
        </w:rPr>
      </w:pPr>
    </w:p>
    <w:p>
      <w:pPr>
        <w:ind w:right="60" w:firstLine="2600"/>
        <w:spacing w:after="0" w:line="263" w:lineRule="auto"/>
        <w:tabs>
          <w:tab w:leader="none" w:pos="347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event of the Company’s completion of a liquidation, merger, stock exchange, reorganization or other similar transaction which results in all of the Company’s public stockholders having the right to exchange their shares of Common Stock for cash, securities or other property subsequent to the completion of the initial Business Combination;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3" w:name="page244"/>
    <w:bookmarkEnd w:id="243"/>
    <w:p>
      <w:pPr>
        <w:ind w:left="-40" w:right="320" w:firstLine="2600"/>
        <w:spacing w:after="0" w:line="311" w:lineRule="auto"/>
        <w:tabs>
          <w:tab w:leader="none" w:pos="3486" w:val="left"/>
        </w:tabs>
        <w:numPr>
          <w:ilvl w:val="1"/>
          <w:numId w:val="153"/>
        </w:numPr>
        <w:rPr>
          <w:rFonts w:ascii="Arial" w:cs="Arial" w:eastAsia="Arial" w:hAnsi="Arial"/>
          <w:sz w:val="16"/>
          <w:szCs w:val="16"/>
          <w:color w:val="auto"/>
        </w:rPr>
      </w:pPr>
      <w:r>
        <w:rPr>
          <w:rFonts w:ascii="Arial" w:cs="Arial" w:eastAsia="Arial" w:hAnsi="Arial"/>
          <w:sz w:val="16"/>
          <w:szCs w:val="16"/>
          <w:color w:val="auto"/>
        </w:rPr>
        <w:t xml:space="preserve">to a nominee or custodian of a person or entity to whom a disposition or transfer would be permissible under clauses (a) through (h) above;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in the case of clauses (a) through (e) and (i), these permitted transferees (the “</w:t>
      </w:r>
      <w:r>
        <w:rPr>
          <w:rFonts w:ascii="Arial" w:cs="Arial" w:eastAsia="Arial" w:hAnsi="Arial"/>
          <w:sz w:val="16"/>
          <w:szCs w:val="16"/>
          <w:b w:val="1"/>
          <w:bCs w:val="1"/>
          <w:color w:val="auto"/>
        </w:rPr>
        <w:t>Permitted</w:t>
      </w:r>
      <w:r>
        <w:rPr>
          <w:rFonts w:ascii="Arial" w:cs="Arial" w:eastAsia="Arial" w:hAnsi="Arial"/>
          <w:sz w:val="16"/>
          <w:szCs w:val="16"/>
          <w:color w:val="auto"/>
        </w:rPr>
        <w:t xml:space="preserve"> </w:t>
      </w:r>
      <w:r>
        <w:rPr>
          <w:rFonts w:ascii="Arial" w:cs="Arial" w:eastAsia="Arial" w:hAnsi="Arial"/>
          <w:sz w:val="16"/>
          <w:szCs w:val="16"/>
          <w:b w:val="1"/>
          <w:bCs w:val="1"/>
          <w:color w:val="auto"/>
        </w:rPr>
        <w:t>Transferees</w:t>
      </w:r>
      <w:r>
        <w:rPr>
          <w:rFonts w:ascii="Arial" w:cs="Arial" w:eastAsia="Arial" w:hAnsi="Arial"/>
          <w:sz w:val="16"/>
          <w:szCs w:val="16"/>
          <w:color w:val="auto"/>
        </w:rPr>
        <w:t>”) must enter into a written agreement with the Company agreeing to be bound by the transfer restrictions in this Agreement.</w:t>
      </w:r>
    </w:p>
    <w:p>
      <w:pPr>
        <w:spacing w:after="0" w:line="148" w:lineRule="exact"/>
        <w:rPr>
          <w:rFonts w:ascii="Arial" w:cs="Arial" w:eastAsia="Arial" w:hAnsi="Arial"/>
          <w:sz w:val="16"/>
          <w:szCs w:val="16"/>
          <w:color w:val="auto"/>
        </w:rPr>
      </w:pPr>
    </w:p>
    <w:p>
      <w:pPr>
        <w:ind w:left="1560" w:hanging="944"/>
        <w:spacing w:after="0"/>
        <w:tabs>
          <w:tab w:leader="none" w:pos="156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ind w:left="620" w:right="100" w:firstLine="1296"/>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Warrant Price</w:t>
      </w:r>
      <w:r>
        <w:rPr>
          <w:rFonts w:ascii="Arial" w:cs="Arial" w:eastAsia="Arial" w:hAnsi="Arial"/>
          <w:sz w:val="16"/>
          <w:szCs w:val="16"/>
          <w:color w:val="auto"/>
        </w:rPr>
        <w:t xml:space="preserve">. Each Warrant shall entitle the Registered Holder thereof, subject to the provisions of such Warrant and of this Agreement, to purchase from the Company the number of shares of Common Stock stated therein, at the price of $11.50 per share, subject to the adjustments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and in the last sentence of this </w:t>
      </w:r>
      <w:r>
        <w:rPr>
          <w:rFonts w:ascii="Arial" w:cs="Arial" w:eastAsia="Arial" w:hAnsi="Arial"/>
          <w:sz w:val="16"/>
          <w:szCs w:val="16"/>
          <w:u w:val="single" w:color="auto"/>
          <w:color w:val="auto"/>
        </w:rPr>
        <w:t>Section 3.1</w:t>
      </w:r>
      <w:r>
        <w:rPr>
          <w:rFonts w:ascii="Arial" w:cs="Arial" w:eastAsia="Arial" w:hAnsi="Arial"/>
          <w:sz w:val="16"/>
          <w:szCs w:val="16"/>
          <w:color w:val="auto"/>
        </w:rPr>
        <w:t>. The term “</w:t>
      </w:r>
      <w:r>
        <w:rPr>
          <w:rFonts w:ascii="Arial" w:cs="Arial" w:eastAsia="Arial" w:hAnsi="Arial"/>
          <w:sz w:val="16"/>
          <w:szCs w:val="16"/>
          <w:b w:val="1"/>
          <w:bCs w:val="1"/>
          <w:color w:val="auto"/>
        </w:rPr>
        <w:t>Warrant Price</w:t>
      </w:r>
      <w:r>
        <w:rPr>
          <w:rFonts w:ascii="Arial" w:cs="Arial" w:eastAsia="Arial" w:hAnsi="Arial"/>
          <w:sz w:val="16"/>
          <w:szCs w:val="16"/>
          <w:color w:val="auto"/>
        </w:rPr>
        <w:t>” as used in this Agreement shall mean the price per share described in the prior sentence at which shares of Common Stock may be purchased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identical among all of the Warrants.</w:t>
      </w:r>
    </w:p>
    <w:p>
      <w:pPr>
        <w:spacing w:after="0" w:line="162" w:lineRule="exact"/>
        <w:rPr>
          <w:sz w:val="20"/>
          <w:szCs w:val="20"/>
          <w:color w:val="auto"/>
        </w:rPr>
      </w:pPr>
    </w:p>
    <w:p>
      <w:pPr>
        <w:ind w:left="1920"/>
        <w:spacing w:after="0"/>
        <w:tabs>
          <w:tab w:leader="none" w:pos="2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(the “</w:t>
      </w:r>
      <w:r>
        <w:rPr>
          <w:rFonts w:ascii="Arial" w:cs="Arial" w:eastAsia="Arial" w:hAnsi="Arial"/>
          <w:sz w:val="16"/>
          <w:szCs w:val="16"/>
          <w:b w:val="1"/>
          <w:bCs w:val="1"/>
          <w:color w:val="auto"/>
        </w:rPr>
        <w:t>Exercise Period</w:t>
      </w:r>
      <w:r>
        <w:rPr>
          <w:rFonts w:ascii="Arial" w:cs="Arial" w:eastAsia="Arial" w:hAnsi="Arial"/>
          <w:sz w:val="16"/>
          <w:szCs w:val="16"/>
          <w:color w:val="auto"/>
        </w:rPr>
        <w:t>”) (A) commencing</w:t>
      </w:r>
    </w:p>
    <w:p>
      <w:pPr>
        <w:spacing w:after="0" w:line="27" w:lineRule="exact"/>
        <w:rPr>
          <w:sz w:val="20"/>
          <w:szCs w:val="20"/>
          <w:color w:val="auto"/>
        </w:rPr>
      </w:pPr>
    </w:p>
    <w:p>
      <w:pPr>
        <w:ind w:left="620"/>
        <w:spacing w:after="0" w:line="284" w:lineRule="auto"/>
        <w:rPr>
          <w:sz w:val="20"/>
          <w:szCs w:val="20"/>
          <w:color w:val="auto"/>
        </w:rPr>
      </w:pPr>
      <w:r>
        <w:rPr>
          <w:rFonts w:ascii="Arial" w:cs="Arial" w:eastAsia="Arial" w:hAnsi="Arial"/>
          <w:sz w:val="16"/>
          <w:szCs w:val="16"/>
          <w:color w:val="auto"/>
        </w:rPr>
        <w:t>on the later of: (i) the date that is thirty (30) days after the first date on which the Company completes a merger, share exchange, asset acquisition, share purchase, reorganization or similar transaction, involving the Company and one or more businesses (a “</w:t>
      </w:r>
      <w:r>
        <w:rPr>
          <w:rFonts w:ascii="Arial" w:cs="Arial" w:eastAsia="Arial" w:hAnsi="Arial"/>
          <w:sz w:val="16"/>
          <w:szCs w:val="16"/>
          <w:b w:val="1"/>
          <w:bCs w:val="1"/>
          <w:color w:val="auto"/>
        </w:rPr>
        <w:t>Business Combination</w:t>
      </w:r>
      <w:r>
        <w:rPr>
          <w:rFonts w:ascii="Arial" w:cs="Arial" w:eastAsia="Arial" w:hAnsi="Arial"/>
          <w:sz w:val="16"/>
          <w:szCs w:val="16"/>
          <w:color w:val="auto"/>
        </w:rPr>
        <w:t xml:space="preserve">”), and (ii) the date that is twelve (12) months from the date of the closing of the Offering, and (B) terminating at 5:00 p.m., New York City time on the earlier to occur of: (w) the date that is five (5) years after the date on which the Company completes its initial Business Combination, (x) the liquidation of the Company in accordance with the Company’s certificate of incorporation, as amended from time to time, if the Company fails to consummate a Business Combination, and (y) other than with respect to the Private Placement Warrants, the Redemption Date (as defined below) as provided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(the “</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exercise of any Warrant shall be subject to the satisfaction of any applicable conditions, as set forth in </w:t>
      </w:r>
      <w:r>
        <w:rPr>
          <w:rFonts w:ascii="Arial" w:cs="Arial" w:eastAsia="Arial" w:hAnsi="Arial"/>
          <w:sz w:val="16"/>
          <w:szCs w:val="16"/>
          <w:u w:val="single" w:color="auto"/>
          <w:color w:val="auto"/>
        </w:rPr>
        <w:t>subsection 3.3.2</w:t>
      </w:r>
      <w:r>
        <w:rPr>
          <w:rFonts w:ascii="Arial" w:cs="Arial" w:eastAsia="Arial" w:hAnsi="Arial"/>
          <w:sz w:val="16"/>
          <w:szCs w:val="16"/>
          <w:color w:val="auto"/>
        </w:rPr>
        <w:t xml:space="preserve"> below, with respect to an effective registration statement. Except with respect to the right to receive the Redemption Price (as defined below) (other than with respect to a Private Placement Warrant) in the event of a redemption (as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each Warrant (other than a Sponsor Warrant in the event of a redemption) not exercised on or before the Expiration Date shall become null and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provide at least twenty (20) days prior written notice of any such extension to Registered Holders of the Warrants, and, provided further that any such extension shall be identical in duration among all the Warrants.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244" w:name="page245"/>
    <w:bookmarkEnd w:id="244"/>
    <w:tbl>
      <w:tblPr>
        <w:tblLayout w:type="fixed"/>
        <w:tblInd w:w="196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Arial" w:cs="Arial" w:eastAsia="Arial" w:hAnsi="Arial"/>
                <w:sz w:val="18"/>
                <w:szCs w:val="18"/>
                <w:color w:val="auto"/>
                <w:w w:val="79"/>
              </w:rPr>
              <w:t>3.3</w:t>
            </w:r>
          </w:p>
        </w:tc>
        <w:tc>
          <w:tcPr>
            <w:tcW w:w="7720" w:type="dxa"/>
            <w:vAlign w:val="bottom"/>
            <w:gridSpan w:val="4"/>
          </w:tcPr>
          <w:p>
            <w:pPr>
              <w:spacing w:after="0"/>
              <w:rPr>
                <w:sz w:val="20"/>
                <w:szCs w:val="20"/>
                <w:color w:val="auto"/>
              </w:rPr>
            </w:pPr>
            <w:r>
              <w:rPr>
                <w:rFonts w:ascii="Arial" w:cs="Arial" w:eastAsia="Arial" w:hAnsi="Arial"/>
                <w:sz w:val="18"/>
                <w:szCs w:val="18"/>
                <w:color w:val="auto"/>
              </w:rPr>
              <w:t>Exercise of Warrants.</w:t>
            </w:r>
          </w:p>
        </w:tc>
      </w:tr>
      <w:tr>
        <w:trPr>
          <w:trHeight w:val="20"/>
        </w:trPr>
        <w:tc>
          <w:tcPr>
            <w:tcW w:w="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1320" w:type="dxa"/>
            <w:vAlign w:val="bottom"/>
          </w:tcPr>
          <w:p>
            <w:pPr>
              <w:jc w:val="right"/>
              <w:ind w:right="670"/>
              <w:spacing w:after="0"/>
              <w:rPr>
                <w:sz w:val="20"/>
                <w:szCs w:val="20"/>
                <w:color w:val="auto"/>
              </w:rPr>
            </w:pPr>
            <w:r>
              <w:rPr>
                <w:rFonts w:ascii="Arial" w:cs="Arial" w:eastAsia="Arial" w:hAnsi="Arial"/>
                <w:sz w:val="18"/>
                <w:szCs w:val="18"/>
                <w:color w:val="auto"/>
              </w:rPr>
              <w:t>3.3.1</w:t>
            </w:r>
          </w:p>
        </w:tc>
        <w:tc>
          <w:tcPr>
            <w:tcW w:w="6400" w:type="dxa"/>
            <w:vAlign w:val="bottom"/>
            <w:gridSpan w:val="3"/>
          </w:tcPr>
          <w:p>
            <w:pPr>
              <w:spacing w:after="0"/>
              <w:rPr>
                <w:sz w:val="20"/>
                <w:szCs w:val="20"/>
                <w:color w:val="auto"/>
              </w:rPr>
            </w:pPr>
            <w:r>
              <w:rPr>
                <w:rFonts w:ascii="Arial" w:cs="Arial" w:eastAsia="Arial" w:hAnsi="Arial"/>
                <w:sz w:val="18"/>
                <w:szCs w:val="18"/>
                <w:color w:val="auto"/>
                <w:w w:val="89"/>
              </w:rPr>
              <w:t>Payment. Subject to the provisions of the Warrant and this Agreement, a Warrant may be</w:t>
            </w:r>
          </w:p>
        </w:tc>
      </w:tr>
      <w:tr>
        <w:trPr>
          <w:trHeight w:val="20"/>
        </w:trPr>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bl>
    <w:p>
      <w:pPr>
        <w:spacing w:after="0" w:line="13" w:lineRule="exact"/>
        <w:rPr>
          <w:sz w:val="20"/>
          <w:szCs w:val="20"/>
          <w:color w:val="auto"/>
        </w:rPr>
      </w:pPr>
    </w:p>
    <w:p>
      <w:pPr>
        <w:ind w:left="1060" w:right="160"/>
        <w:spacing w:after="0" w:line="257" w:lineRule="auto"/>
        <w:rPr>
          <w:sz w:val="20"/>
          <w:szCs w:val="20"/>
          <w:color w:val="auto"/>
        </w:rPr>
      </w:pPr>
      <w:r>
        <w:rPr>
          <w:rFonts w:ascii="Arial" w:cs="Arial" w:eastAsia="Arial" w:hAnsi="Arial"/>
          <w:sz w:val="18"/>
          <w:szCs w:val="18"/>
          <w:color w:val="auto"/>
        </w:rPr>
        <w:t>exercised by the Registered Holder thereof by surrendering it at the office of the Warrant Agent or at the office of its successor as Warrant Agent, together with (i) an election to purchase form, duly executed, electing to exercise such Warrant; and (ii) payment in full of the Warrant Price for each full share of Common Stock as to which the Warrant is exercised and any and all applicable taxes due in connection with the exercise of the Warrant, the exchange of the Warrant for the shares of Common Stock and the issuance of such shares of Common Stock, as follows:</w:t>
      </w:r>
    </w:p>
    <w:p>
      <w:pPr>
        <w:spacing w:after="0" w:line="188" w:lineRule="exact"/>
        <w:rPr>
          <w:sz w:val="20"/>
          <w:szCs w:val="20"/>
          <w:color w:val="auto"/>
        </w:rPr>
      </w:pPr>
    </w:p>
    <w:p>
      <w:pPr>
        <w:ind w:left="3480" w:hanging="880"/>
        <w:spacing w:after="0"/>
        <w:tabs>
          <w:tab w:leader="none" w:pos="34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 lawful money of the United States, in good certified check or good bank draft payable to the order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 Agent or by wire;</w:t>
      </w:r>
    </w:p>
    <w:p>
      <w:pPr>
        <w:spacing w:after="0" w:line="211" w:lineRule="exact"/>
        <w:rPr>
          <w:sz w:val="20"/>
          <w:szCs w:val="20"/>
          <w:color w:val="auto"/>
        </w:rPr>
      </w:pPr>
    </w:p>
    <w:p>
      <w:pPr>
        <w:ind w:left="3480" w:hanging="880"/>
        <w:spacing w:after="0"/>
        <w:tabs>
          <w:tab w:leader="none" w:pos="34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in the event of a redemption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in which the Company’s board of directors (the</w:t>
      </w:r>
    </w:p>
    <w:p>
      <w:pPr>
        <w:spacing w:after="0" w:line="4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xml:space="preserve">”) has elected to require all holders of the Warrants to exercise such Warrants on a “cashless basis,” by surrendering the Warrants for that number of shares of Common Stock equal to the quotient obtained by dividing (x) the product of the number of shares of Common Stock underlying the Warrants, multiplied by the excess of the “Fair Market Value” (as defined in this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over the Warrant Price by (y) the Fair Market Value. Solely for purposes of this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the “</w:t>
      </w:r>
      <w:r>
        <w:rPr>
          <w:rFonts w:ascii="Arial" w:cs="Arial" w:eastAsia="Arial" w:hAnsi="Arial"/>
          <w:sz w:val="18"/>
          <w:szCs w:val="18"/>
          <w:b w:val="1"/>
          <w:bCs w:val="1"/>
          <w:color w:val="auto"/>
        </w:rPr>
        <w:t>Fair Market Value</w:t>
      </w:r>
      <w:r>
        <w:rPr>
          <w:rFonts w:ascii="Arial" w:cs="Arial" w:eastAsia="Arial" w:hAnsi="Arial"/>
          <w:sz w:val="18"/>
          <w:szCs w:val="18"/>
          <w:color w:val="auto"/>
        </w:rPr>
        <w:t xml:space="preserve">” shall mean the average closing price of the Common Stock for the ten (10) trading days ending on the third trading day prior to the date on which the notice of redemption is sent to the holders of the Warrants,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194" w:lineRule="exact"/>
        <w:rPr>
          <w:sz w:val="20"/>
          <w:szCs w:val="20"/>
          <w:color w:val="auto"/>
        </w:rPr>
      </w:pPr>
    </w:p>
    <w:p>
      <w:pPr>
        <w:ind w:firstLine="2600"/>
        <w:spacing w:after="0" w:line="255" w:lineRule="auto"/>
        <w:tabs>
          <w:tab w:leader="none" w:pos="346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with respect to any Private Placement Warrant, so long as such Sponsor Warrant is held by the Sponsor or a Permitted Transferee, by surrendering the Warrants for that number of shares of Common Stock equal to the quotient obtained by dividing (x) the product of the number of shares of Common Stock underlying the Warrants, multiplied by the excess of the “Fair Market Value”, as defined in this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3.3.1(c)</w:t>
      </w:r>
      <w:r>
        <w:rPr>
          <w:rFonts w:ascii="Arial" w:cs="Arial" w:eastAsia="Arial" w:hAnsi="Arial"/>
          <w:sz w:val="18"/>
          <w:szCs w:val="18"/>
          <w:color w:val="auto"/>
        </w:rPr>
        <w:t xml:space="preserve">, over the Warrant Price by (y) the Fair Market Value. Solely for purposes of this </w:t>
      </w:r>
      <w:r>
        <w:rPr>
          <w:rFonts w:ascii="Arial" w:cs="Arial" w:eastAsia="Arial" w:hAnsi="Arial"/>
          <w:sz w:val="18"/>
          <w:szCs w:val="18"/>
          <w:u w:val="single" w:color="auto"/>
          <w:color w:val="auto"/>
        </w:rPr>
        <w:t>subsection 3.3.1(c)</w:t>
      </w:r>
      <w:r>
        <w:rPr>
          <w:rFonts w:ascii="Arial" w:cs="Arial" w:eastAsia="Arial" w:hAnsi="Arial"/>
          <w:sz w:val="18"/>
          <w:szCs w:val="18"/>
          <w:color w:val="auto"/>
        </w:rPr>
        <w:t>, the “Fair Market Value” shall mean the average closing price of the Common Stock for the ten (10) trading days ending on the third trading day prior to the date on which notice of exercise of the Warrant is sent to the Warrant Agent; or</w:t>
      </w:r>
    </w:p>
    <w:p>
      <w:pPr>
        <w:spacing w:after="0" w:line="192" w:lineRule="exact"/>
        <w:rPr>
          <w:rFonts w:ascii="Arial" w:cs="Arial" w:eastAsia="Arial" w:hAnsi="Arial"/>
          <w:sz w:val="18"/>
          <w:szCs w:val="18"/>
          <w:color w:val="auto"/>
        </w:rPr>
      </w:pPr>
    </w:p>
    <w:p>
      <w:pPr>
        <w:ind w:left="3480" w:hanging="880"/>
        <w:spacing w:after="0"/>
        <w:tabs>
          <w:tab w:leader="none" w:pos="34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hereof.</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Warrant Agent shall forward funds received for warrant exercises in a given month by the 5th business day of the following month by wire transfer to an account designated by the Company.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45" w:name="page246"/>
    <w:bookmarkEnd w:id="245"/>
    <w:p>
      <w:pPr>
        <w:ind w:firstLine="1944"/>
        <w:spacing w:after="0" w:line="284"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Issuance of Shares of Common Stock on Exercise</w:t>
      </w:r>
      <w:r>
        <w:rPr>
          <w:rFonts w:ascii="Arial" w:cs="Arial" w:eastAsia="Arial" w:hAnsi="Arial"/>
          <w:sz w:val="16"/>
          <w:szCs w:val="16"/>
          <w:color w:val="auto"/>
        </w:rPr>
        <w:t xml:space="preserve">. As soon as practicable after the exercise of any Warrant and the clearance of the funds in payment of the Warrant Price (if payment is pursuant to </w:t>
      </w:r>
      <w:r>
        <w:rPr>
          <w:rFonts w:ascii="Arial" w:cs="Arial" w:eastAsia="Arial" w:hAnsi="Arial"/>
          <w:sz w:val="16"/>
          <w:szCs w:val="16"/>
          <w:u w:val="single" w:color="auto"/>
          <w:color w:val="auto"/>
        </w:rPr>
        <w:t>subsection 3.3.1(a)</w:t>
      </w:r>
      <w:r>
        <w:rPr>
          <w:rFonts w:ascii="Arial" w:cs="Arial" w:eastAsia="Arial" w:hAnsi="Arial"/>
          <w:sz w:val="16"/>
          <w:szCs w:val="16"/>
          <w:color w:val="auto"/>
        </w:rPr>
        <w:t xml:space="preserve">), the Company shall issue to the Registered Holder of such Warrant a book-entry position or certificate, as applicable, for the number of full shares of Common Stock to which he, she or it is entitled, registered in such name or names as may be directed by him, her or it, and if such Warrant shall not have been exercised in full, a new book-entry position or countersigned Warrant, as applicable, for the number of shares of Common Stock as to which such Warrant shall not have been exercised. If fewer than all the Warrants evidenced by a book-entry Warrant are exercised, a notation shall be made to the records maintained by the Depositary, its nominee to each book-entry Warrant, or a Participant, as appropriate, evidencing the balance of the Warrants remaining after such exercise. Notwithstanding the foregoing, the Company shall not be obligated to deliver any shares of Common Stock pursuant to the exercise of a Warrant and shall have no obligation to settle such Warrant exercise unless a (a) registration statement under the Securities Act covering the issuance of the Common Stock underlying the Public Warrants is then effective and (b) a prospectus relating thereto is current, subject to the Company’s satisfying its obligations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No Warrant shall be exercisable and the Company shall not be obligated to issue shares of Common Stock upon exercise of a Warrant unless the shares of Common Stock issuable upon such Warrant exercise have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Warrant, the holder of such Warrant shall not be entitled to exercise such Warrant and such Warrant may have no value and expire worthless, in which case the purchaser of a Unit containing such Public Warrants shall have paid the full purchase price for the Unit solely for the shares of Common Stock underlying such Unit. Subject to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of this Agreement, a Registered Holder of Public Warrants may exercise its Public Warrants only for a whole number of shares of Common Stock. In no event will the Company be required to net cash settle the Warrant exercise. The Company may require holders of Public Warrants to settle the Warrant on a “cashless basis” pursuant to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7.4</w:t>
      </w:r>
      <w:r>
        <w:rPr>
          <w:rFonts w:ascii="Arial" w:cs="Arial" w:eastAsia="Arial" w:hAnsi="Arial"/>
          <w:sz w:val="16"/>
          <w:szCs w:val="16"/>
          <w:color w:val="auto"/>
        </w:rPr>
        <w:t>. If, by reason of any exercise of Warrants on a “cashless basis,” the holder of any Warrant would be entitled, upon the exercise of such Warrant, to receive a fractional interest in a share of Common Stock, the Company shall round down to the nearest whole number, the number of shares of Common Stock to be issued to such holder.</w:t>
      </w:r>
    </w:p>
    <w:p>
      <w:pPr>
        <w:spacing w:after="0" w:line="394" w:lineRule="exact"/>
        <w:rPr>
          <w:sz w:val="20"/>
          <w:szCs w:val="20"/>
          <w:color w:val="auto"/>
        </w:rPr>
      </w:pPr>
    </w:p>
    <w:p>
      <w:pPr>
        <w:ind w:right="440" w:firstLine="1944"/>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of a Warrant in conformity with this Agreement shall be validly issued, fully paid and non-assessable.</w:t>
      </w: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14605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1380" w:top="908" w:right="339" w:bottom="1440" w:gutter="0" w:footer="0" w:header="0"/>
        </w:sectPr>
      </w:pPr>
    </w:p>
    <w:bookmarkStart w:id="246" w:name="page247"/>
    <w:bookmarkEnd w:id="246"/>
    <w:p>
      <w:pPr>
        <w:ind w:firstLine="1944"/>
        <w:spacing w:after="0" w:line="272"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u w:val="single" w:color="auto"/>
          <w:color w:val="auto"/>
        </w:rPr>
        <w:t>Date of Issuance</w:t>
      </w:r>
      <w:r>
        <w:rPr>
          <w:rFonts w:ascii="Arial" w:cs="Arial" w:eastAsia="Arial" w:hAnsi="Arial"/>
          <w:sz w:val="17"/>
          <w:szCs w:val="17"/>
          <w:color w:val="auto"/>
        </w:rPr>
        <w:t>. Each person in whose name any book entry position or certificate, as applicable, for shares of Common Stock is issued shall for all purposes be deemed to have become the holder of record of such shares of Common Stock on the date on which the Warrant, or book entry position representing such Warrant, was surrendered and payment of the Warrant Price was made, irrespective of the date of delivery of such certificate in the case of a certificated Warrant,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177" w:lineRule="exact"/>
        <w:rPr>
          <w:sz w:val="20"/>
          <w:szCs w:val="20"/>
          <w:color w:val="auto"/>
        </w:rPr>
      </w:pPr>
    </w:p>
    <w:p>
      <w:pPr>
        <w:ind w:firstLine="1944"/>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xml:space="preserve">. A holder of a Warrant may notify the Company in writing in the event it elects to be subject to the provisions contained in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 holder of a Warrant shall be subject to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3.3.5</w:t>
      </w:r>
      <w:r>
        <w:rPr>
          <w:rFonts w:ascii="Arial" w:cs="Arial" w:eastAsia="Arial" w:hAnsi="Arial"/>
          <w:sz w:val="16"/>
          <w:szCs w:val="16"/>
          <w:color w:val="auto"/>
        </w:rPr>
        <w:t xml:space="preserve"> unless he, she or it makes such election. If the election is made by a holder, the Warrant Agent shall not affect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For purposes of the Warrant, in determining the number of issued and outstanding Common Stock, the holder may rely on the number of issued and outstanding Common Stock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Common Stock issued and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increase shall not be effective until the sixty-first (61st) day after such notice is delivered to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14605</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60"/>
          </w:cols>
          <w:pgMar w:left="1380" w:top="908" w:right="359" w:bottom="1440" w:gutter="0" w:footer="0" w:header="0"/>
        </w:sectPr>
      </w:pPr>
    </w:p>
    <w:bookmarkStart w:id="247" w:name="page248"/>
    <w:bookmarkEnd w:id="247"/>
    <w:p>
      <w:pPr>
        <w:ind w:left="944" w:hanging="944"/>
        <w:spacing w:after="0"/>
        <w:tabs>
          <w:tab w:leader="none" w:pos="944"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08" w:lineRule="exact"/>
        <w:rPr>
          <w:sz w:val="20"/>
          <w:szCs w:val="20"/>
          <w:color w:val="auto"/>
        </w:rPr>
      </w:pPr>
    </w:p>
    <w:tbl>
      <w:tblPr>
        <w:tblLayout w:type="fixed"/>
        <w:tblInd w:w="1304"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Arial" w:cs="Arial" w:eastAsia="Arial" w:hAnsi="Arial"/>
                <w:sz w:val="18"/>
                <w:szCs w:val="18"/>
                <w:color w:val="auto"/>
                <w:w w:val="79"/>
              </w:rPr>
              <w:t>4.1</w:t>
            </w:r>
          </w:p>
        </w:tc>
        <w:tc>
          <w:tcPr>
            <w:tcW w:w="1320" w:type="dxa"/>
            <w:vAlign w:val="bottom"/>
            <w:gridSpan w:val="2"/>
          </w:tcPr>
          <w:p>
            <w:pPr>
              <w:spacing w:after="0"/>
              <w:rPr>
                <w:sz w:val="20"/>
                <w:szCs w:val="20"/>
                <w:color w:val="auto"/>
              </w:rPr>
            </w:pPr>
            <w:r>
              <w:rPr>
                <w:rFonts w:ascii="Arial" w:cs="Arial" w:eastAsia="Arial" w:hAnsi="Arial"/>
                <w:sz w:val="18"/>
                <w:szCs w:val="18"/>
                <w:color w:val="auto"/>
                <w:w w:val="96"/>
              </w:rPr>
              <w:t>Stock Dividends.</w:t>
            </w:r>
          </w:p>
        </w:tc>
        <w:tc>
          <w:tcPr>
            <w:tcW w:w="7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12"/>
        </w:trPr>
        <w:tc>
          <w:tcPr>
            <w:tcW w:w="840" w:type="dxa"/>
            <w:vAlign w:val="bottom"/>
          </w:tcPr>
          <w:p>
            <w:pPr>
              <w:spacing w:after="0"/>
              <w:rPr>
                <w:sz w:val="24"/>
                <w:szCs w:val="24"/>
                <w:color w:val="auto"/>
              </w:rPr>
            </w:pPr>
          </w:p>
        </w:tc>
        <w:tc>
          <w:tcPr>
            <w:tcW w:w="12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w w:val="90"/>
              </w:rPr>
              <w:t>Split-Ups. If after the date hereof, and subject to the provisions of Section 4.6 below, the number</w:t>
            </w:r>
          </w:p>
        </w:tc>
      </w:tr>
      <w:tr>
        <w:trPr>
          <w:trHeight w:val="20"/>
        </w:trPr>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3" w:lineRule="exact"/>
        <w:rPr>
          <w:sz w:val="20"/>
          <w:szCs w:val="20"/>
          <w:color w:val="auto"/>
        </w:rPr>
      </w:pPr>
    </w:p>
    <w:p>
      <w:pPr>
        <w:ind w:left="404"/>
        <w:spacing w:after="0" w:line="286" w:lineRule="auto"/>
        <w:rPr>
          <w:sz w:val="20"/>
          <w:szCs w:val="20"/>
          <w:color w:val="auto"/>
        </w:rPr>
      </w:pPr>
      <w:r>
        <w:rPr>
          <w:rFonts w:ascii="Arial" w:cs="Arial" w:eastAsia="Arial" w:hAnsi="Arial"/>
          <w:sz w:val="16"/>
          <w:szCs w:val="16"/>
          <w:color w:val="auto"/>
        </w:rPr>
        <w:t xml:space="preserve">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shall be increased in proportion to such increase in the outstanding shares of Common Stock. A rights offering to holders of shares of Common Stock entitling holders to purchase shares of Common Stock at a price less than the “Fair Market Value” (as defined below)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w:t>
      </w:r>
      <w:r>
        <w:rPr>
          <w:rFonts w:ascii="Arial" w:cs="Arial" w:eastAsia="Arial" w:hAnsi="Arial"/>
          <w:sz w:val="16"/>
          <w:szCs w:val="16"/>
          <w:u w:val="single" w:color="auto"/>
          <w:color w:val="auto"/>
        </w:rPr>
        <w:t>subsection 4.1.1</w:t>
      </w:r>
      <w:r>
        <w:rPr>
          <w:rFonts w:ascii="Arial" w:cs="Arial" w:eastAsia="Arial" w:hAnsi="Arial"/>
          <w:sz w:val="16"/>
          <w:szCs w:val="16"/>
          <w:color w:val="auto"/>
        </w:rPr>
        <w:t>, (i) if the rights offering is for securities convertible into or exercisable for shares of Common Stock, in determining the price payable for shares of Common Stock, there shall be taken into account any consideration received for such rights, as well as any additional amount payable upon exercise or conversion and (ii) “Fair Market Value” means the volume weighted average price of the Common Stock as reported during the ten (10) trading day period ending on the trading day prior to the first date on which the shares of Common Stock trade on the applicable exchange or in the applicable market, regular way, without the right to receive such rights.</w:t>
      </w:r>
    </w:p>
    <w:p>
      <w:pPr>
        <w:spacing w:after="0" w:line="174" w:lineRule="exact"/>
        <w:rPr>
          <w:sz w:val="20"/>
          <w:szCs w:val="20"/>
          <w:color w:val="auto"/>
        </w:rPr>
      </w:pPr>
    </w:p>
    <w:p>
      <w:pPr>
        <w:ind w:left="404" w:firstLine="1944"/>
        <w:spacing w:after="0" w:line="285"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xml:space="preserve">. If the Company, at any time while the Warrants are outstanding and unexpired, shall pay a dividend or make a distribution in cash, securities or other assets to the holders of the shares of Common Stock on account of such shares of Common Stock (or other shares of the Company’s capital stock into which the Warrants are convertible), other than (a) as described in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above, (b) Ordinary Cash Dividends (as defined below), (c) to satisfy the redemption rights of the holders of the shares of Common Stock in connection with a proposed initial Business Combination, (d) to satisfy the redemption rights of the holders of the shares of Common Stock in connection with a stockholder vote to amend the Company’s amended and restated certificate of incorporation to modify the substance or timing of the Company’s obligation to redeem 100% of the shares of Common Stock included in the Units sold in the Offering if the Company does not complete the Business Combination within the period set forth in the Company’s amended and restated certificate of incorporation or with respect to any other material provisions relating to stockholders’ rights or pre-Business Combination activity, or (e) in connection with the redemption of shares of Common Stock included in the Units sold in the Offering upon the failure of the Company to complete its initial Business Combination and any subsequent distribution of its assets upon its liquidation (any such non-excluded event being referred to herein as an “</w:t>
      </w:r>
      <w:r>
        <w:rPr>
          <w:rFonts w:ascii="Arial" w:cs="Arial" w:eastAsia="Arial" w:hAnsi="Arial"/>
          <w:sz w:val="16"/>
          <w:szCs w:val="16"/>
          <w:b w:val="1"/>
          <w:bCs w:val="1"/>
          <w:color w:val="auto"/>
        </w:rPr>
        <w:t>Extraordinary Dividend</w:t>
      </w:r>
      <w:r>
        <w:rPr>
          <w:rFonts w:ascii="Arial" w:cs="Arial" w:eastAsia="Arial" w:hAnsi="Arial"/>
          <w:sz w:val="16"/>
          <w:szCs w:val="16"/>
          <w:color w:val="auto"/>
        </w:rPr>
        <w:t xml:space="preserve">”), then the Warrant Price shall be decreased, effective immediately after the effective date of such Extraordinary Dividend, by the amount of cash and/or the fair market value (as determined by the Board, in good faith) of any securities or other assets paid on each share of Common Stock in respect of such Extraordinary Dividend. For purposes of this </w:t>
      </w:r>
      <w:r>
        <w:rPr>
          <w:rFonts w:ascii="Arial" w:cs="Arial" w:eastAsia="Arial" w:hAnsi="Arial"/>
          <w:sz w:val="16"/>
          <w:szCs w:val="16"/>
          <w:u w:val="single" w:color="auto"/>
          <w:color w:val="auto"/>
        </w:rPr>
        <w:t>subsection 4.1.2</w:t>
      </w:r>
      <w:r>
        <w:rPr>
          <w:rFonts w:ascii="Arial" w:cs="Arial" w:eastAsia="Arial" w:hAnsi="Arial"/>
          <w:sz w:val="16"/>
          <w:szCs w:val="16"/>
          <w:color w:val="auto"/>
        </w:rPr>
        <w:t>, “</w:t>
      </w:r>
      <w:r>
        <w:rPr>
          <w:rFonts w:ascii="Arial" w:cs="Arial" w:eastAsia="Arial" w:hAnsi="Arial"/>
          <w:sz w:val="16"/>
          <w:szCs w:val="16"/>
          <w:b w:val="1"/>
          <w:bCs w:val="1"/>
          <w:color w:val="auto"/>
        </w:rPr>
        <w:t>Ordinary Cash Dividends</w:t>
      </w:r>
      <w:r>
        <w:rPr>
          <w:rFonts w:ascii="Arial" w:cs="Arial" w:eastAsia="Arial" w:hAnsi="Arial"/>
          <w:sz w:val="16"/>
          <w:szCs w:val="16"/>
          <w:color w:val="auto"/>
        </w:rPr>
        <w:t xml:space="preserve">”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(as adjusted to appropriately reflect any of the events referred to in other subsections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excluding cash dividends or cash distributions that resulted in an adjustment to the Warrant Price or to the number of shares of Common Stock issuable on exercise of each Warrant) does not exceed $0.50 (being 5% of the offering price of the Units in the Offering).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248" w:name="page249"/>
    <w:bookmarkEnd w:id="248"/>
    <w:p>
      <w:pPr>
        <w:ind w:left="4" w:firstLine="1296"/>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hereof,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spacing w:after="0" w:line="188" w:lineRule="exact"/>
        <w:rPr>
          <w:sz w:val="20"/>
          <w:szCs w:val="20"/>
          <w:color w:val="auto"/>
        </w:rPr>
      </w:pPr>
    </w:p>
    <w:p>
      <w:pPr>
        <w:ind w:left="4" w:right="80" w:firstLine="1296"/>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Adjustments in Warrant Price</w:t>
      </w:r>
      <w:r>
        <w:rPr>
          <w:rFonts w:ascii="Arial" w:cs="Arial" w:eastAsia="Arial" w:hAnsi="Arial"/>
          <w:sz w:val="18"/>
          <w:szCs w:val="18"/>
          <w:color w:val="auto"/>
        </w:rPr>
        <w:t>. Whenever the number of shares of Common Stock purchasable upon the exercise of the Warrants is adjusted,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88" w:lineRule="exact"/>
        <w:rPr>
          <w:sz w:val="20"/>
          <w:szCs w:val="20"/>
          <w:color w:val="auto"/>
        </w:rPr>
      </w:pPr>
    </w:p>
    <w:p>
      <w:pPr>
        <w:ind w:left="4" w:right="20" w:firstLine="1296"/>
        <w:spacing w:after="0" w:line="28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of Common Stock (other than a change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or that solely affects the par value of such shares of Common Stock), or in the case of any merger or consolidation of the Company with or into another entity or conversion of the Company into another type of entity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Arial" w:cs="Arial" w:eastAsia="Arial" w:hAnsi="Arial"/>
          <w:sz w:val="16"/>
          <w:szCs w:val="16"/>
          <w:b w:val="1"/>
          <w:bCs w:val="1"/>
          <w:color w:val="auto"/>
        </w:rPr>
        <w:t>Alternative Issuance</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the holders of the shares of Common Stock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shares of Common Stock in such consolidation or merger that affirmatively make such election, and (ii) if a tender, exchange or redemption offer shall have been made to and accepted by the holders of the shares of Common Stock (other than a tender, exchange or redemption offer made by the Company in connection with redemption rights held by stockholders of the Company as provided for in the Company’s amended and restated certificate of incorporation or as a result of the repurchase of shares of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w:t>
      </w:r>
    </w:p>
    <w:p>
      <w:pPr>
        <w:spacing w:after="0" w:line="11" w:lineRule="exact"/>
        <w:rPr>
          <w:sz w:val="20"/>
          <w:szCs w:val="20"/>
          <w:color w:val="auto"/>
        </w:rPr>
      </w:pPr>
    </w:p>
    <w:p>
      <w:pPr>
        <w:ind w:left="4" w:right="20" w:hanging="4"/>
        <w:spacing w:after="0" w:line="283" w:lineRule="auto"/>
        <w:tabs>
          <w:tab w:leader="none" w:pos="25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shares of Common Stock, the holder of a Warrant shall be entitled to receive as the Alternative Issuance,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adjustments (from and after the consummation of such tender or exchange offer) as nearly equivalent as possible to the adjustments provided for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less than 70% of the consideration receivable by the holders of the shares of Common Stock in the applicable event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if positive, of (i) the Warrant Price in effect prior to such reduction minus (ii) (A) the Per Share Consideration (as defined below) minus (B) the Black-Scholes Warrant Value (as defined below) (which amount determined under this clause (ii) shall not be less than zero). The “</w:t>
      </w:r>
      <w:r>
        <w:rPr>
          <w:rFonts w:ascii="Arial" w:cs="Arial" w:eastAsia="Arial" w:hAnsi="Arial"/>
          <w:sz w:val="16"/>
          <w:szCs w:val="16"/>
          <w:b w:val="1"/>
          <w:bCs w:val="1"/>
          <w:color w:val="auto"/>
        </w:rPr>
        <w:t>Black-Scholes Warrant Value</w:t>
      </w:r>
      <w:r>
        <w:rPr>
          <w:rFonts w:ascii="Arial" w:cs="Arial" w:eastAsia="Arial" w:hAnsi="Arial"/>
          <w:sz w:val="16"/>
          <w:szCs w:val="16"/>
          <w:color w:val="auto"/>
        </w:rPr>
        <w:t>” means the value of a Warrant immediately prior to the consummation of the applicable event based on the Black-Scholes Warrant Model for a Capped American Call on Bloomberg Financial Markets (“</w:t>
      </w:r>
      <w:r>
        <w:rPr>
          <w:rFonts w:ascii="Arial" w:cs="Arial" w:eastAsia="Arial" w:hAnsi="Arial"/>
          <w:sz w:val="16"/>
          <w:szCs w:val="16"/>
          <w:b w:val="1"/>
          <w:bCs w:val="1"/>
          <w:color w:val="auto"/>
        </w:rPr>
        <w:t>Bloomberg</w:t>
      </w:r>
      <w:r>
        <w:rPr>
          <w:rFonts w:ascii="Arial" w:cs="Arial" w:eastAsia="Arial" w:hAnsi="Arial"/>
          <w:sz w:val="16"/>
          <w:szCs w:val="16"/>
          <w:color w:val="auto"/>
        </w:rPr>
        <w:t xml:space="preserve">”). For purposes of calculating such amount, (1)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shall be taken into account, (2) the price of each share of Common Stock shall be the volume weighted average price of the Common Stock as reported during the ten (10) trading day period ending on the trading day prior to the effective date of the applicable event, (3) the assumed volatility shall be the 90 day volatility obtained from the HVT function on Bloomberg determined as of the trading day immediately prior to the day of the announcement of the applicable event, and (4) the assumed risk-free interest rate shall correspond to the U.S. Treasury rate for a period equal to the remaining term of the Warrant. “</w:t>
      </w:r>
      <w:r>
        <w:rPr>
          <w:rFonts w:ascii="Arial" w:cs="Arial" w:eastAsia="Arial" w:hAnsi="Arial"/>
          <w:sz w:val="16"/>
          <w:szCs w:val="16"/>
          <w:b w:val="1"/>
          <w:bCs w:val="1"/>
          <w:color w:val="auto"/>
        </w:rPr>
        <w:t>Per Share Consideration</w:t>
      </w:r>
      <w:r>
        <w:rPr>
          <w:rFonts w:ascii="Arial" w:cs="Arial" w:eastAsia="Arial" w:hAnsi="Arial"/>
          <w:sz w:val="16"/>
          <w:szCs w:val="16"/>
          <w:color w:val="auto"/>
        </w:rPr>
        <w:t xml:space="preserve">” means (i) if the consideration paid to holders of the shares of Common Stock consists exclusively of cash, the amount of such cash per share of Common Stock, and (ii) in all other cases, the volume weighted average price of the Common Stock as reported during the ten (10) trading day period ending on the trading day prior to the effective date of the applicable event. If any reclassification or reorganization also results in a change in shares of Common Stock covered by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then such adjustment shall be made 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49" w:name="page250"/>
    <w:bookmarkEnd w:id="249"/>
    <w:p>
      <w:pPr>
        <w:ind w:left="4" w:right="60" w:firstLine="1296"/>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Notices of Changes in Warrant</w:t>
      </w:r>
      <w:r>
        <w:rPr>
          <w:rFonts w:ascii="Arial" w:cs="Arial" w:eastAsia="Arial" w:hAnsi="Arial"/>
          <w:sz w:val="17"/>
          <w:szCs w:val="17"/>
          <w:color w:val="auto"/>
        </w:rPr>
        <w:t xml:space="preserve">.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adjustment to the number of shares of Common Stock issuable upon exercise of a Warrant shall be required until cumulative adjustments amount to 1% or more of the number of shares of Common Stock issuable upon exercise of a Warrant as last adjusted;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such adjustments that are not made are carried forward and taken into account in any subsequent adjustment. Notwithstanding the foregoing, all such carried forward adjustments shall be made (i) in connection with any subsequent adjustment that (taken together with such carried forward adjustments) would result in a change of at least 1% in the number of shares of Common Stock issuable upon exercise of a Warrant and (ii) on the exercise date of any Warrant. Upon the occurrence of any event specified in </w:t>
      </w:r>
      <w:r>
        <w:rPr>
          <w:rFonts w:ascii="Arial" w:cs="Arial" w:eastAsia="Arial" w:hAnsi="Arial"/>
          <w:sz w:val="17"/>
          <w:szCs w:val="17"/>
          <w:u w:val="single" w:color="auto"/>
          <w:color w:val="auto"/>
        </w:rPr>
        <w:t>Sections 4.1</w:t>
      </w:r>
      <w:r>
        <w:rPr>
          <w:rFonts w:ascii="Arial" w:cs="Arial" w:eastAsia="Arial" w:hAnsi="Arial"/>
          <w:sz w:val="17"/>
          <w:szCs w:val="17"/>
          <w:color w:val="auto"/>
        </w:rPr>
        <w:t xml:space="preserve">,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in connection with which an adjustment is made to the Warrant Price or the number of shares of Common Stock issuable upon exercise of a Warrant,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84" w:lineRule="exact"/>
        <w:rPr>
          <w:sz w:val="20"/>
          <w:szCs w:val="20"/>
          <w:color w:val="auto"/>
        </w:rPr>
      </w:pPr>
    </w:p>
    <w:p>
      <w:pPr>
        <w:ind w:left="4" w:right="60" w:firstLine="1296"/>
        <w:spacing w:after="0" w:line="27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 Fractional Shares</w:t>
      </w:r>
      <w:r>
        <w:rPr>
          <w:rFonts w:ascii="Arial" w:cs="Arial" w:eastAsia="Arial" w:hAnsi="Arial"/>
          <w:sz w:val="17"/>
          <w:szCs w:val="17"/>
          <w:color w:val="auto"/>
        </w:rPr>
        <w:t xml:space="preserve">. Notwithstanding any provision contained in this Agreement to the contrary, the Company shall not issue fractional shares of Common Stock upon the exercise of Warrants. If, by reason of any adjustment made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holder of any Warrant would be entitled, upon the exercise of such Warrant, to receive a fractional interest in a share, the Company shall, upon such exercise, round down to the nearest whole number the number of shares of Common Stock to be issued to such holder.</w:t>
      </w:r>
    </w:p>
    <w:p>
      <w:pPr>
        <w:spacing w:after="0" w:line="171" w:lineRule="exact"/>
        <w:rPr>
          <w:sz w:val="20"/>
          <w:szCs w:val="20"/>
          <w:color w:val="auto"/>
        </w:rPr>
      </w:pPr>
    </w:p>
    <w:p>
      <w:pPr>
        <w:ind w:left="4" w:firstLine="1296"/>
        <w:spacing w:after="0" w:line="29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Form of Warrant</w:t>
      </w:r>
      <w:r>
        <w:rPr>
          <w:rFonts w:ascii="Arial" w:cs="Arial" w:eastAsia="Arial" w:hAnsi="Arial"/>
          <w:sz w:val="16"/>
          <w:szCs w:val="16"/>
          <w:color w:val="auto"/>
        </w:rPr>
        <w:t xml:space="preserve">. The form of Warrant need not be changed because of any adjustment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Warrants issued after such adjustment may state the same Warrant Price and the same number of shares of Common Stock as is stated in the Warrants initially issued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61" w:lineRule="exact"/>
        <w:rPr>
          <w:sz w:val="20"/>
          <w:szCs w:val="20"/>
          <w:color w:val="auto"/>
        </w:rPr>
      </w:pPr>
    </w:p>
    <w:p>
      <w:pPr>
        <w:ind w:left="4" w:right="100" w:firstLine="1296"/>
        <w:spacing w:after="0" w:line="25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Other Events</w:t>
      </w:r>
      <w:r>
        <w:rPr>
          <w:rFonts w:ascii="Arial" w:cs="Arial" w:eastAsia="Arial" w:hAnsi="Arial"/>
          <w:sz w:val="18"/>
          <w:szCs w:val="18"/>
          <w:color w:val="auto"/>
        </w:rPr>
        <w:t xml:space="preserve">. In case any event shall occur affecting the Company as to which none of the provisions of the preceding subsections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are strictly applicable, but which would require an adjustment to the terms of the Warrants in order to (i) avoid an adverse impact on the Warrants and (ii) effectuate the intent and purpose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if they determine that an adjustment is necessary, the terms of such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under no circumstances shall the Warrants be adjusted pursuant to this Section 4.8(ii) as a result of any issuance of securities in connection with a Business Combination or (ii) solely as a result of an adjustment to the conversion ratio of the Company’s Class B common stock, $0.0001 par value per share, into Common Stock. The Company shall adjust the terms of the Warrants in a manner that is consistent with any adjustment recommended in such opinion.</w:t>
      </w:r>
    </w:p>
    <w:p>
      <w:pPr>
        <w:spacing w:after="0" w:line="194" w:lineRule="exact"/>
        <w:rPr>
          <w:sz w:val="20"/>
          <w:szCs w:val="20"/>
          <w:color w:val="auto"/>
        </w:rPr>
      </w:pPr>
    </w:p>
    <w:p>
      <w:pPr>
        <w:ind w:left="944" w:hanging="944"/>
        <w:spacing w:after="0"/>
        <w:tabs>
          <w:tab w:leader="none" w:pos="944"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ind w:left="4" w:right="20" w:firstLine="1296"/>
        <w:spacing w:after="0" w:line="29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upon the Warrant Register, upon surrender of such Warrant for transfer, in the case of certificated warrants,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37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50" w:name="page251"/>
    <w:bookmarkEnd w:id="250"/>
    <w:p>
      <w:pPr>
        <w:ind w:left="4" w:right="40" w:firstLine="1296"/>
        <w:spacing w:after="0" w:line="29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Procedure for Surrender of Warrants</w:t>
      </w:r>
      <w:r>
        <w:rPr>
          <w:rFonts w:ascii="Arial" w:cs="Arial" w:eastAsia="Arial" w:hAnsi="Arial"/>
          <w:sz w:val="16"/>
          <w:szCs w:val="16"/>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4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5.3</w:t>
            </w:r>
          </w:p>
        </w:tc>
        <w:tc>
          <w:tcPr>
            <w:tcW w:w="8420" w:type="dxa"/>
            <w:vAlign w:val="bottom"/>
            <w:gridSpan w:val="4"/>
          </w:tcPr>
          <w:p>
            <w:pPr>
              <w:spacing w:after="0"/>
              <w:rPr>
                <w:sz w:val="20"/>
                <w:szCs w:val="20"/>
                <w:color w:val="auto"/>
              </w:rPr>
            </w:pPr>
            <w:r>
              <w:rPr>
                <w:rFonts w:ascii="Arial" w:cs="Arial" w:eastAsia="Arial" w:hAnsi="Arial"/>
                <w:sz w:val="18"/>
                <w:szCs w:val="18"/>
                <w:color w:val="auto"/>
                <w:w w:val="90"/>
              </w:rPr>
              <w:t>Fractional Warrants. The Warrant Agent shall not be required to effect any registration of transfer or exchange which</w:t>
            </w:r>
          </w:p>
        </w:tc>
      </w:tr>
      <w:tr>
        <w:trPr>
          <w:trHeight w:val="20"/>
        </w:trPr>
        <w:tc>
          <w:tcPr>
            <w:tcW w:w="2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37"/>
        </w:trPr>
        <w:tc>
          <w:tcPr>
            <w:tcW w:w="10560" w:type="dxa"/>
            <w:vAlign w:val="bottom"/>
            <w:gridSpan w:val="5"/>
          </w:tcPr>
          <w:p>
            <w:pPr>
              <w:spacing w:after="0"/>
              <w:rPr>
                <w:sz w:val="20"/>
                <w:szCs w:val="20"/>
                <w:color w:val="auto"/>
              </w:rPr>
            </w:pPr>
            <w:r>
              <w:rPr>
                <w:rFonts w:ascii="Arial" w:cs="Arial" w:eastAsia="Arial" w:hAnsi="Arial"/>
                <w:sz w:val="18"/>
                <w:szCs w:val="18"/>
                <w:color w:val="auto"/>
              </w:rPr>
              <w:t>shall result in the issuance of a warrant certificate or book-entry position for a fraction of a Warrant, except as part of the Units.</w:t>
            </w:r>
          </w:p>
        </w:tc>
      </w:tr>
      <w:tr>
        <w:trPr>
          <w:trHeight w:val="391"/>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5.4</w:t>
            </w:r>
          </w:p>
        </w:tc>
        <w:tc>
          <w:tcPr>
            <w:tcW w:w="8420" w:type="dxa"/>
            <w:vAlign w:val="bottom"/>
            <w:gridSpan w:val="4"/>
          </w:tcPr>
          <w:p>
            <w:pPr>
              <w:spacing w:after="0"/>
              <w:rPr>
                <w:sz w:val="20"/>
                <w:szCs w:val="20"/>
                <w:color w:val="auto"/>
              </w:rPr>
            </w:pPr>
            <w:r>
              <w:rPr>
                <w:rFonts w:ascii="Arial" w:cs="Arial" w:eastAsia="Arial" w:hAnsi="Arial"/>
                <w:sz w:val="18"/>
                <w:szCs w:val="18"/>
                <w:color w:val="auto"/>
                <w:w w:val="98"/>
              </w:rPr>
              <w:t>Service Charges. No service charge shall be made for any exchange or registration of transfer of Warrants.</w:t>
            </w:r>
          </w:p>
        </w:tc>
      </w:tr>
      <w:tr>
        <w:trPr>
          <w:trHeight w:val="20"/>
        </w:trPr>
        <w:tc>
          <w:tcPr>
            <w:tcW w:w="2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412"/>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5.5</w:t>
            </w:r>
          </w:p>
        </w:tc>
        <w:tc>
          <w:tcPr>
            <w:tcW w:w="8420" w:type="dxa"/>
            <w:vAlign w:val="bottom"/>
            <w:gridSpan w:val="4"/>
          </w:tcPr>
          <w:p>
            <w:pPr>
              <w:spacing w:after="0"/>
              <w:rPr>
                <w:sz w:val="20"/>
                <w:szCs w:val="20"/>
                <w:color w:val="auto"/>
              </w:rPr>
            </w:pPr>
            <w:r>
              <w:rPr>
                <w:rFonts w:ascii="Arial" w:cs="Arial" w:eastAsia="Arial" w:hAnsi="Arial"/>
                <w:sz w:val="18"/>
                <w:szCs w:val="18"/>
                <w:color w:val="auto"/>
                <w:w w:val="92"/>
              </w:rPr>
              <w:t>Warrant Execution and Countersignature. The Warrant Agent is hereby authorized to countersign and to deliver, in</w:t>
            </w:r>
          </w:p>
        </w:tc>
      </w:tr>
      <w:tr>
        <w:trPr>
          <w:trHeight w:val="20"/>
        </w:trPr>
        <w:tc>
          <w:tcPr>
            <w:tcW w:w="2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4"/>
        <w:spacing w:after="0" w:line="342" w:lineRule="auto"/>
        <w:rPr>
          <w:sz w:val="20"/>
          <w:szCs w:val="20"/>
          <w:color w:val="auto"/>
        </w:rPr>
      </w:pPr>
      <w:r>
        <w:rPr>
          <w:rFonts w:ascii="Arial" w:cs="Arial" w:eastAsia="Arial" w:hAnsi="Arial"/>
          <w:sz w:val="16"/>
          <w:szCs w:val="16"/>
          <w:color w:val="auto"/>
        </w:rPr>
        <w:t xml:space="preserve">accordance with the terms of this Agreement, the Warrants required to be issued pursuant to the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 and the Company, whenever required by the Warrant Agent, shall supply the Warrant Agent with Warrants duly executed on behalf of the Company for such purpose.</w:t>
      </w:r>
    </w:p>
    <w:p>
      <w:pPr>
        <w:spacing w:after="0" w:line="124" w:lineRule="exact"/>
        <w:rPr>
          <w:sz w:val="20"/>
          <w:szCs w:val="20"/>
          <w:color w:val="auto"/>
        </w:rPr>
      </w:pPr>
    </w:p>
    <w:p>
      <w:pPr>
        <w:ind w:left="4" w:right="220" w:firstLine="1296"/>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shall have no effect on any transfer of Warrants on and after the Detachment Date.</w:t>
      </w:r>
    </w:p>
    <w:p>
      <w:pPr>
        <w:spacing w:after="0" w:line="188" w:lineRule="exact"/>
        <w:rPr>
          <w:sz w:val="20"/>
          <w:szCs w:val="20"/>
          <w:color w:val="auto"/>
        </w:rPr>
      </w:pPr>
    </w:p>
    <w:p>
      <w:pPr>
        <w:ind w:left="944" w:hanging="944"/>
        <w:spacing w:after="0"/>
        <w:tabs>
          <w:tab w:leader="none" w:pos="944"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left="4" w:right="20" w:firstLine="1296"/>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 of Warrants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hereof, not less than all of the outstanding Warrants may be redeemed, at the option of the Company, at any time while they are exercisable and prior to their expiration, at the office of the Warrant Agent, upon notice to the Registered Holders of the Warrants, as described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below, at the price of $0.01 per Warrant (the “</w:t>
      </w:r>
      <w:r>
        <w:rPr>
          <w:rFonts w:ascii="Arial" w:cs="Arial" w:eastAsia="Arial" w:hAnsi="Arial"/>
          <w:sz w:val="16"/>
          <w:szCs w:val="16"/>
          <w:b w:val="1"/>
          <w:bCs w:val="1"/>
          <w:color w:val="auto"/>
        </w:rPr>
        <w:t>Redemption</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provided that the closing price of the Common Stock reported has been at least $18.00 per share (subject to adjustment in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on each of twenty (20) trading days, within the thirty (30) trading-day period ending on the third trading day prior to the date on which notice of the redemption is given and provided that there is an effective registration statement covering the shares of Common Stock issuable upon exercise of the Warrants, and a current prospectus relating thereto, available throughout the 30-day Redemption Period (as defined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below) or the Company has elected to require the exercise of the Warrants on a “cashless basis” pursuant to </w:t>
      </w:r>
      <w:r>
        <w:rPr>
          <w:rFonts w:ascii="Arial" w:cs="Arial" w:eastAsia="Arial" w:hAnsi="Arial"/>
          <w:sz w:val="16"/>
          <w:szCs w:val="16"/>
          <w:u w:val="single" w:color="auto"/>
          <w:color w:val="auto"/>
        </w:rPr>
        <w:t>subsection 3.3.1</w:t>
      </w:r>
      <w:r>
        <w:rPr>
          <w:rFonts w:ascii="Arial" w:cs="Arial" w:eastAsia="Arial" w:hAnsi="Arial"/>
          <w:sz w:val="16"/>
          <w:szCs w:val="16"/>
          <w:color w:val="auto"/>
        </w:rPr>
        <w:t xml:space="preserve"> and such cashless exercise is exempt from registration under the Securities Act.</w:t>
      </w:r>
    </w:p>
    <w:p>
      <w:pPr>
        <w:spacing w:after="0" w:line="38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51" w:name="page252"/>
    <w:bookmarkEnd w:id="251"/>
    <w:p>
      <w:pPr>
        <w:ind w:firstLine="1296"/>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xml:space="preserve">. In the event that the Company elects to redeem all of the Warrants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thirty (30) days prior to the Redemption Date (such 30-day period, the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to the Registered Holders of the Warrants to be redeemed at their last addresses as they shall appear on the registration books. Any notice</w:t>
      </w:r>
      <w:r>
        <w:rPr>
          <w:rFonts w:ascii="Arial" w:cs="Arial" w:eastAsia="Arial" w:hAnsi="Arial"/>
          <w:sz w:val="18"/>
          <w:szCs w:val="18"/>
          <w:b w:val="1"/>
          <w:bCs w:val="1"/>
          <w:color w:val="auto"/>
        </w:rPr>
        <w:t xml:space="preserve"> </w:t>
      </w:r>
      <w:r>
        <w:rPr>
          <w:rFonts w:ascii="Arial" w:cs="Arial" w:eastAsia="Arial" w:hAnsi="Arial"/>
          <w:sz w:val="18"/>
          <w:szCs w:val="18"/>
          <w:color w:val="auto"/>
        </w:rPr>
        <w:t>mailed in the manner herein provided shall be conclusively presumed to have been duly given whether or not the Registered Holder received such notice.</w:t>
      </w:r>
    </w:p>
    <w:p>
      <w:pPr>
        <w:spacing w:after="0" w:line="192"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xml:space="preserve">. The Warrants may be exercised, for cash (or on a “cashless basis” in accordance with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of this Agreement) at any time after notice of redemption shall have been given by the Company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and prior to the Redemption Date. In the event that the Company determines to require all holders of Warrants to exercise their Warrants on a “cashless basis” pursuant to </w:t>
      </w:r>
      <w:r>
        <w:rPr>
          <w:rFonts w:ascii="Arial" w:cs="Arial" w:eastAsia="Arial" w:hAnsi="Arial"/>
          <w:sz w:val="17"/>
          <w:szCs w:val="17"/>
          <w:u w:val="single" w:color="auto"/>
          <w:color w:val="auto"/>
        </w:rPr>
        <w:t>subsection 3.3.1</w:t>
      </w:r>
      <w:r>
        <w:rPr>
          <w:rFonts w:ascii="Arial" w:cs="Arial" w:eastAsia="Arial" w:hAnsi="Arial"/>
          <w:sz w:val="17"/>
          <w:szCs w:val="17"/>
          <w:color w:val="auto"/>
        </w:rPr>
        <w:t>, the notice of redemption shall contain the information necessary to calculate the number of shares of Common Stock to be received upon exercise of the Warrants, including the “</w:t>
      </w:r>
      <w:r>
        <w:rPr>
          <w:rFonts w:ascii="Arial" w:cs="Arial" w:eastAsia="Arial" w:hAnsi="Arial"/>
          <w:sz w:val="17"/>
          <w:szCs w:val="17"/>
          <w:b w:val="1"/>
          <w:bCs w:val="1"/>
          <w:color w:val="auto"/>
        </w:rPr>
        <w:t>Fair Market Value</w:t>
      </w:r>
      <w:r>
        <w:rPr>
          <w:rFonts w:ascii="Arial" w:cs="Arial" w:eastAsia="Arial" w:hAnsi="Arial"/>
          <w:sz w:val="17"/>
          <w:szCs w:val="17"/>
          <w:color w:val="auto"/>
        </w:rPr>
        <w:t xml:space="preserve">” (as such term is defined in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hereof) in such case. On and after the Redemption Date, the record holder of the Warrants shall have no further rights except to receive, upon surrender of the Warrants, the Redemption Price.</w:t>
      </w:r>
    </w:p>
    <w:p>
      <w:pPr>
        <w:spacing w:after="0" w:line="177" w:lineRule="exact"/>
        <w:rPr>
          <w:sz w:val="20"/>
          <w:szCs w:val="20"/>
          <w:color w:val="auto"/>
        </w:rPr>
      </w:pPr>
    </w:p>
    <w:p>
      <w:pPr>
        <w:ind w:right="140" w:firstLine="1296"/>
        <w:spacing w:after="0" w:line="272"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Exclusion of Private Placement Warrants</w:t>
      </w:r>
      <w:r>
        <w:rPr>
          <w:rFonts w:ascii="Arial" w:cs="Arial" w:eastAsia="Arial" w:hAnsi="Arial"/>
          <w:sz w:val="17"/>
          <w:szCs w:val="17"/>
          <w:color w:val="auto"/>
        </w:rPr>
        <w:t xml:space="preserve">. The Company agrees that the redemption rights provided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not apply to the Private Placement Warrants if at the time of the redemption such Private Placement Warrants continue to be held by the Sponsor or its Permitted Transferees.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once such Private Placement Warrants are transferred (other than to Permitted Transferees under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the Company may redeem the Private Placement Warrants, provided that the criteria for redemption are met, including the opportunity of the holder of such Private Placement Warrants to exercise the Private Placement Warrants prior to redemption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6.1</w:t>
      </w:r>
      <w:r>
        <w:rPr>
          <w:rFonts w:ascii="Arial" w:cs="Arial" w:eastAsia="Arial" w:hAnsi="Arial"/>
          <w:sz w:val="17"/>
          <w:szCs w:val="17"/>
          <w:color w:val="auto"/>
        </w:rPr>
        <w:t>. Private Placement Warrants that are transferred to persons other than Permitted Transferees shall upon such transfer cease to be Private Placement Warrants and shall become Public Warrants under this Agreement.</w:t>
      </w:r>
    </w:p>
    <w:p>
      <w:pPr>
        <w:spacing w:after="0" w:line="39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252" w:name="page253"/>
    <w:bookmarkEnd w:id="252"/>
    <w:p>
      <w:pPr>
        <w:ind w:left="944" w:hanging="944"/>
        <w:spacing w:after="0"/>
        <w:tabs>
          <w:tab w:leader="none" w:pos="944"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ind w:left="4" w:right="20" w:firstLine="129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87" w:lineRule="exact"/>
        <w:rPr>
          <w:sz w:val="20"/>
          <w:szCs w:val="20"/>
          <w:color w:val="auto"/>
        </w:rPr>
      </w:pPr>
    </w:p>
    <w:p>
      <w:pPr>
        <w:ind w:left="4" w:right="140" w:firstLine="1296"/>
        <w:spacing w:after="0" w:line="29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Lost, Stolen, Mutilated, or Destroyed Warrants</w:t>
      </w:r>
      <w:r>
        <w:rPr>
          <w:rFonts w:ascii="Arial" w:cs="Arial" w:eastAsia="Arial" w:hAnsi="Arial"/>
          <w:sz w:val="16"/>
          <w:szCs w:val="16"/>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and countersigned by the Warrant Agent. Any such new Warrant shall constitute a substitute contractual obligation of the Company, whether or not the allegedly lost, stolen, mutilated or destroyed Warrant shall be at any time enforceable by anyone. Warrant Agent may, at its option, countersign replacement Warrants for mutilated certificates upon presentation thereof without such indemnity.</w:t>
      </w:r>
    </w:p>
    <w:p>
      <w:pPr>
        <w:spacing w:after="0" w:line="164" w:lineRule="exact"/>
        <w:rPr>
          <w:sz w:val="20"/>
          <w:szCs w:val="20"/>
          <w:color w:val="auto"/>
        </w:rPr>
      </w:pPr>
    </w:p>
    <w:p>
      <w:pPr>
        <w:jc w:val="both"/>
        <w:ind w:left="4" w:right="60" w:firstLine="1296"/>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Reservation of Shares of Common Stock</w:t>
      </w:r>
      <w:r>
        <w:rPr>
          <w:rFonts w:ascii="Arial" w:cs="Arial" w:eastAsia="Arial" w:hAnsi="Arial"/>
          <w:sz w:val="18"/>
          <w:szCs w:val="18"/>
          <w:color w:val="auto"/>
        </w:rPr>
        <w:t>. The Company shall at all times reserve and keep available a number of its authorized but unissued shares of Common Stock that shall be sufficient to permit the exercise in full of all outstanding Warrants issued pursuant to this Agreement.</w:t>
      </w:r>
    </w:p>
    <w:p>
      <w:pPr>
        <w:spacing w:after="0" w:line="184" w:lineRule="exact"/>
        <w:rPr>
          <w:sz w:val="20"/>
          <w:szCs w:val="20"/>
          <w:color w:val="auto"/>
        </w:rPr>
      </w:pPr>
    </w:p>
    <w:tbl>
      <w:tblPr>
        <w:tblLayout w:type="fixed"/>
        <w:tblInd w:w="1304" w:type="dxa"/>
        <w:tblCellMar>
          <w:top w:w="0" w:type="dxa"/>
          <w:left w:w="0" w:type="dxa"/>
          <w:bottom w:w="0" w:type="dxa"/>
          <w:right w:w="0" w:type="dxa"/>
        </w:tblCellMar>
      </w:tblPr>
      <w:tr>
        <w:trPr>
          <w:trHeight w:val="230"/>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7.4</w:t>
            </w:r>
          </w:p>
        </w:tc>
        <w:tc>
          <w:tcPr>
            <w:tcW w:w="8640" w:type="dxa"/>
            <w:vAlign w:val="bottom"/>
            <w:gridSpan w:val="3"/>
          </w:tcPr>
          <w:p>
            <w:pPr>
              <w:ind w:left="300"/>
              <w:spacing w:after="0"/>
              <w:rPr>
                <w:sz w:val="20"/>
                <w:szCs w:val="20"/>
                <w:color w:val="auto"/>
              </w:rPr>
            </w:pPr>
            <w:r>
              <w:rPr>
                <w:rFonts w:ascii="Arial" w:cs="Arial" w:eastAsia="Arial" w:hAnsi="Arial"/>
                <w:sz w:val="18"/>
                <w:szCs w:val="18"/>
                <w:color w:val="auto"/>
              </w:rPr>
              <w:t>Registration of Shares of Common Stock; Cashless Exercise at Company’s Option.</w:t>
            </w:r>
          </w:p>
        </w:tc>
      </w:tr>
      <w:tr>
        <w:trPr>
          <w:trHeight w:val="391"/>
        </w:trPr>
        <w:tc>
          <w:tcPr>
            <w:tcW w:w="540" w:type="dxa"/>
            <w:vAlign w:val="bottom"/>
          </w:tcPr>
          <w:p>
            <w:pPr>
              <w:spacing w:after="0"/>
              <w:rPr>
                <w:sz w:val="24"/>
                <w:szCs w:val="24"/>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color w:val="auto"/>
              </w:rPr>
              <w:t>7.4.1</w:t>
            </w:r>
          </w:p>
        </w:tc>
        <w:tc>
          <w:tcPr>
            <w:tcW w:w="7020" w:type="dxa"/>
            <w:vAlign w:val="bottom"/>
            <w:gridSpan w:val="2"/>
          </w:tcPr>
          <w:p>
            <w:pPr>
              <w:spacing w:after="0"/>
              <w:rPr>
                <w:sz w:val="20"/>
                <w:szCs w:val="20"/>
                <w:color w:val="auto"/>
              </w:rPr>
            </w:pPr>
            <w:r>
              <w:rPr>
                <w:rFonts w:ascii="Arial" w:cs="Arial" w:eastAsia="Arial" w:hAnsi="Arial"/>
                <w:sz w:val="18"/>
                <w:szCs w:val="18"/>
                <w:color w:val="auto"/>
                <w:w w:val="89"/>
              </w:rPr>
              <w:t>Registration of Shares of Common Stock. The Company agrees that as soon as practicable, but in</w:t>
            </w:r>
          </w:p>
        </w:tc>
      </w:tr>
      <w:tr>
        <w:trPr>
          <w:trHeight w:val="20"/>
        </w:trPr>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bl>
    <w:p>
      <w:pPr>
        <w:spacing w:after="0" w:line="13" w:lineRule="exact"/>
        <w:rPr>
          <w:sz w:val="20"/>
          <w:szCs w:val="20"/>
          <w:color w:val="auto"/>
        </w:rPr>
      </w:pPr>
    </w:p>
    <w:p>
      <w:pPr>
        <w:ind w:left="404"/>
        <w:spacing w:after="0" w:line="284" w:lineRule="auto"/>
        <w:rPr>
          <w:sz w:val="20"/>
          <w:szCs w:val="20"/>
          <w:color w:val="auto"/>
        </w:rPr>
      </w:pPr>
      <w:r>
        <w:rPr>
          <w:rFonts w:ascii="Arial" w:cs="Arial" w:eastAsia="Arial" w:hAnsi="Arial"/>
          <w:sz w:val="16"/>
          <w:szCs w:val="16"/>
          <w:color w:val="auto"/>
        </w:rPr>
        <w:t xml:space="preserve">no event later than fifteen (15) Business Days after the closing of its initial Business Combination, it shall use its best efforts to file with the Commission a registration statement for the registration, under the Securities Act of the shares of Common Stock issuable upon exercise of the Warrants. The Company shall use its best efforts to cause the same to become effective and to maintain the effectiveness of such registration statement, and a current prospectus relating thereto, until the expiration of the Warrants in accordance with the provisions of this Agreement. If any such registration statement has not been declared effective by the 60th Business Day following the closing of the Business Combination, holders of the Warrants shall have the right, during the period beginning on the 61st Business Day after the closing of the Business Combination and ending upon such registration statement being declared effective by the Commission, and during any other period when the Company shall fail to have maintained an effective registration statement covering the shares of Common Stock issuable upon exercise of the Warrants, to exercise such Warrants on a “cashless basis,” by exchanging the Warrants (in accordance with Section 3(a)(9) of the Securities Act (or any successor statute) or another exemption) for that number of shares of Common Stock equal to the quotient obtained by dividing (x) the product of the number of shares of Common Stock underlying the Warrants, multiplied by the excess of the “Fair Market Value” (as defined below) over the Warrant Price by (y) the Fair Market Value. Solely for purposes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w:t>
      </w:r>
      <w:r>
        <w:rPr>
          <w:rFonts w:ascii="Arial" w:cs="Arial" w:eastAsia="Arial" w:hAnsi="Arial"/>
          <w:sz w:val="16"/>
          <w:szCs w:val="16"/>
          <w:b w:val="1"/>
          <w:bCs w:val="1"/>
          <w:color w:val="auto"/>
        </w:rPr>
        <w:t>Fair Market Value</w:t>
      </w:r>
      <w:r>
        <w:rPr>
          <w:rFonts w:ascii="Arial" w:cs="Arial" w:eastAsia="Arial" w:hAnsi="Arial"/>
          <w:sz w:val="16"/>
          <w:szCs w:val="16"/>
          <w:color w:val="auto"/>
        </w:rPr>
        <w:t xml:space="preserve">” shall mean the average closing price of the Common Stock for the ten (10) trading days ending on the third trading day prior to the date that notice of exercise is sent to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is not required to be registered under the Securities Act and (ii) the shares of Common Stock issued upon such exercise shall be freely tradable under United States federal securities laws by anyone who is not (and has not been during the preceding three months) an affiliate (as such term is defined in Rule 144 under the Securities Act (or any successor rule)) of the Company and, accordingly, shall not be required to bear a restrictive legend. Except as provided in </w:t>
      </w:r>
      <w:r>
        <w:rPr>
          <w:rFonts w:ascii="Arial" w:cs="Arial" w:eastAsia="Arial" w:hAnsi="Arial"/>
          <w:sz w:val="16"/>
          <w:szCs w:val="16"/>
          <w:u w:val="single" w:color="auto"/>
          <w:color w:val="auto"/>
        </w:rPr>
        <w:t>subsection 7.4.2</w:t>
      </w:r>
      <w:r>
        <w:rPr>
          <w:rFonts w:ascii="Arial" w:cs="Arial" w:eastAsia="Arial" w:hAnsi="Arial"/>
          <w:sz w:val="16"/>
          <w:szCs w:val="16"/>
          <w:color w:val="auto"/>
        </w:rPr>
        <w:t xml:space="preserve">, for the avoidance of doubt, unless and until all of the Warrants have been exercised or have expired, the Company shall continue to be obligated to comply with its registration obligations under the first three sentences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w:t>
      </w:r>
    </w:p>
    <w:p>
      <w:pPr>
        <w:spacing w:after="0" w:line="39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253" w:name="page254"/>
    <w:bookmarkEnd w:id="253"/>
    <w:p>
      <w:pPr>
        <w:ind w:left="404" w:right="20" w:firstLine="1944"/>
        <w:spacing w:after="0" w:line="289" w:lineRule="auto"/>
        <w:rPr>
          <w:sz w:val="20"/>
          <w:szCs w:val="20"/>
          <w:color w:val="auto"/>
        </w:rPr>
      </w:pPr>
      <w:r>
        <w:rPr>
          <w:rFonts w:ascii="Arial" w:cs="Arial" w:eastAsia="Arial" w:hAnsi="Arial"/>
          <w:sz w:val="16"/>
          <w:szCs w:val="16"/>
          <w:color w:val="auto"/>
        </w:rPr>
        <w:t xml:space="preserve">7.4.2 </w:t>
      </w:r>
      <w:r>
        <w:rPr>
          <w:rFonts w:ascii="Arial" w:cs="Arial" w:eastAsia="Arial" w:hAnsi="Arial"/>
          <w:sz w:val="16"/>
          <w:szCs w:val="16"/>
          <w:u w:val="single" w:color="auto"/>
          <w:color w:val="auto"/>
        </w:rPr>
        <w:t>Cashless Exercise at Company’s Option</w:t>
      </w:r>
      <w:r>
        <w:rPr>
          <w:rFonts w:ascii="Arial" w:cs="Arial" w:eastAsia="Arial" w:hAnsi="Arial"/>
          <w:sz w:val="16"/>
          <w:szCs w:val="16"/>
          <w:color w:val="auto"/>
        </w:rPr>
        <w:t xml:space="preserve">. If the shares of Common Stock are at the time of any exercise of a Warrant not listed on a national securities exchange such that it satisfies the definition of a “covered security” under Section 18(b)(1) of the Securities Act (or any successor statute), the Company may, at its option, require holders of Public Warrants who exercise Public Warrants to exercise such Public Warrants on a “cashless basis” in accordance with Section 3(a)(9) of the Securities Act (or any successor statute) as described in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and (i) in the event the Company so elects, the Company shall not be required to file or maintain in effect a registration statement for the registration, under the Securities Act, of the shares of Common Stock issuable upon exercise of the Warrants, notwithstanding anything in this Agreement to the contrary or (ii) if the Company does not so elect, the Company agrees to use its best efforts to register or qualify for sale the shares of Common Stock issuable upon exercise of the Public Warrant under the blue sky laws of the state of residence of the exercising Public Warrant holder to the extent an exemption is not available.</w:t>
      </w:r>
    </w:p>
    <w:p>
      <w:pPr>
        <w:spacing w:after="0" w:line="166" w:lineRule="exact"/>
        <w:rPr>
          <w:sz w:val="20"/>
          <w:szCs w:val="20"/>
          <w:color w:val="auto"/>
        </w:rPr>
      </w:pPr>
    </w:p>
    <w:p>
      <w:pPr>
        <w:ind w:left="944" w:hanging="944"/>
        <w:spacing w:after="0"/>
        <w:tabs>
          <w:tab w:leader="none" w:pos="944"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ind w:left="4" w:firstLine="1296"/>
        <w:spacing w:after="0" w:line="31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Payment of Taxes</w:t>
      </w:r>
      <w:r>
        <w:rPr>
          <w:rFonts w:ascii="Arial" w:cs="Arial" w:eastAsia="Arial" w:hAnsi="Arial"/>
          <w:sz w:val="16"/>
          <w:szCs w:val="16"/>
          <w:color w:val="auto"/>
        </w:rPr>
        <w:t>. The Company shall from time to time promptly pay all taxes and charges that may be imposed upon the Company or the Warrant Agent in respect of the issuance or delivery of shares of Common Stock upon the exercise of the Warrants, but the Company and the Warrant Agent shall not be obligated to pay any transfer taxes in respect of the Warrants or such shares of Common Stock.</w:t>
      </w:r>
    </w:p>
    <w:p>
      <w:pPr>
        <w:spacing w:after="0" w:line="365"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44"/>
          </w:cols>
          <w:pgMar w:left="976" w:top="908" w:right="479" w:bottom="1440" w:gutter="0" w:footer="0" w:header="0"/>
        </w:sectPr>
      </w:pPr>
    </w:p>
    <w:bookmarkStart w:id="254" w:name="page255"/>
    <w:bookmarkEnd w:id="254"/>
    <w:tbl>
      <w:tblPr>
        <w:tblLayout w:type="fixed"/>
        <w:tblInd w:w="9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Arial" w:cs="Arial" w:eastAsia="Arial" w:hAnsi="Arial"/>
                <w:sz w:val="18"/>
                <w:szCs w:val="18"/>
                <w:color w:val="auto"/>
                <w:w w:val="79"/>
              </w:rPr>
              <w:t>8.2</w:t>
            </w:r>
          </w:p>
        </w:tc>
        <w:tc>
          <w:tcPr>
            <w:tcW w:w="8120" w:type="dxa"/>
            <w:vAlign w:val="bottom"/>
            <w:gridSpan w:val="4"/>
          </w:tcPr>
          <w:p>
            <w:pPr>
              <w:spacing w:after="0"/>
              <w:rPr>
                <w:sz w:val="20"/>
                <w:szCs w:val="20"/>
                <w:color w:val="auto"/>
              </w:rPr>
            </w:pPr>
            <w:r>
              <w:rPr>
                <w:rFonts w:ascii="Arial" w:cs="Arial" w:eastAsia="Arial" w:hAnsi="Arial"/>
                <w:sz w:val="18"/>
                <w:szCs w:val="18"/>
                <w:color w:val="auto"/>
              </w:rPr>
              <w:t>Resignation, Consolidation, or Merger of Warrant Agent.</w:t>
            </w:r>
          </w:p>
        </w:tc>
      </w:tr>
      <w:tr>
        <w:trPr>
          <w:trHeight w:val="20"/>
        </w:trPr>
        <w:tc>
          <w:tcPr>
            <w:tcW w:w="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1320" w:type="dxa"/>
            <w:vAlign w:val="bottom"/>
          </w:tcPr>
          <w:p>
            <w:pPr>
              <w:jc w:val="right"/>
              <w:ind w:right="670"/>
              <w:spacing w:after="0"/>
              <w:rPr>
                <w:sz w:val="20"/>
                <w:szCs w:val="20"/>
                <w:color w:val="auto"/>
              </w:rPr>
            </w:pPr>
            <w:r>
              <w:rPr>
                <w:rFonts w:ascii="Arial" w:cs="Arial" w:eastAsia="Arial" w:hAnsi="Arial"/>
                <w:sz w:val="18"/>
                <w:szCs w:val="18"/>
                <w:color w:val="auto"/>
              </w:rPr>
              <w:t>8.2.1</w:t>
            </w:r>
          </w:p>
        </w:tc>
        <w:tc>
          <w:tcPr>
            <w:tcW w:w="6800" w:type="dxa"/>
            <w:vAlign w:val="bottom"/>
            <w:gridSpan w:val="3"/>
          </w:tcPr>
          <w:p>
            <w:pPr>
              <w:spacing w:after="0"/>
              <w:rPr>
                <w:sz w:val="20"/>
                <w:szCs w:val="20"/>
                <w:color w:val="auto"/>
              </w:rPr>
            </w:pPr>
            <w:r>
              <w:rPr>
                <w:rFonts w:ascii="Arial" w:cs="Arial" w:eastAsia="Arial" w:hAnsi="Arial"/>
                <w:sz w:val="18"/>
                <w:szCs w:val="18"/>
                <w:color w:val="auto"/>
                <w:w w:val="90"/>
              </w:rPr>
              <w:t>Appointment of Successor Warrant Agent. The Warrant Agent, or any successor to it hereafter</w:t>
            </w:r>
          </w:p>
        </w:tc>
      </w:tr>
      <w:tr>
        <w:trPr>
          <w:trHeight w:val="20"/>
        </w:trPr>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ninety (90) days after it has been notified in writing of such resignation or incapacity by the Warrant Agent or by the holder of a Warrant (who shall, with such notice, submit 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authorized under applicable laws to exercise the powers of a transfer agent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71" w:lineRule="exact"/>
        <w:rPr>
          <w:sz w:val="20"/>
          <w:szCs w:val="20"/>
          <w:color w:val="auto"/>
        </w:rPr>
      </w:pPr>
    </w:p>
    <w:p>
      <w:pPr>
        <w:ind w:right="100" w:firstLine="1944"/>
        <w:spacing w:after="0" w:line="263"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Notice of Successor Warrant Agent</w:t>
      </w:r>
      <w:r>
        <w:rPr>
          <w:rFonts w:ascii="Arial" w:cs="Arial" w:eastAsia="Arial" w:hAnsi="Arial"/>
          <w:sz w:val="18"/>
          <w:szCs w:val="18"/>
          <w:color w:val="auto"/>
        </w:rPr>
        <w:t>. In the event a successor Warrant Agent shall be appointed, the Company shall give notice thereof to the predecessor Warrant Agent and the Company’s transfer agent for the shares of Common Stock not later than the effective date of any such appointment.</w:t>
      </w:r>
    </w:p>
    <w:p>
      <w:pPr>
        <w:spacing w:after="0" w:line="184" w:lineRule="exact"/>
        <w:rPr>
          <w:sz w:val="20"/>
          <w:szCs w:val="20"/>
          <w:color w:val="auto"/>
        </w:rPr>
      </w:pPr>
    </w:p>
    <w:p>
      <w:pPr>
        <w:ind w:right="40" w:firstLine="1944"/>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166"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Arial" w:cs="Arial" w:eastAsia="Arial" w:hAnsi="Arial"/>
                <w:sz w:val="18"/>
                <w:szCs w:val="18"/>
                <w:color w:val="auto"/>
                <w:w w:val="79"/>
              </w:rPr>
              <w:t>8.3</w:t>
            </w:r>
          </w:p>
        </w:tc>
        <w:tc>
          <w:tcPr>
            <w:tcW w:w="8120" w:type="dxa"/>
            <w:vAlign w:val="bottom"/>
            <w:gridSpan w:val="4"/>
          </w:tcPr>
          <w:p>
            <w:pPr>
              <w:spacing w:after="0"/>
              <w:rPr>
                <w:sz w:val="20"/>
                <w:szCs w:val="20"/>
                <w:color w:val="auto"/>
              </w:rPr>
            </w:pPr>
            <w:r>
              <w:rPr>
                <w:rFonts w:ascii="Arial" w:cs="Arial" w:eastAsia="Arial" w:hAnsi="Arial"/>
                <w:sz w:val="18"/>
                <w:szCs w:val="18"/>
                <w:color w:val="auto"/>
              </w:rPr>
              <w:t>Fees and Expenses of Warrant Agent.</w:t>
            </w:r>
          </w:p>
        </w:tc>
      </w:tr>
      <w:tr>
        <w:trPr>
          <w:trHeight w:val="20"/>
        </w:trPr>
        <w:tc>
          <w:tcPr>
            <w:tcW w:w="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1320" w:type="dxa"/>
            <w:vAlign w:val="bottom"/>
          </w:tcPr>
          <w:p>
            <w:pPr>
              <w:jc w:val="right"/>
              <w:ind w:right="670"/>
              <w:spacing w:after="0"/>
              <w:rPr>
                <w:sz w:val="20"/>
                <w:szCs w:val="20"/>
                <w:color w:val="auto"/>
              </w:rPr>
            </w:pPr>
            <w:r>
              <w:rPr>
                <w:rFonts w:ascii="Arial" w:cs="Arial" w:eastAsia="Arial" w:hAnsi="Arial"/>
                <w:sz w:val="18"/>
                <w:szCs w:val="18"/>
                <w:color w:val="auto"/>
              </w:rPr>
              <w:t>8.3.1</w:t>
            </w:r>
          </w:p>
        </w:tc>
        <w:tc>
          <w:tcPr>
            <w:tcW w:w="6800" w:type="dxa"/>
            <w:vAlign w:val="bottom"/>
            <w:gridSpan w:val="3"/>
          </w:tcPr>
          <w:p>
            <w:pPr>
              <w:spacing w:after="0"/>
              <w:rPr>
                <w:sz w:val="20"/>
                <w:szCs w:val="20"/>
                <w:color w:val="auto"/>
              </w:rPr>
            </w:pPr>
            <w:r>
              <w:rPr>
                <w:rFonts w:ascii="Arial" w:cs="Arial" w:eastAsia="Arial" w:hAnsi="Arial"/>
                <w:sz w:val="18"/>
                <w:szCs w:val="18"/>
                <w:color w:val="auto"/>
                <w:w w:val="89"/>
              </w:rPr>
              <w:t>Remuneration. The Company agrees to pay the Warrant Agent reasonable remuneration for its</w:t>
            </w:r>
          </w:p>
        </w:tc>
      </w:tr>
      <w:tr>
        <w:trPr>
          <w:trHeight w:val="20"/>
        </w:trPr>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300"/>
        <w:spacing w:after="0" w:line="308" w:lineRule="auto"/>
        <w:rPr>
          <w:sz w:val="20"/>
          <w:szCs w:val="20"/>
          <w:color w:val="auto"/>
        </w:rPr>
      </w:pPr>
      <w:r>
        <w:rPr>
          <w:rFonts w:ascii="Arial" w:cs="Arial" w:eastAsia="Arial" w:hAnsi="Arial"/>
          <w:sz w:val="17"/>
          <w:szCs w:val="17"/>
          <w:color w:val="auto"/>
        </w:rPr>
        <w:t>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36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14605</wp:posOffset>
            </wp:positionV>
            <wp:extent cx="71323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40"/>
          </w:cols>
          <w:pgMar w:left="1380" w:top="891" w:right="379" w:bottom="1440" w:gutter="0" w:footer="0" w:header="0"/>
        </w:sectPr>
      </w:pPr>
    </w:p>
    <w:bookmarkStart w:id="255" w:name="page256"/>
    <w:bookmarkEnd w:id="255"/>
    <w:p>
      <w:pPr>
        <w:ind w:firstLine="1944"/>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66"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Arial" w:cs="Arial" w:eastAsia="Arial" w:hAnsi="Arial"/>
                <w:sz w:val="18"/>
                <w:szCs w:val="18"/>
                <w:color w:val="auto"/>
                <w:w w:val="79"/>
              </w:rPr>
              <w:t>8.4</w:t>
            </w:r>
          </w:p>
        </w:tc>
        <w:tc>
          <w:tcPr>
            <w:tcW w:w="7580" w:type="dxa"/>
            <w:vAlign w:val="bottom"/>
            <w:gridSpan w:val="4"/>
          </w:tcPr>
          <w:p>
            <w:pPr>
              <w:spacing w:after="0"/>
              <w:rPr>
                <w:sz w:val="20"/>
                <w:szCs w:val="20"/>
                <w:color w:val="auto"/>
              </w:rPr>
            </w:pPr>
            <w:r>
              <w:rPr>
                <w:rFonts w:ascii="Arial" w:cs="Arial" w:eastAsia="Arial" w:hAnsi="Arial"/>
                <w:sz w:val="18"/>
                <w:szCs w:val="18"/>
                <w:color w:val="auto"/>
              </w:rPr>
              <w:t>Liability of Warrant Agent.</w:t>
            </w:r>
          </w:p>
        </w:tc>
      </w:tr>
      <w:tr>
        <w:trPr>
          <w:trHeight w:val="20"/>
        </w:trPr>
        <w:tc>
          <w:tcPr>
            <w:tcW w:w="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1320" w:type="dxa"/>
            <w:vAlign w:val="bottom"/>
          </w:tcPr>
          <w:p>
            <w:pPr>
              <w:jc w:val="right"/>
              <w:ind w:right="670"/>
              <w:spacing w:after="0"/>
              <w:rPr>
                <w:sz w:val="20"/>
                <w:szCs w:val="20"/>
                <w:color w:val="auto"/>
              </w:rPr>
            </w:pPr>
            <w:r>
              <w:rPr>
                <w:rFonts w:ascii="Arial" w:cs="Arial" w:eastAsia="Arial" w:hAnsi="Arial"/>
                <w:sz w:val="18"/>
                <w:szCs w:val="18"/>
                <w:color w:val="auto"/>
              </w:rPr>
              <w:t>8.4.1</w:t>
            </w:r>
          </w:p>
        </w:tc>
        <w:tc>
          <w:tcPr>
            <w:tcW w:w="6260" w:type="dxa"/>
            <w:vAlign w:val="bottom"/>
            <w:gridSpan w:val="3"/>
          </w:tcPr>
          <w:p>
            <w:pPr>
              <w:spacing w:after="0"/>
              <w:rPr>
                <w:sz w:val="20"/>
                <w:szCs w:val="20"/>
                <w:color w:val="auto"/>
              </w:rPr>
            </w:pPr>
            <w:r>
              <w:rPr>
                <w:rFonts w:ascii="Arial" w:cs="Arial" w:eastAsia="Arial" w:hAnsi="Arial"/>
                <w:sz w:val="18"/>
                <w:szCs w:val="18"/>
                <w:color w:val="auto"/>
                <w:w w:val="90"/>
              </w:rPr>
              <w:t>Reliance on Company Statement. Whenever in the performance of its duties under this</w:t>
            </w:r>
          </w:p>
        </w:tc>
      </w:tr>
      <w:tr>
        <w:trPr>
          <w:trHeight w:val="20"/>
        </w:trPr>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1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Chairman of the Board, Chief Executive Officer, Chief Financial Officer, the President or the Secretary or other principal officer of the Company and delivered to the Warrant Agent. The Warrant Agent may rely upon such statement for any action taken or suffered in good faith by it pursuant to the provisions of this Agreement.</w:t>
      </w:r>
    </w:p>
    <w:p>
      <w:pPr>
        <w:spacing w:after="0" w:line="161" w:lineRule="exact"/>
        <w:rPr>
          <w:sz w:val="20"/>
          <w:szCs w:val="20"/>
          <w:color w:val="auto"/>
        </w:rPr>
      </w:pPr>
    </w:p>
    <w:p>
      <w:pPr>
        <w:ind w:right="80" w:firstLine="1944"/>
        <w:spacing w:after="0" w:line="257"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or its representatives’, gross negligence, willful misconduct, bad faith or material breach of this Agreement.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or its representatives’, gross negligence, willful misconduct, bad faith or material breach of this Agreement.</w:t>
      </w:r>
    </w:p>
    <w:p>
      <w:pPr>
        <w:spacing w:after="0" w:line="188" w:lineRule="exact"/>
        <w:rPr>
          <w:sz w:val="20"/>
          <w:szCs w:val="20"/>
          <w:color w:val="auto"/>
        </w:rPr>
      </w:pPr>
    </w:p>
    <w:p>
      <w:pPr>
        <w:ind w:firstLine="891"/>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shall, when issued, be valid and fully paid and non-assessable.</w:t>
      </w:r>
    </w:p>
    <w:p>
      <w:pPr>
        <w:spacing w:after="0" w:line="200" w:lineRule="exact"/>
        <w:rPr>
          <w:sz w:val="20"/>
          <w:szCs w:val="20"/>
          <w:color w:val="auto"/>
        </w:rPr>
      </w:pPr>
    </w:p>
    <w:p>
      <w:pPr>
        <w:spacing w:after="0" w:line="2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14605</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380" w:top="908" w:right="419" w:bottom="1440" w:gutter="0" w:footer="0" w:header="0"/>
        </w:sectPr>
      </w:pPr>
    </w:p>
    <w:bookmarkStart w:id="256" w:name="page257"/>
    <w:bookmarkEnd w:id="256"/>
    <w:p>
      <w:pPr>
        <w:ind w:left="660" w:right="80" w:firstLine="129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the Warrants.</w:t>
      </w:r>
    </w:p>
    <w:p>
      <w:pPr>
        <w:spacing w:after="0" w:line="183" w:lineRule="exact"/>
        <w:rPr>
          <w:sz w:val="20"/>
          <w:szCs w:val="20"/>
          <w:color w:val="auto"/>
        </w:rPr>
      </w:pPr>
    </w:p>
    <w:p>
      <w:pPr>
        <w:ind w:left="660" w:firstLine="1296"/>
        <w:spacing w:after="0" w:line="25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has no right of set-off or any other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187" w:lineRule="exact"/>
        <w:rPr>
          <w:sz w:val="20"/>
          <w:szCs w:val="20"/>
          <w:color w:val="auto"/>
        </w:rPr>
      </w:pPr>
    </w:p>
    <w:p>
      <w:pPr>
        <w:ind w:left="1600" w:hanging="944"/>
        <w:spacing w:after="0"/>
        <w:tabs>
          <w:tab w:leader="none" w:pos="160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9.1</w:t>
            </w:r>
          </w:p>
        </w:tc>
        <w:tc>
          <w:tcPr>
            <w:tcW w:w="8360" w:type="dxa"/>
            <w:vAlign w:val="bottom"/>
            <w:gridSpan w:val="3"/>
          </w:tcPr>
          <w:p>
            <w:pPr>
              <w:spacing w:after="0"/>
              <w:rPr>
                <w:sz w:val="20"/>
                <w:szCs w:val="20"/>
                <w:color w:val="auto"/>
              </w:rPr>
            </w:pPr>
            <w:r>
              <w:rPr>
                <w:rFonts w:ascii="Arial" w:cs="Arial" w:eastAsia="Arial" w:hAnsi="Arial"/>
                <w:sz w:val="18"/>
                <w:szCs w:val="18"/>
                <w:color w:val="auto"/>
                <w:w w:val="90"/>
              </w:rPr>
              <w:t>Successors. All the covenants and provisions of this Agreement by or for the benefit of the Company or the Warrant</w:t>
            </w:r>
          </w:p>
        </w:tc>
      </w:tr>
      <w:tr>
        <w:trPr>
          <w:trHeight w:val="20"/>
        </w:trPr>
        <w:tc>
          <w:tcPr>
            <w:tcW w:w="2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37"/>
        </w:trPr>
        <w:tc>
          <w:tcPr>
            <w:tcW w:w="10500" w:type="dxa"/>
            <w:vAlign w:val="bottom"/>
            <w:gridSpan w:val="4"/>
          </w:tcPr>
          <w:p>
            <w:pPr>
              <w:spacing w:after="0"/>
              <w:rPr>
                <w:sz w:val="20"/>
                <w:szCs w:val="20"/>
                <w:color w:val="auto"/>
              </w:rPr>
            </w:pPr>
            <w:r>
              <w:rPr>
                <w:rFonts w:ascii="Arial" w:cs="Arial" w:eastAsia="Arial" w:hAnsi="Arial"/>
                <w:sz w:val="18"/>
                <w:szCs w:val="18"/>
                <w:color w:val="auto"/>
              </w:rPr>
              <w:t>Agent shall bind and inure to the benefit of their respective successors and assigns.</w:t>
            </w:r>
          </w:p>
        </w:tc>
      </w:tr>
      <w:tr>
        <w:trPr>
          <w:trHeight w:val="391"/>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9.2</w:t>
            </w:r>
          </w:p>
        </w:tc>
        <w:tc>
          <w:tcPr>
            <w:tcW w:w="8360" w:type="dxa"/>
            <w:vAlign w:val="bottom"/>
            <w:gridSpan w:val="3"/>
          </w:tcPr>
          <w:p>
            <w:pPr>
              <w:spacing w:after="0"/>
              <w:rPr>
                <w:sz w:val="20"/>
                <w:szCs w:val="20"/>
                <w:color w:val="auto"/>
              </w:rPr>
            </w:pPr>
            <w:r>
              <w:rPr>
                <w:rFonts w:ascii="Arial" w:cs="Arial" w:eastAsia="Arial" w:hAnsi="Arial"/>
                <w:sz w:val="18"/>
                <w:szCs w:val="18"/>
                <w:color w:val="auto"/>
                <w:w w:val="91"/>
              </w:rPr>
              <w:t>Notices. Any notice, statement or demand authorized by this Agreement to be given or made by the Warrant Agent</w:t>
            </w:r>
          </w:p>
        </w:tc>
      </w:tr>
      <w:tr>
        <w:trPr>
          <w:trHeight w:val="20"/>
        </w:trPr>
        <w:tc>
          <w:tcPr>
            <w:tcW w:w="2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660" w:right="140"/>
        <w:spacing w:after="0" w:line="263" w:lineRule="auto"/>
        <w:rPr>
          <w:sz w:val="20"/>
          <w:szCs w:val="20"/>
          <w:color w:val="auto"/>
        </w:rPr>
      </w:pPr>
      <w:r>
        <w:rPr>
          <w:rFonts w:ascii="Arial" w:cs="Arial" w:eastAsia="Arial" w:hAnsi="Arial"/>
          <w:sz w:val="18"/>
          <w:szCs w:val="18"/>
          <w:color w:val="auto"/>
        </w:rPr>
        <w:t>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Raphael M. Russo</w:t>
      </w:r>
    </w:p>
    <w:p>
      <w:pPr>
        <w:spacing w:after="0" w:line="21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7" w:name="page258"/>
    <w:bookmarkEnd w:id="257"/>
    <w:p>
      <w:pPr>
        <w:ind w:left="13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Compliance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each case, with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[LAW FIRM]</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160" w:firstLine="1296"/>
        <w:spacing w:after="0" w:line="25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City of New York, County of New York,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w:t>
      </w:r>
    </w:p>
    <w:p>
      <w:pPr>
        <w:spacing w:after="0" w:line="195" w:lineRule="exact"/>
        <w:rPr>
          <w:sz w:val="20"/>
          <w:szCs w:val="20"/>
          <w:color w:val="auto"/>
        </w:rPr>
      </w:pPr>
    </w:p>
    <w:p>
      <w:pPr>
        <w:jc w:val="both"/>
        <w:ind w:left="660" w:right="240" w:firstLine="1296"/>
        <w:spacing w:after="0" w:line="28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Compliance and Confidentiality</w:t>
      </w:r>
      <w:r>
        <w:rPr>
          <w:rFonts w:ascii="Arial" w:cs="Arial" w:eastAsia="Arial" w:hAnsi="Arial"/>
          <w:sz w:val="17"/>
          <w:szCs w:val="17"/>
          <w:color w:val="auto"/>
        </w:rPr>
        <w:t>. The Warrant Agent shall perform its duties under this Agreement in compliance with all applicable laws and keep confidential all information relating to this Agreement and, except as required by applicable law, shall not use such information for any purpose other than the performance of the Warrant Agent’s obligations under this Agreement.</w:t>
      </w:r>
    </w:p>
    <w:p>
      <w:pPr>
        <w:spacing w:after="0" w:line="165" w:lineRule="exact"/>
        <w:rPr>
          <w:sz w:val="20"/>
          <w:szCs w:val="20"/>
          <w:color w:val="auto"/>
        </w:rPr>
      </w:pPr>
    </w:p>
    <w:p>
      <w:pPr>
        <w:ind w:left="660" w:right="140" w:firstLine="1296"/>
        <w:spacing w:after="0" w:line="25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Persons Having Rights under this Agreement</w:t>
      </w:r>
      <w:r>
        <w:rPr>
          <w:rFonts w:ascii="Arial" w:cs="Arial" w:eastAsia="Arial" w:hAnsi="Arial"/>
          <w:sz w:val="18"/>
          <w:szCs w:val="18"/>
          <w:color w:val="auto"/>
        </w:rPr>
        <w:t>. Nothing in this Agreement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88" w:lineRule="exact"/>
        <w:rPr>
          <w:sz w:val="20"/>
          <w:szCs w:val="20"/>
          <w:color w:val="auto"/>
        </w:rPr>
      </w:pPr>
    </w:p>
    <w:p>
      <w:pPr>
        <w:jc w:val="both"/>
        <w:ind w:left="660" w:right="240" w:firstLine="1296"/>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for inspection by the Registered Holder of any Warrant. The Warrant Agent may require any such holder to submit such holder’s Warrant for inspection by the Warrant Agent.</w:t>
      </w:r>
    </w:p>
    <w:p>
      <w:pPr>
        <w:spacing w:after="0" w:line="184" w:lineRule="exact"/>
        <w:rPr>
          <w:sz w:val="20"/>
          <w:szCs w:val="20"/>
          <w:color w:val="auto"/>
        </w:rPr>
      </w:pPr>
    </w:p>
    <w:p>
      <w:pPr>
        <w:ind w:left="660" w:firstLine="1296"/>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8" w:name="page259"/>
    <w:bookmarkEnd w:id="258"/>
    <w:tbl>
      <w:tblPr>
        <w:tblLayout w:type="fixed"/>
        <w:tblInd w:w="660" w:type="dxa"/>
        <w:tblCellMar>
          <w:top w:w="0" w:type="dxa"/>
          <w:left w:w="0" w:type="dxa"/>
          <w:bottom w:w="0" w:type="dxa"/>
          <w:right w:w="0" w:type="dxa"/>
        </w:tblCellMar>
      </w:tblPr>
      <w:tr>
        <w:trPr>
          <w:trHeight w:val="207"/>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9.8</w:t>
            </w:r>
          </w:p>
        </w:tc>
        <w:tc>
          <w:tcPr>
            <w:tcW w:w="8300" w:type="dxa"/>
            <w:vAlign w:val="bottom"/>
            <w:gridSpan w:val="3"/>
          </w:tcPr>
          <w:p>
            <w:pPr>
              <w:spacing w:after="0"/>
              <w:rPr>
                <w:sz w:val="20"/>
                <w:szCs w:val="20"/>
                <w:color w:val="auto"/>
              </w:rPr>
            </w:pPr>
            <w:r>
              <w:rPr>
                <w:rFonts w:ascii="Arial" w:cs="Arial" w:eastAsia="Arial" w:hAnsi="Arial"/>
                <w:sz w:val="18"/>
                <w:szCs w:val="18"/>
                <w:color w:val="auto"/>
                <w:w w:val="92"/>
              </w:rPr>
              <w:t>Effect of Headings. The section headings herein are for convenience only and are not part of this Agreement and</w:t>
            </w:r>
          </w:p>
        </w:tc>
      </w:tr>
      <w:tr>
        <w:trPr>
          <w:trHeight w:val="20"/>
        </w:trPr>
        <w:tc>
          <w:tcPr>
            <w:tcW w:w="2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37"/>
        </w:trPr>
        <w:tc>
          <w:tcPr>
            <w:tcW w:w="10440" w:type="dxa"/>
            <w:vAlign w:val="bottom"/>
            <w:gridSpan w:val="4"/>
          </w:tcPr>
          <w:p>
            <w:pPr>
              <w:spacing w:after="0"/>
              <w:rPr>
                <w:sz w:val="20"/>
                <w:szCs w:val="20"/>
                <w:color w:val="auto"/>
              </w:rPr>
            </w:pPr>
            <w:r>
              <w:rPr>
                <w:rFonts w:ascii="Arial" w:cs="Arial" w:eastAsia="Arial" w:hAnsi="Arial"/>
                <w:sz w:val="18"/>
                <w:szCs w:val="18"/>
                <w:color w:val="auto"/>
              </w:rPr>
              <w:t>shall not affect the interpretation thereof.</w:t>
            </w:r>
          </w:p>
        </w:tc>
      </w:tr>
      <w:tr>
        <w:trPr>
          <w:trHeight w:val="391"/>
        </w:trPr>
        <w:tc>
          <w:tcPr>
            <w:tcW w:w="2140" w:type="dxa"/>
            <w:vAlign w:val="bottom"/>
          </w:tcPr>
          <w:p>
            <w:pPr>
              <w:jc w:val="right"/>
              <w:ind w:right="530"/>
              <w:spacing w:after="0"/>
              <w:rPr>
                <w:sz w:val="20"/>
                <w:szCs w:val="20"/>
                <w:color w:val="auto"/>
              </w:rPr>
            </w:pPr>
            <w:r>
              <w:rPr>
                <w:rFonts w:ascii="Arial" w:cs="Arial" w:eastAsia="Arial" w:hAnsi="Arial"/>
                <w:sz w:val="18"/>
                <w:szCs w:val="18"/>
                <w:color w:val="auto"/>
              </w:rPr>
              <w:t>9.9</w:t>
            </w:r>
          </w:p>
        </w:tc>
        <w:tc>
          <w:tcPr>
            <w:tcW w:w="8300" w:type="dxa"/>
            <w:vAlign w:val="bottom"/>
            <w:gridSpan w:val="3"/>
          </w:tcPr>
          <w:p>
            <w:pPr>
              <w:spacing w:after="0"/>
              <w:rPr>
                <w:sz w:val="20"/>
                <w:szCs w:val="20"/>
                <w:color w:val="auto"/>
              </w:rPr>
            </w:pPr>
            <w:r>
              <w:rPr>
                <w:rFonts w:ascii="Arial" w:cs="Arial" w:eastAsia="Arial" w:hAnsi="Arial"/>
                <w:sz w:val="18"/>
                <w:szCs w:val="18"/>
                <w:color w:val="auto"/>
                <w:w w:val="89"/>
              </w:rPr>
              <w:t>Amendments. This Agreement may be amended by the parties hereto without the consent of any Registered Holder</w:t>
            </w:r>
          </w:p>
        </w:tc>
      </w:tr>
      <w:tr>
        <w:trPr>
          <w:trHeight w:val="20"/>
        </w:trPr>
        <w:tc>
          <w:tcPr>
            <w:tcW w:w="2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bl>
    <w:p>
      <w:pPr>
        <w:spacing w:after="0" w:line="13"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 xml:space="preserve">for the purpose of curing any ambiguity, or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modification or amendment to increase the Warrant Price or shorten the Exercise Period shall require the vote or written consent of the Registered Holders of 50% of the number of the then outstanding Public Warrants and, solely with respect to any amendment to the terms of the Private Placement Warrants, 50% of the number of then outstanding Private Placement Warrants. Notwithstanding the foregoing, the Company may lower the Warrant Price or extend the duration of the Exercise Period pursuant to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w:t>
      </w:r>
      <w:r>
        <w:rPr>
          <w:rFonts w:ascii="Arial" w:cs="Arial" w:eastAsia="Arial" w:hAnsi="Arial"/>
          <w:sz w:val="18"/>
          <w:szCs w:val="18"/>
          <w:color w:val="auto"/>
        </w:rPr>
        <w:t>, respectively, without the consent of the Registered Holders.</w:t>
      </w:r>
    </w:p>
    <w:p>
      <w:pPr>
        <w:spacing w:after="0" w:line="192" w:lineRule="exact"/>
        <w:rPr>
          <w:sz w:val="20"/>
          <w:szCs w:val="20"/>
          <w:color w:val="auto"/>
        </w:rPr>
      </w:pPr>
    </w:p>
    <w:p>
      <w:pPr>
        <w:ind w:left="660" w:right="120" w:firstLine="1296"/>
        <w:spacing w:after="0" w:line="279"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Severability</w:t>
      </w:r>
      <w:r>
        <w:rPr>
          <w:rFonts w:ascii="Arial" w:cs="Arial" w:eastAsia="Arial" w:hAnsi="Arial"/>
          <w:sz w:val="17"/>
          <w:szCs w:val="17"/>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Exhibit A  Form of Warrant Certificate</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Legend — Private Placement Warrants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259" w:name="page260"/>
    <w:bookmarkEnd w:id="259"/>
    <w:p>
      <w:pPr>
        <w:spacing w:after="0"/>
        <w:rPr>
          <w:sz w:val="20"/>
          <w:szCs w:val="20"/>
          <w:color w:val="auto"/>
        </w:rPr>
      </w:pPr>
      <w:r>
        <w:rPr>
          <w:rFonts w:ascii="Arial" w:cs="Arial" w:eastAsia="Arial" w:hAnsi="Arial"/>
          <w:sz w:val="17"/>
          <w:szCs w:val="17"/>
          <w:color w:val="auto"/>
        </w:rPr>
        <w:t>IN WITNESS WHEREOF, the parties hereto have caused this Agreement to be duly executed as of the date first above written.</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CONTINENTAL STOCK TRANSFER &amp; TRUST COMPANY</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60"/>
          </w:cols>
          <w:pgMar w:left="980" w:top="908" w:right="135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THIS WARRANT SHALL BE NULL AND VOID IF NOT EXERCISED PRIOR TO THE EXPIRATION OF THE EXERCISE PERIOD PROVIDED FOR IN THE WARRANT AGREEMENT DESCRIBED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the State of Delaware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CUSIP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This Warrant Certificate certifies that </w:t>
      </w:r>
      <w:r>
        <w:rPr>
          <w:rFonts w:ascii="Arial" w:cs="Arial" w:eastAsia="Arial" w:hAnsi="Arial"/>
          <w:sz w:val="17"/>
          <w:szCs w:val="17"/>
          <w:color w:val="auto"/>
        </w:rPr>
        <w:t>, or registered assigns, is the registered holder of warrant(s) evidenced hereby (the “</w:t>
      </w:r>
      <w:r>
        <w:rPr>
          <w:rFonts w:ascii="Arial" w:cs="Arial" w:eastAsia="Arial" w:hAnsi="Arial"/>
          <w:sz w:val="17"/>
          <w:szCs w:val="17"/>
          <w:b w:val="1"/>
          <w:bCs w:val="1"/>
          <w:color w:val="auto"/>
        </w:rPr>
        <w:t>Warrants</w:t>
      </w:r>
      <w:r>
        <w:rPr>
          <w:rFonts w:ascii="Arial" w:cs="Arial" w:eastAsia="Arial" w:hAnsi="Arial"/>
          <w:sz w:val="17"/>
          <w:szCs w:val="17"/>
          <w:color w:val="auto"/>
        </w:rPr>
        <w:t>” and each, a</w:t>
      </w:r>
    </w:p>
    <w:p>
      <w:pPr>
        <w:spacing w:after="0" w:line="3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Warrant</w:t>
      </w:r>
      <w:r>
        <w:rPr>
          <w:rFonts w:ascii="Arial" w:cs="Arial" w:eastAsia="Arial" w:hAnsi="Arial"/>
          <w:sz w:val="17"/>
          <w:szCs w:val="17"/>
          <w:color w:val="auto"/>
        </w:rPr>
        <w:t>”) to purchase shares of Class A common stock, $0.0001 par value per share (“</w:t>
      </w:r>
      <w:r>
        <w:rPr>
          <w:rFonts w:ascii="Arial" w:cs="Arial" w:eastAsia="Arial" w:hAnsi="Arial"/>
          <w:sz w:val="17"/>
          <w:szCs w:val="17"/>
          <w:b w:val="1"/>
          <w:bCs w:val="1"/>
          <w:color w:val="auto"/>
        </w:rPr>
        <w:t>Common Stock</w:t>
      </w:r>
      <w:r>
        <w:rPr>
          <w:rFonts w:ascii="Arial" w:cs="Arial" w:eastAsia="Arial" w:hAnsi="Arial"/>
          <w:sz w:val="17"/>
          <w:szCs w:val="17"/>
          <w:color w:val="auto"/>
        </w:rPr>
        <w:t>”), of [COMPANY],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Each whole Warrant entitles the holder, upon exercise during the period set forth in the Warrant Agreement referred to below, to receive from the Company that number of fully paid and non-assessable shares of Common Stock as set forth below, at the exercise price (the “</w:t>
      </w:r>
      <w:r>
        <w:rPr>
          <w:rFonts w:ascii="Arial" w:cs="Arial" w:eastAsia="Arial" w:hAnsi="Arial"/>
          <w:sz w:val="17"/>
          <w:szCs w:val="17"/>
          <w:b w:val="1"/>
          <w:bCs w:val="1"/>
          <w:color w:val="auto"/>
        </w:rPr>
        <w:t>Warrant Price</w:t>
      </w:r>
      <w:r>
        <w:rPr>
          <w:rFonts w:ascii="Arial" w:cs="Arial" w:eastAsia="Arial" w:hAnsi="Arial"/>
          <w:sz w:val="17"/>
          <w:szCs w:val="17"/>
          <w:color w:val="auto"/>
        </w:rPr>
        <w:t>”) as determined pursuant to the Warrant Agreement, payable in lawful money (or through “cashless exercise”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8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Each whole Warrant is initially exercisable for one fully paid and non-assessable share of Common Stock. No fractional shares will be issued upon exercise of any Warrant. If, upon the exercise of Warrants, a holder would be entitled to receive a fractional interest in a share of Common Stock, the Company will, upon exercise, round down to the nearest whole number of the number of shares of Common Stock to be issued to the holder. The number of shares of Common Stock issuable upon exercise of the Warrants is subject to adjustment upon the occurrence of certain events as set forth in the Warrant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p>
      <w:pPr>
        <w:ind w:right="340"/>
        <w:spacing w:after="0" w:line="277" w:lineRule="auto"/>
        <w:rPr>
          <w:sz w:val="20"/>
          <w:szCs w:val="20"/>
          <w:color w:val="auto"/>
        </w:rPr>
      </w:pPr>
      <w:r>
        <w:rPr>
          <w:rFonts w:ascii="Arial" w:cs="Arial" w:eastAsia="Arial" w:hAnsi="Arial"/>
          <w:sz w:val="18"/>
          <w:szCs w:val="18"/>
          <w:color w:val="auto"/>
        </w:rPr>
        <w:t>The initial Warrant Price per share of Common Stock for any Warrant is equal to $11.50 per share. The Warrant Price is subject to adjustment upon the occurrence of certain events as set forth in the Warrant Agreement.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null and void. The Warrants may be redeemed, subject to certain conditions, as set forth in the Warrant Agreement.</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not be valid unless countersigned by the Warrant Agent, as such term is used in the 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be governed by and construed in accordance with the internal laws of the State of New York.</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62" w:name="page263"/>
    <w:bookmarkEnd w:id="262"/>
    <w:p>
      <w:pPr>
        <w:jc w:val="center"/>
        <w:ind w:right="-19"/>
        <w:spacing w:after="0"/>
        <w:rPr>
          <w:sz w:val="20"/>
          <w:szCs w:val="20"/>
          <w:color w:val="auto"/>
        </w:rPr>
      </w:pPr>
      <w:r>
        <w:rPr>
          <w:rFonts w:ascii="Arial" w:cs="Arial" w:eastAsia="Arial" w:hAnsi="Arial"/>
          <w:sz w:val="18"/>
          <w:szCs w:val="18"/>
          <w:b w:val="1"/>
          <w:bCs w:val="1"/>
          <w:color w:val="auto"/>
        </w:rPr>
        <w:t>[Form of Warrant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[Reverse]</w:t>
      </w:r>
    </w:p>
    <w:p>
      <w:pPr>
        <w:spacing w:after="0" w:line="229" w:lineRule="exact"/>
        <w:rPr>
          <w:sz w:val="20"/>
          <w:szCs w:val="20"/>
          <w:color w:val="auto"/>
        </w:rPr>
      </w:pPr>
    </w:p>
    <w:p>
      <w:pPr>
        <w:jc w:val="both"/>
        <w:ind w:right="460"/>
        <w:spacing w:after="0" w:line="287" w:lineRule="auto"/>
        <w:rPr>
          <w:sz w:val="20"/>
          <w:szCs w:val="20"/>
          <w:color w:val="auto"/>
        </w:rPr>
      </w:pPr>
      <w:r>
        <w:rPr>
          <w:rFonts w:ascii="Arial" w:cs="Arial" w:eastAsia="Arial" w:hAnsi="Arial"/>
          <w:sz w:val="16"/>
          <w:szCs w:val="16"/>
          <w:color w:val="auto"/>
        </w:rPr>
        <w:t>The Warrants evidenced by this Warrant Certificate are part of a duly authorized issue of Warrants entitling the holder on exercise to receive shares of Common Stock and are issued or to be issued pursuant to a Warrant Agreement dated as of [DATE] (the “</w:t>
      </w:r>
      <w:r>
        <w:rPr>
          <w:rFonts w:ascii="Arial" w:cs="Arial" w:eastAsia="Arial" w:hAnsi="Arial"/>
          <w:sz w:val="16"/>
          <w:szCs w:val="16"/>
          <w:b w:val="1"/>
          <w:bCs w:val="1"/>
          <w:color w:val="auto"/>
        </w:rPr>
        <w:t>Warrant Agreement</w:t>
      </w:r>
      <w:r>
        <w:rPr>
          <w:rFonts w:ascii="Arial" w:cs="Arial" w:eastAsia="Arial" w:hAnsi="Arial"/>
          <w:sz w:val="16"/>
          <w:szCs w:val="16"/>
          <w:color w:val="auto"/>
        </w:rPr>
        <w:t>”), duly executed and delivered by the Company to Continental Stock Transfer &amp; Trust Company, a New York corporation, as warrant agent (or successor warrant agent)</w:t>
      </w:r>
    </w:p>
    <w:p>
      <w:pPr>
        <w:spacing w:after="0" w:line="2"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(collectively, the “</w:t>
      </w:r>
      <w:r>
        <w:rPr>
          <w:rFonts w:ascii="Arial" w:cs="Arial" w:eastAsia="Arial" w:hAnsi="Arial"/>
          <w:sz w:val="17"/>
          <w:szCs w:val="17"/>
          <w:b w:val="1"/>
          <w:bCs w:val="1"/>
          <w:color w:val="auto"/>
        </w:rPr>
        <w:t>Warrant Agent</w:t>
      </w:r>
      <w:r>
        <w:rPr>
          <w:rFonts w:ascii="Arial" w:cs="Arial" w:eastAsia="Arial" w:hAnsi="Arial"/>
          <w:sz w:val="17"/>
          <w:szCs w:val="17"/>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Arial" w:cs="Arial" w:eastAsia="Arial" w:hAnsi="Arial"/>
          <w:sz w:val="17"/>
          <w:szCs w:val="17"/>
          <w:b w:val="1"/>
          <w:bCs w:val="1"/>
          <w:color w:val="auto"/>
        </w:rPr>
        <w:t>holders</w:t>
      </w:r>
      <w:r>
        <w:rPr>
          <w:rFonts w:ascii="Arial" w:cs="Arial" w:eastAsia="Arial" w:hAnsi="Arial"/>
          <w:sz w:val="17"/>
          <w:szCs w:val="17"/>
          <w:color w:val="auto"/>
        </w:rPr>
        <w:t>” or “</w:t>
      </w:r>
      <w:r>
        <w:rPr>
          <w:rFonts w:ascii="Arial" w:cs="Arial" w:eastAsia="Arial" w:hAnsi="Arial"/>
          <w:sz w:val="17"/>
          <w:szCs w:val="17"/>
          <w:b w:val="1"/>
          <w:bCs w:val="1"/>
          <w:color w:val="auto"/>
        </w:rPr>
        <w:t>holder</w:t>
      </w:r>
      <w:r>
        <w:rPr>
          <w:rFonts w:ascii="Arial" w:cs="Arial" w:eastAsia="Arial" w:hAnsi="Arial"/>
          <w:sz w:val="17"/>
          <w:szCs w:val="17"/>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“cashless exercise” as provided for in the Warrant Agreement) at the designated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Notwithstanding anything else in this Warrant Certificate or the Warrant Agreement, no Warrant may be exercised unless at the time of exercise (i) a registration statement covering the shares of Common Stock to be issued upon exercise is effective under the Securities Act and (ii) a prospectus thereunder relating to the shares of Common Stock is current, except through “cashless exercise” as provided for in the Warrant Agreement.</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shares of Common Stock issuable upon exercise of the Warrants set forth on the face hereof may, subject to certain conditions, be adjusted. If, upon exercise of a Warrant, the holder thereof would be entitled to receive a fractional interest in a share of Common Stock, the Company shall, upon exercise, round down to the nearest whole number of shares of Common Stock to be issued to the holder of the Warrant.</w:t>
      </w:r>
    </w:p>
    <w:p>
      <w:pPr>
        <w:spacing w:after="0" w:line="18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Warrant Certificates, when surrendered at the designated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jc w:val="both"/>
        <w:ind w:right="220"/>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third-party charges imposed in connection therewith.</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08" w:right="719"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18"/>
          <w:szCs w:val="18"/>
          <w:color w:val="auto"/>
        </w:rPr>
        <w:t>Election to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shares of Common Stock and herewith tenders payment for such shares of Common Stock to the order of [COMPANY] (the “</w:t>
      </w:r>
      <w:r>
        <w:rPr>
          <w:rFonts w:ascii="Arial" w:cs="Arial" w:eastAsia="Arial" w:hAnsi="Arial"/>
          <w:sz w:val="16"/>
          <w:szCs w:val="16"/>
          <w:b w:val="1"/>
          <w:bCs w:val="1"/>
          <w:color w:val="auto"/>
        </w:rPr>
        <w:t>Company</w:t>
      </w:r>
      <w:r>
        <w:rPr>
          <w:rFonts w:ascii="Arial" w:cs="Arial" w:eastAsia="Arial" w:hAnsi="Arial"/>
          <w:sz w:val="16"/>
          <w:szCs w:val="16"/>
          <w:color w:val="auto"/>
        </w:rPr>
        <w:t>”) in the amount of $__________ in accordance with the</w:t>
      </w:r>
    </w:p>
    <w:p>
      <w:pPr>
        <w:spacing w:after="0"/>
        <w:rPr>
          <w:sz w:val="20"/>
          <w:szCs w:val="20"/>
          <w:color w:val="auto"/>
        </w:rPr>
      </w:pPr>
      <w:r>
        <w:rPr>
          <w:rFonts w:ascii="Arial" w:cs="Arial" w:eastAsia="Arial" w:hAnsi="Arial"/>
          <w:sz w:val="16"/>
          <w:szCs w:val="16"/>
          <w:color w:val="auto"/>
        </w:rPr>
        <w:t>terms hereof. The undersigned requests that a certificate for such shares of Common Stock be registered in the name of _________, whose address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 and that such shares of Common Stock be delivered to _________ whose address is _______________________. If said</w:t>
      </w:r>
    </w:p>
    <w:p>
      <w:pPr>
        <w:spacing w:after="0" w:line="32"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number of shares of Common Stock is less than all of the shares of Common Stock purchasable hereunder, the undersigned requests that a new Warrant Certificate representing the remaining balance of such shares of Common Stock be registered in the name of ____________, whose address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 and that such Warrant Certificate be delivered to __________, whose address is ___________________.</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In the event that the Warrant has been called for redemption by the Company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the Warrant Agreement and the Company has required cashless exercise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 the number of shares of Common Stock that this Warrant is exercisable for shall be determined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shares of Common Stock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In the event that the Warrant is to be exercised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 the number of shares of Common Stock that this Warrant is exercisable for shall be determined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w:t>
      </w:r>
    </w:p>
    <w:p>
      <w:pPr>
        <w:spacing w:after="0" w:line="14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shares of Common Stock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shares of Common Stock. If said number of shares of Common Stock is less than all of the shares of Common Stock purchasable hereunder (after giving effect to the cashless exercise), the undersigned requests that a new Warrant Certificate representing the remaining balance of such shares of Common Stock be registered in the name of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 whose address is ___________, and that such Warrant Certificate be delivered to ____________, whose address is ______________.</w:t>
      </w:r>
    </w:p>
    <w:p>
      <w:pPr>
        <w:spacing w:after="0" w:line="234"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color w:val="auto"/>
        </w:rPr>
        <w:t>(Tax Identification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(OR ANY SUCCESSOR RULE)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6" w:name="page267"/>
    <w:bookmarkEnd w:id="266"/>
    <w:p>
      <w:pPr>
        <w:jc w:val="center"/>
        <w:ind w:right="-119"/>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LEGEND</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LETTER AGREEMENT BY AND AMONG [COMPANY] (THE “COMPANY”), [SPONSOR COMPANY] AND THE OTHER PARTIES THERETO, THE SECURITIES REPRESENTED BY THIS CERTIFICATE MAY NOT BE SOLD OR TRANSFERRED PRIOR TO THE DATE THAT IS THIRTY (30) DAYS AFTER THE DATE UPON WHICH THE COMPANY COMPLETES ITS INITIAL BUSINESS COMBINATION (AS DEFINED IN SECTION 3 OF THE WARRANT AGREEMENT REFERRED TO HEREIN) EXCEPT TO A PERMITTED TRANSFEREE (AS DEFINED IN SECTION 2 OF THE WARRANT AGREEMENT) WHO AGREES IN WRITING WITH THE COMPANY TO BE SUBJECT TO SUCH TRANSFER PROVISIONS.</w:t>
      </w:r>
    </w:p>
    <w:p>
      <w:pPr>
        <w:spacing w:after="0" w:line="19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SECURITIES EVIDENCED BY THIS CERTIFICATE AND SHARES OF COMMON STOCK OF THE COMPANY ISSUED UPON EXERCISE OF SUCH SECURITIES SHALL BE ENTITLED TO REGISTRATION RIGHTS UNDER A REGISTRATION RIGHTS AGREEMENT TO BE EXECUTED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67" w:name="page268"/>
    <w:bookmarkEnd w:id="267"/>
    <w:p>
      <w:pPr>
        <w:jc w:val="right"/>
        <w:spacing w:after="0"/>
        <w:rPr>
          <w:sz w:val="20"/>
          <w:szCs w:val="20"/>
          <w:color w:val="auto"/>
        </w:rPr>
      </w:pPr>
      <w:r>
        <w:rPr>
          <w:rFonts w:ascii="Arial" w:cs="Arial" w:eastAsia="Arial" w:hAnsi="Arial"/>
          <w:sz w:val="22"/>
          <w:szCs w:val="22"/>
          <w:b w:val="1"/>
          <w:bCs w:val="1"/>
          <w:color w:val="auto"/>
        </w:rPr>
        <w:t>Exhibit 5.1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212-373-3000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212-757-3990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 on Form S-1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CIK No.</w:t>
      </w:r>
      <w:r>
        <w:rPr>
          <w:rFonts w:ascii="Arial" w:cs="Arial" w:eastAsia="Arial" w:hAnsi="Arial"/>
          <w:sz w:val="18"/>
          <w:szCs w:val="18"/>
          <w:color w:val="auto"/>
        </w:rPr>
        <w:t xml:space="preserv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1296"/>
        <w:spacing w:after="0" w:line="271" w:lineRule="auto"/>
        <w:rPr>
          <w:sz w:val="20"/>
          <w:szCs w:val="20"/>
          <w:color w:val="auto"/>
        </w:rPr>
      </w:pPr>
      <w:r>
        <w:rPr>
          <w:rFonts w:ascii="Arial" w:cs="Arial" w:eastAsia="Arial" w:hAnsi="Arial"/>
          <w:sz w:val="17"/>
          <w:szCs w:val="17"/>
          <w:color w:val="auto"/>
        </w:rPr>
        <w:t>We have acted as special counsel to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Registration Statement on Form S-1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of the Company, filed with the Securities and Exchange Commission pursuant to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and the rules and regulations thereunder (the “</w:t>
      </w:r>
      <w:r>
        <w:rPr>
          <w:rFonts w:ascii="Arial" w:cs="Arial" w:eastAsia="Arial" w:hAnsi="Arial"/>
          <w:sz w:val="17"/>
          <w:szCs w:val="17"/>
          <w:u w:val="single" w:color="auto"/>
          <w:color w:val="auto"/>
        </w:rPr>
        <w:t>Rules</w:t>
      </w:r>
      <w:r>
        <w:rPr>
          <w:rFonts w:ascii="Arial" w:cs="Arial" w:eastAsia="Arial" w:hAnsi="Arial"/>
          <w:sz w:val="17"/>
          <w:szCs w:val="17"/>
          <w:color w:val="auto"/>
        </w:rPr>
        <w:t>”). You have asked us to furnish our opinion as to the legality of the securities being registered under the Registration Statement. The Registration Statement relates to the registration under the Act of (i) [•] units (the “</w:t>
      </w:r>
      <w:r>
        <w:rPr>
          <w:rFonts w:ascii="Arial" w:cs="Arial" w:eastAsia="Arial" w:hAnsi="Arial"/>
          <w:sz w:val="17"/>
          <w:szCs w:val="17"/>
          <w:u w:val="single" w:color="auto"/>
          <w:color w:val="auto"/>
        </w:rPr>
        <w:t>Units</w:t>
      </w:r>
      <w:r>
        <w:rPr>
          <w:rFonts w:ascii="Arial" w:cs="Arial" w:eastAsia="Arial" w:hAnsi="Arial"/>
          <w:sz w:val="17"/>
          <w:szCs w:val="17"/>
          <w:color w:val="auto"/>
        </w:rPr>
        <w:t>”) of the Company (including Units issuable by the Company upon exercise of the underwriters’ over-allotment option), each such unit consisting of one share of the Company’s Class A common stock, par value $0.0001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one-fourth of one warrant of the Company (each whole warrant, a “</w:t>
      </w:r>
      <w:r>
        <w:rPr>
          <w:rFonts w:ascii="Arial" w:cs="Arial" w:eastAsia="Arial" w:hAnsi="Arial"/>
          <w:sz w:val="17"/>
          <w:szCs w:val="17"/>
          <w:u w:val="single" w:color="auto"/>
          <w:color w:val="auto"/>
        </w:rPr>
        <w:t>Warrant</w:t>
      </w:r>
      <w:r>
        <w:rPr>
          <w:rFonts w:ascii="Arial" w:cs="Arial" w:eastAsia="Arial" w:hAnsi="Arial"/>
          <w:sz w:val="17"/>
          <w:szCs w:val="17"/>
          <w:color w:val="auto"/>
        </w:rPr>
        <w:t>”) to purchase a share of Common Stock and (ii) all shares of Common Stock (the “</w:t>
      </w:r>
      <w:r>
        <w:rPr>
          <w:rFonts w:ascii="Arial" w:cs="Arial" w:eastAsia="Arial" w:hAnsi="Arial"/>
          <w:sz w:val="17"/>
          <w:szCs w:val="17"/>
          <w:u w:val="single" w:color="auto"/>
          <w:color w:val="auto"/>
        </w:rPr>
        <w:t>Unit Shares</w:t>
      </w:r>
      <w:r>
        <w:rPr>
          <w:rFonts w:ascii="Arial" w:cs="Arial" w:eastAsia="Arial" w:hAnsi="Arial"/>
          <w:sz w:val="17"/>
          <w:szCs w:val="17"/>
          <w:color w:val="auto"/>
        </w:rPr>
        <w:t>”) and all Warrants issued as part of the Units, as specified in the Registration Statement.</w:t>
      </w:r>
    </w:p>
    <w:p>
      <w:pPr>
        <w:spacing w:after="0" w:line="178" w:lineRule="exact"/>
        <w:rPr>
          <w:sz w:val="20"/>
          <w:szCs w:val="20"/>
          <w:color w:val="auto"/>
        </w:rPr>
      </w:pPr>
    </w:p>
    <w:p>
      <w:pPr>
        <w:ind w:right="800" w:firstLine="1296"/>
        <w:spacing w:after="0" w:line="277" w:lineRule="auto"/>
        <w:rPr>
          <w:sz w:val="20"/>
          <w:szCs w:val="20"/>
          <w:color w:val="auto"/>
        </w:rPr>
      </w:pPr>
      <w:r>
        <w:rPr>
          <w:rFonts w:ascii="Arial" w:cs="Arial" w:eastAsia="Arial" w:hAnsi="Arial"/>
          <w:sz w:val="18"/>
          <w:szCs w:val="18"/>
          <w:color w:val="auto"/>
        </w:rPr>
        <w:t>In connection with the furnishing of this opinion, we have examined originals, or copies certified or otherwise identified to our satisfaction, of the following documents (collectively, the “</w:t>
      </w:r>
      <w:r>
        <w:rPr>
          <w:rFonts w:ascii="Arial" w:cs="Arial" w:eastAsia="Arial" w:hAnsi="Arial"/>
          <w:sz w:val="18"/>
          <w:szCs w:val="18"/>
          <w:u w:val="single" w:color="auto"/>
          <w:color w:val="auto"/>
        </w:rPr>
        <w:t>Documents</w:t>
      </w:r>
      <w:r>
        <w:rPr>
          <w:rFonts w:ascii="Arial" w:cs="Arial" w:eastAsia="Arial" w:hAnsi="Arial"/>
          <w:sz w:val="18"/>
          <w:szCs w:val="18"/>
          <w:color w:val="auto"/>
        </w:rPr>
        <w:t>”):</w:t>
      </w:r>
    </w:p>
    <w:p>
      <w:pPr>
        <w:spacing w:after="0" w:line="170" w:lineRule="exact"/>
        <w:rPr>
          <w:sz w:val="20"/>
          <w:szCs w:val="20"/>
          <w:color w:val="auto"/>
        </w:rPr>
      </w:pPr>
    </w:p>
    <w:p>
      <w:pPr>
        <w:ind w:left="1700" w:hanging="396"/>
        <w:spacing w:after="0"/>
        <w:tabs>
          <w:tab w:leader="none" w:pos="1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ind w:right="20" w:firstLine="1304"/>
        <w:spacing w:after="0" w:line="277" w:lineRule="auto"/>
        <w:tabs>
          <w:tab w:leader="none" w:pos="170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form of the underwriting agreement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proposed to be entered into between the Company and the underwriters named in the Registration Statement;</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Specimen Unit Certificate, included as Exhibit 4.1 to the Registration Statement;</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Specimen Class A Common Stock Certificate, included as Exhibit 4.2 to the Registration Statement;</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Specimen Warrant Certificate, included as Exhibit 4.3 to the Registration Statement; and</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form of warrant agreement proposed to be entered into by and between Continental Stock Transfer &amp; Trust Company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Agent</w:t>
      </w:r>
      <w:r>
        <w:rPr>
          <w:rFonts w:ascii="Arial" w:cs="Arial" w:eastAsia="Arial" w:hAnsi="Arial"/>
          <w:sz w:val="18"/>
          <w:szCs w:val="18"/>
          <w:color w:val="auto"/>
        </w:rPr>
        <w:t>”) and the Company, included as Exhibit 4.4 to the Registration Statement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211" w:lineRule="exact"/>
        <w:rPr>
          <w:sz w:val="20"/>
          <w:szCs w:val="20"/>
          <w:color w:val="auto"/>
        </w:rPr>
      </w:pPr>
    </w:p>
    <w:p>
      <w:pPr>
        <w:ind w:right="240" w:firstLine="1296"/>
        <w:spacing w:after="0" w:line="287" w:lineRule="auto"/>
        <w:rPr>
          <w:sz w:val="20"/>
          <w:szCs w:val="20"/>
          <w:color w:val="auto"/>
        </w:rPr>
      </w:pPr>
      <w:r>
        <w:rPr>
          <w:rFonts w:ascii="Arial" w:cs="Arial" w:eastAsia="Arial" w:hAnsi="Arial"/>
          <w:sz w:val="16"/>
          <w:szCs w:val="16"/>
          <w:color w:val="auto"/>
        </w:rPr>
        <w:t>In addition, we have examined (i) such corporate records of the Company that we have considered appropriate, including a copy of the certificate of incorporation, as amended, and by-laws, of the Company, certified by the Company as in effect on the date of this letter and copies of resolutions of the board of directors of the Company relating to the issuance of the Units, Unit Shares and the Warrants, certified by the Company and</w:t>
      </w:r>
    </w:p>
    <w:p>
      <w:pPr>
        <w:spacing w:after="0" w:line="2" w:lineRule="exact"/>
        <w:rPr>
          <w:sz w:val="20"/>
          <w:szCs w:val="20"/>
          <w:color w:val="auto"/>
        </w:rPr>
      </w:pPr>
    </w:p>
    <w:p>
      <w:pPr>
        <w:ind w:right="320" w:firstLine="8"/>
        <w:spacing w:after="0" w:line="255" w:lineRule="auto"/>
        <w:tabs>
          <w:tab w:leader="none" w:pos="26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such other certificates, agreements and documents that we deemed relevant and necessary as a basis for the opinions expressed below. We have also relied upon the factual matters contained in the representations and warranties of the Company made in the Documents and upon certificates of public officials and the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8" w:name="page269"/>
    <w:bookmarkEnd w:id="268"/>
    <w:p>
      <w:pPr>
        <w:ind w:right="140" w:firstLine="1296"/>
        <w:spacing w:after="0" w:line="275" w:lineRule="auto"/>
        <w:rPr>
          <w:sz w:val="20"/>
          <w:szCs w:val="20"/>
          <w:color w:val="auto"/>
        </w:rPr>
      </w:pPr>
      <w:r>
        <w:rPr>
          <w:rFonts w:ascii="Arial" w:cs="Arial" w:eastAsia="Arial" w:hAnsi="Arial"/>
          <w:sz w:val="17"/>
          <w:szCs w:val="17"/>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spacing w:after="0" w:line="17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Based upon the above, and subject to the stated assumptions, exceptions and qualifications, we are of the opinion that:</w:t>
      </w:r>
    </w:p>
    <w:p>
      <w:pPr>
        <w:spacing w:after="0" w:line="225" w:lineRule="exact"/>
        <w:rPr>
          <w:sz w:val="20"/>
          <w:szCs w:val="20"/>
          <w:color w:val="auto"/>
        </w:rPr>
      </w:pPr>
    </w:p>
    <w:p>
      <w:pPr>
        <w:ind w:right="220" w:firstLine="1304"/>
        <w:spacing w:after="0" w:line="257" w:lineRule="auto"/>
        <w:tabs>
          <w:tab w:leader="none" w:pos="178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Units, when duly issued, delivered and paid for as contemplated in the Registration Statement and in accordance with the terms of the Underwriting Agreement, and assuming the due authorization, execution and delivery thereof by Continental Stock Transfer &amp; Trust Company, as transfer agent, will constitute the legal, valid and binding obligations of the Company, enforceable against the Company in accordance with their terms, except that the enforceability of the Units may be subject to bankruptcy, insolvency, reorganization, fraudulent conveyance or transfer, moratorium or similar laws affecting creditors’ rights generally.</w:t>
      </w:r>
    </w:p>
    <w:p>
      <w:pPr>
        <w:spacing w:after="0" w:line="187" w:lineRule="exact"/>
        <w:rPr>
          <w:rFonts w:ascii="Arial" w:cs="Arial" w:eastAsia="Arial" w:hAnsi="Arial"/>
          <w:sz w:val="18"/>
          <w:szCs w:val="18"/>
          <w:color w:val="auto"/>
        </w:rPr>
      </w:pPr>
    </w:p>
    <w:p>
      <w:pPr>
        <w:ind w:right="220" w:firstLine="1304"/>
        <w:spacing w:after="0" w:line="263" w:lineRule="auto"/>
        <w:tabs>
          <w:tab w:leader="none" w:pos="174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Unit Shares have been duly authorized by all necessary corporate action on the part of the Company and, when the Units are duly issued, delivered and paid for as contemplated in the Registration Statement and in accordance with the terms of the Underwriting Agreement, the Unit Shares will be validly issued, fully paid and non-assessable.</w:t>
      </w:r>
    </w:p>
    <w:p>
      <w:pPr>
        <w:spacing w:after="0" w:line="183" w:lineRule="exact"/>
        <w:rPr>
          <w:rFonts w:ascii="Arial" w:cs="Arial" w:eastAsia="Arial" w:hAnsi="Arial"/>
          <w:sz w:val="18"/>
          <w:szCs w:val="18"/>
          <w:color w:val="auto"/>
        </w:rPr>
      </w:pPr>
    </w:p>
    <w:p>
      <w:pPr>
        <w:ind w:firstLine="1304"/>
        <w:spacing w:after="0" w:line="253" w:lineRule="auto"/>
        <w:tabs>
          <w:tab w:leader="none" w:pos="174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Warrants included in the Units, when the Units are duly issued, delivered and paid for as contemplated in the Registration Statement and in accordance with the terms of the Underwriting Agreement and the Warrant Agreement, and assuming the due authorization, execution and delivery of the Warrants by the Warrant Agent, will constitute the legal, valid and binding obligations of the Company, enforceable against the Company in accordance with their terms, except that (i) the enforceability of the Warrants may be subject to bankruptcy, insolvency, reorganization, fraudulent conveyance or transfer, moratorium or similar laws affecting creditors’ rights generally, possible judicial action and general principles of equity (regardless of whether enforceability is considered in a proceeding in equity or at law) and (ii) we express no opinion as to the validity, legally binding effect or enforceability of the second proviso in Section 4.4 of the Warrant Agreement or any related provision in the Warrants that requires or relates to adjustments to the conversion rate in an amount that a court would determine in the circumstances under applicable law to be commercially unreasonable or a penalty or forfeiture.</w:t>
      </w:r>
    </w:p>
    <w:p>
      <w:pPr>
        <w:spacing w:after="0" w:line="196" w:lineRule="exact"/>
        <w:rPr>
          <w:sz w:val="20"/>
          <w:szCs w:val="20"/>
          <w:color w:val="auto"/>
        </w:rPr>
      </w:pPr>
    </w:p>
    <w:p>
      <w:pPr>
        <w:ind w:right="680" w:firstLine="1296"/>
        <w:spacing w:after="0" w:line="342" w:lineRule="auto"/>
        <w:rPr>
          <w:sz w:val="20"/>
          <w:szCs w:val="20"/>
          <w:color w:val="auto"/>
        </w:rPr>
      </w:pPr>
      <w:r>
        <w:rPr>
          <w:rFonts w:ascii="Arial" w:cs="Arial" w:eastAsia="Arial" w:hAnsi="Arial"/>
          <w:sz w:val="16"/>
          <w:szCs w:val="16"/>
          <w:color w:val="auto"/>
        </w:rPr>
        <w:t>The opinions expressed above are limited to the laws of the State of New York and the General Corporation Law of the State of Delaware. Our opinion is rendered only with respect to the laws, and the rules, regulations and orders under those laws, that are currently in effect.</w:t>
      </w:r>
    </w:p>
    <w:p>
      <w:pPr>
        <w:spacing w:after="0" w:line="124" w:lineRule="exact"/>
        <w:rPr>
          <w:sz w:val="20"/>
          <w:szCs w:val="20"/>
          <w:color w:val="auto"/>
        </w:rPr>
      </w:pPr>
    </w:p>
    <w:p>
      <w:pPr>
        <w:ind w:right="100" w:firstLine="1296"/>
        <w:spacing w:after="0" w:line="263" w:lineRule="auto"/>
        <w:rPr>
          <w:sz w:val="20"/>
          <w:szCs w:val="20"/>
          <w:color w:val="auto"/>
        </w:rPr>
      </w:pPr>
      <w:r>
        <w:rPr>
          <w:rFonts w:ascii="Arial" w:cs="Arial" w:eastAsia="Arial" w:hAnsi="Arial"/>
          <w:sz w:val="18"/>
          <w:szCs w:val="18"/>
          <w:color w:val="auto"/>
        </w:rPr>
        <w:t>We hereby consent to use of this opinion as an exhibit to the Registration Statement and to the use of our name under the heading “Legal Matters” contained in the prospectus included in the Registration Statement. In giving this consent, we do not thereby admit that we come within the category of persons whose consent is required by the Act or the Rules.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22"/>
          <w:szCs w:val="22"/>
          <w:b w:val="1"/>
          <w:bCs w:val="1"/>
          <w:color w:val="auto"/>
        </w:rPr>
        <w:t>Exhibit 10.1</w:t>
      </w:r>
    </w:p>
    <w:p>
      <w:pPr>
        <w:spacing w:after="0" w:line="19"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EXECUTION VERSION</w:t>
      </w:r>
    </w:p>
    <w:p>
      <w:pPr>
        <w:spacing w:after="0" w:line="209" w:lineRule="exact"/>
        <w:rPr>
          <w:sz w:val="20"/>
          <w:szCs w:val="20"/>
          <w:color w:val="auto"/>
        </w:rPr>
      </w:pPr>
    </w:p>
    <w:p>
      <w:pPr>
        <w:ind w:right="60" w:firstLine="1296"/>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Up to $600,000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Dated as of May 13, 2020</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00" w:lineRule="exact"/>
        <w:rPr>
          <w:sz w:val="20"/>
          <w:szCs w:val="20"/>
          <w:color w:val="auto"/>
        </w:rPr>
      </w:pPr>
    </w:p>
    <w:p>
      <w:pPr>
        <w:sectPr>
          <w:pgSz w:w="11900" w:h="16838" w:orient="portrait"/>
          <w:cols w:equalWidth="0" w:num="2">
            <w:col w:w="8660" w:space="720"/>
            <w:col w:w="1860"/>
          </w:cols>
          <w:pgMar w:left="320" w:top="355" w:right="339" w:bottom="1440" w:gutter="0" w:footer="0" w:header="0"/>
          <w:type w:val="continuous"/>
        </w:sectPr>
      </w:pPr>
    </w:p>
    <w:p>
      <w:pPr>
        <w:spacing w:after="0" w:line="223" w:lineRule="exact"/>
        <w:rPr>
          <w:sz w:val="20"/>
          <w:szCs w:val="20"/>
          <w:color w:val="auto"/>
        </w:rPr>
      </w:pPr>
    </w:p>
    <w:p>
      <w:pPr>
        <w:ind w:firstLine="1296"/>
        <w:spacing w:after="0" w:line="258" w:lineRule="auto"/>
        <w:rPr>
          <w:sz w:val="20"/>
          <w:szCs w:val="20"/>
          <w:color w:val="auto"/>
        </w:rPr>
      </w:pPr>
      <w:r>
        <w:rPr>
          <w:rFonts w:ascii="Arial" w:cs="Arial" w:eastAsia="Arial" w:hAnsi="Arial"/>
          <w:sz w:val="18"/>
          <w:szCs w:val="18"/>
          <w:color w:val="auto"/>
        </w:rPr>
        <w:t>Annetta Acquisition Corp, a Delaware corporation and blank check company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Annetta Sponsor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or order, the principal sum of up to Six Hundred Thousand Dollars ($600,000)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3" w:lineRule="exact"/>
        <w:rPr>
          <w:sz w:val="20"/>
          <w:szCs w:val="20"/>
          <w:color w:val="auto"/>
        </w:rPr>
      </w:pPr>
    </w:p>
    <w:p>
      <w:pPr>
        <w:ind w:right="20" w:firstLine="1304"/>
        <w:spacing w:after="0" w:line="261" w:lineRule="auto"/>
        <w:tabs>
          <w:tab w:leader="none" w:pos="224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Note shall be payable by the Maker on the earlier of: (i) December 31, 2021 or (ii)</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on which Maker consummates an initial public offering of its securities. The principal balance may be prepaid at any time. Under no circumstances shall any individual, including but not limited to any officer, director, employee or shareholder of the Maker, be obligated personally for any obligations or liabilities of the Maker hereunder.</w:t>
      </w:r>
    </w:p>
    <w:p>
      <w:pPr>
        <w:spacing w:after="0" w:line="179" w:lineRule="exact"/>
        <w:rPr>
          <w:rFonts w:ascii="Arial" w:cs="Arial" w:eastAsia="Arial" w:hAnsi="Arial"/>
          <w:sz w:val="18"/>
          <w:szCs w:val="18"/>
          <w:color w:val="auto"/>
        </w:rPr>
      </w:pPr>
    </w:p>
    <w:p>
      <w:pPr>
        <w:ind w:left="2240" w:hanging="936"/>
        <w:spacing w:after="0"/>
        <w:tabs>
          <w:tab w:leader="none" w:pos="224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auto"/>
        </w:rPr>
      </w:pPr>
    </w:p>
    <w:p>
      <w:pPr>
        <w:ind w:right="100" w:firstLine="1304"/>
        <w:spacing w:after="0" w:line="291" w:lineRule="auto"/>
        <w:tabs>
          <w:tab w:leader="none" w:pos="2240" w:val="left"/>
        </w:tabs>
        <w:numPr>
          <w:ilvl w:val="0"/>
          <w:numId w:val="168"/>
        </w:numPr>
        <w:rPr>
          <w:rFonts w:ascii="Arial" w:cs="Arial" w:eastAsia="Arial" w:hAnsi="Arial"/>
          <w:sz w:val="16"/>
          <w:szCs w:val="16"/>
          <w:color w:val="auto"/>
        </w:rPr>
      </w:pPr>
      <w:r>
        <w:rPr>
          <w:rFonts w:ascii="Arial" w:cs="Arial" w:eastAsia="Arial" w:hAnsi="Arial"/>
          <w:sz w:val="16"/>
          <w:szCs w:val="16"/>
          <w:b w:val="1"/>
          <w:bCs w:val="1"/>
          <w:color w:val="auto"/>
        </w:rPr>
        <w:t xml:space="preserve">Drawdown Requests. </w:t>
      </w:r>
      <w:r>
        <w:rPr>
          <w:rFonts w:ascii="Arial" w:cs="Arial" w:eastAsia="Arial" w:hAnsi="Arial"/>
          <w:sz w:val="16"/>
          <w:szCs w:val="16"/>
          <w:color w:val="auto"/>
        </w:rPr>
        <w:t>Maker and Payee agree that Maker may request up to Six Hundred Thousand Dollars ($600,000) for</w:t>
      </w:r>
      <w:r>
        <w:rPr>
          <w:rFonts w:ascii="Arial" w:cs="Arial" w:eastAsia="Arial" w:hAnsi="Arial"/>
          <w:sz w:val="16"/>
          <w:szCs w:val="16"/>
          <w:b w:val="1"/>
          <w:bCs w:val="1"/>
          <w:color w:val="auto"/>
        </w:rPr>
        <w:t xml:space="preserve"> </w:t>
      </w:r>
      <w:r>
        <w:rPr>
          <w:rFonts w:ascii="Arial" w:cs="Arial" w:eastAsia="Arial" w:hAnsi="Arial"/>
          <w:sz w:val="16"/>
          <w:szCs w:val="16"/>
          <w:color w:val="auto"/>
        </w:rPr>
        <w:t>costs reasonably related to Maker’s initial public offering of its securities. The principal of this Note may be drawn down from time to time prior to the earlier of: (i) December 31, 2021 or (ii) the date on which Maker consummates an initial public offering of its securities, upon written request from Maker to Payee (each, a “</w:t>
      </w:r>
      <w:r>
        <w:rPr>
          <w:rFonts w:ascii="Arial" w:cs="Arial" w:eastAsia="Arial" w:hAnsi="Arial"/>
          <w:sz w:val="16"/>
          <w:szCs w:val="16"/>
          <w:b w:val="1"/>
          <w:bCs w:val="1"/>
          <w:color w:val="auto"/>
        </w:rPr>
        <w:t>Drawdown Request</w:t>
      </w:r>
      <w:r>
        <w:rPr>
          <w:rFonts w:ascii="Arial" w:cs="Arial" w:eastAsia="Arial" w:hAnsi="Arial"/>
          <w:sz w:val="16"/>
          <w:szCs w:val="16"/>
          <w:color w:val="auto"/>
        </w:rPr>
        <w:t>”). Each Drawdown Request must state the amount to be drawn down, and must not be an amount less than Ten Thousand Dollars ($10,000) unless agreed upon by Maker and Payee. Payee shall fund each Drawdown Request no later than five (5) business days after receipt of a Drawdown Request; provided, however, that the maximum amount of drawdowns collectively under this Note is Six Hundred Thousand Dollars ($600,000). Once an amount is drawn down under this Note, it shall not be available for future Drawdown Requests even if prepaid. No fees, payments or other amounts shall be due to Payee in connection with, or as a result of, any Drawdown Request by 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270" w:name="page271"/>
    <w:bookmarkEnd w:id="270"/>
    <w:p>
      <w:pPr>
        <w:ind w:left="-60" w:right="260" w:firstLine="1304"/>
        <w:spacing w:after="0" w:line="266" w:lineRule="auto"/>
        <w:tabs>
          <w:tab w:leader="none" w:pos="218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sum due under this Note, including (without limitation) reasonable attorney’s fees, then to the payment in full of any late charges and finally to the reduction of the unpaid principal balance of this Note.</w:t>
      </w:r>
    </w:p>
    <w:p>
      <w:pPr>
        <w:spacing w:after="0" w:line="175" w:lineRule="exact"/>
        <w:rPr>
          <w:rFonts w:ascii="Arial" w:cs="Arial" w:eastAsia="Arial" w:hAnsi="Arial"/>
          <w:sz w:val="18"/>
          <w:szCs w:val="18"/>
          <w:color w:val="auto"/>
        </w:rPr>
      </w:pPr>
    </w:p>
    <w:p>
      <w:pPr>
        <w:ind w:left="2180" w:hanging="936"/>
        <w:spacing w:after="0"/>
        <w:tabs>
          <w:tab w:leader="none" w:pos="218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0" w:right="100" w:firstLine="1952"/>
        <w:spacing w:after="0" w:line="277" w:lineRule="auto"/>
        <w:tabs>
          <w:tab w:leader="none" w:pos="2758"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170" w:lineRule="exact"/>
        <w:rPr>
          <w:rFonts w:ascii="Arial" w:cs="Arial" w:eastAsia="Arial" w:hAnsi="Arial"/>
          <w:sz w:val="18"/>
          <w:szCs w:val="18"/>
          <w:color w:val="auto"/>
        </w:rPr>
      </w:pPr>
    </w:p>
    <w:p>
      <w:pPr>
        <w:ind w:left="-60" w:firstLine="1952"/>
        <w:spacing w:after="0" w:line="257" w:lineRule="auto"/>
        <w:tabs>
          <w:tab w:leader="none" w:pos="2768"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87" w:lineRule="exact"/>
        <w:rPr>
          <w:rFonts w:ascii="Arial" w:cs="Arial" w:eastAsia="Arial" w:hAnsi="Arial"/>
          <w:sz w:val="18"/>
          <w:szCs w:val="18"/>
          <w:color w:val="auto"/>
        </w:rPr>
      </w:pPr>
    </w:p>
    <w:p>
      <w:pPr>
        <w:jc w:val="both"/>
        <w:ind w:left="-60" w:right="160" w:firstLine="1952"/>
        <w:spacing w:after="0" w:line="279" w:lineRule="auto"/>
        <w:tabs>
          <w:tab w:leader="none" w:pos="2758" w:val="left"/>
        </w:tabs>
        <w:numPr>
          <w:ilvl w:val="1"/>
          <w:numId w:val="169"/>
        </w:numPr>
        <w:rPr>
          <w:rFonts w:ascii="Arial" w:cs="Arial" w:eastAsia="Arial" w:hAnsi="Arial"/>
          <w:sz w:val="17"/>
          <w:szCs w:val="17"/>
          <w:color w:val="auto"/>
        </w:rPr>
      </w:pPr>
      <w:r>
        <w:rPr>
          <w:rFonts w:ascii="Arial" w:cs="Arial" w:eastAsia="Arial" w:hAnsi="Arial"/>
          <w:sz w:val="17"/>
          <w:szCs w:val="17"/>
          <w:u w:val="single" w:color="auto"/>
          <w:color w:val="auto"/>
        </w:rPr>
        <w:t>Involuntary Bankruptcy, Etc</w:t>
      </w:r>
      <w:r>
        <w:rPr>
          <w:rFonts w:ascii="Arial" w:cs="Arial" w:eastAsia="Arial" w:hAnsi="Arial"/>
          <w:sz w:val="17"/>
          <w:szCs w:val="17"/>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67" w:lineRule="exact"/>
        <w:rPr>
          <w:rFonts w:ascii="Arial" w:cs="Arial" w:eastAsia="Arial" w:hAnsi="Arial"/>
          <w:sz w:val="17"/>
          <w:szCs w:val="17"/>
          <w:color w:val="auto"/>
        </w:rPr>
      </w:pPr>
    </w:p>
    <w:p>
      <w:pPr>
        <w:ind w:left="2180" w:hanging="936"/>
        <w:spacing w:after="0"/>
        <w:tabs>
          <w:tab w:leader="none" w:pos="218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0" w:right="40" w:firstLine="1952"/>
        <w:spacing w:after="0" w:line="279" w:lineRule="auto"/>
        <w:tabs>
          <w:tab w:leader="none" w:pos="275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Upon the occurrence of an Event of Default specified in Section 5(a)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auto"/>
        </w:rPr>
      </w:pPr>
    </w:p>
    <w:p>
      <w:pPr>
        <w:jc w:val="both"/>
        <w:ind w:left="-60" w:right="100" w:firstLine="1952"/>
        <w:spacing w:after="0" w:line="263" w:lineRule="auto"/>
        <w:tabs>
          <w:tab w:leader="none" w:pos="276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Payee.</w:t>
      </w:r>
    </w:p>
    <w:p>
      <w:pPr>
        <w:spacing w:after="0" w:line="179" w:lineRule="exact"/>
        <w:rPr>
          <w:rFonts w:ascii="Arial" w:cs="Arial" w:eastAsia="Arial" w:hAnsi="Arial"/>
          <w:sz w:val="18"/>
          <w:szCs w:val="18"/>
          <w:color w:val="auto"/>
        </w:rPr>
      </w:pPr>
    </w:p>
    <w:p>
      <w:pPr>
        <w:ind w:left="-60" w:right="120" w:firstLine="1304"/>
        <w:spacing w:after="0" w:line="294" w:lineRule="auto"/>
        <w:tabs>
          <w:tab w:leader="none" w:pos="2180" w:val="left"/>
        </w:tabs>
        <w:numPr>
          <w:ilvl w:val="0"/>
          <w:numId w:val="169"/>
        </w:numPr>
        <w:rPr>
          <w:rFonts w:ascii="Arial" w:cs="Arial" w:eastAsia="Arial" w:hAnsi="Arial"/>
          <w:sz w:val="16"/>
          <w:szCs w:val="16"/>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Maker and all endorsers and guarantors of, and sureties for, this Note waive presentment for payment, demand,</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dishonor, protest, 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271" w:name="page272"/>
    <w:bookmarkEnd w:id="271"/>
    <w:p>
      <w:pPr>
        <w:ind w:firstLine="1304"/>
        <w:spacing w:after="0" w:line="256" w:lineRule="auto"/>
        <w:tabs>
          <w:tab w:leader="none" w:pos="2240" w:val="left"/>
        </w:tabs>
        <w:numPr>
          <w:ilvl w:val="1"/>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or enforcement of the 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87" w:lineRule="exact"/>
        <w:rPr>
          <w:rFonts w:ascii="Arial" w:cs="Arial" w:eastAsia="Arial" w:hAnsi="Arial"/>
          <w:sz w:val="18"/>
          <w:szCs w:val="18"/>
          <w:color w:val="auto"/>
        </w:rPr>
      </w:pPr>
    </w:p>
    <w:p>
      <w:pPr>
        <w:ind w:left="2240" w:hanging="936"/>
        <w:spacing w:after="0"/>
        <w:tabs>
          <w:tab w:leader="none" w:pos="2240" w:val="left"/>
        </w:tabs>
        <w:numPr>
          <w:ilvl w:val="1"/>
          <w:numId w:val="170"/>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statements or other documents which are required or contemplated by this Note shall be made in</w:t>
      </w:r>
    </w:p>
    <w:p>
      <w:pPr>
        <w:spacing w:after="0" w:line="38" w:lineRule="exact"/>
        <w:rPr>
          <w:rFonts w:ascii="Arial" w:cs="Arial" w:eastAsia="Arial" w:hAnsi="Arial"/>
          <w:sz w:val="17"/>
          <w:szCs w:val="17"/>
          <w:color w:val="auto"/>
        </w:rPr>
      </w:pPr>
    </w:p>
    <w:p>
      <w:pPr>
        <w:ind w:right="40"/>
        <w:spacing w:after="0" w:line="281" w:lineRule="auto"/>
        <w:rPr>
          <w:rFonts w:ascii="Arial" w:cs="Arial" w:eastAsia="Arial" w:hAnsi="Arial"/>
          <w:sz w:val="17"/>
          <w:szCs w:val="17"/>
          <w:color w:val="auto"/>
        </w:rPr>
      </w:pPr>
      <w:r>
        <w:rPr>
          <w:rFonts w:ascii="Arial" w:cs="Arial" w:eastAsia="Arial" w:hAnsi="Arial"/>
          <w:sz w:val="16"/>
          <w:szCs w:val="16"/>
          <w:color w:val="auto"/>
        </w:rPr>
        <w:t>writing and delivered: (i) 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w:t>
      </w:r>
    </w:p>
    <w:p>
      <w:pPr>
        <w:spacing w:after="0" w:line="2" w:lineRule="exact"/>
        <w:rPr>
          <w:rFonts w:ascii="Arial" w:cs="Arial" w:eastAsia="Arial" w:hAnsi="Arial"/>
          <w:sz w:val="17"/>
          <w:szCs w:val="17"/>
          <w:color w:val="auto"/>
        </w:rPr>
      </w:pPr>
    </w:p>
    <w:p>
      <w:pPr>
        <w:ind w:left="260" w:hanging="252"/>
        <w:spacing w:after="0"/>
        <w:tabs>
          <w:tab w:leader="none" w:pos="2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business day after delivery to an overnight courier service or five (5) days after mailing if sent by mail.</w:t>
      </w:r>
    </w:p>
    <w:p>
      <w:pPr>
        <w:spacing w:after="0" w:line="206" w:lineRule="exact"/>
        <w:rPr>
          <w:rFonts w:ascii="Arial" w:cs="Arial" w:eastAsia="Arial" w:hAnsi="Arial"/>
          <w:sz w:val="18"/>
          <w:szCs w:val="18"/>
          <w:color w:val="auto"/>
        </w:rPr>
      </w:pPr>
    </w:p>
    <w:p>
      <w:pPr>
        <w:ind w:right="260" w:firstLine="1304"/>
        <w:spacing w:after="0" w:line="282" w:lineRule="auto"/>
        <w:tabs>
          <w:tab w:leader="none" w:pos="2241" w:val="left"/>
        </w:tabs>
        <w:numPr>
          <w:ilvl w:val="1"/>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REGARD TO CONFLICT OF LAW PROVISIONS THEREOF.</w:t>
      </w:r>
    </w:p>
    <w:p>
      <w:pPr>
        <w:spacing w:after="0" w:line="161" w:lineRule="exact"/>
        <w:rPr>
          <w:rFonts w:ascii="Arial" w:cs="Arial" w:eastAsia="Arial" w:hAnsi="Arial"/>
          <w:sz w:val="18"/>
          <w:szCs w:val="18"/>
          <w:color w:val="auto"/>
        </w:rPr>
      </w:pPr>
    </w:p>
    <w:p>
      <w:pPr>
        <w:ind w:right="100" w:firstLine="1304"/>
        <w:spacing w:after="0" w:line="289" w:lineRule="auto"/>
        <w:tabs>
          <w:tab w:leader="none" w:pos="2234" w:val="left"/>
        </w:tabs>
        <w:numPr>
          <w:ilvl w:val="1"/>
          <w:numId w:val="171"/>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7" w:lineRule="exact"/>
        <w:rPr>
          <w:rFonts w:ascii="Arial" w:cs="Arial" w:eastAsia="Arial" w:hAnsi="Arial"/>
          <w:sz w:val="17"/>
          <w:szCs w:val="17"/>
          <w:color w:val="auto"/>
        </w:rPr>
      </w:pPr>
    </w:p>
    <w:p>
      <w:pPr>
        <w:ind w:right="160" w:firstLine="1304"/>
        <w:spacing w:after="0" w:line="274" w:lineRule="auto"/>
        <w:tabs>
          <w:tab w:leader="none" w:pos="2241" w:val="left"/>
        </w:tabs>
        <w:numPr>
          <w:ilvl w:val="1"/>
          <w:numId w:val="171"/>
        </w:numPr>
        <w:rPr>
          <w:rFonts w:ascii="Arial" w:cs="Arial" w:eastAsia="Arial" w:hAnsi="Arial"/>
          <w:sz w:val="17"/>
          <w:szCs w:val="17"/>
          <w:color w:val="auto"/>
        </w:rPr>
      </w:pPr>
      <w:r>
        <w:rPr>
          <w:rFonts w:ascii="Arial" w:cs="Arial" w:eastAsia="Arial" w:hAnsi="Arial"/>
          <w:sz w:val="17"/>
          <w:szCs w:val="17"/>
          <w:b w:val="1"/>
          <w:bCs w:val="1"/>
          <w:color w:val="auto"/>
        </w:rPr>
        <w:t>Trust Waiver</w:t>
      </w:r>
      <w:r>
        <w:rPr>
          <w:rFonts w:ascii="Arial" w:cs="Arial" w:eastAsia="Arial" w:hAnsi="Arial"/>
          <w:sz w:val="17"/>
          <w:szCs w:val="17"/>
          <w:color w:val="auto"/>
        </w:rPr>
        <w:t>. Notwithstanding anything herein to the contrary, the Payee hereby waives any and all right, title, interest or</w:t>
      </w:r>
      <w:r>
        <w:rPr>
          <w:rFonts w:ascii="Arial" w:cs="Arial" w:eastAsia="Arial" w:hAnsi="Arial"/>
          <w:sz w:val="17"/>
          <w:szCs w:val="17"/>
          <w:b w:val="1"/>
          <w:bCs w:val="1"/>
          <w:color w:val="auto"/>
        </w:rPr>
        <w:t xml:space="preserve"> </w:t>
      </w:r>
      <w:r>
        <w:rPr>
          <w:rFonts w:ascii="Arial" w:cs="Arial" w:eastAsia="Arial" w:hAnsi="Arial"/>
          <w:sz w:val="17"/>
          <w:szCs w:val="17"/>
          <w:color w:val="auto"/>
        </w:rPr>
        <w:t>claim of any kind (“</w:t>
      </w:r>
      <w:r>
        <w:rPr>
          <w:rFonts w:ascii="Arial" w:cs="Arial" w:eastAsia="Arial" w:hAnsi="Arial"/>
          <w:sz w:val="17"/>
          <w:szCs w:val="17"/>
          <w:b w:val="1"/>
          <w:bCs w:val="1"/>
          <w:color w:val="auto"/>
        </w:rPr>
        <w:t>Claim</w:t>
      </w:r>
      <w:r>
        <w:rPr>
          <w:rFonts w:ascii="Arial" w:cs="Arial" w:eastAsia="Arial" w:hAnsi="Arial"/>
          <w:sz w:val="17"/>
          <w:szCs w:val="17"/>
          <w:color w:val="auto"/>
        </w:rPr>
        <w:t>”) in or to any distribution of or from the trust account to be established in which the proceeds of the initial public offering (the “</w:t>
      </w:r>
      <w:r>
        <w:rPr>
          <w:rFonts w:ascii="Arial" w:cs="Arial" w:eastAsia="Arial" w:hAnsi="Arial"/>
          <w:sz w:val="17"/>
          <w:szCs w:val="17"/>
          <w:b w:val="1"/>
          <w:bCs w:val="1"/>
          <w:color w:val="auto"/>
        </w:rPr>
        <w:t>IPO</w:t>
      </w:r>
      <w:r>
        <w:rPr>
          <w:rFonts w:ascii="Arial" w:cs="Arial" w:eastAsia="Arial" w:hAnsi="Arial"/>
          <w:sz w:val="17"/>
          <w:szCs w:val="17"/>
          <w:color w:val="auto"/>
        </w:rPr>
        <w:t>”) to be conducted by the Maker (including the deferred underwriters discounts and commissions) and the proceeds of the sale of the warrants to be issued in a private placement to occur prior to the closing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2" w:name="page273"/>
    <w:bookmarkEnd w:id="272"/>
    <w:p>
      <w:pPr>
        <w:ind w:left="-60" w:right="340" w:firstLine="1304"/>
        <w:spacing w:after="0" w:line="282" w:lineRule="auto"/>
        <w:tabs>
          <w:tab w:leader="none" w:pos="2181"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Amendment; Waiver</w:t>
      </w:r>
      <w:r>
        <w:rPr>
          <w:rFonts w:ascii="Arial" w:cs="Arial" w:eastAsia="Arial" w:hAnsi="Arial"/>
          <w:sz w:val="18"/>
          <w:szCs w:val="18"/>
          <w:color w:val="auto"/>
        </w:rPr>
        <w:t>. Any amendment hereto or waiver of any provision hereof may be made with, and only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Maker and the Payee.</w:t>
      </w:r>
    </w:p>
    <w:p>
      <w:pPr>
        <w:spacing w:after="0" w:line="161" w:lineRule="exact"/>
        <w:rPr>
          <w:rFonts w:ascii="Arial" w:cs="Arial" w:eastAsia="Arial" w:hAnsi="Arial"/>
          <w:sz w:val="18"/>
          <w:szCs w:val="18"/>
          <w:color w:val="auto"/>
        </w:rPr>
      </w:pPr>
    </w:p>
    <w:p>
      <w:pPr>
        <w:ind w:left="-60" w:firstLine="1304"/>
        <w:spacing w:after="0" w:line="266" w:lineRule="auto"/>
        <w:tabs>
          <w:tab w:leader="none" w:pos="2181"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No assignment or transfer of this Note or any rights or obligations hereunder may be made by any party hereto</w:t>
      </w:r>
      <w:r>
        <w:rPr>
          <w:rFonts w:ascii="Arial" w:cs="Arial" w:eastAsia="Arial" w:hAnsi="Arial"/>
          <w:sz w:val="18"/>
          <w:szCs w:val="18"/>
          <w:b w:val="1"/>
          <w:bCs w:val="1"/>
          <w:color w:val="auto"/>
        </w:rPr>
        <w:t xml:space="preserve"> </w:t>
      </w:r>
      <w:r>
        <w:rPr>
          <w:rFonts w:ascii="Arial" w:cs="Arial" w:eastAsia="Arial" w:hAnsi="Arial"/>
          <w:sz w:val="18"/>
          <w:szCs w:val="18"/>
          <w:color w:val="auto"/>
        </w:rPr>
        <w:t>(by operation of law or otherwise) without the prior written consent of the other party hereto and any attempted assignment without the required consent shall be void.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904" w:right="379" w:bottom="1440" w:gutter="0" w:footer="0" w:header="0"/>
        </w:sectPr>
      </w:pPr>
    </w:p>
    <w:bookmarkStart w:id="273" w:name="page274"/>
    <w:bookmarkEnd w:id="273"/>
    <w:p>
      <w:pPr>
        <w:ind w:firstLine="1296"/>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Maker, intending to be legally bound hereby, has caused this Note to be duly executed by the undersigned</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day and year first 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ANNETTA ACQUISITION CORP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this 13th day of May,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ANNETTA SPONSOR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Taragin</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Jay Taragin</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Authorized Person</w:t>
            </w:r>
          </w:p>
        </w:tc>
      </w:tr>
    </w:tbl>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This letter (this “</w:t>
      </w:r>
      <w:r>
        <w:rPr>
          <w:rFonts w:ascii="Arial" w:cs="Arial" w:eastAsia="Arial" w:hAnsi="Arial"/>
          <w:sz w:val="16"/>
          <w:szCs w:val="16"/>
          <w:u w:val="single" w:color="auto"/>
          <w:color w:val="auto"/>
        </w:rPr>
        <w:t>Letter Agreement</w:t>
      </w:r>
      <w:r>
        <w:rPr>
          <w:rFonts w:ascii="Arial" w:cs="Arial" w:eastAsia="Arial" w:hAnsi="Arial"/>
          <w:sz w:val="16"/>
          <w:szCs w:val="16"/>
          <w:color w:val="auto"/>
        </w:rPr>
        <w:t>”) is being delivered to you in accordance with the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to be entered into by and among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[BANK] (the “</w:t>
      </w:r>
      <w:r>
        <w:rPr>
          <w:rFonts w:ascii="Arial" w:cs="Arial" w:eastAsia="Arial" w:hAnsi="Arial"/>
          <w:sz w:val="16"/>
          <w:szCs w:val="16"/>
          <w:u w:val="single" w:color="auto"/>
          <w:color w:val="auto"/>
        </w:rPr>
        <w:t>Representative</w:t>
      </w:r>
      <w:r>
        <w:rPr>
          <w:rFonts w:ascii="Arial" w:cs="Arial" w:eastAsia="Arial" w:hAnsi="Arial"/>
          <w:sz w:val="16"/>
          <w:szCs w:val="16"/>
          <w:color w:val="auto"/>
        </w:rPr>
        <w:t>”), relating to an underwritten initial public offering (the “</w:t>
      </w:r>
      <w:r>
        <w:rPr>
          <w:rFonts w:ascii="Arial" w:cs="Arial" w:eastAsia="Arial" w:hAnsi="Arial"/>
          <w:sz w:val="16"/>
          <w:szCs w:val="16"/>
          <w:u w:val="single" w:color="auto"/>
          <w:color w:val="auto"/>
        </w:rPr>
        <w:t>Public Offering</w:t>
      </w:r>
      <w:r>
        <w:rPr>
          <w:rFonts w:ascii="Arial" w:cs="Arial" w:eastAsia="Arial" w:hAnsi="Arial"/>
          <w:sz w:val="16"/>
          <w:szCs w:val="16"/>
          <w:color w:val="auto"/>
        </w:rPr>
        <w:t>”), of [•] of the Company’s units (including up to [•] units that may be purchased to cover over-allotments, if any) (the “</w:t>
      </w:r>
      <w:r>
        <w:rPr>
          <w:rFonts w:ascii="Arial" w:cs="Arial" w:eastAsia="Arial" w:hAnsi="Arial"/>
          <w:sz w:val="16"/>
          <w:szCs w:val="16"/>
          <w:u w:val="single" w:color="auto"/>
          <w:color w:val="auto"/>
        </w:rPr>
        <w:t>Units</w:t>
      </w:r>
      <w:r>
        <w:rPr>
          <w:rFonts w:ascii="Arial" w:cs="Arial" w:eastAsia="Arial" w:hAnsi="Arial"/>
          <w:sz w:val="16"/>
          <w:szCs w:val="16"/>
          <w:color w:val="auto"/>
        </w:rPr>
        <w:t>”), each comprised of one share of the Company’s Class A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one-fourth of one redeemable warrant. Each whole Warrant (each, a “</w:t>
      </w:r>
      <w:r>
        <w:rPr>
          <w:rFonts w:ascii="Arial" w:cs="Arial" w:eastAsia="Arial" w:hAnsi="Arial"/>
          <w:sz w:val="16"/>
          <w:szCs w:val="16"/>
          <w:u w:val="single" w:color="auto"/>
          <w:color w:val="auto"/>
        </w:rPr>
        <w:t>Warrant</w:t>
      </w:r>
      <w:r>
        <w:rPr>
          <w:rFonts w:ascii="Arial" w:cs="Arial" w:eastAsia="Arial" w:hAnsi="Arial"/>
          <w:sz w:val="16"/>
          <w:szCs w:val="16"/>
          <w:color w:val="auto"/>
        </w:rPr>
        <w:t>”) entitles the holder thereof to purchase one share of Common Stock at a price of $11.50 per share, subject to adjustment. The Units will be sold in the Public Offering pursuant to a registration statement on Form S-1 and prospectus (the “</w:t>
      </w:r>
      <w:r>
        <w:rPr>
          <w:rFonts w:ascii="Arial" w:cs="Arial" w:eastAsia="Arial" w:hAnsi="Arial"/>
          <w:sz w:val="16"/>
          <w:szCs w:val="16"/>
          <w:u w:val="single" w:color="auto"/>
          <w:color w:val="auto"/>
        </w:rPr>
        <w:t>Prospectus</w:t>
      </w:r>
      <w:r>
        <w:rPr>
          <w:rFonts w:ascii="Arial" w:cs="Arial" w:eastAsia="Arial" w:hAnsi="Arial"/>
          <w:sz w:val="16"/>
          <w:szCs w:val="16"/>
          <w:color w:val="auto"/>
        </w:rPr>
        <w:t>”) filed by the Company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and the Company has applied to have the Units listed on the New York Stock Exchange. Certain capitalized terms used herein are defined in paragraph 11 hereof.</w:t>
      </w:r>
    </w:p>
    <w:p>
      <w:pPr>
        <w:spacing w:after="0" w:line="16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order to induce the Company and the Representative to enter into the Underwriting Agreement and to proceed with the Public Offering and for other good and valuable consideration, the receipt and sufficiency of which are hereby acknowledged, [SPONSOR COMPANY] (the “</w:t>
      </w:r>
      <w:r>
        <w:rPr>
          <w:rFonts w:ascii="Arial" w:cs="Arial" w:eastAsia="Arial" w:hAnsi="Arial"/>
          <w:sz w:val="17"/>
          <w:szCs w:val="17"/>
          <w:u w:val="single" w:color="auto"/>
          <w:color w:val="auto"/>
        </w:rPr>
        <w:t>Sponsor</w:t>
      </w:r>
      <w:r>
        <w:rPr>
          <w:rFonts w:ascii="Arial" w:cs="Arial" w:eastAsia="Arial" w:hAnsi="Arial"/>
          <w:sz w:val="17"/>
          <w:szCs w:val="17"/>
          <w:color w:val="auto"/>
        </w:rPr>
        <w:t>”) and each of the undersigned individuals, each of whom is a member of the Company’s board of directors and/or management team (each, an “</w:t>
      </w:r>
      <w:r>
        <w:rPr>
          <w:rFonts w:ascii="Arial" w:cs="Arial" w:eastAsia="Arial" w:hAnsi="Arial"/>
          <w:sz w:val="17"/>
          <w:szCs w:val="17"/>
          <w:u w:val="single" w:color="auto"/>
          <w:color w:val="auto"/>
        </w:rPr>
        <w:t>Insider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Insiders</w:t>
      </w:r>
      <w:r>
        <w:rPr>
          <w:rFonts w:ascii="Arial" w:cs="Arial" w:eastAsia="Arial" w:hAnsi="Arial"/>
          <w:sz w:val="17"/>
          <w:szCs w:val="17"/>
          <w:color w:val="auto"/>
        </w:rPr>
        <w:t>”), hereby severally (and not jointly and severally) agrees with the Company as follows:</w:t>
      </w:r>
    </w:p>
    <w:p>
      <w:pPr>
        <w:spacing w:after="0" w:line="171" w:lineRule="exact"/>
        <w:rPr>
          <w:sz w:val="20"/>
          <w:szCs w:val="20"/>
          <w:color w:val="auto"/>
        </w:rPr>
      </w:pPr>
    </w:p>
    <w:p>
      <w:pPr>
        <w:ind w:left="660" w:right="40" w:firstLine="644"/>
        <w:spacing w:after="0" w:line="296" w:lineRule="auto"/>
        <w:tabs>
          <w:tab w:leader="none" w:pos="225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Sponsor and each Insider agrees that if the Company seeks stockholder approval of a proposed Business Combination, then in connection with such proposed Business Combination, it, he or she shall (i) vote any shares of Capital Stock owned by it, him or her in favor of any proposed Business Combination and (ii) not redeem any shares of Common Stock owned by it, him or her in connection with such stockholder approval. If the Company seeks to consummate a proposed Business Combination by engaging in a tender offer, the Sponsor and each Insider agrees that it, he or she will not sell or tender any shares of Capital Stock owned by it, him or her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5" w:name="page276"/>
    <w:bookmarkEnd w:id="275"/>
    <w:p>
      <w:pPr>
        <w:ind w:firstLine="644"/>
        <w:spacing w:after="0" w:line="285" w:lineRule="auto"/>
        <w:tabs>
          <w:tab w:leader="none" w:pos="159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Sponsor and each Insider hereby agrees that in the event that the Company fails to consummate a Business Combination within 24 months from the closing of the Public Offering, or such later period approved by the Company’s stockholders in accordance with the Company’s amended and restated certificate of incorporation (the “</w:t>
      </w:r>
      <w:r>
        <w:rPr>
          <w:rFonts w:ascii="Arial" w:cs="Arial" w:eastAsia="Arial" w:hAnsi="Arial"/>
          <w:sz w:val="16"/>
          <w:szCs w:val="16"/>
          <w:u w:val="single" w:color="auto"/>
          <w:color w:val="auto"/>
        </w:rPr>
        <w:t>Charter</w:t>
      </w:r>
      <w:r>
        <w:rPr>
          <w:rFonts w:ascii="Arial" w:cs="Arial" w:eastAsia="Arial" w:hAnsi="Arial"/>
          <w:sz w:val="16"/>
          <w:szCs w:val="16"/>
          <w:color w:val="auto"/>
        </w:rPr>
        <w:t>”), the Sponsor and each Insider shall take all reasonable steps to cause the Company to (i) cease all operations except for the purpose of winding up, (ii) as promptly as reasonably possible but not more than 10 business days thereafter, subject to lawfully available funds therefor, redeem 100% of the Common Stock sold as part of the Units in the Public Offering (the “</w:t>
      </w:r>
      <w:r>
        <w:rPr>
          <w:rFonts w:ascii="Arial" w:cs="Arial" w:eastAsia="Arial" w:hAnsi="Arial"/>
          <w:sz w:val="16"/>
          <w:szCs w:val="16"/>
          <w:u w:val="single" w:color="auto"/>
          <w:color w:val="auto"/>
        </w:rPr>
        <w:t>Offering Shares</w:t>
      </w:r>
      <w:r>
        <w:rPr>
          <w:rFonts w:ascii="Arial" w:cs="Arial" w:eastAsia="Arial" w:hAnsi="Arial"/>
          <w:sz w:val="16"/>
          <w:szCs w:val="16"/>
          <w:color w:val="auto"/>
        </w:rPr>
        <w:t>”), at a per-share price, payable in cash, equal to the aggregate amount then on deposit in the Trust Account, including interest (net of amounts withdrawn to fund the Company’s working capital requirements, subject to an annual limit of $[•], and/or to pay the Company’s taxes (“</w:t>
      </w:r>
      <w:r>
        <w:rPr>
          <w:rFonts w:ascii="Arial" w:cs="Arial" w:eastAsia="Arial" w:hAnsi="Arial"/>
          <w:sz w:val="16"/>
          <w:szCs w:val="16"/>
          <w:u w:val="single" w:color="auto"/>
          <w:color w:val="auto"/>
        </w:rPr>
        <w:t>Permitted Withdrawals</w:t>
      </w:r>
      <w:r>
        <w:rPr>
          <w:rFonts w:ascii="Arial" w:cs="Arial" w:eastAsia="Arial" w:hAnsi="Arial"/>
          <w:sz w:val="16"/>
          <w:szCs w:val="16"/>
          <w:color w:val="auto"/>
        </w:rPr>
        <w:t>”)) and less up to $[•] of interest to pay dissolution expenses)), divided by the number of then outstanding Offering Shares, which redemption will completely extinguish all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other requirements of applicable law. The Sponsor and each Insider agree to not propose any amendment to the Charter that would modify the substance or timing of the Company’s obligation to redeem 100% of the Offering Shares if the Company does not complete a Business Combination within the required time period set forth in the Charter or with respect to any other material provisions relating to stockholders’ rights or pre-initial business combination activity, unless the Company provides its Public Stockholders with the opportunity to redeem their Offering Shares upon approval of any such amendment at a per-share price, payable in cash, equal to the aggregate amount then on deposit in the Trust Account, including interest (net of Permitted Withdrawals), divided by the number of then outstanding Offering Shares.</w:t>
      </w:r>
    </w:p>
    <w:p>
      <w:pPr>
        <w:spacing w:after="0" w:line="171"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The Sponsor and each Insider acknowledges that it, he or she has no right, title, interest or claim of any kind in or to any monies held in the Trust Account as a result of any liquidation of the Company with respect to the Founder Shares held by it, him or her. The Sponsor and each Insider hereby further waive, with respect to any shares of Common Stock held by it, him or her, if any, any redemption rights it, he or she may have in connection with the consummation of a Business Combination, including, without limitation, any such rights available in the context of a stockholder vote to approve such Business Combination or in the context of a tender offer made by the Company to purchase shares of Common Stock (although the Sponsor, the Insiders and their respective affiliates shall be entitled to redemption and liquidation rights with respect to any Offering Shares it or they hold if the Company fails to consummate a Business Combination within the time period set forth in the Charter or in connection with a stockholder vote to approve an amendment to the Charter to modify the substance or timing of the Company’s obligation to redeem 100% of the Offering Shares if the Company does not complete a Business Combination within the time period set forth in the Charter or with respect to any other material provisions relating to stockholders' rights or pre-initial business combination activity).</w:t>
      </w:r>
    </w:p>
    <w:p>
      <w:pPr>
        <w:spacing w:after="0" w:line="3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76" w:name="page277"/>
    <w:bookmarkEnd w:id="276"/>
    <w:p>
      <w:pPr>
        <w:ind w:left="4" w:firstLine="644"/>
        <w:spacing w:after="0" w:line="284" w:lineRule="auto"/>
        <w:tabs>
          <w:tab w:leader="none" w:pos="1596" w:val="left"/>
        </w:tabs>
        <w:numPr>
          <w:ilvl w:val="1"/>
          <w:numId w:val="175"/>
        </w:numPr>
        <w:rPr>
          <w:rFonts w:ascii="Arial" w:cs="Arial" w:eastAsia="Arial" w:hAnsi="Arial"/>
          <w:sz w:val="16"/>
          <w:szCs w:val="16"/>
          <w:color w:val="auto"/>
        </w:rPr>
      </w:pPr>
      <w:r>
        <w:rPr>
          <w:rFonts w:ascii="Arial" w:cs="Arial" w:eastAsia="Arial" w:hAnsi="Arial"/>
          <w:sz w:val="16"/>
          <w:szCs w:val="16"/>
          <w:color w:val="auto"/>
        </w:rPr>
        <w:t>During the period commencing on the effective date of the Underwriting Agreement and ending 180 days after such date, the Sponsor and each Insider shall not, without the prior written consent of the Representative,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of the Commission promulgated thereunder, with respect to any Units, shares of Capital Stock, Warrants or any securities convertible into, or exercisable, or exchangeable for, shares of Common Stock owned by it, him or her,</w:t>
      </w:r>
    </w:p>
    <w:p>
      <w:pPr>
        <w:spacing w:after="0" w:line="4" w:lineRule="exact"/>
        <w:rPr>
          <w:rFonts w:ascii="Arial" w:cs="Arial" w:eastAsia="Arial" w:hAnsi="Arial"/>
          <w:sz w:val="16"/>
          <w:szCs w:val="16"/>
          <w:color w:val="auto"/>
        </w:rPr>
      </w:pPr>
    </w:p>
    <w:p>
      <w:pPr>
        <w:ind w:left="4" w:right="40" w:hanging="4"/>
        <w:spacing w:after="0" w:line="281" w:lineRule="auto"/>
        <w:tabs>
          <w:tab w:leader="none" w:pos="269"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any Units, shares of Capital Stock, Warrants or any securities convertible into, or exercisable, or exchangeable for, shares of Common Stock owned by it, him or her, whether any such transaction is to be settled by delivery of such securities, in cash or otherwise, or (iii) publicly announce any intention to effect any transaction specified in clause (i) or (ii). Each of the Insiders and the Sponsor acknowledges and agrees that, prior to the effective date of any release or waiver of the restrictions set forth in this paragraph 3 or paragraph 7 below, the Company shall announce the impending release or waiver by press release through a major news service at least two business days before the effective date of the release or waiver. Any such release or waiver granted shall only be effective two business days after the publication date of such press release. The provisions of this paragraph will not apply if (i) the release or waiver is effected solely to permit a transfer of securities without consideration and</w:t>
      </w:r>
    </w:p>
    <w:p>
      <w:pPr>
        <w:spacing w:after="0" w:line="4" w:lineRule="exact"/>
        <w:rPr>
          <w:rFonts w:ascii="Arial" w:cs="Arial" w:eastAsia="Arial" w:hAnsi="Arial"/>
          <w:sz w:val="16"/>
          <w:szCs w:val="16"/>
          <w:color w:val="auto"/>
        </w:rPr>
      </w:pPr>
    </w:p>
    <w:p>
      <w:pPr>
        <w:ind w:left="4" w:right="280" w:hanging="4"/>
        <w:spacing w:after="0" w:line="260" w:lineRule="auto"/>
        <w:tabs>
          <w:tab w:leader="none" w:pos="26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transferee has agreed in writing to be bound by the same terms described in this Letter Agreement to the extent and for the duration that such terms remain in effect at the time of the transfer.</w:t>
      </w:r>
    </w:p>
    <w:p>
      <w:pPr>
        <w:spacing w:after="0" w:line="185" w:lineRule="exact"/>
        <w:rPr>
          <w:rFonts w:ascii="Arial" w:cs="Arial" w:eastAsia="Arial" w:hAnsi="Arial"/>
          <w:sz w:val="18"/>
          <w:szCs w:val="18"/>
          <w:color w:val="auto"/>
        </w:rPr>
      </w:pPr>
    </w:p>
    <w:p>
      <w:pPr>
        <w:ind w:left="4" w:right="40" w:firstLine="644"/>
        <w:spacing w:after="0" w:line="267" w:lineRule="auto"/>
        <w:tabs>
          <w:tab w:leader="none" w:pos="1596" w:val="left"/>
        </w:tabs>
        <w:numPr>
          <w:ilvl w:val="1"/>
          <w:numId w:val="177"/>
        </w:numPr>
        <w:rPr>
          <w:rFonts w:ascii="Arial" w:cs="Arial" w:eastAsia="Arial" w:hAnsi="Arial"/>
          <w:sz w:val="17"/>
          <w:szCs w:val="17"/>
          <w:color w:val="auto"/>
        </w:rPr>
      </w:pPr>
      <w:r>
        <w:rPr>
          <w:rFonts w:ascii="Arial" w:cs="Arial" w:eastAsia="Arial" w:hAnsi="Arial"/>
          <w:sz w:val="17"/>
          <w:szCs w:val="17"/>
          <w:color w:val="auto"/>
        </w:rPr>
        <w:t>In the event of the liquidation of the Trust Account, the Sponsor (which for purposes of clarification shall not extend to any other shareholders, members or managers of the Sponsor or any other Insider)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or any claim whatsoever) to which the Company may become subject as a result of any claim by (i) any third party for services rendered or products sold to the Company or (ii) any prospective target business with which the Company has entered into a letter of intent, confidentiality or other similar agreement for a Business Combination (a “</w:t>
      </w:r>
      <w:r>
        <w:rPr>
          <w:rFonts w:ascii="Arial" w:cs="Arial" w:eastAsia="Arial" w:hAnsi="Arial"/>
          <w:sz w:val="17"/>
          <w:szCs w:val="17"/>
          <w:u w:val="single" w:color="auto"/>
          <w:color w:val="auto"/>
        </w:rPr>
        <w:t>Target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indemnification of the Company by the Sponsor (x) shall apply only to the extent necessary to ensure that such claims by a third party or a Target do not reduce the amount of funds in the Trust Account to below the lesser of (i) $10.00 per Offering Share or (ii) the actual amount per Offering Share held in the Trust Account as of the date of the liquidation of the Trust Account, if less than $10.00 per Offering Share is then held in the Trust Account due to reductions in the value of the trust assets less Permitted Withdrawals, (y) shall not apply to any claims by a third party (including a Target) that executed a waiver of any and all rights to the monies held in the Trust Account (whether or not such waiver is enforceable) and (z) shall not apply to any claims under the Company’s indemnity of the Representative against certain liabilities, including liabilities under the Securities Act of 1933, as amended. The Sponsor shall have the right to defend against any such claim with counsel of its choice reasonably satisfactory to the Company if, within 15 days following written receipt of notice of the claim to the Sponsor, the Sponsor notifies the Company in writing that it shall undertake such defense. For the avoidance of doubt, none of the Company’s officers or directors will indemnify the Company for claims by third parties, including, without limitation, claims by vendors and prospective target businesses.</w:t>
      </w:r>
    </w:p>
    <w:p>
      <w:pPr>
        <w:spacing w:after="0" w:line="200" w:lineRule="exact"/>
        <w:rPr>
          <w:sz w:val="20"/>
          <w:szCs w:val="20"/>
          <w:color w:val="auto"/>
        </w:rPr>
      </w:pPr>
    </w:p>
    <w:p>
      <w:pPr>
        <w:spacing w:after="0" w:line="20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77" w:name="page278"/>
    <w:bookmarkEnd w:id="277"/>
    <w:p>
      <w:pPr>
        <w:ind w:left="4" w:right="40" w:firstLine="644"/>
        <w:spacing w:after="0" w:line="286" w:lineRule="auto"/>
        <w:tabs>
          <w:tab w:leader="none" w:pos="1596"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To the extent that the Representative does not exercise its over-allotment option to purchase up to an additional [•] Units within 45 days from the date of the Prospectus (and as further described in the Prospectus), the Sponsor agrees to forfeit, at no cost, a number of Founder Shares in the aggregate equal to the product of [•] multiplied by a fraction, (i) the numerator of which is [•] minus the number of Units purchased by the Representative upon the exercise of its over-allotment option, and (ii) the denominator of which is [•]. The forfeiture will be adjusted to the extent that the over-allotment option is not exercised in full by the Representative so that the Initial Stockholders will own an aggregate of 20.0% of the Company’s issued and outstanding shares of Capital Stock after the Public Offering. To the extent that the size of the Public Offering is increased or decreased, the Company will effect a capitalization or share repurchase, redemption or stock split or other appropriate mechanism, as applicable, immediately prior to the consummation of the Public Offering in such amount as to maintain the ownership of the Capital Stock of the Initial Stockholders prior to the Public Offering at 20.0% of the Company’s issued and outstanding Capital Stock upon the consummation of the Public Offering. In connection with such increase or decrease in the size of the Public Offering, (A) references to [•] in the numerator and denominator of the formula in the first sentence of this paragraph shall be changed to a number equal to 15% of the number of shares included in the Units issued in the Public Offering and (B) the reference to [•] in the formula set forth in the immediately preceding sentence shall be adjusted to such number of Founder Shares that the Sponsor would have to return to the Company in order to hold (with all of the Initial Stockholders) an aggregate of 20.0% of the Company’s issued and outstanding Capital Stock after the Public Offering.</w:t>
      </w:r>
    </w:p>
    <w:p>
      <w:pPr>
        <w:spacing w:after="0" w:line="170" w:lineRule="exact"/>
        <w:rPr>
          <w:rFonts w:ascii="Arial" w:cs="Arial" w:eastAsia="Arial" w:hAnsi="Arial"/>
          <w:sz w:val="16"/>
          <w:szCs w:val="16"/>
          <w:color w:val="auto"/>
        </w:rPr>
      </w:pPr>
    </w:p>
    <w:p>
      <w:pPr>
        <w:ind w:left="4" w:firstLine="644"/>
        <w:spacing w:after="0" w:line="257" w:lineRule="auto"/>
        <w:tabs>
          <w:tab w:leader="none" w:pos="159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The Sponsor and each Insider hereby agrees and acknowledges that: (i) the Representative and the Company would be irreparably injured in the event of a breach by such Sponsor or an Insider of its, his or her obligations under paragraphs 1, 2, 3, 4, 5, 7(a), 7(b), and 9,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187" w:lineRule="exact"/>
        <w:rPr>
          <w:rFonts w:ascii="Arial" w:cs="Arial" w:eastAsia="Arial" w:hAnsi="Arial"/>
          <w:sz w:val="18"/>
          <w:szCs w:val="18"/>
          <w:color w:val="auto"/>
        </w:rPr>
      </w:pPr>
    </w:p>
    <w:p>
      <w:pPr>
        <w:ind w:left="4" w:right="240" w:firstLine="644"/>
        <w:spacing w:after="0" w:line="291" w:lineRule="auto"/>
        <w:tabs>
          <w:tab w:leader="none" w:pos="1596"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 The Sponsor and each Insider agree that it or he shall not Transfer any Founder Shares (or shares of Common Stock issuable upon conversion thereof) until the earlier of (A) one year after the completion of the Company’s initial Business Combination or</w:t>
      </w:r>
    </w:p>
    <w:p>
      <w:pPr>
        <w:ind w:left="4" w:right="40" w:hanging="4"/>
        <w:spacing w:after="0" w:line="271" w:lineRule="auto"/>
        <w:tabs>
          <w:tab w:leader="none" w:pos="28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subsequent to the Business Combination, (x) if the closing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 (the “</w:t>
      </w:r>
      <w:r>
        <w:rPr>
          <w:rFonts w:ascii="Arial" w:cs="Arial" w:eastAsia="Arial" w:hAnsi="Arial"/>
          <w:sz w:val="17"/>
          <w:szCs w:val="17"/>
          <w:u w:val="single" w:color="auto"/>
          <w:color w:val="auto"/>
        </w:rPr>
        <w:t>Founder Shares Lock-up Period</w:t>
      </w:r>
      <w:r>
        <w:rPr>
          <w:rFonts w:ascii="Arial" w:cs="Arial" w:eastAsia="Arial" w:hAnsi="Arial"/>
          <w:sz w:val="17"/>
          <w:szCs w:val="17"/>
          <w:color w:val="auto"/>
        </w:rPr>
        <w:t>”).</w:t>
      </w:r>
    </w:p>
    <w:p>
      <w:pPr>
        <w:spacing w:after="0" w:line="39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278" w:name="page279"/>
    <w:bookmarkEnd w:id="278"/>
    <w:p>
      <w:pPr>
        <w:ind w:left="-460" w:right="40" w:firstLine="1292"/>
        <w:spacing w:after="0" w:line="311" w:lineRule="auto"/>
        <w:tabs>
          <w:tab w:leader="none" w:pos="172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Sponsor and each Insider agree that it, he or she shall not Transfer any Private Placement Warrants (or shares of Common Stock issued or issuable upon the exercise of the Private Placement Warrants) until 30 days after the completion of a Business Combination (the “</w:t>
      </w:r>
      <w:r>
        <w:rPr>
          <w:rFonts w:ascii="Arial" w:cs="Arial" w:eastAsia="Arial" w:hAnsi="Arial"/>
          <w:sz w:val="16"/>
          <w:szCs w:val="16"/>
          <w:u w:val="single" w:color="auto"/>
          <w:color w:val="auto"/>
        </w:rPr>
        <w:t>Private Placement Warrants Lock-up Period</w:t>
      </w:r>
      <w:r>
        <w:rPr>
          <w:rFonts w:ascii="Arial" w:cs="Arial" w:eastAsia="Arial" w:hAnsi="Arial"/>
          <w:sz w:val="16"/>
          <w:szCs w:val="16"/>
          <w:color w:val="auto"/>
        </w:rPr>
        <w:t>”, together with the Founder Shares Lock-up Period, the “</w:t>
      </w:r>
      <w:r>
        <w:rPr>
          <w:rFonts w:ascii="Arial" w:cs="Arial" w:eastAsia="Arial" w:hAnsi="Arial"/>
          <w:sz w:val="16"/>
          <w:szCs w:val="16"/>
          <w:u w:val="single" w:color="auto"/>
          <w:color w:val="auto"/>
        </w:rPr>
        <w:t>Lock-up Periods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460" w:firstLine="1292"/>
        <w:spacing w:after="0" w:line="285" w:lineRule="auto"/>
        <w:tabs>
          <w:tab w:leader="none" w:pos="171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paragraphs 3 and 7(a) and (b), Transfers of the Founder Shares, Private Placement Warrants and shares of Common Stock issued or issuable upon the exercise or conversion of the Private Placement Warrants or the Founder Shares and that are held by the Sponsor, any Insider or any of their permitted transferees (that have complied with this paragraph 7(c)), are permitted (a) to the Company’s officers or directors, any affiliates or family members of any of the Company’s officers or directors, any members of the Sponsor, or any affiliates of the Sponsor; (b) in the case of an individual, transfers by gift to a member of the individual’s immediate family, to a trust, the beneficiary of which is a member of the individual’s immediate family or an affiliate of such person, or to a charitable organization; (c) in the case of an individual, transfers by virtue of laws of descent and distribution upon death of the individual; (d) in the case of an individual, transfers pursuant to a qualified domestic relations order; (e) transfers by private sales or transfers made in connection with the consummation of a Business Combination at prices no greater than the price at which the securities were originally purchased; (f) transfers in the event of the Company’s liquidation prior to the completion of an initial Business Combination; (g) transfers by virtue of the laws of the State of Delaware or the Sponsor’s limited liability company agreement upon dissolution of the Sponsor; (h) in the event of the Company’s completion of a liquidation, merger, stock exchange, reorganization or other similar transaction which results in all of the Company’s public stockholders having the right to exchange their shares of Class A common stock for cash, securities or other property subsequent to the completion of the initial business combination; (i) to a nominee or custodian of a person or entity to whom a disposition or transfer would be permissible under clauses (a) through (h)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(a) through (e) and (i),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w:t>
      </w:r>
    </w:p>
    <w:p>
      <w:pPr>
        <w:spacing w:after="0" w:line="173" w:lineRule="exact"/>
        <w:rPr>
          <w:rFonts w:ascii="Arial" w:cs="Arial" w:eastAsia="Arial" w:hAnsi="Arial"/>
          <w:sz w:val="16"/>
          <w:szCs w:val="16"/>
          <w:color w:val="auto"/>
        </w:rPr>
      </w:pPr>
    </w:p>
    <w:p>
      <w:pPr>
        <w:ind w:left="-460" w:firstLine="644"/>
        <w:spacing w:after="0" w:line="270" w:lineRule="auto"/>
        <w:tabs>
          <w:tab w:leader="none" w:pos="1132"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Sponsor and each Insider represent and warrant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respects and does not omit any material information with respect to the Insider’s background. The Sponsor and each Insider’s questionnaire furnished to the Company is true and accurate in all respects. The Sponsor and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 (iii) pertaining to any dealings in any securities and it, he or she is not currently a defendant in any such criminal proceeding.</w:t>
      </w:r>
    </w:p>
    <w:p>
      <w:pPr>
        <w:spacing w:after="0" w:line="3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9" w:name="page280"/>
    <w:bookmarkEnd w:id="279"/>
    <w:p>
      <w:pPr>
        <w:ind w:left="-460" w:firstLine="644"/>
        <w:spacing w:after="0" w:line="268" w:lineRule="auto"/>
        <w:tabs>
          <w:tab w:leader="none" w:pos="1132" w:val="left"/>
        </w:tabs>
        <w:numPr>
          <w:ilvl w:val="1"/>
          <w:numId w:val="182"/>
        </w:numPr>
        <w:rPr>
          <w:rFonts w:ascii="Arial" w:cs="Arial" w:eastAsia="Arial" w:hAnsi="Arial"/>
          <w:sz w:val="17"/>
          <w:szCs w:val="17"/>
          <w:color w:val="auto"/>
        </w:rPr>
      </w:pPr>
      <w:r>
        <w:rPr>
          <w:rFonts w:ascii="Arial" w:cs="Arial" w:eastAsia="Arial" w:hAnsi="Arial"/>
          <w:sz w:val="17"/>
          <w:szCs w:val="17"/>
          <w:color w:val="auto"/>
        </w:rPr>
        <w:t>Except as disclosed in the Prospectus, neither the Sponsor nor any Insider nor any affiliate of the Sponsor or any Insider, nor any director or officer of the Company, shall receive from the Company any finder’s fee, reimbursement, consulting fee, monies in respect of any repayment of a loan or other compensation prior to, or in connection with any services rendered in order to effectuate the consummation of the Company’s initial Business Combination (regardless of the type of transaction that it is), other than the following, none of which will be made from the proceeds held in the Trust Account prior to the completion of the initial Business Combination: repayment of a loan and advances of up to $[•] made to the Company by the Sponsors to cover expenses related to the organization of the Company and the Public Offering; payment to M. Klein and Company or another affiliate of the Sponsor for customary financial advisory fee; payment to M. Klein Associates, Inc. for office space and related support services for a total of $[•] per month; reimbursement for any reasonable out-of-pocket expenses related to identifying, investigating and consummating an initial Business Combination, and repayment of loans, if any, and on such terms as to be determined by the Company from time to time, made by the Sponsor or certain of the Company’s officers and directors to finance transaction costs in connection with an intended initial Business Combination, provided, that, if the Company does not consummate an initial Business Combination, a portion of the working capital held outside the Trust Account may be used by the Company to repay such loaned amounts so long as no proceeds from the Trust Account are used for such repayment. Up to $[•] of such loans may be convertible into warrants of the post Business Combination entity at a price of $1.00 per warrant at the option of the lender. Such warrants would be identical to the Private Placement Warrants, including as to exercise price, exercisability and exercise period.</w:t>
      </w:r>
    </w:p>
    <w:p>
      <w:pPr>
        <w:spacing w:after="0" w:line="181" w:lineRule="exact"/>
        <w:rPr>
          <w:rFonts w:ascii="Arial" w:cs="Arial" w:eastAsia="Arial" w:hAnsi="Arial"/>
          <w:sz w:val="17"/>
          <w:szCs w:val="17"/>
          <w:color w:val="auto"/>
        </w:rPr>
      </w:pPr>
    </w:p>
    <w:p>
      <w:pPr>
        <w:ind w:left="-460" w:right="20" w:firstLine="644"/>
        <w:spacing w:after="0" w:line="259" w:lineRule="auto"/>
        <w:tabs>
          <w:tab w:leader="none" w:pos="104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and/or a director on the board of directors of the Company and hereby consents to being named in the Prospectus as an officer and/or a director of the Company.</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280" w:name="page281"/>
    <w:bookmarkEnd w:id="280"/>
    <w:p>
      <w:pPr>
        <w:ind w:left="4" w:firstLine="644"/>
        <w:spacing w:after="0" w:line="283" w:lineRule="auto"/>
        <w:tabs>
          <w:tab w:leader="none" w:pos="150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As used herein, (i)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shall mean a merger, capital stock exchange, asset acquisition, stock purchase, reorganization or similar business combination, involving the Company and one or more businesses; (ii) “</w:t>
      </w:r>
      <w:r>
        <w:rPr>
          <w:rFonts w:ascii="Arial" w:cs="Arial" w:eastAsia="Arial" w:hAnsi="Arial"/>
          <w:sz w:val="16"/>
          <w:szCs w:val="16"/>
          <w:u w:val="single" w:color="auto"/>
          <w:color w:val="auto"/>
        </w:rPr>
        <w:t>Capital Stock</w:t>
      </w:r>
      <w:r>
        <w:rPr>
          <w:rFonts w:ascii="Arial" w:cs="Arial" w:eastAsia="Arial" w:hAnsi="Arial"/>
          <w:sz w:val="16"/>
          <w:szCs w:val="16"/>
          <w:color w:val="auto"/>
        </w:rPr>
        <w:t>” shall mean, collectively, the Common Stock and the Founder Shares; (iii) “</w:t>
      </w:r>
      <w:r>
        <w:rPr>
          <w:rFonts w:ascii="Arial" w:cs="Arial" w:eastAsia="Arial" w:hAnsi="Arial"/>
          <w:sz w:val="16"/>
          <w:szCs w:val="16"/>
          <w:u w:val="single" w:color="auto"/>
          <w:color w:val="auto"/>
        </w:rPr>
        <w:t>Founder Shares</w:t>
      </w:r>
      <w:r>
        <w:rPr>
          <w:rFonts w:ascii="Arial" w:cs="Arial" w:eastAsia="Arial" w:hAnsi="Arial"/>
          <w:sz w:val="16"/>
          <w:szCs w:val="16"/>
          <w:color w:val="auto"/>
        </w:rPr>
        <w:t>” shall mean the [•] shares of the Company’s Class B common stock, par value $0.0001 per share, (or [•] shares if the over-allotment option is not exercised by the Representative) initially held by the Sponsor; (iv)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Stockholders</w:t>
      </w:r>
      <w:r>
        <w:rPr>
          <w:rFonts w:ascii="Arial" w:cs="Arial" w:eastAsia="Arial" w:hAnsi="Arial"/>
          <w:sz w:val="16"/>
          <w:szCs w:val="16"/>
          <w:color w:val="auto"/>
        </w:rPr>
        <w:t>” shall mean the Sponsor and any other holder of Founder Shares immediately prior to the Public Offering; (v) “</w:t>
      </w:r>
      <w:r>
        <w:rPr>
          <w:rFonts w:ascii="Arial" w:cs="Arial" w:eastAsia="Arial" w:hAnsi="Arial"/>
          <w:sz w:val="16"/>
          <w:szCs w:val="16"/>
          <w:u w:val="single" w:color="auto"/>
          <w:color w:val="auto"/>
        </w:rPr>
        <w:t>Private Placement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Warrants</w:t>
      </w:r>
      <w:r>
        <w:rPr>
          <w:rFonts w:ascii="Arial" w:cs="Arial" w:eastAsia="Arial" w:hAnsi="Arial"/>
          <w:sz w:val="16"/>
          <w:szCs w:val="16"/>
          <w:color w:val="auto"/>
        </w:rPr>
        <w:t>” shall mean the warrants to purchase up to [•] shares of Common Stock of the Company (or [•] shares of Common Stock if the over-allotment option is exercised in full) that the Sponsor has agreed to purchase for an aggregate purchase price of $[•] in the aggregate (or $[•] if the over-allotment option is exercised in full), or $1.00 per warrant, in a private placement that shall occur simultaneously with the consummation of the Public Offering; (vi) “</w:t>
      </w:r>
      <w:r>
        <w:rPr>
          <w:rFonts w:ascii="Arial" w:cs="Arial" w:eastAsia="Arial" w:hAnsi="Arial"/>
          <w:sz w:val="16"/>
          <w:szCs w:val="16"/>
          <w:u w:val="single" w:color="auto"/>
          <w:color w:val="auto"/>
        </w:rPr>
        <w:t>Public Stockholders</w:t>
      </w:r>
      <w:r>
        <w:rPr>
          <w:rFonts w:ascii="Arial" w:cs="Arial" w:eastAsia="Arial" w:hAnsi="Arial"/>
          <w:sz w:val="16"/>
          <w:szCs w:val="16"/>
          <w:color w:val="auto"/>
        </w:rPr>
        <w:t>” shall mean the holders of securities issued in the Public Offering; (vii) “</w:t>
      </w:r>
      <w:r>
        <w:rPr>
          <w:rFonts w:ascii="Arial" w:cs="Arial" w:eastAsia="Arial" w:hAnsi="Arial"/>
          <w:sz w:val="16"/>
          <w:szCs w:val="16"/>
          <w:u w:val="single" w:color="auto"/>
          <w:color w:val="auto"/>
        </w:rPr>
        <w:t>Trust Account</w:t>
      </w:r>
      <w:r>
        <w:rPr>
          <w:rFonts w:ascii="Arial" w:cs="Arial" w:eastAsia="Arial" w:hAnsi="Arial"/>
          <w:sz w:val="16"/>
          <w:szCs w:val="16"/>
          <w:color w:val="auto"/>
        </w:rPr>
        <w:t>” shall mean the trust fund into which a portion of the net proceeds of the Public Offering and the sale of the Private Placement Warrants shall be deposited; and</w:t>
      </w:r>
    </w:p>
    <w:p>
      <w:pPr>
        <w:spacing w:after="0" w:line="4" w:lineRule="exact"/>
        <w:rPr>
          <w:rFonts w:ascii="Arial" w:cs="Arial" w:eastAsia="Arial" w:hAnsi="Arial"/>
          <w:sz w:val="16"/>
          <w:szCs w:val="16"/>
          <w:color w:val="auto"/>
        </w:rPr>
      </w:pPr>
    </w:p>
    <w:p>
      <w:pPr>
        <w:ind w:left="4" w:right="20" w:hanging="4"/>
        <w:spacing w:after="0" w:line="290" w:lineRule="auto"/>
        <w:tabs>
          <w:tab w:leader="none" w:pos="40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shall mean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63" w:lineRule="exact"/>
        <w:rPr>
          <w:rFonts w:ascii="Arial" w:cs="Arial" w:eastAsia="Arial" w:hAnsi="Arial"/>
          <w:sz w:val="16"/>
          <w:szCs w:val="16"/>
          <w:color w:val="auto"/>
        </w:rPr>
      </w:pPr>
    </w:p>
    <w:p>
      <w:pPr>
        <w:ind w:left="4" w:firstLine="644"/>
        <w:spacing w:after="0" w:line="257" w:lineRule="auto"/>
        <w:tabs>
          <w:tab w:leader="none" w:pos="150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87" w:lineRule="exact"/>
        <w:rPr>
          <w:rFonts w:ascii="Arial" w:cs="Arial" w:eastAsia="Arial" w:hAnsi="Arial"/>
          <w:sz w:val="18"/>
          <w:szCs w:val="18"/>
          <w:color w:val="auto"/>
        </w:rPr>
      </w:pPr>
    </w:p>
    <w:p>
      <w:pPr>
        <w:jc w:val="both"/>
        <w:ind w:left="4" w:right="60" w:firstLine="644"/>
        <w:spacing w:after="0" w:line="279" w:lineRule="auto"/>
        <w:tabs>
          <w:tab w:leader="none" w:pos="1507" w:val="left"/>
        </w:tabs>
        <w:numPr>
          <w:ilvl w:val="1"/>
          <w:numId w:val="184"/>
        </w:numPr>
        <w:rPr>
          <w:rFonts w:ascii="Arial" w:cs="Arial" w:eastAsia="Arial" w:hAnsi="Arial"/>
          <w:sz w:val="17"/>
          <w:szCs w:val="17"/>
          <w:color w:val="auto"/>
        </w:rPr>
      </w:pPr>
      <w:r>
        <w:rPr>
          <w:rFonts w:ascii="Arial" w:cs="Arial" w:eastAsia="Arial" w:hAnsi="Arial"/>
          <w:sz w:val="17"/>
          <w:szCs w:val="17"/>
          <w:color w:val="auto"/>
        </w:rPr>
        <w:t>Except as otherwise provided herein, 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171" w:lineRule="exact"/>
        <w:rPr>
          <w:rFonts w:ascii="Arial" w:cs="Arial" w:eastAsia="Arial" w:hAnsi="Arial"/>
          <w:sz w:val="17"/>
          <w:szCs w:val="17"/>
          <w:color w:val="auto"/>
        </w:rPr>
      </w:pPr>
    </w:p>
    <w:p>
      <w:pPr>
        <w:ind w:left="4" w:right="300" w:firstLine="644"/>
        <w:spacing w:after="0" w:line="301" w:lineRule="auto"/>
        <w:tabs>
          <w:tab w:leader="none" w:pos="150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Nothing in this Letter Agreement shall be construed to confer upon, or give to, any person or entity other than the parties hereto any right, remedy or claim under or by reason of this Letter Agreement or of any covenant, condition, stipulation, promise or agreement hereof.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37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81" w:name="page282"/>
    <w:bookmarkEnd w:id="281"/>
    <w:p>
      <w:pPr>
        <w:ind w:left="-460" w:right="240" w:firstLine="644"/>
        <w:spacing w:after="0" w:line="342" w:lineRule="auto"/>
        <w:tabs>
          <w:tab w:leader="none" w:pos="1043"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23" w:lineRule="exact"/>
        <w:rPr>
          <w:rFonts w:ascii="Arial" w:cs="Arial" w:eastAsia="Arial" w:hAnsi="Arial"/>
          <w:sz w:val="16"/>
          <w:szCs w:val="16"/>
          <w:color w:val="auto"/>
        </w:rPr>
      </w:pPr>
    </w:p>
    <w:p>
      <w:pPr>
        <w:jc w:val="both"/>
        <w:ind w:left="-460" w:right="20" w:firstLine="644"/>
        <w:spacing w:after="0" w:line="279" w:lineRule="auto"/>
        <w:tabs>
          <w:tab w:leader="none" w:pos="1043"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71" w:lineRule="exact"/>
        <w:rPr>
          <w:rFonts w:ascii="Arial" w:cs="Arial" w:eastAsia="Arial" w:hAnsi="Arial"/>
          <w:sz w:val="17"/>
          <w:szCs w:val="17"/>
          <w:color w:val="auto"/>
        </w:rPr>
      </w:pPr>
    </w:p>
    <w:p>
      <w:pPr>
        <w:ind w:left="-460" w:right="240" w:firstLine="644"/>
        <w:spacing w:after="0" w:line="255" w:lineRule="auto"/>
        <w:tabs>
          <w:tab w:leader="none" w:pos="104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192" w:lineRule="exact"/>
        <w:rPr>
          <w:rFonts w:ascii="Arial" w:cs="Arial" w:eastAsia="Arial" w:hAnsi="Arial"/>
          <w:sz w:val="18"/>
          <w:szCs w:val="18"/>
          <w:color w:val="auto"/>
        </w:rPr>
      </w:pPr>
    </w:p>
    <w:p>
      <w:pPr>
        <w:ind w:left="-460" w:firstLine="644"/>
        <w:spacing w:after="0" w:line="263" w:lineRule="auto"/>
        <w:tabs>
          <w:tab w:leader="none" w:pos="104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83" w:lineRule="exact"/>
        <w:rPr>
          <w:rFonts w:ascii="Arial" w:cs="Arial" w:eastAsia="Arial" w:hAnsi="Arial"/>
          <w:sz w:val="18"/>
          <w:szCs w:val="18"/>
          <w:color w:val="auto"/>
        </w:rPr>
      </w:pPr>
    </w:p>
    <w:p>
      <w:pPr>
        <w:ind w:left="-460" w:right="140" w:firstLine="644"/>
        <w:spacing w:after="0" w:line="311" w:lineRule="auto"/>
        <w:tabs>
          <w:tab w:leader="none" w:pos="1043"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This Letter Agreement shall terminate on the earlier of (i) the expiration of the Lock-up Periods or (ii) the liquidation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Letter Agreement shall earlier terminate in the event that the Public Offering is not consummated and closed by [•], 2021;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paragraph 4 of this Letter Agreement shall survive such liquidation for a period of six years.</w:t>
      </w:r>
    </w:p>
    <w:p>
      <w:pPr>
        <w:spacing w:after="0" w:line="14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282" w:name="page283"/>
    <w:bookmarkEnd w:id="282"/>
    <w:p>
      <w:pPr>
        <w:ind w:left="450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[SPONSOR COMPANY]</w:t>
      </w:r>
    </w:p>
    <w:p>
      <w:pPr>
        <w:spacing w:after="0" w:line="24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Letter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83" w:name="page284"/>
    <w:bookmarkEnd w:id="283"/>
    <w:p>
      <w:pPr>
        <w:jc w:val="center"/>
        <w:ind w:right="-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Letter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34327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3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Letter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285" w:name="page286"/>
    <w:bookmarkEnd w:id="285"/>
    <w:p>
      <w:pPr>
        <w:jc w:val="right"/>
        <w:spacing w:after="0"/>
        <w:rPr>
          <w:sz w:val="20"/>
          <w:szCs w:val="20"/>
          <w:color w:val="auto"/>
        </w:rPr>
      </w:pPr>
      <w:r>
        <w:rPr>
          <w:rFonts w:ascii="Arial" w:cs="Arial" w:eastAsia="Arial" w:hAnsi="Arial"/>
          <w:sz w:val="22"/>
          <w:szCs w:val="22"/>
          <w:b w:val="1"/>
          <w:bCs w:val="1"/>
          <w:color w:val="auto"/>
        </w:rPr>
        <w:t>Exhibit 10.3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ind w:right="420" w:firstLine="1296"/>
        <w:spacing w:after="0" w:line="342" w:lineRule="auto"/>
        <w:rPr>
          <w:sz w:val="20"/>
          <w:szCs w:val="20"/>
          <w:color w:val="auto"/>
        </w:rPr>
      </w:pPr>
      <w:r>
        <w:rPr>
          <w:rFonts w:ascii="Arial" w:cs="Arial" w:eastAsia="Arial" w:hAnsi="Arial"/>
          <w:sz w:val="16"/>
          <w:szCs w:val="16"/>
          <w:color w:val="auto"/>
        </w:rPr>
        <w:t>This Investment Management Trust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effective as of [DATE] by and between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Continental Stock Transfer &amp; Trust Company, a New York corporation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Company’s registration statement on Form S-1, File No. 333-[•]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and prospectus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for the initial public offering of the Company’s units (the “</w:t>
      </w:r>
      <w:r>
        <w:rPr>
          <w:rFonts w:ascii="Arial" w:cs="Arial" w:eastAsia="Arial" w:hAnsi="Arial"/>
          <w:sz w:val="16"/>
          <w:szCs w:val="16"/>
          <w:u w:val="single" w:color="auto"/>
          <w:color w:val="auto"/>
        </w:rPr>
        <w:t>Units</w:t>
      </w:r>
      <w:r>
        <w:rPr>
          <w:rFonts w:ascii="Arial" w:cs="Arial" w:eastAsia="Arial" w:hAnsi="Arial"/>
          <w:sz w:val="16"/>
          <w:szCs w:val="16"/>
          <w:color w:val="auto"/>
        </w:rPr>
        <w:t>”), each of which consists of one share of the Company’s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one-fourth of one redeemable warrant, each whole warrant entitling the holder thereof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purchase one share of Common Stock (such initial public offering hereinafter referred to as the “</w:t>
      </w:r>
      <w:r>
        <w:rPr>
          <w:rFonts w:ascii="Arial" w:cs="Arial" w:eastAsia="Arial" w:hAnsi="Arial"/>
          <w:sz w:val="17"/>
          <w:szCs w:val="17"/>
          <w:u w:val="single" w:color="auto"/>
          <w:color w:val="auto"/>
        </w:rPr>
        <w:t>Offering</w:t>
      </w:r>
      <w:r>
        <w:rPr>
          <w:rFonts w:ascii="Arial" w:cs="Arial" w:eastAsia="Arial" w:hAnsi="Arial"/>
          <w:sz w:val="17"/>
          <w:szCs w:val="17"/>
          <w:color w:val="auto"/>
        </w:rPr>
        <w:t>”), has been declared effective as of the date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hereof by the U.S. Securities and Exchange Commission; and</w:t>
      </w:r>
    </w:p>
    <w:p>
      <w:pPr>
        <w:spacing w:after="0" w:line="211" w:lineRule="exact"/>
        <w:rPr>
          <w:sz w:val="20"/>
          <w:szCs w:val="20"/>
          <w:color w:val="auto"/>
        </w:rPr>
      </w:pPr>
    </w:p>
    <w:p>
      <w:pPr>
        <w:ind w:right="980" w:firstLine="1296"/>
        <w:spacing w:after="0" w:line="277" w:lineRule="auto"/>
        <w:rPr>
          <w:sz w:val="20"/>
          <w:szCs w:val="20"/>
          <w:color w:val="auto"/>
        </w:rPr>
      </w:pPr>
      <w:r>
        <w:rPr>
          <w:rFonts w:ascii="Arial" w:cs="Arial" w:eastAsia="Arial" w:hAnsi="Arial"/>
          <w:sz w:val="18"/>
          <w:szCs w:val="18"/>
          <w:color w:val="auto"/>
        </w:rPr>
        <w:t>WHEREAS, the Company has entered into an Underwriting Agreement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with [BANK] (the “</w:t>
      </w:r>
      <w:r>
        <w:rPr>
          <w:rFonts w:ascii="Arial" w:cs="Arial" w:eastAsia="Arial" w:hAnsi="Arial"/>
          <w:sz w:val="18"/>
          <w:szCs w:val="18"/>
          <w:u w:val="single" w:color="auto"/>
          <w:color w:val="auto"/>
        </w:rPr>
        <w:t>Representative</w:t>
      </w:r>
      <w:r>
        <w:rPr>
          <w:rFonts w:ascii="Arial" w:cs="Arial" w:eastAsia="Arial" w:hAnsi="Arial"/>
          <w:sz w:val="18"/>
          <w:szCs w:val="18"/>
          <w:color w:val="auto"/>
        </w:rPr>
        <w:t>”); and</w:t>
      </w:r>
    </w:p>
    <w:p>
      <w:pPr>
        <w:spacing w:after="0" w:line="170" w:lineRule="exact"/>
        <w:rPr>
          <w:sz w:val="20"/>
          <w:szCs w:val="20"/>
          <w:color w:val="auto"/>
        </w:rPr>
      </w:pPr>
    </w:p>
    <w:p>
      <w:pPr>
        <w:ind w:right="180" w:firstLine="1296"/>
        <w:spacing w:after="0" w:line="293" w:lineRule="auto"/>
        <w:rPr>
          <w:sz w:val="20"/>
          <w:szCs w:val="20"/>
          <w:color w:val="auto"/>
        </w:rPr>
      </w:pPr>
      <w:r>
        <w:rPr>
          <w:rFonts w:ascii="Arial" w:cs="Arial" w:eastAsia="Arial" w:hAnsi="Arial"/>
          <w:sz w:val="16"/>
          <w:szCs w:val="16"/>
          <w:color w:val="auto"/>
        </w:rPr>
        <w:t>WHEREAS, as described in the Prospectus, $[•] of the gross proceeds of the Offering and sale of the Private Placement Warrants (as defined in the Underwriting Agreement) (or $[•] if the Representative’s over-allotment option is exercised in full) will be delivered to the Trustee to be deposited and held in a segregated trust account located at all times in the United States (the “</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for the benefit of the Company and the holders of the Common Stock included in the Units issued in the Offering as hereinafter provided (the amount to be delivered to the </w:t>
      </w:r>
      <w:r>
        <w:rPr>
          <w:rFonts w:ascii="Arial" w:cs="Arial" w:eastAsia="Arial" w:hAnsi="Arial"/>
          <w:sz w:val="16"/>
          <w:szCs w:val="16"/>
          <w:u w:val="single" w:color="auto"/>
          <w:color w:val="auto"/>
        </w:rPr>
        <w:t>Trustee</w:t>
      </w:r>
      <w:r>
        <w:rPr>
          <w:rFonts w:ascii="Arial" w:cs="Arial" w:eastAsia="Arial" w:hAnsi="Arial"/>
          <w:sz w:val="16"/>
          <w:szCs w:val="16"/>
          <w:color w:val="auto"/>
        </w:rPr>
        <w:t xml:space="preserve"> (and any interest subsequently earned thereon) is referred to herein as the “</w:t>
      </w:r>
      <w:r>
        <w:rPr>
          <w:rFonts w:ascii="Arial" w:cs="Arial" w:eastAsia="Arial" w:hAnsi="Arial"/>
          <w:sz w:val="16"/>
          <w:szCs w:val="16"/>
          <w:u w:val="single" w:color="auto"/>
          <w:color w:val="auto"/>
        </w:rPr>
        <w:t>Property</w:t>
      </w:r>
      <w:r>
        <w:rPr>
          <w:rFonts w:ascii="Arial" w:cs="Arial" w:eastAsia="Arial" w:hAnsi="Arial"/>
          <w:sz w:val="16"/>
          <w:szCs w:val="16"/>
          <w:i w:val="1"/>
          <w:iCs w:val="1"/>
          <w:color w:val="auto"/>
        </w:rPr>
        <w:t>,</w:t>
      </w:r>
      <w:r>
        <w:rPr>
          <w:rFonts w:ascii="Arial" w:cs="Arial" w:eastAsia="Arial" w:hAnsi="Arial"/>
          <w:sz w:val="16"/>
          <w:szCs w:val="16"/>
          <w:color w:val="auto"/>
        </w:rPr>
        <w:t>” the stockholders for whose benefit the Trustee shall hold the Property will be referred to as the “</w:t>
      </w:r>
      <w:r>
        <w:rPr>
          <w:rFonts w:ascii="Arial" w:cs="Arial" w:eastAsia="Arial" w:hAnsi="Arial"/>
          <w:sz w:val="16"/>
          <w:szCs w:val="16"/>
          <w:u w:val="single" w:color="auto"/>
          <w:color w:val="auto"/>
        </w:rPr>
        <w:t>Public Stockholders</w:t>
      </w:r>
      <w:r>
        <w:rPr>
          <w:rFonts w:ascii="Arial" w:cs="Arial" w:eastAsia="Arial" w:hAnsi="Arial"/>
          <w:sz w:val="16"/>
          <w:szCs w:val="16"/>
          <w:color w:val="auto"/>
        </w:rPr>
        <w:t>,” and the Public Stockholders and the Company will be referred to together as the “</w:t>
      </w:r>
      <w:r>
        <w:rPr>
          <w:rFonts w:ascii="Arial" w:cs="Arial" w:eastAsia="Arial" w:hAnsi="Arial"/>
          <w:sz w:val="16"/>
          <w:szCs w:val="16"/>
          <w:u w:val="single" w:color="auto"/>
          <w:color w:val="auto"/>
        </w:rPr>
        <w:t>Beneficiaries</w:t>
      </w:r>
      <w:r>
        <w:rPr>
          <w:rFonts w:ascii="Arial" w:cs="Arial" w:eastAsia="Arial" w:hAnsi="Arial"/>
          <w:sz w:val="16"/>
          <w:szCs w:val="16"/>
          <w:color w:val="auto"/>
        </w:rPr>
        <w:t>”); and</w:t>
      </w:r>
    </w:p>
    <w:p>
      <w:pPr>
        <w:spacing w:after="0" w:line="164" w:lineRule="exact"/>
        <w:rPr>
          <w:sz w:val="20"/>
          <w:szCs w:val="20"/>
          <w:color w:val="auto"/>
        </w:rPr>
      </w:pPr>
    </w:p>
    <w:p>
      <w:pPr>
        <w:jc w:val="both"/>
        <w:ind w:right="620" w:firstLine="1296"/>
        <w:spacing w:after="0" w:line="311" w:lineRule="auto"/>
        <w:rPr>
          <w:sz w:val="20"/>
          <w:szCs w:val="20"/>
          <w:color w:val="auto"/>
        </w:rPr>
      </w:pPr>
      <w:r>
        <w:rPr>
          <w:rFonts w:ascii="Arial" w:cs="Arial" w:eastAsia="Arial" w:hAnsi="Arial"/>
          <w:sz w:val="16"/>
          <w:szCs w:val="16"/>
          <w:color w:val="auto"/>
        </w:rPr>
        <w:t>WHEREAS, pursuant to the Underwriting Agreement, a portion of the Property equal to $[•], or $[•] if the Representative’s over-allotment option is exercised in full, is attributable to deferred underwriting discounts and commissions that will be payable by the Company to the Representative upon and concurrently with the consummation of the Business Combination (as defined below) (the “</w:t>
      </w:r>
      <w:r>
        <w:rPr>
          <w:rFonts w:ascii="Arial" w:cs="Arial" w:eastAsia="Arial" w:hAnsi="Arial"/>
          <w:sz w:val="16"/>
          <w:szCs w:val="16"/>
          <w:u w:val="single" w:color="auto"/>
          <w:color w:val="auto"/>
        </w:rPr>
        <w:t>Deferred Discount</w:t>
      </w:r>
      <w:r>
        <w:rPr>
          <w:rFonts w:ascii="Arial" w:cs="Arial" w:eastAsia="Arial" w:hAnsi="Arial"/>
          <w:sz w:val="16"/>
          <w:szCs w:val="16"/>
          <w:color w:val="auto"/>
        </w:rPr>
        <w:t>”); and</w:t>
      </w:r>
    </w:p>
    <w:p>
      <w:pPr>
        <w:spacing w:after="0" w:line="149"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left="1980" w:hanging="676"/>
        <w:spacing w:after="0"/>
        <w:tabs>
          <w:tab w:leader="none" w:pos="198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ind w:right="140" w:firstLine="1952"/>
        <w:spacing w:after="0" w:line="286" w:lineRule="auto"/>
        <w:tabs>
          <w:tab w:leader="none" w:pos="2683" w:val="left"/>
        </w:tabs>
        <w:numPr>
          <w:ilvl w:val="1"/>
          <w:numId w:val="186"/>
        </w:numPr>
        <w:rPr>
          <w:rFonts w:ascii="Arial" w:cs="Arial" w:eastAsia="Arial" w:hAnsi="Arial"/>
          <w:sz w:val="17"/>
          <w:szCs w:val="17"/>
          <w:color w:val="auto"/>
        </w:rPr>
      </w:pPr>
      <w:r>
        <w:rPr>
          <w:rFonts w:ascii="Arial" w:cs="Arial" w:eastAsia="Arial" w:hAnsi="Arial"/>
          <w:sz w:val="17"/>
          <w:szCs w:val="17"/>
          <w:color w:val="auto"/>
        </w:rPr>
        <w:t>Hold the Property in trust for the Beneficiaries in accordance with the terms of this Agreement in the Trust Account established by the Trustee in the United States at JPMorgan Chase Bank N.A. (or at another U.S. – chartered commercial bank with consolidated assets of $100 billion or more) and at a brokerage institution selected by the Trustee that is reasonably satisfactory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6" w:name="page287"/>
    <w:bookmarkEnd w:id="286"/>
    <w:p>
      <w:pPr>
        <w:ind w:left="2660" w:hanging="748"/>
        <w:spacing w:after="0"/>
        <w:tabs>
          <w:tab w:leader="none" w:pos="2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ind w:left="-40" w:right="120" w:firstLine="1952"/>
        <w:spacing w:after="0" w:line="293" w:lineRule="auto"/>
        <w:tabs>
          <w:tab w:leader="none" w:pos="264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 a timely manner, upon the written instruction of the Company, invest and reinvest the Property in solely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the Trustee may not invest in any other securities or assets, it being understood that the Trust Account will earn no interest while account funds are uninvested awaiting the Company’s instructions hereunder and the Trustee may earn bank credit or other consideration;</w:t>
      </w:r>
    </w:p>
    <w:p>
      <w:pPr>
        <w:spacing w:after="0" w:line="164" w:lineRule="exact"/>
        <w:rPr>
          <w:rFonts w:ascii="Arial" w:cs="Arial" w:eastAsia="Arial" w:hAnsi="Arial"/>
          <w:sz w:val="16"/>
          <w:szCs w:val="16"/>
          <w:color w:val="auto"/>
        </w:rPr>
      </w:pPr>
    </w:p>
    <w:p>
      <w:pPr>
        <w:ind w:left="-40" w:right="160" w:firstLine="1952"/>
        <w:spacing w:after="0" w:line="277" w:lineRule="auto"/>
        <w:tabs>
          <w:tab w:leader="none" w:pos="265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Collect and receive, when due, all interest or other income arising from the Property, which shall become part of the “</w:t>
      </w:r>
      <w:r>
        <w:rPr>
          <w:rFonts w:ascii="Arial" w:cs="Arial" w:eastAsia="Arial" w:hAnsi="Arial"/>
          <w:sz w:val="18"/>
          <w:szCs w:val="18"/>
          <w:u w:val="single" w:color="auto"/>
          <w:color w:val="auto"/>
        </w:rPr>
        <w:t>Property</w:t>
      </w:r>
      <w:r>
        <w:rPr>
          <w:rFonts w:ascii="Arial" w:cs="Arial" w:eastAsia="Arial" w:hAnsi="Arial"/>
          <w:sz w:val="18"/>
          <w:szCs w:val="18"/>
          <w:color w:val="auto"/>
        </w:rPr>
        <w:t>,” as such term is used herein;</w:t>
      </w:r>
    </w:p>
    <w:p>
      <w:pPr>
        <w:spacing w:after="0" w:line="170" w:lineRule="exact"/>
        <w:rPr>
          <w:rFonts w:ascii="Arial" w:cs="Arial" w:eastAsia="Arial" w:hAnsi="Arial"/>
          <w:sz w:val="18"/>
          <w:szCs w:val="18"/>
          <w:color w:val="auto"/>
        </w:rPr>
      </w:pPr>
    </w:p>
    <w:p>
      <w:pPr>
        <w:ind w:left="-40" w:firstLine="1952"/>
        <w:spacing w:after="0" w:line="277" w:lineRule="auto"/>
        <w:tabs>
          <w:tab w:leader="none" w:pos="264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As soon as practicable notify the Company and the Representative of all communications received by the Trustee with respect to any Property requiring action by the Company;</w:t>
      </w:r>
    </w:p>
    <w:p>
      <w:pPr>
        <w:spacing w:after="0" w:line="170" w:lineRule="exact"/>
        <w:rPr>
          <w:rFonts w:ascii="Arial" w:cs="Arial" w:eastAsia="Arial" w:hAnsi="Arial"/>
          <w:sz w:val="18"/>
          <w:szCs w:val="18"/>
          <w:color w:val="auto"/>
        </w:rPr>
      </w:pPr>
    </w:p>
    <w:p>
      <w:pPr>
        <w:ind w:left="-40" w:right="280" w:firstLine="1952"/>
        <w:spacing w:after="0" w:line="277" w:lineRule="auto"/>
        <w:tabs>
          <w:tab w:leader="none" w:pos="266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170" w:lineRule="exact"/>
        <w:rPr>
          <w:rFonts w:ascii="Arial" w:cs="Arial" w:eastAsia="Arial" w:hAnsi="Arial"/>
          <w:sz w:val="18"/>
          <w:szCs w:val="18"/>
          <w:color w:val="auto"/>
        </w:rPr>
      </w:pPr>
    </w:p>
    <w:p>
      <w:pPr>
        <w:ind w:left="-40" w:right="200" w:firstLine="1952"/>
        <w:spacing w:after="0" w:line="277" w:lineRule="auto"/>
        <w:tabs>
          <w:tab w:leader="none" w:pos="265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left="-40" w:right="140" w:firstLine="1952"/>
        <w:spacing w:after="0" w:line="277" w:lineRule="auto"/>
        <w:tabs>
          <w:tab w:leader="none" w:pos="265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ind w:left="-40" w:right="40" w:firstLine="1952"/>
        <w:spacing w:after="0" w:line="286" w:lineRule="auto"/>
        <w:tabs>
          <w:tab w:leader="none" w:pos="265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Commence liquidation of the Trust Account only after and promptly after (x) receipt of, and only in accordance with, the terms of a letter from the Company (“</w:t>
      </w:r>
      <w:r>
        <w:rPr>
          <w:rFonts w:ascii="Arial" w:cs="Arial" w:eastAsia="Arial" w:hAnsi="Arial"/>
          <w:sz w:val="16"/>
          <w:szCs w:val="16"/>
          <w:u w:val="single" w:color="auto"/>
          <w:color w:val="auto"/>
        </w:rPr>
        <w:t>Termination Letter</w:t>
      </w:r>
      <w:r>
        <w:rPr>
          <w:rFonts w:ascii="Arial" w:cs="Arial" w:eastAsia="Arial" w:hAnsi="Arial"/>
          <w:sz w:val="16"/>
          <w:szCs w:val="16"/>
          <w:color w:val="auto"/>
        </w:rPr>
        <w:t xml:space="preserve">”) in a form substantially similar to that attached hereto as either </w:t>
      </w:r>
      <w:r>
        <w:rPr>
          <w:rFonts w:ascii="Arial" w:cs="Arial" w:eastAsia="Arial" w:hAnsi="Arial"/>
          <w:sz w:val="16"/>
          <w:szCs w:val="16"/>
          <w:u w:val="single" w:color="auto"/>
          <w:color w:val="auto"/>
        </w:rPr>
        <w:t>Exhibit A or Exhibit B</w:t>
      </w:r>
      <w:r>
        <w:rPr>
          <w:rFonts w:ascii="Arial" w:cs="Arial" w:eastAsia="Arial" w:hAnsi="Arial"/>
          <w:sz w:val="16"/>
          <w:szCs w:val="16"/>
          <w:color w:val="auto"/>
        </w:rPr>
        <w:t>, as applicable, signed on behalf of the Company by its Chief Executive Officer, President, Chief Financial Officer, Secretary or Chairman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other authorized officer of the Company and, in the case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acknowledged and agreed to by the Representative and complete the liquidation of the Trust Account and distribute the Property in the Trust Account, including interest earned on funds held in the Trust Account (net of amounts withdrawn in accordance with this Agreement and less up to $100,000 of interest that may be released to the Company to pay dissolution expenses), only as directed in the Termination Letter and the other documents referred to therein, or (y) upon the date which is the later of (i) 24 months after the closing of the Offering or 27 months from the closing of the Offering if the Company has executed a letter of intent, agreement in principle or definitive agreement for an initial Business Combination within 24 months from the closing of the Offering and (ii) such later date as may be approved by the Company’s stockholders in accordance with the Company’s amended and restated Certificate of Incorporation,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Property in the Trust Account, including interest earned on funds held in the Trust Account (net of amounts withdrawn in accordance with this Agreement and less up to $100,000 of interest that may be released to the Company to pay dissolution expenses) shall be distributed to the Public Stockholders of record as of such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287" w:name="page288"/>
    <w:bookmarkEnd w:id="287"/>
    <w:p>
      <w:pPr>
        <w:ind w:left="-20" w:right="20" w:firstLine="1952"/>
        <w:spacing w:after="0" w:line="289" w:lineRule="auto"/>
        <w:tabs>
          <w:tab w:leader="none" w:pos="267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Upon written request from the Company, which may be given from time to time in a form substantially similar to that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Tax Payment Withdrawal Instruction</w:t>
      </w:r>
      <w:r>
        <w:rPr>
          <w:rFonts w:ascii="Arial" w:cs="Arial" w:eastAsia="Arial" w:hAnsi="Arial"/>
          <w:sz w:val="16"/>
          <w:szCs w:val="16"/>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such payment the Company shall forward to the relevant taxing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there is not sufficient cash in the Trust Account to pay such tax obligation, the Trustee shall liquidate such assets held in the Trust Account as shall be designated by the Company in writing to make such distribution, so long as there is no reduction in the principal amount initially deposited in the Trust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tax to be paid is a franchise tax, the written request by the Company to make such distribution shall be accompanied by a copy of the franchise tax bill from the relevant taxing authority for the Company. The written request of the Company referenced above shall constitute presumptive evidence that the Company is entitled to said funds, and the Trustee shall have no responsibility to look beyond said request;</w:t>
      </w:r>
    </w:p>
    <w:p>
      <w:pPr>
        <w:spacing w:after="0" w:line="166" w:lineRule="exact"/>
        <w:rPr>
          <w:rFonts w:ascii="Arial" w:cs="Arial" w:eastAsia="Arial" w:hAnsi="Arial"/>
          <w:sz w:val="16"/>
          <w:szCs w:val="16"/>
          <w:color w:val="auto"/>
        </w:rPr>
      </w:pPr>
    </w:p>
    <w:p>
      <w:pPr>
        <w:ind w:left="-20" w:right="80" w:firstLine="1952"/>
        <w:spacing w:after="0" w:line="271" w:lineRule="auto"/>
        <w:tabs>
          <w:tab w:leader="none" w:pos="267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Upon written request from the Company, which may be given from time to time in a form substantially similar to that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 “</w:t>
      </w:r>
      <w:r>
        <w:rPr>
          <w:rFonts w:ascii="Arial" w:cs="Arial" w:eastAsia="Arial" w:hAnsi="Arial"/>
          <w:sz w:val="17"/>
          <w:szCs w:val="17"/>
          <w:u w:val="single" w:color="auto"/>
          <w:color w:val="auto"/>
        </w:rPr>
        <w:t>Working Capital Withdrawal Instruction</w:t>
      </w:r>
      <w:r>
        <w:rPr>
          <w:rFonts w:ascii="Arial" w:cs="Arial" w:eastAsia="Arial" w:hAnsi="Arial"/>
          <w:sz w:val="17"/>
          <w:szCs w:val="17"/>
          <w:color w:val="auto"/>
        </w:rPr>
        <w:t>”), withdraw from the Trust Account and distribute to the Company the amount of interest earned on the Property requested by the Company to fund working capital compliance requirements (a “</w:t>
      </w:r>
      <w:r>
        <w:rPr>
          <w:rFonts w:ascii="Arial" w:cs="Arial" w:eastAsia="Arial" w:hAnsi="Arial"/>
          <w:sz w:val="17"/>
          <w:szCs w:val="17"/>
          <w:u w:val="single" w:color="auto"/>
          <w:color w:val="auto"/>
        </w:rPr>
        <w:t>Working Capital Withdrawal</w:t>
      </w:r>
      <w:r>
        <w:rPr>
          <w:rFonts w:ascii="Arial" w:cs="Arial" w:eastAsia="Arial" w:hAnsi="Arial"/>
          <w:sz w:val="17"/>
          <w:szCs w:val="17"/>
          <w:color w:val="auto"/>
        </w:rPr>
        <w:t xml:space="preserve">”), which amount shall be delivered directly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there is not sufficient cash in the Trust Account to fund such Working Capital Withdrawal, the Trustee shall liquidate such assets held in the Trust Account as shall be designated by the Company in writing to make such distribution, so long as there is no reduction in the principal amount initially deposited in the Trust account. The written request of the Company referenced above shall constitute presumptive evidence that the Company is entitled to said funds, and the Trustee shall have no responsibility to look beyond said request;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Working Capital Withdrawal shall not exceed $[•] per annum;</w:t>
      </w:r>
    </w:p>
    <w:p>
      <w:pPr>
        <w:spacing w:after="0" w:line="178" w:lineRule="exact"/>
        <w:rPr>
          <w:rFonts w:ascii="Arial" w:cs="Arial" w:eastAsia="Arial" w:hAnsi="Arial"/>
          <w:sz w:val="17"/>
          <w:szCs w:val="17"/>
          <w:color w:val="auto"/>
        </w:rPr>
      </w:pPr>
    </w:p>
    <w:p>
      <w:pPr>
        <w:ind w:left="-20" w:firstLine="1952"/>
        <w:spacing w:after="0" w:line="290" w:lineRule="auto"/>
        <w:tabs>
          <w:tab w:leader="none" w:pos="267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Upon written request from the Company, which may be given from time to time in a form substantially similar to that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Stockholder Redemption Withdrawal Instruction</w:t>
      </w:r>
      <w:r>
        <w:rPr>
          <w:rFonts w:ascii="Arial" w:cs="Arial" w:eastAsia="Arial" w:hAnsi="Arial"/>
          <w:sz w:val="16"/>
          <w:szCs w:val="16"/>
          <w:color w:val="auto"/>
        </w:rPr>
        <w:t>”), the Trustee shall distribute to the Public Stockholders on behalf of the Company the amount requested by the Company to be used to redeem shares of Common Stock from Public Stockholders properly submitted in connection with a stockholder vote to approve an amendment to the Company’s amended and restated Certificate of Incorporation to modify the substance or timing of the Company’s obligation to redeem 100% of its public shares of Common Stock if the Company has not consummated an initial Business Combination within such time as is described in the Company’s amended and restated Certificate of Incorporation or with respect to any other material provisions relating to stockholders’ rights or pre-initial 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88" w:name="page289"/>
    <w:bookmarkEnd w:id="288"/>
    <w:p>
      <w:pPr>
        <w:ind w:left="2752" w:hanging="808"/>
        <w:spacing w:after="0"/>
        <w:tabs>
          <w:tab w:leader="none" w:pos="2752"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Not make any withdrawals or distributions from the Trust Account other than pursuant to </w:t>
      </w:r>
      <w:r>
        <w:rPr>
          <w:rFonts w:ascii="Arial" w:cs="Arial" w:eastAsia="Arial" w:hAnsi="Arial"/>
          <w:sz w:val="17"/>
          <w:szCs w:val="17"/>
          <w:u w:val="single" w:color="auto"/>
          <w:color w:val="auto"/>
        </w:rPr>
        <w:t>Section 1(i)</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or</w:t>
      </w:r>
    </w:p>
    <w:p>
      <w:pPr>
        <w:spacing w:after="0" w:line="35" w:lineRule="exact"/>
        <w:rPr>
          <w:sz w:val="20"/>
          <w:szCs w:val="20"/>
          <w:color w:val="auto"/>
        </w:rPr>
      </w:pPr>
    </w:p>
    <w:p>
      <w:pPr>
        <w:ind w:left="212" w:hanging="212"/>
        <w:spacing w:after="0"/>
        <w:tabs>
          <w:tab w:leader="none" w:pos="212" w:val="left"/>
        </w:tabs>
        <w:numPr>
          <w:ilvl w:val="0"/>
          <w:numId w:val="190"/>
        </w:numPr>
        <w:rPr>
          <w:rFonts w:ascii="Arial" w:cs="Arial" w:eastAsia="Arial" w:hAnsi="Arial"/>
          <w:sz w:val="18"/>
          <w:szCs w:val="18"/>
          <w:u w:val="single" w:color="auto"/>
          <w:color w:val="auto"/>
        </w:rPr>
      </w:pPr>
      <w:r>
        <w:rPr>
          <w:rFonts w:ascii="Arial" w:cs="Arial" w:eastAsia="Arial" w:hAnsi="Arial"/>
          <w:sz w:val="18"/>
          <w:szCs w:val="18"/>
          <w:color w:val="auto"/>
        </w:rPr>
        <w:t>above.</w:t>
      </w:r>
    </w:p>
    <w:p>
      <w:pPr>
        <w:spacing w:after="0" w:line="211" w:lineRule="exact"/>
        <w:rPr>
          <w:sz w:val="20"/>
          <w:szCs w:val="20"/>
          <w:color w:val="auto"/>
        </w:rPr>
      </w:pPr>
    </w:p>
    <w:p>
      <w:pPr>
        <w:ind w:left="1972" w:hanging="676"/>
        <w:spacing w:after="0"/>
        <w:tabs>
          <w:tab w:leader="none" w:pos="197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ind w:left="-8" w:right="20" w:firstLine="1952"/>
        <w:spacing w:after="0" w:line="257" w:lineRule="auto"/>
        <w:tabs>
          <w:tab w:leader="none" w:pos="267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Give all instructions to the Trustee hereunder in writing, signed by the Company’s Chairman of the Board, President, Chief Executive Officer, Chief Financial Officer or Secretary. In addition, except with respect to its duties under Sections 1(i), 1(j), 1(k) and 1(l) hereof, the Trustee shall be entitled to rely on, and shall be protected in relying on, any verbal or telephonic advice or instruction which it, in good faith and with reasonable care, believes to be given by any one of the persons authorized above to give written instructions,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promptly confirm such instructions in writing;</w:t>
      </w:r>
    </w:p>
    <w:p>
      <w:pPr>
        <w:spacing w:after="0" w:line="187" w:lineRule="exact"/>
        <w:rPr>
          <w:rFonts w:ascii="Arial" w:cs="Arial" w:eastAsia="Arial" w:hAnsi="Arial"/>
          <w:sz w:val="18"/>
          <w:szCs w:val="18"/>
          <w:color w:val="auto"/>
        </w:rPr>
      </w:pPr>
    </w:p>
    <w:p>
      <w:pPr>
        <w:ind w:left="-8" w:firstLine="1952"/>
        <w:spacing w:after="0" w:line="269" w:lineRule="auto"/>
        <w:tabs>
          <w:tab w:leader="none" w:pos="2685" w:val="left"/>
        </w:tabs>
        <w:numPr>
          <w:ilvl w:val="1"/>
          <w:numId w:val="19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arises out of or relates to this Agreement, the services of the Trustee hereunder, or the Property or any interest earned on the Property, except for expenses and losses resulting from the Trustee’s, or its representatives’,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7"/>
          <w:szCs w:val="17"/>
          <w:u w:val="single" w:color="auto"/>
          <w:color w:val="auto"/>
        </w:rPr>
        <w:t>Section 2(b)</w:t>
      </w:r>
      <w:r>
        <w:rPr>
          <w:rFonts w:ascii="Arial" w:cs="Arial" w:eastAsia="Arial" w:hAnsi="Arial"/>
          <w:sz w:val="17"/>
          <w:szCs w:val="17"/>
          <w:color w:val="auto"/>
        </w:rPr>
        <w:t>, it shall notify the Company in writing of such claim (hereinafter referred to as the “</w:t>
      </w:r>
      <w:r>
        <w:rPr>
          <w:rFonts w:ascii="Arial" w:cs="Arial" w:eastAsia="Arial" w:hAnsi="Arial"/>
          <w:sz w:val="17"/>
          <w:szCs w:val="17"/>
          <w:u w:val="single" w:color="auto"/>
          <w:color w:val="auto"/>
        </w:rPr>
        <w:t>Indemnified Claim</w:t>
      </w:r>
      <w:r>
        <w:rPr>
          <w:rFonts w:ascii="Arial" w:cs="Arial" w:eastAsia="Arial" w:hAnsi="Arial"/>
          <w:sz w:val="17"/>
          <w:szCs w:val="17"/>
          <w:color w:val="auto"/>
        </w:rPr>
        <w:t xml:space="preserve">”). The Trustee shall have the right to conduct and manage the defense against such Indemnified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Trustee shall obtain the consent of the Company with respect to the selection of counsel;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Company may conduct and manage the defense against any Indemnified Claim if the Trustee does not promptly take reasonable steps to mount such a defense. The Trustee may not agree to settle any Indemnified Claim without the prior written consent of the Company. The Company may participate in any such action with its own counsel;</w:t>
      </w:r>
    </w:p>
    <w:p>
      <w:pPr>
        <w:spacing w:after="0" w:line="181" w:lineRule="exact"/>
        <w:rPr>
          <w:rFonts w:ascii="Arial" w:cs="Arial" w:eastAsia="Arial" w:hAnsi="Arial"/>
          <w:sz w:val="17"/>
          <w:szCs w:val="17"/>
          <w:color w:val="auto"/>
        </w:rPr>
      </w:pPr>
    </w:p>
    <w:p>
      <w:pPr>
        <w:ind w:left="-8" w:right="60" w:firstLine="1952"/>
        <w:spacing w:after="0" w:line="293" w:lineRule="auto"/>
        <w:tabs>
          <w:tab w:leader="none" w:pos="2675" w:val="left"/>
        </w:tabs>
        <w:numPr>
          <w:ilvl w:val="1"/>
          <w:numId w:val="191"/>
        </w:numPr>
        <w:rPr>
          <w:rFonts w:ascii="Arial" w:cs="Arial" w:eastAsia="Arial" w:hAnsi="Arial"/>
          <w:sz w:val="16"/>
          <w:szCs w:val="16"/>
          <w:color w:val="auto"/>
        </w:rPr>
      </w:pPr>
      <w:r>
        <w:rPr>
          <w:rFonts w:ascii="Arial" w:cs="Arial" w:eastAsia="Arial" w:hAnsi="Arial"/>
          <w:sz w:val="16"/>
          <w:szCs w:val="16"/>
          <w:color w:val="auto"/>
        </w:rPr>
        <w:t xml:space="preserve">Pay the Trustee the fees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including an initial set-up fee, annual administration fee, and transaction processing fee which fees shall be subject to modification by the parties from time to time. It is expressly understood that the Property shall not be used to pay such fees unless and until the property is distributed to the Company pursuant to </w:t>
      </w:r>
      <w:r>
        <w:rPr>
          <w:rFonts w:ascii="Arial" w:cs="Arial" w:eastAsia="Arial" w:hAnsi="Arial"/>
          <w:sz w:val="16"/>
          <w:szCs w:val="16"/>
          <w:u w:val="single" w:color="auto"/>
          <w:color w:val="auto"/>
        </w:rPr>
        <w:t>Sections 1(i)</w:t>
      </w:r>
      <w:r>
        <w:rPr>
          <w:rFonts w:ascii="Arial" w:cs="Arial" w:eastAsia="Arial" w:hAnsi="Arial"/>
          <w:sz w:val="16"/>
          <w:szCs w:val="16"/>
          <w:color w:val="auto"/>
        </w:rPr>
        <w:t xml:space="preserve"> hereof. The Company shall pay the Trustee the initial set-up fee and the first annual administration fee at the consummation of the Offering. The Trustee shall refund to the Company the annual administration fee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respect to any period after the liquidation of the Trust Account. The Company shall not be responsible for any other fees or charges of the Trustee except as set forth in this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and as may be provided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w:t>
      </w:r>
    </w:p>
    <w:p>
      <w:pPr>
        <w:spacing w:after="0" w:line="38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89" w:name="page290"/>
    <w:bookmarkEnd w:id="289"/>
    <w:p>
      <w:pPr>
        <w:ind w:right="680" w:firstLine="1952"/>
        <w:spacing w:after="0" w:line="259" w:lineRule="auto"/>
        <w:tabs>
          <w:tab w:leader="none" w:pos="269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In connection with any vote of the Company’s stockholders regarding a merger, capital stock exchange, asset acquisition, stock purchase, reorganization or similar business combination involving the Company and one or more businesses (the “</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Combination</w:t>
      </w:r>
      <w:r>
        <w:rPr>
          <w:rFonts w:ascii="Arial" w:cs="Arial" w:eastAsia="Arial" w:hAnsi="Arial"/>
          <w:sz w:val="18"/>
          <w:szCs w:val="18"/>
          <w:color w:val="auto"/>
        </w:rPr>
        <w:t>”), provide to the Trustee an affidavit or certificate of the inspector of elections for the stockholder meeting verifying the vote of such stockholders regarding such Business Combination;</w:t>
      </w:r>
    </w:p>
    <w:p>
      <w:pPr>
        <w:spacing w:after="0" w:line="186" w:lineRule="exact"/>
        <w:rPr>
          <w:rFonts w:ascii="Arial" w:cs="Arial" w:eastAsia="Arial" w:hAnsi="Arial"/>
          <w:sz w:val="18"/>
          <w:szCs w:val="18"/>
          <w:color w:val="auto"/>
        </w:rPr>
      </w:pPr>
    </w:p>
    <w:p>
      <w:pPr>
        <w:ind w:right="240" w:firstLine="1952"/>
        <w:spacing w:after="0" w:line="277" w:lineRule="auto"/>
        <w:tabs>
          <w:tab w:leader="none" w:pos="268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Provide the Representative with a copy of any Termination Letter(s) and/or any other correspondence that is sent to the Trustee with respect to any proposed withdrawal from the Trust Account promptly after it issues the same;</w:t>
      </w:r>
    </w:p>
    <w:p>
      <w:pPr>
        <w:spacing w:after="0" w:line="170" w:lineRule="exact"/>
        <w:rPr>
          <w:rFonts w:ascii="Arial" w:cs="Arial" w:eastAsia="Arial" w:hAnsi="Arial"/>
          <w:sz w:val="18"/>
          <w:szCs w:val="18"/>
          <w:color w:val="auto"/>
        </w:rPr>
      </w:pPr>
    </w:p>
    <w:p>
      <w:pPr>
        <w:ind w:right="40" w:firstLine="1952"/>
        <w:spacing w:after="0" w:line="263" w:lineRule="auto"/>
        <w:tabs>
          <w:tab w:leader="none" w:pos="270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Unless otherwise agreed between the Company and the Representative, ensure that any Instruction Letter delivered in connection with a Termination Letter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expressly provides that the Deferred Discount is paid directly to the accounts as directed by the Representative prior to any transfer of the funds held in the Trust Account to the Company or any other person;</w:t>
      </w:r>
    </w:p>
    <w:p>
      <w:pPr>
        <w:spacing w:after="0" w:line="183" w:lineRule="exact"/>
        <w:rPr>
          <w:rFonts w:ascii="Arial" w:cs="Arial" w:eastAsia="Arial" w:hAnsi="Arial"/>
          <w:sz w:val="18"/>
          <w:szCs w:val="18"/>
          <w:color w:val="auto"/>
        </w:rPr>
      </w:pPr>
    </w:p>
    <w:p>
      <w:pPr>
        <w:ind w:right="600" w:firstLine="1952"/>
        <w:spacing w:after="0" w:line="277" w:lineRule="auto"/>
        <w:tabs>
          <w:tab w:leader="none" w:pos="269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 and</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69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Within four (4) business days after the Representative exercises the over-allotment option (or any unexercised portion thereof) or such over-allotment expires, provide the Trustee with a notice in writing of the total amount of the Deferred Discount, which shall in no event be less than $[•], or $[•] if the underwriters’ overallotment option is exercised in full.</w:t>
      </w:r>
    </w:p>
    <w:p>
      <w:pPr>
        <w:spacing w:after="0" w:line="183" w:lineRule="exact"/>
        <w:rPr>
          <w:rFonts w:ascii="Arial" w:cs="Arial" w:eastAsia="Arial" w:hAnsi="Arial"/>
          <w:sz w:val="18"/>
          <w:szCs w:val="18"/>
          <w:color w:val="auto"/>
        </w:rPr>
      </w:pPr>
    </w:p>
    <w:p>
      <w:pPr>
        <w:ind w:left="2020" w:hanging="716"/>
        <w:spacing w:after="0"/>
        <w:tabs>
          <w:tab w:leader="none" w:pos="202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right="340" w:firstLine="1952"/>
        <w:spacing w:after="0" w:line="277" w:lineRule="auto"/>
        <w:tabs>
          <w:tab w:leader="none" w:pos="2683"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170" w:lineRule="exact"/>
        <w:rPr>
          <w:rFonts w:ascii="Arial" w:cs="Arial" w:eastAsia="Arial" w:hAnsi="Arial"/>
          <w:sz w:val="18"/>
          <w:szCs w:val="18"/>
          <w:color w:val="auto"/>
        </w:rPr>
      </w:pPr>
    </w:p>
    <w:p>
      <w:pPr>
        <w:ind w:right="160" w:firstLine="1952"/>
        <w:spacing w:after="0" w:line="308" w:lineRule="auto"/>
        <w:tabs>
          <w:tab w:leader="none" w:pos="2693"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Take any action with respect to the Property, other than as directed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hereof, and the Trustee shall have no liability to any party except for liability arising out of the Trustee’s, or its representatives’, gross negligence, fraud, or willful misconduct;</w:t>
      </w:r>
    </w:p>
    <w:p>
      <w:pPr>
        <w:spacing w:after="0" w:line="146" w:lineRule="exact"/>
        <w:rPr>
          <w:rFonts w:ascii="Arial" w:cs="Arial" w:eastAsia="Arial" w:hAnsi="Arial"/>
          <w:sz w:val="17"/>
          <w:szCs w:val="17"/>
          <w:color w:val="auto"/>
        </w:rPr>
      </w:pPr>
    </w:p>
    <w:p>
      <w:pPr>
        <w:ind w:right="200" w:firstLine="1952"/>
        <w:spacing w:after="0" w:line="311" w:lineRule="auto"/>
        <w:tabs>
          <w:tab w:leader="none" w:pos="2683" w:val="left"/>
        </w:tabs>
        <w:numPr>
          <w:ilvl w:val="1"/>
          <w:numId w:val="193"/>
        </w:numPr>
        <w:rPr>
          <w:rFonts w:ascii="Arial" w:cs="Arial" w:eastAsia="Arial" w:hAnsi="Arial"/>
          <w:sz w:val="16"/>
          <w:szCs w:val="16"/>
          <w:color w:val="auto"/>
        </w:rPr>
      </w:pPr>
      <w:r>
        <w:rPr>
          <w:rFonts w:ascii="Arial" w:cs="Arial" w:eastAsia="Arial" w:hAnsi="Arial"/>
          <w:sz w:val="16"/>
          <w:szCs w:val="16"/>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reasonably incurred expenses incident thereto;</w:t>
      </w:r>
    </w:p>
    <w:p>
      <w:pPr>
        <w:spacing w:after="0" w:line="148" w:lineRule="exact"/>
        <w:rPr>
          <w:rFonts w:ascii="Arial" w:cs="Arial" w:eastAsia="Arial" w:hAnsi="Arial"/>
          <w:sz w:val="16"/>
          <w:szCs w:val="16"/>
          <w:color w:val="auto"/>
        </w:rPr>
      </w:pPr>
    </w:p>
    <w:p>
      <w:pPr>
        <w:ind w:left="2700" w:hanging="748"/>
        <w:spacing w:after="0"/>
        <w:tabs>
          <w:tab w:leader="none" w:pos="27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0" w:name="page291"/>
    <w:bookmarkEnd w:id="290"/>
    <w:p>
      <w:pPr>
        <w:ind w:right="60" w:firstLine="1952"/>
        <w:spacing w:after="0" w:line="342" w:lineRule="auto"/>
        <w:tabs>
          <w:tab w:leader="none" w:pos="2683"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23" w:lineRule="exact"/>
        <w:rPr>
          <w:rFonts w:ascii="Arial" w:cs="Arial" w:eastAsia="Arial" w:hAnsi="Arial"/>
          <w:sz w:val="16"/>
          <w:szCs w:val="16"/>
          <w:color w:val="auto"/>
        </w:rPr>
      </w:pPr>
    </w:p>
    <w:p>
      <w:pPr>
        <w:ind w:firstLine="1952"/>
        <w:spacing w:after="0" w:line="270" w:lineRule="auto"/>
        <w:tabs>
          <w:tab w:leader="none" w:pos="2708"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Trustee’s best judgment, except for the Trustee’s, or its representatives’,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80" w:lineRule="exact"/>
        <w:rPr>
          <w:rFonts w:ascii="Arial" w:cs="Arial" w:eastAsia="Arial" w:hAnsi="Arial"/>
          <w:sz w:val="17"/>
          <w:szCs w:val="17"/>
          <w:color w:val="auto"/>
        </w:rPr>
      </w:pPr>
    </w:p>
    <w:p>
      <w:pPr>
        <w:ind w:left="2700" w:hanging="748"/>
        <w:spacing w:after="0"/>
        <w:tabs>
          <w:tab w:leader="none" w:pos="27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225" w:lineRule="exact"/>
        <w:rPr>
          <w:rFonts w:ascii="Arial" w:cs="Arial" w:eastAsia="Arial" w:hAnsi="Arial"/>
          <w:sz w:val="18"/>
          <w:szCs w:val="18"/>
          <w:color w:val="auto"/>
        </w:rPr>
      </w:pPr>
    </w:p>
    <w:p>
      <w:pPr>
        <w:ind w:right="180" w:firstLine="1952"/>
        <w:spacing w:after="0" w:line="277" w:lineRule="auto"/>
        <w:tabs>
          <w:tab w:leader="none" w:pos="269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170" w:lineRule="exact"/>
        <w:rPr>
          <w:rFonts w:ascii="Arial" w:cs="Arial" w:eastAsia="Arial" w:hAnsi="Arial"/>
          <w:sz w:val="18"/>
          <w:szCs w:val="18"/>
          <w:color w:val="auto"/>
        </w:rPr>
      </w:pPr>
    </w:p>
    <w:p>
      <w:pPr>
        <w:ind w:right="100" w:firstLine="1952"/>
        <w:spacing w:after="0" w:line="342" w:lineRule="auto"/>
        <w:tabs>
          <w:tab w:leader="none" w:pos="2699" w:val="left"/>
        </w:tabs>
        <w:numPr>
          <w:ilvl w:val="1"/>
          <w:numId w:val="194"/>
        </w:numPr>
        <w:rPr>
          <w:rFonts w:ascii="Arial" w:cs="Arial" w:eastAsia="Arial" w:hAnsi="Arial"/>
          <w:sz w:val="16"/>
          <w:szCs w:val="16"/>
          <w:color w:val="auto"/>
        </w:rPr>
      </w:pPr>
      <w:r>
        <w:rPr>
          <w:rFonts w:ascii="Arial" w:cs="Arial" w:eastAsia="Arial" w:hAnsi="Arial"/>
          <w:sz w:val="16"/>
          <w:szCs w:val="16"/>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23" w:lineRule="exact"/>
        <w:rPr>
          <w:rFonts w:ascii="Arial" w:cs="Arial" w:eastAsia="Arial" w:hAnsi="Arial"/>
          <w:sz w:val="16"/>
          <w:szCs w:val="16"/>
          <w:color w:val="auto"/>
        </w:rPr>
      </w:pPr>
    </w:p>
    <w:p>
      <w:pPr>
        <w:ind w:right="220" w:firstLine="1952"/>
        <w:spacing w:after="0" w:line="263" w:lineRule="auto"/>
        <w:tabs>
          <w:tab w:leader="none" w:pos="2699"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franchise and income tax obligations, except 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hereof; or</w:t>
      </w:r>
    </w:p>
    <w:p>
      <w:pPr>
        <w:spacing w:after="0" w:line="183" w:lineRule="exact"/>
        <w:rPr>
          <w:rFonts w:ascii="Arial" w:cs="Arial" w:eastAsia="Arial" w:hAnsi="Arial"/>
          <w:sz w:val="18"/>
          <w:szCs w:val="18"/>
          <w:color w:val="auto"/>
        </w:rPr>
      </w:pPr>
    </w:p>
    <w:p>
      <w:pPr>
        <w:ind w:right="660" w:firstLine="1952"/>
        <w:spacing w:after="0" w:line="277" w:lineRule="auto"/>
        <w:tabs>
          <w:tab w:leader="none" w:pos="269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Verify calculations, qualify or otherwise approve the Company’s written requests for distributions pursuant to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w:t>
      </w:r>
      <w:r>
        <w:rPr>
          <w:rFonts w:ascii="Arial" w:cs="Arial" w:eastAsia="Arial" w:hAnsi="Arial"/>
          <w:sz w:val="18"/>
          <w:szCs w:val="18"/>
          <w:u w:val="single" w:color="auto"/>
          <w:color w:val="auto"/>
        </w:rPr>
        <w:t>1(k)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1(l)</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right="80" w:firstLine="1304"/>
        <w:spacing w:after="0" w:line="257" w:lineRule="auto"/>
        <w:tabs>
          <w:tab w:leader="none" w:pos="1971"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hereof, the Trustee shall pursue such Claim solely against the Company and its assets outside the Trust Account and not against the Property or any monies in the Trust Account.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1" w:name="page292"/>
    <w:bookmarkEnd w:id="291"/>
    <w:p>
      <w:pPr>
        <w:ind w:left="1980" w:hanging="676"/>
        <w:spacing w:after="0"/>
        <w:tabs>
          <w:tab w:leader="none" w:pos="19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Termination and Replacement of Trustee</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ind w:right="20" w:firstLine="1952"/>
        <w:spacing w:after="0" w:line="290" w:lineRule="auto"/>
        <w:tabs>
          <w:tab w:leader="none" w:pos="2683"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and any other reasonable transfer requests that the Company may make, whereupon this Agreement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65" w:lineRule="exact"/>
        <w:rPr>
          <w:rFonts w:ascii="Arial" w:cs="Arial" w:eastAsia="Arial" w:hAnsi="Arial"/>
          <w:sz w:val="16"/>
          <w:szCs w:val="16"/>
          <w:color w:val="auto"/>
        </w:rPr>
      </w:pPr>
    </w:p>
    <w:p>
      <w:pPr>
        <w:jc w:val="both"/>
        <w:ind w:right="300" w:firstLine="1952"/>
        <w:spacing w:after="0" w:line="263" w:lineRule="auto"/>
        <w:tabs>
          <w:tab w:leader="none" w:pos="269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At such time that the Trustee has completed the liquidation of the Trust Account and its obligations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980" w:hanging="676"/>
        <w:spacing w:after="0"/>
        <w:tabs>
          <w:tab w:leader="none" w:pos="19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91" w:lineRule="auto"/>
        <w:tabs>
          <w:tab w:leader="none" w:pos="2683"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or its representatives’, gross negligence, fraud, or willful misconduct, the Trustee shall not be liable for any loss, liability or expense resulting from any error in the information or transmission of the funds.</w:t>
      </w:r>
    </w:p>
    <w:p>
      <w:pPr>
        <w:spacing w:after="0" w:line="166" w:lineRule="exact"/>
        <w:rPr>
          <w:rFonts w:ascii="Arial" w:cs="Arial" w:eastAsia="Arial" w:hAnsi="Arial"/>
          <w:sz w:val="16"/>
          <w:szCs w:val="16"/>
          <w:color w:val="auto"/>
        </w:rPr>
      </w:pPr>
    </w:p>
    <w:p>
      <w:pPr>
        <w:ind w:left="2700" w:hanging="748"/>
        <w:spacing w:after="0"/>
        <w:tabs>
          <w:tab w:leader="none" w:pos="270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w:t>
      </w:r>
    </w:p>
    <w:p>
      <w:pPr>
        <w:spacing w:after="0" w:line="3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New York, without giving effect to conflicts of law principles that would result in the application of the substantive laws of another jurisdiction. This Agreement may be executed in several original or facsimile counterparts, each one of which shall constitute an original, and together shall constitute but one instrument.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92" w:name="page293"/>
    <w:bookmarkEnd w:id="292"/>
    <w:p>
      <w:pPr>
        <w:ind w:firstLine="1952"/>
        <w:spacing w:after="0" w:line="263" w:lineRule="auto"/>
        <w:tabs>
          <w:tab w:leader="none" w:pos="268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This Agreement or any provision hereof may only be changed, amended or modified (other than to correct a typographical error) by a writing signed by each of the parties hereto.</w:t>
      </w:r>
    </w:p>
    <w:p>
      <w:pPr>
        <w:spacing w:after="0" w:line="183" w:lineRule="exact"/>
        <w:rPr>
          <w:rFonts w:ascii="Arial" w:cs="Arial" w:eastAsia="Arial" w:hAnsi="Arial"/>
          <w:sz w:val="18"/>
          <w:szCs w:val="18"/>
          <w:color w:val="auto"/>
        </w:rPr>
      </w:pPr>
    </w:p>
    <w:p>
      <w:pPr>
        <w:ind w:right="100" w:firstLine="1952"/>
        <w:spacing w:after="0" w:line="286" w:lineRule="auto"/>
        <w:tabs>
          <w:tab w:leader="none" w:pos="2693"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Sections 1(i) and 1(l)</w:t>
      </w:r>
      <w:r>
        <w:rPr>
          <w:rFonts w:ascii="Arial" w:cs="Arial" w:eastAsia="Arial" w:hAnsi="Arial"/>
          <w:sz w:val="16"/>
          <w:szCs w:val="16"/>
          <w:color w:val="auto"/>
        </w:rPr>
        <w:t xml:space="preserve"> hereof may only be changed, amended or modified pursuant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with the Consent of the Stockholders, it being the specific intention of the parties hereto that each of the Company’s stockholders is, and shall be, a third party beneficiary of this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with the same right and power to enforce this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as the other parties hereto. For purposes of this </w:t>
      </w:r>
      <w:r>
        <w:rPr>
          <w:rFonts w:ascii="Arial" w:cs="Arial" w:eastAsia="Arial" w:hAnsi="Arial"/>
          <w:sz w:val="16"/>
          <w:szCs w:val="16"/>
          <w:u w:val="single" w:color="auto"/>
          <w:color w:val="auto"/>
        </w:rPr>
        <w:t>Section 6(d)</w:t>
      </w:r>
      <w:r>
        <w:rPr>
          <w:rFonts w:ascii="Arial" w:cs="Arial" w:eastAsia="Arial" w:hAnsi="Arial"/>
          <w:sz w:val="16"/>
          <w:szCs w:val="16"/>
          <w:color w:val="auto"/>
        </w:rPr>
        <w:t>, the “</w:t>
      </w:r>
      <w:r>
        <w:rPr>
          <w:rFonts w:ascii="Arial" w:cs="Arial" w:eastAsia="Arial" w:hAnsi="Arial"/>
          <w:sz w:val="16"/>
          <w:szCs w:val="16"/>
          <w:u w:val="single" w:color="auto"/>
          <w:color w:val="auto"/>
        </w:rPr>
        <w:t>Consent of the Stockholders</w:t>
      </w:r>
      <w:r>
        <w:rPr>
          <w:rFonts w:ascii="Arial" w:cs="Arial" w:eastAsia="Arial" w:hAnsi="Arial"/>
          <w:sz w:val="16"/>
          <w:szCs w:val="16"/>
          <w:color w:val="auto"/>
        </w:rPr>
        <w:t>” means receipt by the Trustee of a certificate from the inspector of elections of the stockholder meeting certifying that either</w:t>
      </w:r>
    </w:p>
    <w:p>
      <w:pPr>
        <w:spacing w:after="0" w:line="1" w:lineRule="exact"/>
        <w:rPr>
          <w:rFonts w:ascii="Arial" w:cs="Arial" w:eastAsia="Arial" w:hAnsi="Arial"/>
          <w:sz w:val="16"/>
          <w:szCs w:val="16"/>
          <w:color w:val="auto"/>
        </w:rPr>
      </w:pPr>
    </w:p>
    <w:p>
      <w:pPr>
        <w:ind w:right="20" w:firstLine="8"/>
        <w:spacing w:after="0" w:line="268" w:lineRule="auto"/>
        <w:tabs>
          <w:tab w:leader="none" w:pos="215"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Company’s stockholders of record as of a record date established in accordance with Section 213(a) of the Delaware General Corporation Law, as amended (“</w:t>
      </w:r>
      <w:r>
        <w:rPr>
          <w:rFonts w:ascii="Arial" w:cs="Arial" w:eastAsia="Arial" w:hAnsi="Arial"/>
          <w:sz w:val="17"/>
          <w:szCs w:val="17"/>
          <w:u w:val="single" w:color="auto"/>
          <w:color w:val="auto"/>
        </w:rPr>
        <w:t>DGCL</w:t>
      </w:r>
      <w:r>
        <w:rPr>
          <w:rFonts w:ascii="Arial" w:cs="Arial" w:eastAsia="Arial" w:hAnsi="Arial"/>
          <w:sz w:val="17"/>
          <w:szCs w:val="17"/>
          <w:color w:val="auto"/>
        </w:rPr>
        <w:t>”) (or any successor rule), who hold sixty-five percent (65%) or more of all then outstanding shares of the Common Stock and Class B common stock, par value $0.0001 per share, of the Company voting together as a single class, have voted in favor of such change, amendment or modification, or (ii) the Company’s stockholders of record as of the record date who hold sixty-five percent (65%) or more of all then outstanding shares of the Common Stock and Class B common stock, par value $0.0001 per share, of the Company voting together as a single class, have delivered to such entity a signed writing approving such change, amendment or modification. No such amendment will affect any Public Stockholder who has otherwise indicated his election to redeem his share of Common Stock in connection with a stockholder vote sought to amend the Certificate of Incorporation. Except for any liability arising out of the Trustee’s, or its representatives’, gross negligence, fraud, or willful misconduct, the Trustee may rely conclusively on the certification from the inspector or elections referenced above and shall be relieved of all liability to any party for executing the proposed amendment in reliance thereon.</w:t>
      </w:r>
    </w:p>
    <w:p>
      <w:pPr>
        <w:spacing w:after="0" w:line="178" w:lineRule="exact"/>
        <w:rPr>
          <w:rFonts w:ascii="Arial" w:cs="Arial" w:eastAsia="Arial" w:hAnsi="Arial"/>
          <w:sz w:val="17"/>
          <w:szCs w:val="17"/>
          <w:color w:val="auto"/>
        </w:rPr>
      </w:pPr>
    </w:p>
    <w:p>
      <w:pPr>
        <w:ind w:right="140" w:firstLine="1952"/>
        <w:spacing w:after="0" w:line="263" w:lineRule="auto"/>
        <w:tabs>
          <w:tab w:leader="none" w:pos="2683"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County of New York, State of New York, for purposes of resolving any disputes hereunder. AS TO ANY CLAIM, CROSS-CLAIM OR COUNTERCLAIM IN ANY WAY RELATING TO THIS AGREEMENT, EACH PARTY WAIVES THE RIGHT TO TRIAL BY JURY.</w:t>
      </w:r>
    </w:p>
    <w:p>
      <w:pPr>
        <w:spacing w:after="0" w:line="183" w:lineRule="exact"/>
        <w:rPr>
          <w:rFonts w:ascii="Arial" w:cs="Arial" w:eastAsia="Arial" w:hAnsi="Arial"/>
          <w:sz w:val="18"/>
          <w:szCs w:val="18"/>
          <w:color w:val="auto"/>
        </w:rPr>
      </w:pPr>
    </w:p>
    <w:p>
      <w:pPr>
        <w:ind w:right="180" w:firstLine="1952"/>
        <w:spacing w:after="0" w:line="263" w:lineRule="auto"/>
        <w:tabs>
          <w:tab w:leader="none" w:pos="270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Email: cgonzalez@continentalstock.com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3" w:name="page294"/>
    <w:bookmarkEnd w:id="293"/>
    <w:p>
      <w:pPr>
        <w:ind w:left="564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[COMPANY INFORMATION]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Attn: Raphael M. Russo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Fax No.: (212) 757-3990</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[BANK INFORMATION]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 FIRM INFORMATION]</w:t>
      </w:r>
    </w:p>
    <w:p>
      <w:pPr>
        <w:spacing w:after="0" w:line="200" w:lineRule="exact"/>
        <w:rPr>
          <w:sz w:val="20"/>
          <w:szCs w:val="20"/>
          <w:color w:val="auto"/>
        </w:rPr>
      </w:pPr>
    </w:p>
    <w:p>
      <w:pPr>
        <w:spacing w:after="0" w:line="241" w:lineRule="exact"/>
        <w:rPr>
          <w:sz w:val="20"/>
          <w:szCs w:val="20"/>
          <w:color w:val="auto"/>
        </w:rPr>
      </w:pPr>
    </w:p>
    <w:p>
      <w:pPr>
        <w:ind w:right="220" w:firstLine="1952"/>
        <w:spacing w:after="0" w:line="259" w:lineRule="auto"/>
        <w:tabs>
          <w:tab w:leader="none" w:pos="269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86" w:lineRule="exact"/>
        <w:rPr>
          <w:rFonts w:ascii="Arial" w:cs="Arial" w:eastAsia="Arial" w:hAnsi="Arial"/>
          <w:sz w:val="18"/>
          <w:szCs w:val="18"/>
          <w:color w:val="auto"/>
        </w:rPr>
      </w:pPr>
    </w:p>
    <w:p>
      <w:pPr>
        <w:ind w:left="2700" w:hanging="748"/>
        <w:spacing w:after="0"/>
        <w:tabs>
          <w:tab w:leader="none" w:pos="27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Each of the Company and the Trustee hereby acknowledges and agrees that the Representative is a third party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beneficiary of this Agreement.</w:t>
      </w:r>
    </w:p>
    <w:p>
      <w:pPr>
        <w:spacing w:after="0" w:line="210" w:lineRule="exact"/>
        <w:rPr>
          <w:rFonts w:ascii="Arial" w:cs="Arial" w:eastAsia="Arial" w:hAnsi="Arial"/>
          <w:sz w:val="17"/>
          <w:szCs w:val="17"/>
          <w:color w:val="auto"/>
        </w:rPr>
      </w:pPr>
    </w:p>
    <w:p>
      <w:pPr>
        <w:ind w:right="20" w:firstLine="1952"/>
        <w:spacing w:after="0" w:line="263" w:lineRule="auto"/>
        <w:tabs>
          <w:tab w:leader="none" w:pos="265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Trustee shall perform its duties under this Agreement in compliance with all applicable laws and keep confidential all information relating to this Agreement and, except as required by applicable law, shall not use such information for any purpose other than the performance of the Trustee’s obligations under this Agreement.</w:t>
      </w:r>
    </w:p>
    <w:p>
      <w:pPr>
        <w:spacing w:after="0" w:line="183" w:lineRule="exact"/>
        <w:rPr>
          <w:rFonts w:ascii="Arial" w:cs="Arial" w:eastAsia="Arial" w:hAnsi="Arial"/>
          <w:sz w:val="18"/>
          <w:szCs w:val="18"/>
          <w:color w:val="auto"/>
        </w:rPr>
      </w:pPr>
    </w:p>
    <w:p>
      <w:pPr>
        <w:ind w:left="2660" w:hanging="708"/>
        <w:spacing w:after="0"/>
        <w:tabs>
          <w:tab w:leader="none" w:pos="26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person or entity.</w:t>
      </w:r>
    </w:p>
    <w:p>
      <w:pPr>
        <w:spacing w:after="0" w:line="210" w:lineRule="exact"/>
        <w:rPr>
          <w:rFonts w:ascii="Arial" w:cs="Arial" w:eastAsia="Arial" w:hAnsi="Arial"/>
          <w:sz w:val="16"/>
          <w:szCs w:val="16"/>
          <w:color w:val="auto"/>
        </w:rPr>
      </w:pPr>
    </w:p>
    <w:p>
      <w:pPr>
        <w:ind w:right="20" w:firstLine="1952"/>
        <w:spacing w:after="0" w:line="263" w:lineRule="auto"/>
        <w:tabs>
          <w:tab w:leader="none" w:pos="269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This Agreement may be executed in one or more counterparts, each of which shall for all purposes be deemed to be an original but all of which together shall constitute one and the same Agreement. Only one counterpart signed by the party against whom enforceability is sought needs to be produced to evidence the existence of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Investment Management Trust Agreement as of the date first written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 as Trustee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left="10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[Signature Page to Investment Management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904" w:right="679" w:bottom="1440" w:gutter="0" w:footer="0" w:header="0"/>
        </w:sectPr>
      </w:pPr>
    </w:p>
    <w:bookmarkStart w:id="295" w:name="page296"/>
    <w:bookmarkEnd w:id="295"/>
    <w:p>
      <w:pPr>
        <w:jc w:val="center"/>
        <w:spacing w:after="0"/>
        <w:rPr>
          <w:sz w:val="20"/>
          <w:szCs w:val="20"/>
          <w:color w:val="auto"/>
        </w:rPr>
      </w:pPr>
      <w:r>
        <w:rPr>
          <w:rFonts w:ascii="Arial" w:cs="Arial" w:eastAsia="Arial" w:hAnsi="Arial"/>
          <w:sz w:val="18"/>
          <w:szCs w:val="18"/>
          <w:b w:val="1"/>
          <w:bCs w:val="1"/>
          <w:color w:val="auto"/>
        </w:rPr>
        <w:t>SCHEDULE A</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80" w:type="dxa"/>
            <w:vAlign w:val="bottom"/>
            <w:tcBorders>
              <w:top w:val="single" w:sz="8" w:color="auto"/>
              <w:left w:val="single" w:sz="8" w:color="auto"/>
              <w:bottom w:val="single" w:sz="8" w:color="D9D9D9"/>
            </w:tcBorders>
            <w:shd w:val="clear" w:color="auto" w:fill="D9D9D9"/>
          </w:tcPr>
          <w:p>
            <w:pPr>
              <w:spacing w:after="0"/>
              <w:rPr>
                <w:sz w:val="24"/>
                <w:szCs w:val="24"/>
                <w:color w:val="auto"/>
              </w:rPr>
            </w:pPr>
          </w:p>
        </w:tc>
        <w:tc>
          <w:tcPr>
            <w:tcW w:w="840" w:type="dxa"/>
            <w:vAlign w:val="bottom"/>
            <w:tcBorders>
              <w:top w:val="single" w:sz="8" w:color="auto"/>
              <w:bottom w:val="single" w:sz="8" w:color="D9D9D9"/>
            </w:tcBorders>
            <w:shd w:val="clear" w:color="auto" w:fill="D9D9D9"/>
          </w:tcPr>
          <w:p>
            <w:pPr>
              <w:spacing w:after="0"/>
              <w:rPr>
                <w:sz w:val="24"/>
                <w:szCs w:val="24"/>
                <w:color w:val="auto"/>
              </w:rPr>
            </w:pPr>
          </w:p>
        </w:tc>
        <w:tc>
          <w:tcPr>
            <w:tcW w:w="340" w:type="dxa"/>
            <w:vAlign w:val="bottom"/>
            <w:tcBorders>
              <w:top w:val="single" w:sz="8" w:color="auto"/>
              <w:bottom w:val="single" w:sz="8" w:color="D9D9D9"/>
            </w:tcBorders>
            <w:shd w:val="clear" w:color="auto" w:fill="D9D9D9"/>
          </w:tcPr>
          <w:p>
            <w:pPr>
              <w:spacing w:after="0"/>
              <w:rPr>
                <w:sz w:val="24"/>
                <w:szCs w:val="24"/>
                <w:color w:val="auto"/>
              </w:rPr>
            </w:pPr>
          </w:p>
        </w:tc>
        <w:tc>
          <w:tcPr>
            <w:tcW w:w="20" w:type="dxa"/>
            <w:vAlign w:val="bottom"/>
            <w:tcBorders>
              <w:top w:val="single" w:sz="8" w:color="auto"/>
              <w:bottom w:val="single" w:sz="8" w:color="D9D9D9"/>
            </w:tcBorders>
            <w:shd w:val="clear" w:color="auto" w:fill="D9D9D9"/>
          </w:tcPr>
          <w:p>
            <w:pPr>
              <w:spacing w:after="0"/>
              <w:rPr>
                <w:sz w:val="24"/>
                <w:szCs w:val="24"/>
                <w:color w:val="auto"/>
              </w:rPr>
            </w:pPr>
          </w:p>
        </w:tc>
        <w:tc>
          <w:tcPr>
            <w:tcW w:w="240" w:type="dxa"/>
            <w:vAlign w:val="bottom"/>
            <w:tcBorders>
              <w:top w:val="single" w:sz="8" w:color="auto"/>
              <w:bottom w:val="single" w:sz="8" w:color="D9D9D9"/>
            </w:tcBorders>
            <w:shd w:val="clear" w:color="auto" w:fill="D9D9D9"/>
          </w:tcPr>
          <w:p>
            <w:pPr>
              <w:spacing w:after="0"/>
              <w:rPr>
                <w:sz w:val="24"/>
                <w:szCs w:val="24"/>
                <w:color w:val="auto"/>
              </w:rPr>
            </w:pPr>
          </w:p>
        </w:tc>
        <w:tc>
          <w:tcPr>
            <w:tcW w:w="2220" w:type="dxa"/>
            <w:vAlign w:val="bottom"/>
            <w:tcBorders>
              <w:top w:val="single" w:sz="8" w:color="auto"/>
              <w:bottom w:val="single" w:sz="8" w:color="D9D9D9"/>
              <w:right w:val="single" w:sz="8" w:color="auto"/>
            </w:tcBorders>
            <w:gridSpan w:val="8"/>
            <w:shd w:val="clear" w:color="auto" w:fill="D9D9D9"/>
          </w:tcPr>
          <w:p>
            <w:pPr>
              <w:ind w:left="20"/>
              <w:spacing w:after="0"/>
              <w:rPr>
                <w:sz w:val="20"/>
                <w:szCs w:val="20"/>
                <w:color w:val="auto"/>
              </w:rPr>
            </w:pPr>
            <w:r>
              <w:rPr>
                <w:rFonts w:ascii="Arial" w:cs="Arial" w:eastAsia="Arial" w:hAnsi="Arial"/>
                <w:sz w:val="18"/>
                <w:szCs w:val="18"/>
                <w:b w:val="1"/>
                <w:bCs w:val="1"/>
                <w:color w:val="auto"/>
              </w:rPr>
              <w:t>Fee Item</w:t>
            </w:r>
          </w:p>
        </w:tc>
        <w:tc>
          <w:tcPr>
            <w:tcW w:w="40" w:type="dxa"/>
            <w:vAlign w:val="bottom"/>
            <w:tcBorders>
              <w:top w:val="single" w:sz="8" w:color="auto"/>
              <w:bottom w:val="single" w:sz="8" w:color="D9D9D9"/>
            </w:tcBorders>
            <w:shd w:val="clear" w:color="auto" w:fill="D9D9D9"/>
          </w:tcPr>
          <w:p>
            <w:pPr>
              <w:spacing w:after="0"/>
              <w:rPr>
                <w:sz w:val="24"/>
                <w:szCs w:val="24"/>
                <w:color w:val="auto"/>
              </w:rPr>
            </w:pPr>
          </w:p>
        </w:tc>
        <w:tc>
          <w:tcPr>
            <w:tcW w:w="260" w:type="dxa"/>
            <w:vAlign w:val="bottom"/>
            <w:tcBorders>
              <w:top w:val="single" w:sz="8" w:color="auto"/>
              <w:bottom w:val="single" w:sz="8" w:color="D9D9D9"/>
            </w:tcBorders>
            <w:shd w:val="clear" w:color="auto" w:fill="D9D9D9"/>
          </w:tcPr>
          <w:p>
            <w:pPr>
              <w:spacing w:after="0"/>
              <w:rPr>
                <w:sz w:val="24"/>
                <w:szCs w:val="24"/>
                <w:color w:val="auto"/>
              </w:rPr>
            </w:pPr>
          </w:p>
        </w:tc>
        <w:tc>
          <w:tcPr>
            <w:tcW w:w="5300" w:type="dxa"/>
            <w:vAlign w:val="bottom"/>
            <w:tcBorders>
              <w:top w:val="single" w:sz="8" w:color="auto"/>
              <w:bottom w:val="single" w:sz="8" w:color="D9D9D9"/>
              <w:right w:val="single" w:sz="8" w:color="auto"/>
            </w:tcBorders>
            <w:gridSpan w:val="3"/>
            <w:shd w:val="clear" w:color="auto" w:fill="D9D9D9"/>
          </w:tcPr>
          <w:p>
            <w:pPr>
              <w:ind w:left="1360"/>
              <w:spacing w:after="0"/>
              <w:rPr>
                <w:sz w:val="20"/>
                <w:szCs w:val="20"/>
                <w:color w:val="auto"/>
              </w:rPr>
            </w:pPr>
            <w:r>
              <w:rPr>
                <w:rFonts w:ascii="Arial" w:cs="Arial" w:eastAsia="Arial" w:hAnsi="Arial"/>
                <w:sz w:val="18"/>
                <w:szCs w:val="18"/>
                <w:b w:val="1"/>
                <w:bCs w:val="1"/>
                <w:color w:val="auto"/>
              </w:rPr>
              <w:t>Time and method of payment</w:t>
            </w:r>
          </w:p>
        </w:tc>
        <w:tc>
          <w:tcPr>
            <w:tcW w:w="1900" w:type="dxa"/>
            <w:vAlign w:val="bottom"/>
            <w:tcBorders>
              <w:top w:val="single" w:sz="8" w:color="auto"/>
              <w:bottom w:val="single" w:sz="8" w:color="D9D9D9"/>
              <w:right w:val="single" w:sz="8" w:color="auto"/>
            </w:tcBorders>
            <w:shd w:val="clear" w:color="auto" w:fill="D9D9D9"/>
          </w:tcPr>
          <w:p>
            <w:pPr>
              <w:ind w:left="620"/>
              <w:spacing w:after="0"/>
              <w:rPr>
                <w:sz w:val="20"/>
                <w:szCs w:val="20"/>
                <w:color w:val="auto"/>
              </w:rPr>
            </w:pPr>
            <w:r>
              <w:rPr>
                <w:rFonts w:ascii="Arial" w:cs="Arial" w:eastAsia="Arial" w:hAnsi="Arial"/>
                <w:sz w:val="18"/>
                <w:szCs w:val="18"/>
                <w:b w:val="1"/>
                <w:bCs w:val="1"/>
                <w:color w:val="auto"/>
              </w:rPr>
              <w:t>Amount</w:t>
            </w:r>
          </w:p>
        </w:tc>
      </w:tr>
      <w:tr>
        <w:trPr>
          <w:trHeight w:val="263"/>
        </w:trPr>
        <w:tc>
          <w:tcPr>
            <w:tcW w:w="3740" w:type="dxa"/>
            <w:vAlign w:val="bottom"/>
            <w:tcBorders>
              <w:top w:val="single" w:sz="8" w:color="auto"/>
              <w:left w:val="single" w:sz="8" w:color="auto"/>
              <w:right w:val="single" w:sz="8" w:color="auto"/>
            </w:tcBorders>
            <w:gridSpan w:val="13"/>
          </w:tcPr>
          <w:p>
            <w:pPr>
              <w:ind w:left="80"/>
              <w:spacing w:after="0"/>
              <w:rPr>
                <w:sz w:val="20"/>
                <w:szCs w:val="20"/>
                <w:color w:val="auto"/>
              </w:rPr>
            </w:pPr>
            <w:r>
              <w:rPr>
                <w:rFonts w:ascii="Arial" w:cs="Arial" w:eastAsia="Arial" w:hAnsi="Arial"/>
                <w:sz w:val="18"/>
                <w:szCs w:val="18"/>
                <w:color w:val="auto"/>
              </w:rPr>
              <w:t>Initial set-up fee.</w:t>
            </w:r>
          </w:p>
        </w:tc>
        <w:tc>
          <w:tcPr>
            <w:tcW w:w="40" w:type="dxa"/>
            <w:vAlign w:val="bottom"/>
            <w:tcBorders>
              <w:top w:val="single" w:sz="8" w:color="auto"/>
            </w:tcBorders>
          </w:tcPr>
          <w:p>
            <w:pPr>
              <w:spacing w:after="0"/>
              <w:rPr>
                <w:sz w:val="22"/>
                <w:szCs w:val="22"/>
                <w:color w:val="auto"/>
              </w:rPr>
            </w:pPr>
          </w:p>
        </w:tc>
        <w:tc>
          <w:tcPr>
            <w:tcW w:w="55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Initial closing of Offering by wire transfer.</w:t>
            </w:r>
          </w:p>
        </w:tc>
        <w:tc>
          <w:tcPr>
            <w:tcW w:w="19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$2,000.00</w:t>
            </w:r>
          </w:p>
        </w:tc>
      </w:tr>
      <w:tr>
        <w:trPr>
          <w:trHeight w:val="54"/>
        </w:trPr>
        <w:tc>
          <w:tcPr>
            <w:tcW w:w="8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r>
      <w:tr>
        <w:trPr>
          <w:trHeight w:val="249"/>
        </w:trPr>
        <w:tc>
          <w:tcPr>
            <w:tcW w:w="3740" w:type="dxa"/>
            <w:vAlign w:val="bottom"/>
            <w:tcBorders>
              <w:left w:val="single" w:sz="8" w:color="auto"/>
              <w:right w:val="single" w:sz="8" w:color="auto"/>
            </w:tcBorders>
            <w:gridSpan w:val="13"/>
          </w:tcPr>
          <w:p>
            <w:pPr>
              <w:ind w:left="80"/>
              <w:spacing w:after="0"/>
              <w:rPr>
                <w:sz w:val="20"/>
                <w:szCs w:val="20"/>
                <w:color w:val="auto"/>
              </w:rPr>
            </w:pPr>
            <w:r>
              <w:rPr>
                <w:rFonts w:ascii="Arial" w:cs="Arial" w:eastAsia="Arial" w:hAnsi="Arial"/>
                <w:sz w:val="18"/>
                <w:szCs w:val="18"/>
                <w:color w:val="auto"/>
              </w:rPr>
              <w:t>Trustee administration fee</w:t>
            </w:r>
          </w:p>
        </w:tc>
        <w:tc>
          <w:tcPr>
            <w:tcW w:w="40" w:type="dxa"/>
            <w:vAlign w:val="bottom"/>
          </w:tcPr>
          <w:p>
            <w:pPr>
              <w:spacing w:after="0"/>
              <w:rPr>
                <w:sz w:val="21"/>
                <w:szCs w:val="21"/>
                <w:color w:val="auto"/>
              </w:rPr>
            </w:pPr>
          </w:p>
        </w:tc>
        <w:tc>
          <w:tcPr>
            <w:tcW w:w="55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8"/>
              </w:rPr>
              <w:t>Payable annually. First year fee payable at initial closing of Offering by</w:t>
            </w:r>
          </w:p>
        </w:tc>
        <w:tc>
          <w:tcPr>
            <w:tcW w:w="1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$10,000.00</w:t>
            </w:r>
          </w:p>
        </w:tc>
      </w:tr>
      <w:tr>
        <w:trPr>
          <w:trHeight w:val="230"/>
        </w:trPr>
        <w:tc>
          <w:tcPr>
            <w:tcW w:w="8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5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wire transfer; thereafter, payable by wire transfer or check.</w:t>
            </w:r>
          </w:p>
        </w:tc>
        <w:tc>
          <w:tcPr>
            <w:tcW w:w="1900" w:type="dxa"/>
            <w:vAlign w:val="bottom"/>
            <w:tcBorders>
              <w:right w:val="single" w:sz="8" w:color="auto"/>
            </w:tcBorders>
          </w:tcPr>
          <w:p>
            <w:pPr>
              <w:spacing w:after="0"/>
              <w:rPr>
                <w:sz w:val="20"/>
                <w:szCs w:val="20"/>
                <w:color w:val="auto"/>
              </w:rPr>
            </w:pPr>
          </w:p>
        </w:tc>
      </w:tr>
      <w:tr>
        <w:trPr>
          <w:trHeight w:val="54"/>
        </w:trPr>
        <w:tc>
          <w:tcPr>
            <w:tcW w:w="8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r>
      <w:tr>
        <w:trPr>
          <w:trHeight w:val="249"/>
        </w:trPr>
        <w:tc>
          <w:tcPr>
            <w:tcW w:w="3740" w:type="dxa"/>
            <w:vAlign w:val="bottom"/>
            <w:tcBorders>
              <w:left w:val="single" w:sz="8" w:color="auto"/>
              <w:right w:val="single" w:sz="8" w:color="auto"/>
            </w:tcBorders>
            <w:gridSpan w:val="13"/>
          </w:tcPr>
          <w:p>
            <w:pPr>
              <w:ind w:left="80"/>
              <w:spacing w:after="0"/>
              <w:rPr>
                <w:sz w:val="20"/>
                <w:szCs w:val="20"/>
                <w:color w:val="auto"/>
              </w:rPr>
            </w:pPr>
            <w:r>
              <w:rPr>
                <w:rFonts w:ascii="Arial" w:cs="Arial" w:eastAsia="Arial" w:hAnsi="Arial"/>
                <w:sz w:val="18"/>
                <w:szCs w:val="18"/>
                <w:color w:val="auto"/>
                <w:w w:val="94"/>
              </w:rPr>
              <w:t>Transaction processing fee for disbursements to</w:t>
            </w:r>
          </w:p>
        </w:tc>
        <w:tc>
          <w:tcPr>
            <w:tcW w:w="40" w:type="dxa"/>
            <w:vAlign w:val="bottom"/>
          </w:tcPr>
          <w:p>
            <w:pPr>
              <w:spacing w:after="0"/>
              <w:rPr>
                <w:sz w:val="21"/>
                <w:szCs w:val="21"/>
                <w:color w:val="auto"/>
              </w:rPr>
            </w:pPr>
          </w:p>
        </w:tc>
        <w:tc>
          <w:tcPr>
            <w:tcW w:w="55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Billed to Company following disbursement made to Company under</w:t>
            </w:r>
          </w:p>
        </w:tc>
        <w:tc>
          <w:tcPr>
            <w:tcW w:w="1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$250.00</w:t>
            </w:r>
          </w:p>
        </w:tc>
      </w:tr>
      <w:tr>
        <w:trPr>
          <w:trHeight w:val="190"/>
        </w:trPr>
        <w:tc>
          <w:tcPr>
            <w:tcW w:w="3740" w:type="dxa"/>
            <w:vAlign w:val="bottom"/>
            <w:tcBorders>
              <w:left w:val="single" w:sz="8" w:color="auto"/>
              <w:right w:val="single" w:sz="8" w:color="auto"/>
            </w:tcBorders>
            <w:gridSpan w:val="13"/>
          </w:tcPr>
          <w:p>
            <w:pPr>
              <w:ind w:left="80"/>
              <w:spacing w:after="0" w:line="190" w:lineRule="exact"/>
              <w:rPr>
                <w:sz w:val="20"/>
                <w:szCs w:val="20"/>
                <w:color w:val="auto"/>
              </w:rPr>
            </w:pPr>
            <w:r>
              <w:rPr>
                <w:rFonts w:ascii="Arial" w:cs="Arial" w:eastAsia="Arial" w:hAnsi="Arial"/>
                <w:sz w:val="18"/>
                <w:szCs w:val="18"/>
                <w:color w:val="auto"/>
                <w:w w:val="96"/>
              </w:rPr>
              <w:t>Company under Sections 1(i), 1(j), 1(k) and 1(l)</w:t>
            </w:r>
          </w:p>
        </w:tc>
        <w:tc>
          <w:tcPr>
            <w:tcW w:w="40" w:type="dxa"/>
            <w:vAlign w:val="bottom"/>
          </w:tcPr>
          <w:p>
            <w:pPr>
              <w:spacing w:after="0"/>
              <w:rPr>
                <w:sz w:val="16"/>
                <w:szCs w:val="16"/>
                <w:color w:val="auto"/>
              </w:rPr>
            </w:pPr>
          </w:p>
        </w:tc>
        <w:tc>
          <w:tcPr>
            <w:tcW w:w="5560" w:type="dxa"/>
            <w:vAlign w:val="bottom"/>
            <w:tcBorders>
              <w:right w:val="single" w:sz="8" w:color="auto"/>
            </w:tcBorders>
            <w:gridSpan w:val="4"/>
          </w:tcPr>
          <w:p>
            <w:pPr>
              <w:spacing w:after="0" w:line="190" w:lineRule="exact"/>
              <w:rPr>
                <w:sz w:val="20"/>
                <w:szCs w:val="20"/>
                <w:color w:val="auto"/>
              </w:rPr>
            </w:pPr>
            <w:r>
              <w:rPr>
                <w:rFonts w:ascii="Arial" w:cs="Arial" w:eastAsia="Arial" w:hAnsi="Arial"/>
                <w:sz w:val="18"/>
                <w:szCs w:val="18"/>
                <w:color w:val="auto"/>
              </w:rPr>
              <w:t>Section 1</w:t>
            </w:r>
          </w:p>
        </w:tc>
        <w:tc>
          <w:tcPr>
            <w:tcW w:w="1900" w:type="dxa"/>
            <w:vAlign w:val="bottom"/>
            <w:tcBorders>
              <w:right w:val="single" w:sz="8" w:color="auto"/>
            </w:tcBorders>
          </w:tcPr>
          <w:p>
            <w:pPr>
              <w:spacing w:after="0"/>
              <w:rPr>
                <w:sz w:val="16"/>
                <w:szCs w:val="16"/>
                <w:color w:val="auto"/>
              </w:rPr>
            </w:pPr>
          </w:p>
        </w:tc>
      </w:tr>
      <w:tr>
        <w:trPr>
          <w:trHeight w:val="74"/>
        </w:trPr>
        <w:tc>
          <w:tcPr>
            <w:tcW w:w="80" w:type="dxa"/>
            <w:vAlign w:val="bottom"/>
            <w:tcBorders>
              <w:left w:val="single" w:sz="8" w:color="auto"/>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66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223"/>
        </w:trPr>
        <w:tc>
          <w:tcPr>
            <w:tcW w:w="3740" w:type="dxa"/>
            <w:vAlign w:val="bottom"/>
            <w:tcBorders>
              <w:left w:val="single" w:sz="8" w:color="auto"/>
              <w:right w:val="single" w:sz="8" w:color="auto"/>
            </w:tcBorders>
            <w:gridSpan w:val="13"/>
          </w:tcPr>
          <w:p>
            <w:pPr>
              <w:ind w:left="80"/>
              <w:spacing w:after="0"/>
              <w:rPr>
                <w:sz w:val="20"/>
                <w:szCs w:val="20"/>
                <w:color w:val="auto"/>
              </w:rPr>
            </w:pPr>
            <w:r>
              <w:rPr>
                <w:rFonts w:ascii="Arial" w:cs="Arial" w:eastAsia="Arial" w:hAnsi="Arial"/>
                <w:sz w:val="18"/>
                <w:szCs w:val="18"/>
                <w:color w:val="auto"/>
                <w:w w:val="98"/>
              </w:rPr>
              <w:t>Paying Agent services as required pursuant to</w:t>
            </w:r>
          </w:p>
        </w:tc>
        <w:tc>
          <w:tcPr>
            <w:tcW w:w="40" w:type="dxa"/>
            <w:vAlign w:val="bottom"/>
          </w:tcPr>
          <w:p>
            <w:pPr>
              <w:spacing w:after="0"/>
              <w:rPr>
                <w:sz w:val="19"/>
                <w:szCs w:val="19"/>
                <w:color w:val="auto"/>
              </w:rPr>
            </w:pPr>
          </w:p>
        </w:tc>
        <w:tc>
          <w:tcPr>
            <w:tcW w:w="55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7"/>
              </w:rPr>
              <w:t>Billed to Company upon delivery of service pursuant to Section 1(i) and</w:t>
            </w:r>
          </w:p>
        </w:tc>
        <w:tc>
          <w:tcPr>
            <w:tcW w:w="1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Prevailing rates</w:t>
            </w:r>
          </w:p>
        </w:tc>
      </w:tr>
      <w:tr>
        <w:trPr>
          <w:trHeight w:val="196"/>
        </w:trPr>
        <w:tc>
          <w:tcPr>
            <w:tcW w:w="3740" w:type="dxa"/>
            <w:vAlign w:val="bottom"/>
            <w:tcBorders>
              <w:left w:val="single" w:sz="8" w:color="auto"/>
              <w:right w:val="single" w:sz="8" w:color="auto"/>
            </w:tcBorders>
            <w:gridSpan w:val="13"/>
          </w:tcPr>
          <w:p>
            <w:pPr>
              <w:ind w:left="80"/>
              <w:spacing w:after="0" w:line="196" w:lineRule="exact"/>
              <w:rPr>
                <w:sz w:val="20"/>
                <w:szCs w:val="20"/>
                <w:color w:val="auto"/>
              </w:rPr>
            </w:pPr>
            <w:r>
              <w:rPr>
                <w:rFonts w:ascii="Arial" w:cs="Arial" w:eastAsia="Arial" w:hAnsi="Arial"/>
                <w:sz w:val="18"/>
                <w:szCs w:val="18"/>
                <w:color w:val="auto"/>
              </w:rPr>
              <w:t>Section 1(i) and 1(l)</w:t>
            </w:r>
          </w:p>
        </w:tc>
        <w:tc>
          <w:tcPr>
            <w:tcW w:w="40" w:type="dxa"/>
            <w:vAlign w:val="bottom"/>
          </w:tcPr>
          <w:p>
            <w:pPr>
              <w:spacing w:after="0"/>
              <w:rPr>
                <w:sz w:val="17"/>
                <w:szCs w:val="17"/>
                <w:color w:val="auto"/>
              </w:rPr>
            </w:pPr>
          </w:p>
        </w:tc>
        <w:tc>
          <w:tcPr>
            <w:tcW w:w="4640" w:type="dxa"/>
            <w:vAlign w:val="bottom"/>
            <w:gridSpan w:val="2"/>
          </w:tcPr>
          <w:p>
            <w:pPr>
              <w:spacing w:after="0" w:line="196" w:lineRule="exact"/>
              <w:rPr>
                <w:sz w:val="20"/>
                <w:szCs w:val="20"/>
                <w:color w:val="auto"/>
              </w:rPr>
            </w:pPr>
            <w:r>
              <w:rPr>
                <w:rFonts w:ascii="Arial" w:cs="Arial" w:eastAsia="Arial" w:hAnsi="Arial"/>
                <w:sz w:val="18"/>
                <w:szCs w:val="18"/>
                <w:color w:val="auto"/>
              </w:rPr>
              <w:t>1(l)</w:t>
            </w:r>
          </w:p>
        </w:tc>
        <w:tc>
          <w:tcPr>
            <w:tcW w:w="260" w:type="dxa"/>
            <w:vAlign w:val="bottom"/>
            <w:tcBorders>
              <w:top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r>
      <w:tr>
        <w:trPr>
          <w:trHeight w:val="74"/>
        </w:trPr>
        <w:tc>
          <w:tcPr>
            <w:tcW w:w="80" w:type="dxa"/>
            <w:vAlign w:val="bottom"/>
            <w:tcBorders>
              <w:left w:val="single" w:sz="8" w:color="auto"/>
              <w:bottom w:val="single" w:sz="8" w:color="auto"/>
            </w:tcBorders>
          </w:tcPr>
          <w:p>
            <w:pPr>
              <w:spacing w:after="0"/>
              <w:rPr>
                <w:sz w:val="6"/>
                <w:szCs w:val="6"/>
                <w:color w:val="auto"/>
              </w:rPr>
            </w:pPr>
          </w:p>
        </w:tc>
        <w:tc>
          <w:tcPr>
            <w:tcW w:w="840" w:type="dxa"/>
            <w:vAlign w:val="bottom"/>
            <w:tcBorders>
              <w:top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4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6" w:name="page297"/>
    <w:bookmarkEnd w:id="296"/>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 w:leader="none" w:pos="3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w:t>
      </w:r>
      <w:r>
        <w:rPr>
          <w:sz w:val="20"/>
          <w:szCs w:val="20"/>
          <w:color w:val="auto"/>
        </w:rPr>
        <w:tab/>
      </w:r>
      <w:r>
        <w:rPr>
          <w:rFonts w:ascii="Arial" w:cs="Arial" w:eastAsia="Arial" w:hAnsi="Arial"/>
          <w:sz w:val="16"/>
          <w:szCs w:val="16"/>
          <w:u w:val="single" w:color="auto"/>
          <w:color w:val="auto"/>
        </w:rPr>
        <w:t>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right="60" w:firstLine="1296"/>
        <w:spacing w:after="0" w:line="296"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1(i) of</w:t>
      </w:r>
      <w:r>
        <w:rPr>
          <w:rFonts w:ascii="Arial" w:cs="Arial" w:eastAsia="Arial" w:hAnsi="Arial"/>
          <w:sz w:val="16"/>
          <w:szCs w:val="16"/>
          <w:color w:val="auto"/>
        </w:rPr>
        <w:t xml:space="preserve"> the Investment Management Trust Agreement between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u w:val="single" w:color="auto"/>
          <w:color w:val="auto"/>
        </w:rPr>
        <w:t>Trustee</w:t>
      </w:r>
      <w:r>
        <w:rPr>
          <w:rFonts w:ascii="Arial" w:cs="Arial" w:eastAsia="Arial" w:hAnsi="Arial"/>
          <w:sz w:val="16"/>
          <w:szCs w:val="16"/>
          <w:color w:val="auto"/>
        </w:rPr>
        <w:t>”), dated as of [DATE]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this is to advise you that the Company has entered into an agreement with [insert name] (the “</w:t>
      </w:r>
      <w:r>
        <w:rPr>
          <w:rFonts w:ascii="Arial" w:cs="Arial" w:eastAsia="Arial" w:hAnsi="Arial"/>
          <w:sz w:val="16"/>
          <w:szCs w:val="16"/>
          <w:u w:val="single" w:color="auto"/>
          <w:color w:val="auto"/>
        </w:rPr>
        <w:t>Target Business</w:t>
      </w:r>
      <w:r>
        <w:rPr>
          <w:rFonts w:ascii="Arial" w:cs="Arial" w:eastAsia="Arial" w:hAnsi="Arial"/>
          <w:sz w:val="16"/>
          <w:szCs w:val="16"/>
          <w:color w:val="auto"/>
        </w:rPr>
        <w:t>”) to consummate a business combination with Target Business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on or about [insert date]. The Company shall notify you at least seventy-two (72) hours in advance of the actual date of the consummation of the Business Combination (the “</w:t>
      </w:r>
      <w:r>
        <w:rPr>
          <w:rFonts w:ascii="Arial" w:cs="Arial" w:eastAsia="Arial" w:hAnsi="Arial"/>
          <w:sz w:val="16"/>
          <w:szCs w:val="16"/>
          <w:u w:val="single" w:color="auto"/>
          <w:color w:val="auto"/>
        </w:rPr>
        <w:t>Consummation Date</w:t>
      </w:r>
      <w:r>
        <w:rPr>
          <w:rFonts w:ascii="Arial" w:cs="Arial" w:eastAsia="Arial" w:hAnsi="Arial"/>
          <w:sz w:val="16"/>
          <w:szCs w:val="16"/>
          <w:color w:val="auto"/>
        </w:rPr>
        <w:t>”). Capitalized terms used but not defined herein shall have the meanings set forth in the Trust Agreement.</w:t>
      </w:r>
    </w:p>
    <w:p>
      <w:pPr>
        <w:spacing w:after="0" w:line="161" w:lineRule="exact"/>
        <w:rPr>
          <w:sz w:val="20"/>
          <w:szCs w:val="20"/>
          <w:color w:val="auto"/>
        </w:rPr>
      </w:pPr>
    </w:p>
    <w:p>
      <w:pPr>
        <w:ind w:right="240" w:firstLine="1296"/>
        <w:spacing w:after="0" w:line="255" w:lineRule="auto"/>
        <w:rPr>
          <w:sz w:val="20"/>
          <w:szCs w:val="20"/>
          <w:color w:val="auto"/>
        </w:rPr>
      </w:pPr>
      <w:r>
        <w:rPr>
          <w:rFonts w:ascii="Arial" w:cs="Arial" w:eastAsia="Arial" w:hAnsi="Arial"/>
          <w:sz w:val="18"/>
          <w:szCs w:val="18"/>
          <w:color w:val="auto"/>
        </w:rPr>
        <w:t>In accordance with the terms of the Trust Agreement, we hereby authorize you to commence to liquidate all of the assets of the Trust Account, and to transfer the proceeds into the trust operating account at JPMorgan Chase Bank N.A. to the effect that, on the Consummation Date, all of the funds held in the Trust Account will be immediately available for transfer to the account or accounts that the Company shall direct on the Consummation Date (including as directed to it by the Representative) (with respect to the Deferred Discount). It is acknowledged and agreed that while the funds are on deposit in the trust operating account at JPMorgan Chase Bank N.A. awaiting distribution, the Company will not earn any interest or dividends.</w:t>
      </w:r>
    </w:p>
    <w:p>
      <w:pPr>
        <w:spacing w:after="0" w:line="192"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Arial" w:cs="Arial" w:eastAsia="Arial" w:hAnsi="Arial"/>
          <w:sz w:val="17"/>
          <w:szCs w:val="17"/>
          <w:u w:val="single" w:color="auto"/>
          <w:color w:val="auto"/>
        </w:rPr>
        <w:t>Notification</w:t>
      </w:r>
      <w:r>
        <w:rPr>
          <w:rFonts w:ascii="Arial" w:cs="Arial" w:eastAsia="Arial" w:hAnsi="Arial"/>
          <w:sz w:val="17"/>
          <w:szCs w:val="17"/>
          <w:color w:val="auto"/>
        </w:rPr>
        <w:t>”) and (ii) the Company shall deliver to you (a) [an affidavit] [a certificate] of the Chief Executive Officer of the Company, which verifies that the Business Combination has been approved by a vote of the Company’s stockholders, if a vote is held and (b) a joint written instruction signed by the Company and the Representative with respect to the transfer of the funds held in the Trust Account, including payment of amounts owed to public stockholders who have properly exercised their redemptions rights and payment of amounts of the Deferred Discount to the underwriter from the Trust Account (the “</w:t>
      </w:r>
      <w:r>
        <w:rPr>
          <w:rFonts w:ascii="Arial" w:cs="Arial" w:eastAsia="Arial" w:hAnsi="Arial"/>
          <w:sz w:val="17"/>
          <w:szCs w:val="17"/>
          <w:u w:val="single" w:color="auto"/>
          <w:color w:val="auto"/>
        </w:rPr>
        <w:t>Instruction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w:t>
      </w:r>
      <w:r>
        <w:rPr>
          <w:rFonts w:ascii="Arial" w:cs="Arial" w:eastAsia="Arial" w:hAnsi="Arial"/>
          <w:sz w:val="17"/>
          <w:szCs w:val="17"/>
          <w:color w:val="auto"/>
        </w:rPr>
        <w:t>”).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7" w:name="page298"/>
    <w:bookmarkEnd w:id="297"/>
    <w:p>
      <w:pPr>
        <w:jc w:val="both"/>
        <w:ind w:firstLine="1296"/>
        <w:spacing w:after="0" w:line="279" w:lineRule="auto"/>
        <w:rPr>
          <w:sz w:val="20"/>
          <w:szCs w:val="20"/>
          <w:color w:val="auto"/>
        </w:rPr>
      </w:pPr>
      <w:r>
        <w:rPr>
          <w:rFonts w:ascii="Arial" w:cs="Arial" w:eastAsia="Arial" w:hAnsi="Arial"/>
          <w:sz w:val="17"/>
          <w:szCs w:val="17"/>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Section 1(c) of the Trust Agreement on the business day immediately following the Consummation Date as set forth in such written instruction as soon thereafter as possible.</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298" w:name="page299"/>
    <w:bookmarkEnd w:id="298"/>
    <w:p>
      <w:pPr>
        <w:jc w:val="center"/>
        <w:ind w:right="-5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[Letterhead of Company] [Insert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 w:leader="none" w:pos="3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w:t>
      </w:r>
      <w:r>
        <w:rPr>
          <w:sz w:val="20"/>
          <w:szCs w:val="20"/>
          <w:color w:val="auto"/>
        </w:rPr>
        <w:tab/>
      </w:r>
      <w:r>
        <w:rPr>
          <w:rFonts w:ascii="Arial" w:cs="Arial" w:eastAsia="Arial" w:hAnsi="Arial"/>
          <w:sz w:val="16"/>
          <w:szCs w:val="16"/>
          <w:u w:val="single" w:color="auto"/>
          <w:color w:val="auto"/>
        </w:rPr>
        <w:t>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Pursuant to Section 1(i) of the Investment Management Trust Agreement between [COMPANY] (the “Company”) and Continental Stock Transfer &amp; Trust Company (the “Trustee”), dated as of [DATE] (the “Trust Agreement”), this is to advise you that the Company has been unable to effect a Business Combination with a Target Business within the time frame specified in the Company’s amended and restated Certificate of Incorporation, as described in the Company’s Prospectus relating to the Offering. Capitalized terms used but not defined herein shall have the meanings set forth in the Trust Agreement.</w:t>
      </w:r>
    </w:p>
    <w:p>
      <w:pPr>
        <w:spacing w:after="0" w:line="188" w:lineRule="exact"/>
        <w:rPr>
          <w:sz w:val="20"/>
          <w:szCs w:val="20"/>
          <w:color w:val="auto"/>
        </w:rPr>
      </w:pPr>
    </w:p>
    <w:p>
      <w:pPr>
        <w:ind w:right="180" w:firstLine="1296"/>
        <w:spacing w:after="0" w:line="254" w:lineRule="auto"/>
        <w:rPr>
          <w:sz w:val="20"/>
          <w:szCs w:val="20"/>
          <w:color w:val="auto"/>
        </w:rPr>
      </w:pPr>
      <w:r>
        <w:rPr>
          <w:rFonts w:ascii="Arial" w:cs="Arial" w:eastAsia="Arial" w:hAnsi="Arial"/>
          <w:sz w:val="18"/>
          <w:szCs w:val="18"/>
          <w:color w:val="auto"/>
        </w:rPr>
        <w:t>In accordance with the terms of the Trust Agreement, we hereby authorize you to liquidate all of the assets in the Trust Account and to transfer the total proceeds into a segregated account held by you on behalf of the Beneficiaries to await distribution to the Public Stockholders. The Company has selected [insert completion deadline] as the effective date for the purpose of determining when the Public Stockholders will be entitled to receive their share of the liquidation proceeds. You agree to be the Paying Agent of record and, in your separate capacity as Paying Agent, agree to distribute said funds directly to the Public Stockholders in accordance with the terms of the Trust Agreement and the amended and restated Certificate of Incorporation of the Company. Upon the distribution of all the funds, net of any payments necessary for reasonable unreimbursed expenses related to liquidating the Trust Account, your obligations under the Trust Agreement shall be terminated, except to the extent otherwise provided in Section 1(i) of the Trust Agreement.</w:t>
      </w:r>
    </w:p>
    <w:p>
      <w:pPr>
        <w:spacing w:after="0" w:line="19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[BANK]</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99" w:name="page300"/>
    <w:bookmarkEnd w:id="299"/>
    <w:p>
      <w:pPr>
        <w:jc w:val="center"/>
        <w:ind w:right="-3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[Letterhead of Company] [Insert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 w:leader="none" w:pos="3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w:t>
      </w:r>
      <w:r>
        <w:rPr>
          <w:sz w:val="20"/>
          <w:szCs w:val="20"/>
          <w:color w:val="auto"/>
        </w:rPr>
        <w:tab/>
      </w:r>
      <w:r>
        <w:rPr>
          <w:rFonts w:ascii="Arial" w:cs="Arial" w:eastAsia="Arial" w:hAnsi="Arial"/>
          <w:sz w:val="16"/>
          <w:szCs w:val="16"/>
          <w:u w:val="single" w:color="auto"/>
          <w:color w:val="auto"/>
        </w:rPr>
        <w:t>Tax Payment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right="20" w:firstLine="1296"/>
        <w:spacing w:after="0" w:line="287"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1(j) of</w:t>
      </w:r>
      <w:r>
        <w:rPr>
          <w:rFonts w:ascii="Arial" w:cs="Arial" w:eastAsia="Arial" w:hAnsi="Arial"/>
          <w:sz w:val="16"/>
          <w:szCs w:val="16"/>
          <w:color w:val="auto"/>
        </w:rPr>
        <w:t xml:space="preserve"> the Investment Management Trust Agreement between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u w:val="single" w:color="auto"/>
          <w:color w:val="auto"/>
        </w:rPr>
        <w:t>Trustee</w:t>
      </w:r>
      <w:r>
        <w:rPr>
          <w:rFonts w:ascii="Arial" w:cs="Arial" w:eastAsia="Arial" w:hAnsi="Arial"/>
          <w:sz w:val="16"/>
          <w:szCs w:val="16"/>
          <w:color w:val="auto"/>
        </w:rPr>
        <w:t>”), dated as of [DATE]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the Company hereby requests that you deliver to the Company $___________ of the interest income earned on the Property as of the date hereof. Capitalized terms used but not defined herein shall have the meanings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set forth in the Trust Agreement.</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[BANK]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00" w:name="page301"/>
    <w:bookmarkEnd w:id="300"/>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 [Insert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 w:leader="none" w:pos="3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w:t>
      </w:r>
      <w:r>
        <w:rPr>
          <w:sz w:val="20"/>
          <w:szCs w:val="20"/>
          <w:color w:val="auto"/>
        </w:rPr>
        <w:tab/>
      </w:r>
      <w:r>
        <w:rPr>
          <w:rFonts w:ascii="Arial" w:cs="Arial" w:eastAsia="Arial" w:hAnsi="Arial"/>
          <w:sz w:val="16"/>
          <w:szCs w:val="16"/>
          <w:u w:val="single" w:color="auto"/>
          <w:color w:val="auto"/>
        </w:rPr>
        <w:t>Working Capital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1(k) of</w:t>
      </w:r>
      <w:r>
        <w:rPr>
          <w:rFonts w:ascii="Arial" w:cs="Arial" w:eastAsia="Arial" w:hAnsi="Arial"/>
          <w:sz w:val="16"/>
          <w:szCs w:val="16"/>
          <w:color w:val="auto"/>
        </w:rPr>
        <w:t xml:space="preserve"> the Investment Management Trust Agreement between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u w:val="single" w:color="auto"/>
          <w:color w:val="auto"/>
        </w:rPr>
        <w:t>Trustee</w:t>
      </w:r>
      <w:r>
        <w:rPr>
          <w:rFonts w:ascii="Arial" w:cs="Arial" w:eastAsia="Arial" w:hAnsi="Arial"/>
          <w:sz w:val="16"/>
          <w:szCs w:val="16"/>
          <w:color w:val="auto"/>
        </w:rPr>
        <w:t>”), dated as of [DATE]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the Company hereby requests that you deliver to the Company $___________ of the interest income earned on the Property as of the date hereof. Capitalized terms used but not defined herein shall have the meanings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set forth in the Trust Agreement.</w:t>
      </w:r>
    </w:p>
    <w:p>
      <w:pPr>
        <w:spacing w:after="0" w:line="211" w:lineRule="exact"/>
        <w:rPr>
          <w:sz w:val="20"/>
          <w:szCs w:val="20"/>
          <w:color w:val="auto"/>
        </w:rPr>
      </w:pPr>
    </w:p>
    <w:p>
      <w:pPr>
        <w:ind w:right="180" w:firstLine="1296"/>
        <w:spacing w:after="0" w:line="342" w:lineRule="auto"/>
        <w:rPr>
          <w:sz w:val="20"/>
          <w:szCs w:val="20"/>
          <w:color w:val="auto"/>
        </w:rPr>
      </w:pPr>
      <w:r>
        <w:rPr>
          <w:rFonts w:ascii="Arial" w:cs="Arial" w:eastAsia="Arial" w:hAnsi="Arial"/>
          <w:sz w:val="16"/>
          <w:szCs w:val="16"/>
          <w:color w:val="auto"/>
        </w:rPr>
        <w:t>The Company needs such funds to fund its working capital requirements. In accordance with the terms of the Trust Agreement, you are hereby directed and authorized to transfer (via wire transfer) such funds promptly upon your receipt of this letter to the Company’s operating account at: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[BANK]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01" w:name="page302"/>
    <w:bookmarkEnd w:id="301"/>
    <w:p>
      <w:pPr>
        <w:jc w:val="center"/>
        <w:ind w:right="-59"/>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[Letterhead of Company] [Insert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 w:leader="none" w:pos="3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w:t>
      </w:r>
      <w:r>
        <w:rPr>
          <w:sz w:val="20"/>
          <w:szCs w:val="20"/>
          <w:color w:val="auto"/>
        </w:rPr>
        <w:tab/>
      </w:r>
      <w:r>
        <w:rPr>
          <w:rFonts w:ascii="Arial" w:cs="Arial" w:eastAsia="Arial" w:hAnsi="Arial"/>
          <w:sz w:val="16"/>
          <w:szCs w:val="16"/>
          <w:u w:val="single" w:color="auto"/>
          <w:color w:val="auto"/>
        </w:rPr>
        <w:t>Stockholder Redemption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1(l) of</w:t>
      </w:r>
      <w:r>
        <w:rPr>
          <w:rFonts w:ascii="Arial" w:cs="Arial" w:eastAsia="Arial" w:hAnsi="Arial"/>
          <w:sz w:val="16"/>
          <w:szCs w:val="16"/>
          <w:color w:val="auto"/>
        </w:rPr>
        <w:t xml:space="preserve"> the Investment Management Trust Agreement between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u w:val="single" w:color="auto"/>
          <w:color w:val="auto"/>
        </w:rPr>
        <w:t>Trustee</w:t>
      </w:r>
      <w:r>
        <w:rPr>
          <w:rFonts w:ascii="Arial" w:cs="Arial" w:eastAsia="Arial" w:hAnsi="Arial"/>
          <w:sz w:val="16"/>
          <w:szCs w:val="16"/>
          <w:color w:val="auto"/>
        </w:rPr>
        <w:t>”), dated as of [DATE]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the Company hereby requests that you deliver to the redeeming Public Stockholders of the Company $__________ of the principal and interest income earned on the Property as of the date hereof into a segregated</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account held by you on behalf of the Beneficiaries for distribution to the Stockholders who have requested redemption of their shares. Capitalized terms used but not defined herein shall have the meanings set forth in the Trust Agreement.</w:t>
      </w:r>
    </w:p>
    <w:p>
      <w:pPr>
        <w:spacing w:after="0" w:line="185" w:lineRule="exact"/>
        <w:rPr>
          <w:sz w:val="20"/>
          <w:szCs w:val="20"/>
          <w:color w:val="auto"/>
        </w:rPr>
      </w:pPr>
    </w:p>
    <w:p>
      <w:pPr>
        <w:jc w:val="both"/>
        <w:ind w:right="640" w:firstLine="1296"/>
        <w:spacing w:after="0" w:line="311" w:lineRule="auto"/>
        <w:rPr>
          <w:sz w:val="20"/>
          <w:szCs w:val="20"/>
          <w:color w:val="auto"/>
        </w:rPr>
      </w:pPr>
      <w:r>
        <w:rPr>
          <w:rFonts w:ascii="Arial" w:cs="Arial" w:eastAsia="Arial" w:hAnsi="Arial"/>
          <w:sz w:val="16"/>
          <w:szCs w:val="16"/>
          <w:color w:val="auto"/>
        </w:rPr>
        <w:t>The Company needs such funds to pay its Public Stockholders who have properly elected to have their shares of Common Stock redeemed by the Company in connection with a stockholder vote to approve an amendment to the Company’s amended and restated Certificate of Incorporation. As such, you are hereby directed and authorized to transfer (via wire transfer) such funds promptly upon your receipt of this letter.</w:t>
      </w:r>
    </w:p>
    <w:p>
      <w:pPr>
        <w:spacing w:after="0" w:line="14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[BANK]</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02" w:name="page303"/>
    <w:bookmarkEnd w:id="302"/>
    <w:p>
      <w:pPr>
        <w:jc w:val="right"/>
        <w:spacing w:after="0"/>
        <w:rPr>
          <w:sz w:val="20"/>
          <w:szCs w:val="20"/>
          <w:color w:val="auto"/>
        </w:rPr>
      </w:pPr>
      <w:r>
        <w:rPr>
          <w:rFonts w:ascii="Arial" w:cs="Arial" w:eastAsia="Arial" w:hAnsi="Arial"/>
          <w:sz w:val="22"/>
          <w:szCs w:val="22"/>
          <w:b w:val="1"/>
          <w:bCs w:val="1"/>
          <w:color w:val="auto"/>
        </w:rPr>
        <w:t>Exhibit 10.4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340" w:firstLine="1296"/>
        <w:spacing w:after="0" w:line="279" w:lineRule="auto"/>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[DATE], is made and entered into by and among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[SPONSOR COMPANY], a Delaware limited liability company (the “</w:t>
      </w:r>
      <w:r>
        <w:rPr>
          <w:rFonts w:ascii="Arial" w:cs="Arial" w:eastAsia="Arial" w:hAnsi="Arial"/>
          <w:sz w:val="17"/>
          <w:szCs w:val="17"/>
          <w:u w:val="single" w:color="auto"/>
          <w:color w:val="auto"/>
        </w:rPr>
        <w:t>Sponsor</w:t>
      </w:r>
      <w:r>
        <w:rPr>
          <w:rFonts w:ascii="Arial" w:cs="Arial" w:eastAsia="Arial" w:hAnsi="Arial"/>
          <w:sz w:val="17"/>
          <w:szCs w:val="17"/>
          <w:color w:val="auto"/>
        </w:rPr>
        <w:t xml:space="preserve">”), and the undersigned parties listed under Holder on the signature page hereto (each such party, together with the Sponsor and any person or entity who hereafter becomes a party to this Agreement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this Agreement, a “</w:t>
      </w:r>
      <w:r>
        <w:rPr>
          <w:rFonts w:ascii="Arial" w:cs="Arial" w:eastAsia="Arial" w:hAnsi="Arial"/>
          <w:sz w:val="17"/>
          <w:szCs w:val="17"/>
          <w:u w:val="single" w:color="auto"/>
          <w:color w:val="auto"/>
        </w:rPr>
        <w:t>Holder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Holders</w:t>
      </w:r>
      <w:r>
        <w:rPr>
          <w:rFonts w:ascii="Arial" w:cs="Arial" w:eastAsia="Arial" w:hAnsi="Arial"/>
          <w:sz w:val="17"/>
          <w:szCs w:val="17"/>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129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Sponsor have entered into that certain Securities Subscription Agreement, dated as of [DATE]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the Sponsor purchased an aggregate of [•] shares after giving effect to stock-splits occurring on or prior to the date hereof (the “</w:t>
      </w:r>
      <w:r>
        <w:rPr>
          <w:rFonts w:ascii="Arial" w:cs="Arial" w:eastAsia="Arial" w:hAnsi="Arial"/>
          <w:sz w:val="18"/>
          <w:szCs w:val="18"/>
          <w:u w:val="single" w:color="auto"/>
          <w:color w:val="auto"/>
        </w:rPr>
        <w:t>Founder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Class B common stock, par value $0.0001 per share (the “</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(up to [•] of which are subject to forfeiture depending on the extent to which the underwriter’s over-allotment option is exercised);</w:t>
      </w:r>
    </w:p>
    <w:p>
      <w:pPr>
        <w:spacing w:after="0" w:line="180" w:lineRule="exact"/>
        <w:rPr>
          <w:sz w:val="20"/>
          <w:szCs w:val="20"/>
          <w:color w:val="auto"/>
        </w:rPr>
      </w:pPr>
    </w:p>
    <w:p>
      <w:pPr>
        <w:ind w:right="160" w:firstLine="1296"/>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Founder Shares are convertible into shares of the Company’s Class A common stock, par value $0.0001 per share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on the terms and conditions provided in the Company’s amended and restated certificate of incorporation;</w:t>
      </w:r>
    </w:p>
    <w:p>
      <w:pPr>
        <w:spacing w:after="0" w:line="140" w:lineRule="exact"/>
        <w:rPr>
          <w:sz w:val="20"/>
          <w:szCs w:val="20"/>
          <w:color w:val="auto"/>
        </w:rPr>
      </w:pPr>
    </w:p>
    <w:p>
      <w:pPr>
        <w:ind w:right="80" w:firstLine="129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[DATE], the Company and the Sponsor entered into that certain Private Placement Warrants Purchase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the Sponsor agreed to purchase an aggregate of [•] warrants (or up to [•] warrants if the over-allotment option in connection with the Company’s initial public offering is exercised in full) (the “</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in a private placement occurring simultaneously with the closing of the Company’s initial public offering;</w:t>
      </w:r>
    </w:p>
    <w:p>
      <w:pPr>
        <w:spacing w:after="0" w:line="180" w:lineRule="exact"/>
        <w:rPr>
          <w:sz w:val="20"/>
          <w:szCs w:val="20"/>
          <w:color w:val="auto"/>
        </w:rPr>
      </w:pPr>
    </w:p>
    <w:p>
      <w:pPr>
        <w:jc w:val="both"/>
        <w:ind w:right="80" w:firstLine="1296"/>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order to finance transaction costs in connection with an intended initial business combination, the Sponsor or an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Sponsor or certain of the Company’s officer and directors may loan to the Company funds as the Company may require, of which up to $[•] of such loans may be convertible into warrants (“</w:t>
      </w:r>
      <w:r>
        <w:rPr>
          <w:rFonts w:ascii="Arial" w:cs="Arial" w:eastAsia="Arial" w:hAnsi="Arial"/>
          <w:sz w:val="18"/>
          <w:szCs w:val="18"/>
          <w:u w:val="single" w:color="auto"/>
          <w:color w:val="auto"/>
        </w:rPr>
        <w:t>Working Capital Warrants</w:t>
      </w:r>
      <w:r>
        <w:rPr>
          <w:rFonts w:ascii="Arial" w:cs="Arial" w:eastAsia="Arial" w:hAnsi="Arial"/>
          <w:sz w:val="18"/>
          <w:szCs w:val="18"/>
          <w:color w:val="auto"/>
        </w:rPr>
        <w:t>”) at a price of $1.00 per warrant; and</w:t>
      </w:r>
    </w:p>
    <w:p>
      <w:pPr>
        <w:spacing w:after="0" w:line="176" w:lineRule="exact"/>
        <w:rPr>
          <w:sz w:val="20"/>
          <w:szCs w:val="20"/>
          <w:color w:val="auto"/>
        </w:rPr>
      </w:pPr>
    </w:p>
    <w:p>
      <w:pPr>
        <w:ind w:right="180" w:firstLine="129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registration rights with respect to certain securities of the Company, as set forth in this Agreement.</w:t>
      </w:r>
    </w:p>
    <w:p>
      <w:pPr>
        <w:spacing w:after="0" w:line="162" w:lineRule="exact"/>
        <w:rPr>
          <w:sz w:val="20"/>
          <w:szCs w:val="20"/>
          <w:color w:val="auto"/>
        </w:rPr>
      </w:pPr>
    </w:p>
    <w:p>
      <w:pPr>
        <w:ind w:right="200" w:firstLine="1296"/>
        <w:spacing w:after="0" w:line="266"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representations, covenants and agreements contained herein, and certain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hereto,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03" w:name="page304"/>
    <w:bookmarkEnd w:id="303"/>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right"/>
        <w:spacing w:after="0"/>
        <w:tabs>
          <w:tab w:leader="none" w:pos="91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terms defined in this</w:t>
      </w:r>
      <w:r>
        <w:rPr>
          <w:rFonts w:ascii="Arial" w:cs="Arial" w:eastAsia="Arial" w:hAnsi="Arial"/>
          <w:sz w:val="16"/>
          <w:szCs w:val="16"/>
          <w:u w:val="single" w:color="auto"/>
          <w:color w:val="auto"/>
        </w:rPr>
        <w:t xml:space="preserve"> Article I </w:t>
      </w:r>
      <w:r>
        <w:rPr>
          <w:rFonts w:ascii="Arial" w:cs="Arial" w:eastAsia="Arial" w:hAnsi="Arial"/>
          <w:sz w:val="16"/>
          <w:szCs w:val="16"/>
          <w:color w:val="auto"/>
        </w:rPr>
        <w:t>shall, for all purposes of this Agreement, have the respective meanings set forth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right="80"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Adverse Disclosure</w:t>
      </w:r>
      <w:r>
        <w:rPr>
          <w:rFonts w:ascii="Arial" w:cs="Arial" w:eastAsia="Arial" w:hAnsi="Arial"/>
          <w:sz w:val="16"/>
          <w:szCs w:val="16"/>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shall mean any merger, capital stock exchange, asset acquisition, stock purchase, reorganization or other similar business combination with one or more businesses, involving the Company.</w:t>
      </w:r>
    </w:p>
    <w:p>
      <w:pPr>
        <w:spacing w:after="0" w:line="170"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or a Sunday, that is neither a legal holiday nor a day on which banking institutions are generally authorized or required by law or regulation to close in the City of New York, New York.</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04" w:name="page305"/>
    <w:bookmarkEnd w:id="304"/>
    <w:p>
      <w:pPr>
        <w:ind w:right="5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Shares</w:t>
      </w:r>
      <w:r>
        <w:rPr>
          <w:rFonts w:ascii="Arial" w:cs="Arial" w:eastAsia="Arial" w:hAnsi="Arial"/>
          <w:sz w:val="18"/>
          <w:szCs w:val="18"/>
          <w:color w:val="auto"/>
        </w:rPr>
        <w:t>” shall have the meaning given in the Recitals hereto and shall be deemed to include the shares of Common Stock issuable upon conversion thereof.</w:t>
      </w:r>
    </w:p>
    <w:p>
      <w:pPr>
        <w:spacing w:after="0" w:line="170" w:lineRule="exact"/>
        <w:rPr>
          <w:sz w:val="20"/>
          <w:szCs w:val="20"/>
          <w:color w:val="auto"/>
        </w:rPr>
      </w:pPr>
    </w:p>
    <w:p>
      <w:pPr>
        <w:ind w:right="200"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Founder Shares Lock-up Period</w:t>
      </w:r>
      <w:r>
        <w:rPr>
          <w:rFonts w:ascii="Arial" w:cs="Arial" w:eastAsia="Arial" w:hAnsi="Arial"/>
          <w:sz w:val="17"/>
          <w:szCs w:val="17"/>
          <w:color w:val="auto"/>
        </w:rPr>
        <w:t>” shall mean, with respect to the Founder Shares, the period ending on the earlier of (A) one year after the completion of the Company’s initial Business Combination or (B) subsequent to the Business Combination, (x) if the closing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 Letter</w:t>
      </w:r>
      <w:r>
        <w:rPr>
          <w:rFonts w:ascii="Arial" w:cs="Arial" w:eastAsia="Arial" w:hAnsi="Arial"/>
          <w:sz w:val="18"/>
          <w:szCs w:val="18"/>
          <w:color w:val="auto"/>
        </w:rPr>
        <w:t>” shall mean that certain letter agreement, dated as of [DATE], by and among the Company, the Sponsor and each of the Company’s officers, directors and director nominees.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ind w:right="3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84"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Transferees</w:t>
      </w:r>
      <w:r>
        <w:rPr>
          <w:rFonts w:ascii="Arial" w:cs="Arial" w:eastAsia="Arial" w:hAnsi="Arial"/>
          <w:sz w:val="18"/>
          <w:szCs w:val="18"/>
          <w:color w:val="auto"/>
        </w:rPr>
        <w:t>” shall mean any person or entity to whom a Holder of Registrable Securities is permitted to transfer such Registrable Securities prior to the expiration of the Founder Shares Lock-up Period or Private Placement Lock-up Period, as the case may be, and pursuant to the Insider Letter and any other applicable agreement between such Holder and the Company, in each case for so long as such agreements remain in effect, and to any transferee thereafter.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Private Placement Lock-up Period</w:t>
      </w:r>
      <w:r>
        <w:rPr>
          <w:rFonts w:ascii="Arial" w:cs="Arial" w:eastAsia="Arial" w:hAnsi="Arial"/>
          <w:sz w:val="17"/>
          <w:szCs w:val="17"/>
          <w:color w:val="auto"/>
        </w:rPr>
        <w:t>” shall mean, with respect to Private Placement Warrants that are held by the initial purchasers of such Private Placement Warrants or their Permitted Transferees, the Private Placement Warrants and any shares of Common Stock issued or issuable upon the exercise or conversion of the Private Placement Warrants and that are held by the initial purchasers of the Private Placement Warrants or their Permitted Transferees, the period ending 30 days after the completion of the Company’s initial Business Combination.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05" w:name="page306"/>
    <w:bookmarkEnd w:id="30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right="14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ind w:right="20"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Security</w:t>
      </w:r>
      <w:r>
        <w:rPr>
          <w:rFonts w:ascii="Arial" w:cs="Arial" w:eastAsia="Arial" w:hAnsi="Arial"/>
          <w:sz w:val="17"/>
          <w:szCs w:val="17"/>
          <w:color w:val="auto"/>
        </w:rPr>
        <w:t xml:space="preserve">” shall mean (a) the shares of Common Stock issued or issuable upon the conversion of any Founder Shares, (b) the Private Placement Warrants (including any shares of Common Stock issued or issuable upon the exercise of any such Private Placement Warrants), (c) any outstanding share of Common Stock or any other equity security (including, without limitation, the shares of Common Stock issued or issuable upon the exercise of any other equity security, units comprising shares of Common Stock and warrants, and warrants) of the Company held by a Holder from time to time, (d) any equity securities (including the shares of Common Stock issued or issuable upon the exercise of any such equity security) of the Company issuable upon conversion of any working capital loans in an amount up to $[•] made to the Company by a Holder (including the Working Capital Warrants and any shares of Common Stock issuable upon the exercise of the Working Capital Warrants), and (e)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have been sold without registration pursuant to Rule 144 promulgated under the Securities Act (or any successor rule promulgated by the Commission); or (E) such securities have been sold to, or through, a broker, dealer or underwriter in a public distribution or other public securities transaction.</w:t>
      </w:r>
    </w:p>
    <w:p>
      <w:pPr>
        <w:spacing w:after="0" w:line="180"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right="820" w:firstLine="1304"/>
        <w:spacing w:after="0" w:line="277" w:lineRule="auto"/>
        <w:tabs>
          <w:tab w:leader="none" w:pos="208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70" w:lineRule="exact"/>
        <w:rPr>
          <w:rFonts w:ascii="Arial" w:cs="Arial" w:eastAsia="Arial" w:hAnsi="Arial"/>
          <w:sz w:val="18"/>
          <w:szCs w:val="18"/>
          <w:color w:val="auto"/>
        </w:rPr>
      </w:pPr>
    </w:p>
    <w:p>
      <w:pPr>
        <w:ind w:right="120" w:firstLine="1304"/>
        <w:spacing w:after="0" w:line="277" w:lineRule="auto"/>
        <w:tabs>
          <w:tab w:leader="none" w:pos="207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2080" w:hanging="776"/>
        <w:spacing w:after="0"/>
        <w:tabs>
          <w:tab w:leader="none" w:pos="2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06" w:name="page307"/>
    <w:bookmarkEnd w:id="306"/>
    <w:p>
      <w:pPr>
        <w:ind w:left="2100" w:hanging="796"/>
        <w:spacing w:after="0"/>
        <w:tabs>
          <w:tab w:leader="none" w:pos="21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right="280" w:firstLine="1304"/>
        <w:spacing w:after="0" w:line="277" w:lineRule="auto"/>
        <w:tabs>
          <w:tab w:leader="none" w:pos="206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right="120" w:firstLine="1304"/>
        <w:spacing w:after="0" w:line="277" w:lineRule="auto"/>
        <w:tabs>
          <w:tab w:leader="none" w:pos="205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70" w:lineRule="exact"/>
        <w:rPr>
          <w:sz w:val="20"/>
          <w:szCs w:val="20"/>
          <w:color w:val="auto"/>
        </w:rPr>
      </w:pPr>
    </w:p>
    <w:p>
      <w:pPr>
        <w:ind w:right="12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shall have the meaning given in the Preamble hereto.</w:t>
      </w:r>
    </w:p>
    <w:p>
      <w:pPr>
        <w:spacing w:after="0" w:line="225"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right="4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Registration</w:t>
      </w:r>
      <w:r>
        <w:rPr>
          <w:rFonts w:ascii="Arial" w:cs="Arial" w:eastAsia="Arial" w:hAnsi="Arial"/>
          <w:sz w:val="18"/>
          <w:szCs w:val="18"/>
          <w:color w:val="auto"/>
        </w:rPr>
        <w:t>” or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Warrants</w:t>
      </w:r>
      <w:r>
        <w:rPr>
          <w:rFonts w:ascii="Arial" w:cs="Arial" w:eastAsia="Arial" w:hAnsi="Arial"/>
          <w:sz w:val="18"/>
          <w:szCs w:val="18"/>
          <w:color w:val="auto"/>
        </w:rPr>
        <w:t>” shall have the meaning given in the Recitals hereto.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REGISTRATIONS</w:t>
      </w:r>
    </w:p>
    <w:p>
      <w:pPr>
        <w:spacing w:after="0" w:line="21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sz w:val="20"/>
          <w:szCs w:val="20"/>
          <w:color w:val="auto"/>
        </w:rPr>
      </w:pPr>
    </w:p>
    <w:p>
      <w:pPr>
        <w:ind w:right="20" w:firstLine="1944"/>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at any time and from time to time on or after the date the Company consummates the Business Combination, the Holders of at least 20% in interest of the then-outstanding number of Registrable Securities (the “</w:t>
      </w:r>
      <w:r>
        <w:rPr>
          <w:rFonts w:ascii="Arial" w:cs="Arial" w:eastAsia="Arial" w:hAnsi="Arial"/>
          <w:sz w:val="16"/>
          <w:szCs w:val="16"/>
          <w:u w:val="single" w:color="auto"/>
          <w:color w:val="auto"/>
        </w:rPr>
        <w:t>Demanding Holders</w:t>
      </w:r>
      <w:r>
        <w:rPr>
          <w:rFonts w:ascii="Arial" w:cs="Arial" w:eastAsia="Arial" w:hAnsi="Arial"/>
          <w:sz w:val="16"/>
          <w:szCs w:val="16"/>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The Company shall, within three (3) Business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u w:val="single" w:color="auto"/>
          <w:color w:val="auto"/>
        </w:rPr>
        <w:t>Requesting Holder</w:t>
      </w:r>
      <w:r>
        <w:rPr>
          <w:rFonts w:ascii="Arial" w:cs="Arial" w:eastAsia="Arial" w:hAnsi="Arial"/>
          <w:sz w:val="16"/>
          <w:szCs w:val="16"/>
          <w:color w:val="auto"/>
        </w:rPr>
        <w:t>”) shall so notify the Company, in writing, within five</w:t>
      </w:r>
    </w:p>
    <w:p>
      <w:pPr>
        <w:spacing w:after="0" w:line="1" w:lineRule="exact"/>
        <w:rPr>
          <w:sz w:val="20"/>
          <w:szCs w:val="20"/>
          <w:color w:val="auto"/>
        </w:rPr>
      </w:pPr>
    </w:p>
    <w:p>
      <w:pPr>
        <w:ind w:firstLine="8"/>
        <w:spacing w:after="0" w:line="268" w:lineRule="auto"/>
        <w:tabs>
          <w:tab w:leader="none" w:pos="25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Business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four (4) Registrations pursuant to a Demand Registration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with respect to any or all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Registration shall not be counted for such purposes unless a Form S-1 or any similar long-form registration statement that may be available at such time (“</w:t>
      </w:r>
      <w:r>
        <w:rPr>
          <w:rFonts w:ascii="Arial" w:cs="Arial" w:eastAsia="Arial" w:hAnsi="Arial"/>
          <w:sz w:val="17"/>
          <w:szCs w:val="17"/>
          <w:u w:val="single" w:color="auto"/>
          <w:color w:val="auto"/>
        </w:rPr>
        <w:t>Form S-1</w:t>
      </w:r>
      <w:r>
        <w:rPr>
          <w:rFonts w:ascii="Arial" w:cs="Arial" w:eastAsia="Arial" w:hAnsi="Arial"/>
          <w:sz w:val="17"/>
          <w:szCs w:val="17"/>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this Agreement.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7" w:name="page308"/>
    <w:bookmarkEnd w:id="307"/>
    <w:p>
      <w:pPr>
        <w:ind w:firstLine="1944"/>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2" w:lineRule="exact"/>
        <w:rPr>
          <w:sz w:val="20"/>
          <w:szCs w:val="20"/>
          <w:color w:val="auto"/>
        </w:rPr>
      </w:pPr>
    </w:p>
    <w:p>
      <w:pPr>
        <w:ind w:right="40" w:firstLine="1944"/>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166" w:lineRule="exact"/>
        <w:rPr>
          <w:sz w:val="20"/>
          <w:szCs w:val="20"/>
          <w:color w:val="auto"/>
        </w:rPr>
      </w:pPr>
    </w:p>
    <w:p>
      <w:pPr>
        <w:ind w:right="100" w:firstLine="1944"/>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Underwritten Offering</w:t>
      </w:r>
      <w:r>
        <w:rPr>
          <w:rFonts w:ascii="Arial" w:cs="Arial" w:eastAsia="Arial" w:hAnsi="Arial"/>
          <w:sz w:val="16"/>
          <w:szCs w:val="16"/>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6"/>
          <w:szCs w:val="16"/>
          <w:u w:val="single" w:color="auto"/>
          <w:color w:val="auto"/>
        </w:rPr>
        <w:t>Maximum Number of Securities</w:t>
      </w:r>
      <w:r>
        <w:rPr>
          <w:rFonts w:ascii="Arial" w:cs="Arial" w:eastAsia="Arial" w:hAnsi="Arial"/>
          <w:sz w:val="16"/>
          <w:szCs w:val="16"/>
          <w:color w:val="auto"/>
        </w:rPr>
        <w:t>”), then the Company shall include in such Underwritten Offering, as follows: (i) first, the Registrable Securities of the Demanding Holders and the Requesting Holders (if any)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based on the respective number of Registrable Securities that each Demanding Holder and Requesting Holder (if any) holds prior to such Underwritten Registration) that can be sold without exceeding the Maximum Number of Securities; (ii) second, to the extent that the Maximum Number of Securities has not been reached under the foregoing clause (i), Common Stock or other equity securities for the account of other persons or entities that the Company is obligated to register pursuant to separate written contractual arrangements with such persons or entities and that can be sold without exceeding the Maximum Number of Securities; and (iii) third, to the extent that the Maximum Number of Securities has not been reached under the foregoing clauses (i) and (ii), Common Stock or other equity securities that the Company desires to sell, which can be sold without exceeding the Maximum Number of Securities.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08" w:name="page309"/>
    <w:bookmarkEnd w:id="308"/>
    <w:p>
      <w:pPr>
        <w:ind w:right="120" w:firstLine="1944"/>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Demanding Holders initiating a Demand Registration or a majority-in-interest of the Requesting Holders (if any), pursuant to a Registration under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9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firstLine="1944"/>
        <w:spacing w:after="0" w:line="286"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other than a Registration Statement</w:t>
      </w:r>
    </w:p>
    <w:p>
      <w:pPr>
        <w:spacing w:after="0" w:line="1" w:lineRule="exact"/>
        <w:rPr>
          <w:sz w:val="20"/>
          <w:szCs w:val="20"/>
          <w:color w:val="auto"/>
        </w:rPr>
      </w:pPr>
    </w:p>
    <w:p>
      <w:pPr>
        <w:ind w:right="60" w:firstLine="8"/>
        <w:spacing w:after="0" w:line="281" w:lineRule="auto"/>
        <w:tabs>
          <w:tab w:leader="none" w:pos="21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filed in connection with any employee stock option or other benefit plan, (ii) for an exchange offer or offering of securities solely to the Company’s existing stockholders,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three</w:t>
      </w:r>
    </w:p>
    <w:p>
      <w:pPr>
        <w:spacing w:after="0" w:line="1" w:lineRule="exact"/>
        <w:rPr>
          <w:rFonts w:ascii="Arial" w:cs="Arial" w:eastAsia="Arial" w:hAnsi="Arial"/>
          <w:sz w:val="16"/>
          <w:szCs w:val="16"/>
          <w:color w:val="auto"/>
        </w:rPr>
      </w:pPr>
    </w:p>
    <w:p>
      <w:pPr>
        <w:ind w:right="60"/>
        <w:spacing w:after="0" w:line="286" w:lineRule="auto"/>
        <w:rPr>
          <w:rFonts w:ascii="Arial" w:cs="Arial" w:eastAsia="Arial" w:hAnsi="Arial"/>
          <w:sz w:val="16"/>
          <w:szCs w:val="16"/>
          <w:color w:val="auto"/>
        </w:rPr>
      </w:pPr>
      <w:r>
        <w:rPr>
          <w:rFonts w:ascii="Arial" w:cs="Arial" w:eastAsia="Arial" w:hAnsi="Arial"/>
          <w:sz w:val="16"/>
          <w:szCs w:val="16"/>
          <w:color w:val="auto"/>
        </w:rPr>
        <w:t>(3) Business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Business Days after receipt of such written notice (such Registration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enter into an underwriting agreement in customary form with the Underwriter(s) selected for such Underwritten Offering by the Company.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09" w:name="page310"/>
    <w:bookmarkEnd w:id="309"/>
    <w:p>
      <w:pPr>
        <w:ind w:right="60" w:firstLine="1944"/>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77" w:lineRule="exact"/>
        <w:rPr>
          <w:sz w:val="20"/>
          <w:szCs w:val="20"/>
          <w:color w:val="auto"/>
        </w:rPr>
      </w:pPr>
    </w:p>
    <w:p>
      <w:pPr>
        <w:ind w:right="220" w:firstLine="2600"/>
        <w:spacing w:after="0" w:line="254" w:lineRule="auto"/>
        <w:tabs>
          <w:tab w:leader="none" w:pos="333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If the Registration is undertaken for the Company’s account, the Company shall include in any such Registration (A) first, Common Stock or other equity securities that the Company desires to sell, which can be sold without exceeding the Maximum Number of Securities; and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hereof and Common Stock, if any, as to which Registration has been requested pursuant to written contractual piggy-back registration rights of other stockholders of the Company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rata</w:t>
      </w:r>
      <w:r>
        <w:rPr>
          <w:rFonts w:ascii="Arial" w:cs="Arial" w:eastAsia="Arial" w:hAnsi="Arial"/>
          <w:sz w:val="18"/>
          <w:szCs w:val="18"/>
          <w:color w:val="auto"/>
        </w:rPr>
        <w:t xml:space="preserve"> based on the respective number of Registrable Securities that each stockholder holds prior to such Underwritten Registration), which can be sold without exceeding the Maximum Number of Securities;</w:t>
      </w:r>
    </w:p>
    <w:p>
      <w:pPr>
        <w:spacing w:after="0" w:line="194" w:lineRule="exact"/>
        <w:rPr>
          <w:rFonts w:ascii="Arial" w:cs="Arial" w:eastAsia="Arial" w:hAnsi="Arial"/>
          <w:sz w:val="18"/>
          <w:szCs w:val="18"/>
          <w:color w:val="auto"/>
        </w:rPr>
      </w:pPr>
    </w:p>
    <w:p>
      <w:pPr>
        <w:ind w:firstLine="2600"/>
        <w:spacing w:after="0" w:line="284" w:lineRule="auto"/>
        <w:tabs>
          <w:tab w:leader="none" w:pos="3341"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If the Registration is pursuant to a request by persons or entities other than the Holders of Registrable Securities, then the Company shall include in any such Registration (A) first,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and Common Stock or other equity securities for the account of other persons or entities that the Company is obligated to register pursuant to separate written contractual arrangements with such persons or entities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based on the respective number of Registrable Securities that each stockholder holds prior to such Underwritten Registration), which can be sold without exceeding the Maximum Number of Securities; and (C) third, to the extent that the Maximum Number of Securities has not been reached under the foregoing clauses</w:t>
      </w:r>
    </w:p>
    <w:p>
      <w:pPr>
        <w:ind w:right="360" w:firstLine="8"/>
        <w:spacing w:after="0" w:line="260" w:lineRule="auto"/>
        <w:tabs>
          <w:tab w:leader="none" w:pos="29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and (B), Common Stock or other equity securities that the Company desires to sell, which can be sold without exceeding the Maximum Number of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0" w:name="page311"/>
    <w:bookmarkEnd w:id="310"/>
    <w:p>
      <w:pPr>
        <w:ind w:right="60" w:firstLine="1944"/>
        <w:spacing w:after="0" w:line="254"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Piggyback Registration Withdrawal</w:t>
      </w:r>
      <w:r>
        <w:rPr>
          <w:rFonts w:ascii="Arial" w:cs="Arial" w:eastAsia="Arial" w:hAnsi="Arial"/>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8"/>
          <w:szCs w:val="18"/>
          <w:u w:val="single" w:color="auto"/>
          <w:color w:val="auto"/>
        </w:rPr>
        <w:t>subsection 2.2.3</w:t>
      </w:r>
      <w:r>
        <w:rPr>
          <w:rFonts w:ascii="Arial" w:cs="Arial" w:eastAsia="Arial" w:hAnsi="Arial"/>
          <w:sz w:val="18"/>
          <w:szCs w:val="18"/>
          <w:color w:val="auto"/>
        </w:rPr>
        <w:t>.</w:t>
      </w:r>
    </w:p>
    <w:p>
      <w:pPr>
        <w:spacing w:after="0" w:line="192" w:lineRule="exact"/>
        <w:rPr>
          <w:sz w:val="20"/>
          <w:szCs w:val="20"/>
          <w:color w:val="auto"/>
        </w:rPr>
      </w:pPr>
    </w:p>
    <w:p>
      <w:pPr>
        <w:ind w:right="60" w:firstLine="1944"/>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Registrations on Form S-3</w:t>
      </w:r>
      <w:r>
        <w:rPr>
          <w:rFonts w:ascii="Arial" w:cs="Arial" w:eastAsia="Arial" w:hAnsi="Arial"/>
          <w:sz w:val="17"/>
          <w:szCs w:val="17"/>
          <w:color w:val="auto"/>
        </w:rPr>
        <w:t>. The Holders of Registrable Securities may at any time, and from time to time, request in writing that the Company, pursuant to Rule 415 under the Securities Act (or any successor rule promulgated thereafter by the Commission if so requested), register the resale of any or all of their Registrable Securities on Form S-3 or any similar short form registration statement that may be available at such time (“</w:t>
      </w:r>
      <w:r>
        <w:rPr>
          <w:rFonts w:ascii="Arial" w:cs="Arial" w:eastAsia="Arial" w:hAnsi="Arial"/>
          <w:sz w:val="17"/>
          <w:szCs w:val="17"/>
          <w:u w:val="single" w:color="auto"/>
          <w:color w:val="auto"/>
        </w:rPr>
        <w:t>Form S-3</w:t>
      </w:r>
      <w:r>
        <w:rPr>
          <w:rFonts w:ascii="Arial" w:cs="Arial" w:eastAsia="Arial" w:hAnsi="Arial"/>
          <w:sz w:val="17"/>
          <w:szCs w:val="17"/>
          <w:color w:val="auto"/>
        </w:rPr>
        <w:t xml:space="preserve">”). Within three (3) Business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to effect any such Registration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$25,000,000.</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11" w:name="page312"/>
    <w:bookmarkEnd w:id="311"/>
    <w:p>
      <w:pPr>
        <w:ind w:right="120" w:firstLine="1296"/>
        <w:spacing w:after="0" w:line="277" w:lineRule="auto"/>
        <w:rPr>
          <w:sz w:val="20"/>
          <w:szCs w:val="20"/>
          <w:color w:val="auto"/>
        </w:rPr>
      </w:pPr>
      <w:r>
        <w:rPr>
          <w:rFonts w:ascii="Arial" w:cs="Arial" w:eastAsia="Arial" w:hAnsi="Arial"/>
          <w:sz w:val="18"/>
          <w:szCs w:val="18"/>
          <w:color w:val="auto"/>
        </w:rPr>
        <w:t xml:space="preserve">Any request for an underwritten offering pursuant to a Form S-3 shall follow the procedures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but shall not count against the number of long form Demand Registrations that may be made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70" w:lineRule="exact"/>
        <w:rPr>
          <w:sz w:val="20"/>
          <w:szCs w:val="20"/>
          <w:color w:val="auto"/>
        </w:rPr>
      </w:pPr>
    </w:p>
    <w:p>
      <w:pPr>
        <w:ind w:right="60" w:firstLine="1296"/>
        <w:spacing w:after="0" w:line="28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has delivered written notice to the Holders prior to receipt of a Demand Registration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defer its obligation in this manner more than once in any 12-month period. Notwithstanding anything to the contrary contained in this Agreement, no Registration shall be effected or permitted and no Registration Statement shall become effective, with respect to any Registrable Securities held by any Holder, until after the expiration of the Founder Shares Lock-Up Period or the Private Placement Lock-Up Period, as the case may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PROCEDURES</w:t>
      </w:r>
    </w:p>
    <w:p>
      <w:pPr>
        <w:spacing w:after="0" w:line="211" w:lineRule="exact"/>
        <w:rPr>
          <w:sz w:val="20"/>
          <w:szCs w:val="20"/>
          <w:color w:val="auto"/>
        </w:rPr>
      </w:pPr>
    </w:p>
    <w:p>
      <w:pPr>
        <w:ind w:right="240" w:firstLine="1296"/>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Procedures</w:t>
      </w:r>
      <w:r>
        <w:rPr>
          <w:rFonts w:ascii="Arial" w:cs="Arial" w:eastAsia="Arial" w:hAnsi="Arial"/>
          <w:sz w:val="16"/>
          <w:szCs w:val="16"/>
          <w:color w:val="auto"/>
        </w:rPr>
        <w:t>.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49" w:lineRule="exact"/>
        <w:rPr>
          <w:sz w:val="20"/>
          <w:szCs w:val="20"/>
          <w:color w:val="auto"/>
        </w:rPr>
      </w:pPr>
    </w:p>
    <w:p>
      <w:pPr>
        <w:ind w:right="40" w:firstLine="1944"/>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ind w:firstLine="1944"/>
        <w:spacing w:after="0" w:line="275" w:lineRule="auto"/>
        <w:rPr>
          <w:sz w:val="20"/>
          <w:szCs w:val="20"/>
          <w:color w:val="auto"/>
        </w:rPr>
      </w:pPr>
      <w:r>
        <w:rPr>
          <w:rFonts w:ascii="Arial" w:cs="Arial" w:eastAsia="Arial" w:hAnsi="Arial"/>
          <w:sz w:val="17"/>
          <w:szCs w:val="17"/>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2" w:name="page313"/>
    <w:bookmarkEnd w:id="312"/>
    <w:p>
      <w:pPr>
        <w:ind w:right="40" w:firstLine="1944"/>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78" w:lineRule="exact"/>
        <w:rPr>
          <w:sz w:val="20"/>
          <w:szCs w:val="20"/>
          <w:color w:val="auto"/>
        </w:rPr>
      </w:pPr>
    </w:p>
    <w:p>
      <w:pPr>
        <w:ind w:right="100" w:firstLine="1944"/>
        <w:spacing w:after="0" w:line="270" w:lineRule="auto"/>
        <w:rPr>
          <w:sz w:val="20"/>
          <w:szCs w:val="20"/>
          <w:color w:val="auto"/>
        </w:rPr>
      </w:pPr>
      <w:r>
        <w:rPr>
          <w:rFonts w:ascii="Arial" w:cs="Arial" w:eastAsia="Arial" w:hAnsi="Arial"/>
          <w:sz w:val="17"/>
          <w:szCs w:val="17"/>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1" w:lineRule="exact"/>
        <w:rPr>
          <w:sz w:val="20"/>
          <w:szCs w:val="20"/>
          <w:color w:val="auto"/>
        </w:rPr>
      </w:pPr>
    </w:p>
    <w:p>
      <w:pPr>
        <w:ind w:right="380" w:firstLine="1944"/>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ind w:firstLine="1944"/>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ind w:right="80" w:firstLine="1944"/>
        <w:spacing w:after="0" w:line="259" w:lineRule="auto"/>
        <w:rPr>
          <w:sz w:val="20"/>
          <w:szCs w:val="20"/>
          <w:color w:val="auto"/>
        </w:rPr>
      </w:pPr>
      <w:r>
        <w:rPr>
          <w:rFonts w:ascii="Arial" w:cs="Arial" w:eastAsia="Arial" w:hAnsi="Arial"/>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87" w:lineRule="exact"/>
        <w:rPr>
          <w:sz w:val="20"/>
          <w:szCs w:val="20"/>
          <w:color w:val="auto"/>
        </w:rPr>
      </w:pPr>
    </w:p>
    <w:p>
      <w:pPr>
        <w:ind w:right="500" w:firstLine="1944"/>
        <w:spacing w:after="0" w:line="263" w:lineRule="auto"/>
        <w:rPr>
          <w:sz w:val="20"/>
          <w:szCs w:val="20"/>
          <w:color w:val="auto"/>
        </w:rPr>
      </w:pPr>
      <w:r>
        <w:rPr>
          <w:rFonts w:ascii="Arial" w:cs="Arial" w:eastAsia="Arial" w:hAnsi="Arial"/>
          <w:sz w:val="18"/>
          <w:szCs w:val="18"/>
          <w:color w:val="auto"/>
        </w:rPr>
        <w:t>3.1.8 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3" w:name="page314"/>
    <w:bookmarkEnd w:id="313"/>
    <w:p>
      <w:pPr>
        <w:ind w:right="40" w:firstLine="1944"/>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ind w:right="200" w:firstLine="1944"/>
        <w:spacing w:after="0" w:line="275" w:lineRule="auto"/>
        <w:rPr>
          <w:sz w:val="20"/>
          <w:szCs w:val="20"/>
          <w:color w:val="auto"/>
        </w:rPr>
      </w:pPr>
      <w:r>
        <w:rPr>
          <w:rFonts w:ascii="Arial" w:cs="Arial" w:eastAsia="Arial" w:hAnsi="Arial"/>
          <w:sz w:val="17"/>
          <w:szCs w:val="17"/>
          <w:color w:val="auto"/>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or Underwriters enter into a confidentiality agreement, in form and substance reasonably satisfactory to the Company, prior to the release or disclosure of any such information;</w:t>
      </w:r>
    </w:p>
    <w:p>
      <w:pPr>
        <w:spacing w:after="0" w:line="176" w:lineRule="exact"/>
        <w:rPr>
          <w:sz w:val="20"/>
          <w:szCs w:val="20"/>
          <w:color w:val="auto"/>
        </w:rPr>
      </w:pPr>
    </w:p>
    <w:p>
      <w:pPr>
        <w:ind w:right="260" w:firstLine="1944"/>
        <w:spacing w:after="0" w:line="263" w:lineRule="auto"/>
        <w:rPr>
          <w:sz w:val="20"/>
          <w:szCs w:val="20"/>
          <w:color w:val="auto"/>
        </w:rPr>
      </w:pPr>
      <w:r>
        <w:rPr>
          <w:rFonts w:ascii="Arial" w:cs="Arial" w:eastAsia="Arial" w:hAnsi="Arial"/>
          <w:sz w:val="18"/>
          <w:szCs w:val="18"/>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184" w:lineRule="exact"/>
        <w:rPr>
          <w:sz w:val="20"/>
          <w:szCs w:val="20"/>
          <w:color w:val="auto"/>
        </w:rPr>
      </w:pPr>
    </w:p>
    <w:p>
      <w:pPr>
        <w:ind w:right="40" w:firstLine="1944"/>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8" w:lineRule="exact"/>
        <w:rPr>
          <w:sz w:val="20"/>
          <w:szCs w:val="20"/>
          <w:color w:val="auto"/>
        </w:rPr>
      </w:pPr>
    </w:p>
    <w:p>
      <w:pPr>
        <w:ind w:firstLine="1944"/>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ind w:right="20" w:firstLine="1944"/>
        <w:spacing w:after="0" w:line="259" w:lineRule="auto"/>
        <w:rPr>
          <w:sz w:val="20"/>
          <w:szCs w:val="20"/>
          <w:color w:val="auto"/>
        </w:rPr>
      </w:pPr>
      <w:r>
        <w:rPr>
          <w:rFonts w:ascii="Arial" w:cs="Arial" w:eastAsia="Arial" w:hAnsi="Arial"/>
          <w:sz w:val="18"/>
          <w:szCs w:val="18"/>
          <w:color w:val="auto"/>
        </w:rPr>
        <w:t xml:space="preserve">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of the Securities Act and Rule 158 thereunder (or any successor rule promulgated thereafter by the Commission);</w:t>
      </w:r>
    </w:p>
    <w:p>
      <w:pPr>
        <w:spacing w:after="0" w:line="187" w:lineRule="exact"/>
        <w:rPr>
          <w:sz w:val="20"/>
          <w:szCs w:val="20"/>
          <w:color w:val="auto"/>
        </w:rPr>
      </w:pPr>
    </w:p>
    <w:p>
      <w:pPr>
        <w:ind w:right="40" w:firstLine="1944"/>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jc w:val="both"/>
        <w:ind w:right="520" w:firstLine="1944"/>
        <w:spacing w:after="0" w:line="286" w:lineRule="auto"/>
        <w:rPr>
          <w:sz w:val="20"/>
          <w:szCs w:val="20"/>
          <w:color w:val="auto"/>
        </w:rPr>
      </w:pPr>
      <w:r>
        <w:rPr>
          <w:rFonts w:ascii="Arial" w:cs="Arial" w:eastAsia="Arial" w:hAnsi="Arial"/>
          <w:sz w:val="17"/>
          <w:szCs w:val="17"/>
          <w:color w:val="auto"/>
        </w:rPr>
        <w:t>3.1.16 otherwise, in good faith, cooperate reasonably with, and take such customary actions as may reasonably be requested by the Holders, in connection with such Registration, including, without limitation, making available senior executives of the Company to participate in any due diligence sessions that may be reasonably requested by the Underwriter in any Underwritten Offering.</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14" w:name="page315"/>
    <w:bookmarkEnd w:id="314"/>
    <w:p>
      <w:pPr>
        <w:ind w:right="40" w:firstLine="1296"/>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7"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8" w:lineRule="exact"/>
        <w:rPr>
          <w:sz w:val="20"/>
          <w:szCs w:val="20"/>
          <w:color w:val="auto"/>
        </w:rPr>
      </w:pPr>
    </w:p>
    <w:p>
      <w:pPr>
        <w:ind w:right="40" w:firstLine="1296"/>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79" w:lineRule="exact"/>
        <w:rPr>
          <w:sz w:val="20"/>
          <w:szCs w:val="20"/>
          <w:color w:val="auto"/>
        </w:rPr>
      </w:pPr>
    </w:p>
    <w:p>
      <w:pPr>
        <w:ind w:right="60" w:firstLine="1296"/>
        <w:spacing w:after="0" w:line="27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15" w:name="page316"/>
    <w:bookmarkEnd w:id="315"/>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AND CONTRIBUTION</w:t>
      </w:r>
    </w:p>
    <w:p>
      <w:pPr>
        <w:spacing w:after="0" w:line="21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firstLine="1944"/>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ind w:firstLine="1944"/>
        <w:spacing w:after="0" w:line="287" w:lineRule="auto"/>
        <w:rPr>
          <w:sz w:val="20"/>
          <w:szCs w:val="20"/>
          <w:color w:val="auto"/>
        </w:rPr>
      </w:pPr>
      <w:r>
        <w:rPr>
          <w:rFonts w:ascii="Arial" w:cs="Arial" w:eastAsia="Arial" w:hAnsi="Arial"/>
          <w:sz w:val="16"/>
          <w:szCs w:val="16"/>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16" w:name="page317"/>
    <w:bookmarkEnd w:id="316"/>
    <w:p>
      <w:pPr>
        <w:ind w:firstLine="1944"/>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ind w:right="200" w:firstLine="1944"/>
        <w:spacing w:after="0" w:line="257" w:lineRule="auto"/>
        <w:rPr>
          <w:sz w:val="20"/>
          <w:szCs w:val="20"/>
          <w:color w:val="auto"/>
        </w:rPr>
      </w:pPr>
      <w:r>
        <w:rPr>
          <w:rFonts w:ascii="Arial" w:cs="Arial" w:eastAsia="Arial" w:hAnsi="Arial"/>
          <w:sz w:val="18"/>
          <w:szCs w:val="18"/>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7" w:name="page318"/>
    <w:bookmarkEnd w:id="317"/>
    <w:p>
      <w:pPr>
        <w:ind w:firstLine="1944"/>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60" w:firstLine="1296"/>
        <w:spacing w:after="0" w:line="28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[COMPANY INFORMATION],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68"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jc w:val="right"/>
              <w:ind w:right="330"/>
              <w:spacing w:after="0"/>
              <w:rPr>
                <w:sz w:val="20"/>
                <w:szCs w:val="20"/>
                <w:color w:val="auto"/>
              </w:rPr>
            </w:pPr>
            <w:r>
              <w:rPr>
                <w:rFonts w:ascii="Arial" w:cs="Arial" w:eastAsia="Arial" w:hAnsi="Arial"/>
                <w:sz w:val="18"/>
                <w:szCs w:val="18"/>
                <w:color w:val="auto"/>
              </w:rPr>
              <w:t>5.2.1</w:t>
            </w:r>
          </w:p>
        </w:tc>
        <w:tc>
          <w:tcPr>
            <w:tcW w:w="8380" w:type="dxa"/>
            <w:vAlign w:val="bottom"/>
          </w:tcPr>
          <w:p>
            <w:pPr>
              <w:ind w:left="120"/>
              <w:spacing w:after="0"/>
              <w:rPr>
                <w:sz w:val="20"/>
                <w:szCs w:val="20"/>
                <w:color w:val="auto"/>
              </w:rPr>
            </w:pPr>
            <w:r>
              <w:rPr>
                <w:rFonts w:ascii="Arial" w:cs="Arial" w:eastAsia="Arial" w:hAnsi="Arial"/>
                <w:sz w:val="18"/>
                <w:szCs w:val="18"/>
                <w:color w:val="auto"/>
                <w:w w:val="89"/>
              </w:rPr>
              <w:t>This Agreement and the rights, duties and obligations of the Company hereunder may not be assigned or delegated</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w w:val="96"/>
              </w:rPr>
              <w:t>by the Company in whole or in part.</w:t>
            </w:r>
          </w:p>
        </w:tc>
        <w:tc>
          <w:tcPr>
            <w:tcW w:w="8380" w:type="dxa"/>
            <w:vAlign w:val="bottom"/>
          </w:tcPr>
          <w:p>
            <w:pPr>
              <w:spacing w:after="0"/>
              <w:rPr>
                <w:sz w:val="20"/>
                <w:szCs w:val="20"/>
                <w:color w:val="auto"/>
              </w:rPr>
            </w:pPr>
          </w:p>
        </w:tc>
      </w:tr>
      <w:tr>
        <w:trPr>
          <w:trHeight w:val="418"/>
        </w:trPr>
        <w:tc>
          <w:tcPr>
            <w:tcW w:w="2740" w:type="dxa"/>
            <w:vAlign w:val="bottom"/>
          </w:tcPr>
          <w:p>
            <w:pPr>
              <w:jc w:val="right"/>
              <w:ind w:right="330"/>
              <w:spacing w:after="0"/>
              <w:rPr>
                <w:sz w:val="20"/>
                <w:szCs w:val="20"/>
                <w:color w:val="auto"/>
              </w:rPr>
            </w:pPr>
            <w:r>
              <w:rPr>
                <w:rFonts w:ascii="Arial" w:cs="Arial" w:eastAsia="Arial" w:hAnsi="Arial"/>
                <w:sz w:val="18"/>
                <w:szCs w:val="18"/>
                <w:color w:val="auto"/>
              </w:rPr>
              <w:t>5.2.2</w:t>
            </w:r>
          </w:p>
        </w:tc>
        <w:tc>
          <w:tcPr>
            <w:tcW w:w="8380" w:type="dxa"/>
            <w:vAlign w:val="bottom"/>
          </w:tcPr>
          <w:p>
            <w:pPr>
              <w:ind w:left="120"/>
              <w:spacing w:after="0"/>
              <w:rPr>
                <w:sz w:val="20"/>
                <w:szCs w:val="20"/>
                <w:color w:val="auto"/>
              </w:rPr>
            </w:pPr>
            <w:r>
              <w:rPr>
                <w:rFonts w:ascii="Arial" w:cs="Arial" w:eastAsia="Arial" w:hAnsi="Arial"/>
                <w:sz w:val="18"/>
                <w:szCs w:val="18"/>
                <w:color w:val="auto"/>
                <w:w w:val="92"/>
              </w:rPr>
              <w:t>A Holder may assign or delegate such Holder’s rights, duties or obligations under this Agreement, in whole or in</w:t>
            </w:r>
          </w:p>
        </w:tc>
      </w:tr>
      <w:tr>
        <w:trPr>
          <w:trHeight w:val="230"/>
        </w:trPr>
        <w:tc>
          <w:tcPr>
            <w:tcW w:w="11120" w:type="dxa"/>
            <w:vAlign w:val="bottom"/>
            <w:gridSpan w:val="2"/>
          </w:tcPr>
          <w:p>
            <w:pPr>
              <w:spacing w:after="0"/>
              <w:rPr>
                <w:sz w:val="20"/>
                <w:szCs w:val="20"/>
                <w:color w:val="auto"/>
              </w:rPr>
            </w:pPr>
            <w:r>
              <w:rPr>
                <w:rFonts w:ascii="Arial" w:cs="Arial" w:eastAsia="Arial" w:hAnsi="Arial"/>
                <w:sz w:val="18"/>
                <w:szCs w:val="18"/>
                <w:color w:val="auto"/>
              </w:rPr>
              <w:t>part, to a Permitted Transferee who agrees to become bound by the transfer restrictions set forth in this Agreement.</w:t>
            </w:r>
          </w:p>
        </w:tc>
      </w:tr>
      <w:tr>
        <w:trPr>
          <w:trHeight w:val="418"/>
        </w:trPr>
        <w:tc>
          <w:tcPr>
            <w:tcW w:w="2740" w:type="dxa"/>
            <w:vAlign w:val="bottom"/>
          </w:tcPr>
          <w:p>
            <w:pPr>
              <w:jc w:val="right"/>
              <w:ind w:right="330"/>
              <w:spacing w:after="0"/>
              <w:rPr>
                <w:sz w:val="20"/>
                <w:szCs w:val="20"/>
                <w:color w:val="auto"/>
              </w:rPr>
            </w:pPr>
            <w:r>
              <w:rPr>
                <w:rFonts w:ascii="Arial" w:cs="Arial" w:eastAsia="Arial" w:hAnsi="Arial"/>
                <w:sz w:val="18"/>
                <w:szCs w:val="18"/>
                <w:color w:val="auto"/>
              </w:rPr>
              <w:t>5.2.3</w:t>
            </w:r>
          </w:p>
        </w:tc>
        <w:tc>
          <w:tcPr>
            <w:tcW w:w="8380" w:type="dxa"/>
            <w:vAlign w:val="bottom"/>
          </w:tcPr>
          <w:p>
            <w:pPr>
              <w:ind w:left="120"/>
              <w:spacing w:after="0"/>
              <w:rPr>
                <w:sz w:val="20"/>
                <w:szCs w:val="20"/>
                <w:color w:val="auto"/>
              </w:rPr>
            </w:pPr>
            <w:r>
              <w:rPr>
                <w:rFonts w:ascii="Arial" w:cs="Arial" w:eastAsia="Arial" w:hAnsi="Arial"/>
                <w:sz w:val="18"/>
                <w:szCs w:val="18"/>
                <w:color w:val="auto"/>
                <w:w w:val="90"/>
              </w:rPr>
              <w:t>This Agreement and the provisions hereof shall be binding upon and shall inure to the benefit of each of the parties</w:t>
            </w:r>
          </w:p>
        </w:tc>
      </w:tr>
      <w:tr>
        <w:trPr>
          <w:trHeight w:val="230"/>
        </w:trPr>
        <w:tc>
          <w:tcPr>
            <w:tcW w:w="11120" w:type="dxa"/>
            <w:vAlign w:val="bottom"/>
            <w:gridSpan w:val="2"/>
          </w:tcPr>
          <w:p>
            <w:pPr>
              <w:spacing w:after="0"/>
              <w:rPr>
                <w:sz w:val="20"/>
                <w:szCs w:val="20"/>
                <w:color w:val="auto"/>
              </w:rPr>
            </w:pPr>
            <w:r>
              <w:rPr>
                <w:rFonts w:ascii="Arial" w:cs="Arial" w:eastAsia="Arial" w:hAnsi="Arial"/>
                <w:sz w:val="18"/>
                <w:szCs w:val="18"/>
                <w:color w:val="auto"/>
              </w:rPr>
              <w:t>and its successors and the permitted assigns of the Holders, which shall include Permitted Transferees.</w:t>
            </w:r>
          </w:p>
        </w:tc>
      </w:tr>
      <w:tr>
        <w:trPr>
          <w:trHeight w:val="432"/>
        </w:trPr>
        <w:tc>
          <w:tcPr>
            <w:tcW w:w="2740" w:type="dxa"/>
            <w:vAlign w:val="bottom"/>
          </w:tcPr>
          <w:p>
            <w:pPr>
              <w:jc w:val="right"/>
              <w:ind w:right="330"/>
              <w:spacing w:after="0"/>
              <w:rPr>
                <w:sz w:val="20"/>
                <w:szCs w:val="20"/>
                <w:color w:val="auto"/>
              </w:rPr>
            </w:pPr>
            <w:r>
              <w:rPr>
                <w:rFonts w:ascii="Arial" w:cs="Arial" w:eastAsia="Arial" w:hAnsi="Arial"/>
                <w:sz w:val="18"/>
                <w:szCs w:val="18"/>
                <w:color w:val="auto"/>
              </w:rPr>
              <w:t>5.2.4</w:t>
            </w:r>
          </w:p>
        </w:tc>
        <w:tc>
          <w:tcPr>
            <w:tcW w:w="8380" w:type="dxa"/>
            <w:vAlign w:val="bottom"/>
          </w:tcPr>
          <w:p>
            <w:pPr>
              <w:ind w:left="120"/>
              <w:spacing w:after="0"/>
              <w:rPr>
                <w:sz w:val="20"/>
                <w:szCs w:val="20"/>
                <w:color w:val="auto"/>
              </w:rPr>
            </w:pPr>
            <w:r>
              <w:rPr>
                <w:rFonts w:ascii="Arial" w:cs="Arial" w:eastAsia="Arial" w:hAnsi="Arial"/>
                <w:sz w:val="18"/>
                <w:szCs w:val="18"/>
                <w:color w:val="auto"/>
                <w:w w:val="93"/>
              </w:rPr>
              <w:t>This Agreement shall not confer any rights or benefits on any persons that are not parties hereto, other than as</w:t>
            </w:r>
          </w:p>
        </w:tc>
      </w:tr>
    </w:tbl>
    <w:p>
      <w:pPr>
        <w:spacing w:after="0"/>
        <w:rPr>
          <w:sz w:val="20"/>
          <w:szCs w:val="20"/>
          <w:color w:val="auto"/>
        </w:rPr>
      </w:pPr>
      <w:r>
        <w:rPr>
          <w:rFonts w:ascii="Arial" w:cs="Arial" w:eastAsia="Arial" w:hAnsi="Arial"/>
          <w:sz w:val="18"/>
          <w:szCs w:val="18"/>
          <w:color w:val="auto"/>
        </w:rPr>
        <w:t xml:space="preserve">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211" w:lineRule="exact"/>
        <w:rPr>
          <w:sz w:val="20"/>
          <w:szCs w:val="20"/>
          <w:color w:val="auto"/>
        </w:rPr>
      </w:pPr>
    </w:p>
    <w:p>
      <w:pPr>
        <w:ind w:right="80" w:firstLine="1944"/>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8" w:name="page319"/>
    <w:bookmarkEnd w:id="318"/>
    <w:p>
      <w:pPr>
        <w:ind w:right="280" w:firstLine="1296"/>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46" w:lineRule="exact"/>
        <w:rPr>
          <w:sz w:val="20"/>
          <w:szCs w:val="20"/>
          <w:color w:val="auto"/>
        </w:rPr>
      </w:pPr>
    </w:p>
    <w:p>
      <w:pPr>
        <w:ind w:right="60" w:firstLine="129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 AND (II) THE VENUE FOR ANY ACTION TAKEN WITH RESPECT TO THE AGREEMENT SHALL BE ANY STATE OR FEDERAL COURT IN NEW YORK COUNTY IN THE STATE OF NEW YORK.</w:t>
      </w:r>
    </w:p>
    <w:p>
      <w:pPr>
        <w:spacing w:after="0" w:line="192" w:lineRule="exact"/>
        <w:rPr>
          <w:sz w:val="20"/>
          <w:szCs w:val="20"/>
          <w:color w:val="auto"/>
        </w:rPr>
      </w:pPr>
    </w:p>
    <w:p>
      <w:pPr>
        <w:ind w:right="280" w:firstLine="1296"/>
        <w:spacing w:after="0" w:line="275" w:lineRule="auto"/>
        <w:rPr>
          <w:sz w:val="20"/>
          <w:szCs w:val="20"/>
          <w:color w:val="auto"/>
        </w:rPr>
      </w:pPr>
      <w:r>
        <w:rPr>
          <w:rFonts w:ascii="Arial" w:cs="Arial" w:eastAsia="Arial" w:hAnsi="Arial"/>
          <w:sz w:val="17"/>
          <w:szCs w:val="17"/>
          <w:color w:val="auto"/>
        </w:rPr>
        <w:t>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176"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96" w:lineRule="exact"/>
        <w:rPr>
          <w:sz w:val="20"/>
          <w:szCs w:val="20"/>
          <w:color w:val="auto"/>
        </w:rPr>
      </w:pPr>
    </w:p>
    <w:p>
      <w:pPr>
        <w:ind w:right="80" w:firstLine="1296"/>
        <w:spacing w:after="0" w:line="275"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9" w:name="page320"/>
    <w:bookmarkEnd w:id="319"/>
    <w:p>
      <w:pPr>
        <w:ind w:firstLine="1296"/>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upon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under Rule 144 (or any similar provision) under the Securities Act without limitation on the amount of securities sold or the manner of sale.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320" w:name="page321"/>
    <w:bookmarkEnd w:id="320"/>
    <w:p>
      <w:pPr>
        <w:ind w:left="180"/>
        <w:spacing w:after="0"/>
        <w:rPr>
          <w:sz w:val="20"/>
          <w:szCs w:val="20"/>
          <w:color w:val="auto"/>
        </w:rPr>
      </w:pPr>
      <w:r>
        <w:rPr>
          <w:rFonts w:ascii="Arial" w:cs="Arial" w:eastAsia="Arial" w:hAnsi="Arial"/>
          <w:sz w:val="16"/>
          <w:szCs w:val="16"/>
          <w:color w:val="auto"/>
        </w:rPr>
        <w:t>IN WITNESS WHEREOF, the undersigned have caused this Agreement to be executed as of the date first written above.</w:t>
      </w:r>
    </w:p>
    <w:p>
      <w:pPr>
        <w:spacing w:after="0" w:line="24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[SPONSOR COMPANY]</w:t>
      </w:r>
    </w:p>
    <w:p>
      <w:pPr>
        <w:spacing w:after="0" w:line="200" w:lineRule="exact"/>
        <w:rPr>
          <w:sz w:val="20"/>
          <w:szCs w:val="20"/>
          <w:color w:val="auto"/>
        </w:rPr>
      </w:pPr>
    </w:p>
    <w:p>
      <w:pPr>
        <w:spacing w:after="0" w:line="24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21" w:name="page322"/>
    <w:bookmarkEnd w:id="321"/>
    <w:p>
      <w:pPr>
        <w:jc w:val="right"/>
        <w:spacing w:after="0"/>
        <w:rPr>
          <w:sz w:val="20"/>
          <w:szCs w:val="20"/>
          <w:color w:val="auto"/>
        </w:rPr>
      </w:pPr>
      <w:r>
        <w:rPr>
          <w:rFonts w:ascii="Arial" w:cs="Arial" w:eastAsia="Arial" w:hAnsi="Arial"/>
          <w:sz w:val="22"/>
          <w:szCs w:val="22"/>
          <w:b w:val="1"/>
          <w:bCs w:val="1"/>
          <w:color w:val="auto"/>
        </w:rPr>
        <w:t>Exhibit 10.5</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Annetta Acquisition Corp</w:t>
      </w:r>
    </w:p>
    <w:p>
      <w:pPr>
        <w:ind w:left="4580"/>
        <w:spacing w:after="0" w:line="202" w:lineRule="auto"/>
        <w:rPr>
          <w:sz w:val="20"/>
          <w:szCs w:val="20"/>
          <w:color w:val="auto"/>
        </w:rPr>
      </w:pPr>
      <w:r>
        <w:rPr>
          <w:rFonts w:ascii="Arial" w:cs="Arial" w:eastAsia="Arial" w:hAnsi="Arial"/>
          <w:sz w:val="18"/>
          <w:szCs w:val="18"/>
          <w:color w:val="auto"/>
        </w:rPr>
        <w:t>640 Fifth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May 13,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Annetta Sponsor LLC</w:t>
      </w:r>
    </w:p>
    <w:p>
      <w:pPr>
        <w:spacing w:after="0" w:line="202" w:lineRule="auto"/>
        <w:rPr>
          <w:sz w:val="20"/>
          <w:szCs w:val="20"/>
          <w:color w:val="auto"/>
        </w:rPr>
      </w:pPr>
      <w:r>
        <w:rPr>
          <w:rFonts w:ascii="Arial" w:cs="Arial" w:eastAsia="Arial" w:hAnsi="Arial"/>
          <w:sz w:val="18"/>
          <w:szCs w:val="18"/>
          <w:color w:val="auto"/>
        </w:rPr>
        <w:t>640 Fifth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Subscription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pleased to accept the offer Annetta Sponsor LLC (the “</w:t>
      </w:r>
      <w:r>
        <w:rPr>
          <w:rFonts w:ascii="Arial" w:cs="Arial" w:eastAsia="Arial" w:hAnsi="Arial"/>
          <w:sz w:val="18"/>
          <w:szCs w:val="18"/>
          <w:b w:val="1"/>
          <w:bCs w:val="1"/>
          <w:color w:val="auto"/>
        </w:rPr>
        <w:t>Subscriber</w:t>
      </w:r>
      <w:r>
        <w:rPr>
          <w:rFonts w:ascii="Arial" w:cs="Arial" w:eastAsia="Arial" w:hAnsi="Arial"/>
          <w:sz w:val="18"/>
          <w:szCs w:val="18"/>
          <w:color w:val="auto"/>
        </w:rPr>
        <w:t>” or “</w:t>
      </w:r>
      <w:r>
        <w:rPr>
          <w:rFonts w:ascii="Arial" w:cs="Arial" w:eastAsia="Arial" w:hAnsi="Arial"/>
          <w:sz w:val="18"/>
          <w:szCs w:val="18"/>
          <w:b w:val="1"/>
          <w:bCs w:val="1"/>
          <w:color w:val="auto"/>
        </w:rPr>
        <w:t>you</w:t>
      </w:r>
      <w:r>
        <w:rPr>
          <w:rFonts w:ascii="Arial" w:cs="Arial" w:eastAsia="Arial" w:hAnsi="Arial"/>
          <w:sz w:val="18"/>
          <w:szCs w:val="18"/>
          <w:color w:val="auto"/>
        </w:rPr>
        <w:t>”) has made to purchase 21,562,500 shares of Class B common stock (the “</w:t>
      </w:r>
      <w:r>
        <w:rPr>
          <w:rFonts w:ascii="Arial" w:cs="Arial" w:eastAsia="Arial" w:hAnsi="Arial"/>
          <w:sz w:val="18"/>
          <w:szCs w:val="18"/>
          <w:b w:val="1"/>
          <w:bCs w:val="1"/>
          <w:color w:val="auto"/>
        </w:rPr>
        <w:t>Shares</w:t>
      </w:r>
      <w:r>
        <w:rPr>
          <w:rFonts w:ascii="Arial" w:cs="Arial" w:eastAsia="Arial" w:hAnsi="Arial"/>
          <w:sz w:val="18"/>
          <w:szCs w:val="18"/>
          <w:color w:val="auto"/>
        </w:rPr>
        <w:t>”), $.0001 par value per share (the “</w:t>
      </w:r>
      <w:r>
        <w:rPr>
          <w:rFonts w:ascii="Arial" w:cs="Arial" w:eastAsia="Arial" w:hAnsi="Arial"/>
          <w:sz w:val="18"/>
          <w:szCs w:val="18"/>
          <w:b w:val="1"/>
          <w:bCs w:val="1"/>
          <w:color w:val="auto"/>
        </w:rPr>
        <w:t>Class B Common Stock</w:t>
      </w:r>
      <w:r>
        <w:rPr>
          <w:rFonts w:ascii="Arial" w:cs="Arial" w:eastAsia="Arial" w:hAnsi="Arial"/>
          <w:sz w:val="18"/>
          <w:szCs w:val="18"/>
          <w:color w:val="auto"/>
        </w:rPr>
        <w:t>” together with all other classes of Company (as defined below) common stock, the “</w:t>
      </w:r>
      <w:r>
        <w:rPr>
          <w:rFonts w:ascii="Arial" w:cs="Arial" w:eastAsia="Arial" w:hAnsi="Arial"/>
          <w:sz w:val="18"/>
          <w:szCs w:val="18"/>
          <w:b w:val="1"/>
          <w:bCs w:val="1"/>
          <w:color w:val="auto"/>
        </w:rPr>
        <w:t>Common Stock</w:t>
      </w:r>
      <w:r>
        <w:rPr>
          <w:rFonts w:ascii="Arial" w:cs="Arial" w:eastAsia="Arial" w:hAnsi="Arial"/>
          <w:sz w:val="18"/>
          <w:szCs w:val="18"/>
          <w:color w:val="auto"/>
        </w:rPr>
        <w:t>”), up to 2,812,500 Shares of which are subject to complete or partial forfeiture by you if the underwriters of the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Annetta Acquisition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do not fully exercise their over-allotment option (the “</w:t>
      </w:r>
      <w:r>
        <w:rPr>
          <w:rFonts w:ascii="Arial" w:cs="Arial" w:eastAsia="Arial" w:hAnsi="Arial"/>
          <w:sz w:val="18"/>
          <w:szCs w:val="18"/>
          <w:b w:val="1"/>
          <w:bCs w:val="1"/>
          <w:color w:val="auto"/>
        </w:rPr>
        <w:t>Over-allotment</w:t>
      </w:r>
      <w:r>
        <w:rPr>
          <w:rFonts w:ascii="Arial" w:cs="Arial" w:eastAsia="Arial" w:hAnsi="Arial"/>
          <w:sz w:val="18"/>
          <w:szCs w:val="18"/>
          <w:color w:val="auto"/>
        </w:rPr>
        <w:t xml:space="preserve"> </w:t>
      </w:r>
      <w:r>
        <w:rPr>
          <w:rFonts w:ascii="Arial" w:cs="Arial" w:eastAsia="Arial" w:hAnsi="Arial"/>
          <w:sz w:val="18"/>
          <w:szCs w:val="18"/>
          <w:b w:val="1"/>
          <w:bCs w:val="1"/>
          <w:color w:val="auto"/>
        </w:rPr>
        <w:t>Option</w:t>
      </w:r>
      <w:r>
        <w:rPr>
          <w:rFonts w:ascii="Arial" w:cs="Arial" w:eastAsia="Arial" w:hAnsi="Arial"/>
          <w:sz w:val="18"/>
          <w:szCs w:val="18"/>
          <w:color w:val="auto"/>
        </w:rPr>
        <w:t>”). The terms (this “</w:t>
      </w:r>
      <w:r>
        <w:rPr>
          <w:rFonts w:ascii="Arial" w:cs="Arial" w:eastAsia="Arial" w:hAnsi="Arial"/>
          <w:sz w:val="18"/>
          <w:szCs w:val="18"/>
          <w:b w:val="1"/>
          <w:bCs w:val="1"/>
          <w:color w:val="auto"/>
        </w:rPr>
        <w:t>Agreement</w:t>
      </w:r>
      <w:r>
        <w:rPr>
          <w:rFonts w:ascii="Arial" w:cs="Arial" w:eastAsia="Arial" w:hAnsi="Arial"/>
          <w:sz w:val="18"/>
          <w:szCs w:val="18"/>
          <w:color w:val="auto"/>
        </w:rPr>
        <w:t>”) on which the Company is willing to sell the Shares to the Subscriber, and the Company and the Subscriber’s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regarding such Shares, are as follows:</w:t>
      </w:r>
    </w:p>
    <w:p>
      <w:pPr>
        <w:spacing w:after="0" w:line="187" w:lineRule="exact"/>
        <w:rPr>
          <w:sz w:val="20"/>
          <w:szCs w:val="20"/>
          <w:color w:val="auto"/>
        </w:rPr>
      </w:pPr>
    </w:p>
    <w:p>
      <w:pPr>
        <w:ind w:right="40" w:firstLine="8"/>
        <w:spacing w:after="0" w:line="258" w:lineRule="auto"/>
        <w:tabs>
          <w:tab w:leader="none" w:pos="18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Purchase of Shares</w:t>
      </w:r>
      <w:r>
        <w:rPr>
          <w:rFonts w:ascii="Arial" w:cs="Arial" w:eastAsia="Arial" w:hAnsi="Arial"/>
          <w:sz w:val="18"/>
          <w:szCs w:val="18"/>
          <w:color w:val="auto"/>
        </w:rPr>
        <w:t>. For the sum of $25,000 (the “</w:t>
      </w:r>
      <w:r>
        <w:rPr>
          <w:rFonts w:ascii="Arial" w:cs="Arial" w:eastAsia="Arial" w:hAnsi="Arial"/>
          <w:sz w:val="18"/>
          <w:szCs w:val="18"/>
          <w:b w:val="1"/>
          <w:bCs w:val="1"/>
          <w:color w:val="auto"/>
        </w:rPr>
        <w:t>Purchase Price</w:t>
      </w:r>
      <w:r>
        <w:rPr>
          <w:rFonts w:ascii="Arial" w:cs="Arial" w:eastAsia="Arial" w:hAnsi="Arial"/>
          <w:sz w:val="18"/>
          <w:szCs w:val="18"/>
          <w:color w:val="auto"/>
        </w:rPr>
        <w:t>”), which the Company acknowledges receiving in cash, the Company hereby sells and issues the Shares to the Subscriber, and the Subscriber hereby purchases the Shares from the Company, subject to the forfeiture provisions of Section 3 below, on the terms and subject to the conditions set forth in this Agreement. Concurrently with the Subscriber’s execution of this Agreement, the Company is delivering to the Subscriber a certificate registered in the Subscriber’s name representing the Shares (the “</w:t>
      </w:r>
      <w:r>
        <w:rPr>
          <w:rFonts w:ascii="Arial" w:cs="Arial" w:eastAsia="Arial" w:hAnsi="Arial"/>
          <w:sz w:val="18"/>
          <w:szCs w:val="18"/>
          <w:b w:val="1"/>
          <w:bCs w:val="1"/>
          <w:color w:val="auto"/>
        </w:rPr>
        <w:t>Original Certificate</w:t>
      </w:r>
      <w:r>
        <w:rPr>
          <w:rFonts w:ascii="Arial" w:cs="Arial" w:eastAsia="Arial" w:hAnsi="Arial"/>
          <w:sz w:val="18"/>
          <w:szCs w:val="18"/>
          <w:color w:val="auto"/>
        </w:rPr>
        <w:t>”), receipt of which the Subscriber hereby acknowledges.</w:t>
      </w:r>
    </w:p>
    <w:p>
      <w:pPr>
        <w:spacing w:after="0" w:line="187" w:lineRule="exact"/>
        <w:rPr>
          <w:rFonts w:ascii="Arial" w:cs="Arial" w:eastAsia="Arial" w:hAnsi="Arial"/>
          <w:sz w:val="18"/>
          <w:szCs w:val="18"/>
          <w:color w:val="auto"/>
        </w:rPr>
      </w:pPr>
    </w:p>
    <w:p>
      <w:pPr>
        <w:ind w:left="180" w:hanging="172"/>
        <w:spacing w:after="0"/>
        <w:tabs>
          <w:tab w:leader="none" w:pos="18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To induce the Company to issue the Shares to the Subscriber, the Subscriber hereby represents and warrants to the Company and agrees with the Company as follows:</w:t>
      </w:r>
    </w:p>
    <w:p>
      <w:pPr>
        <w:spacing w:after="0" w:line="170"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The Subscriber understands that no federal or state agency has passed upon or made any recommendation or endorsement of the offering of the Shares.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and the consummation by the Subscriber of the transactions contemplated hereby do not violate, conflict with or constitute a default under (i) the formation and governing documents of the Subscriber, (ii) any agreement, indenture or instrument to which the Subscriber is a party, (iii) any law, statute, rule or regulation to which the Subscriber is subject, or (iv) any agreement, order, judgment or decree to which the Subscriber is subject.</w:t>
      </w:r>
    </w:p>
    <w:p>
      <w:pPr>
        <w:spacing w:after="0" w:line="187"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Organization and Authority</w:t>
      </w:r>
      <w:r>
        <w:rPr>
          <w:rFonts w:ascii="Arial" w:cs="Arial" w:eastAsia="Arial" w:hAnsi="Arial"/>
          <w:sz w:val="16"/>
          <w:szCs w:val="16"/>
          <w:color w:val="auto"/>
        </w:rPr>
        <w:t>. The Subscriber is a Delaware limited liability company, validly existing and in good standing under the laws of Delaware and possesses all requisite power and authority necessary to carry out the transactions contemplated by this Agreement. Upon execution and delivery by you, this Agreement will be a legal, valid and binding agreement of Subscriber, enforceable against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16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Experience, Financial Capability and Suitability</w:t>
      </w:r>
      <w:r>
        <w:rPr>
          <w:rFonts w:ascii="Arial" w:cs="Arial" w:eastAsia="Arial" w:hAnsi="Arial"/>
          <w:sz w:val="17"/>
          <w:szCs w:val="17"/>
          <w:color w:val="auto"/>
        </w:rPr>
        <w:t>. Subscriber is: (i) sophisticated in financial matters and is able to evaluate the risks and benefits of the investment in the Shares and (ii) able to bear the economic risk of its investment in the Shares for an indefinite period of time because the Shares have not been registered under the Securities Act (as defined below) and therefore cannot be resold unless subsequently registered under the Securities Act or an exemption from such registration is available. Subscriber is capable of evaluating the merits and risks of its investment in the Company and has the capacity to protect its own interests. Subscriber must bear the economic risk of this investment until the Shares are sold pursuant to: (x) an effective registration statement under the Securities Act or (y) an exemption from registration available with respect to such sale. Subscriber is able to bear the economic risks of an investment in the Shares and to afford a complete loss of Subscriber’s investment in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2" w:name="page323"/>
    <w:bookmarkEnd w:id="322"/>
    <w:p>
      <w:pPr>
        <w:ind w:right="160"/>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Access to Information; Independent Investigation</w:t>
      </w:r>
      <w:r>
        <w:rPr>
          <w:rFonts w:ascii="Arial" w:cs="Arial" w:eastAsia="Arial" w:hAnsi="Arial"/>
          <w:sz w:val="18"/>
          <w:szCs w:val="18"/>
          <w:color w:val="auto"/>
        </w:rPr>
        <w:t>. Prior to the execution of this Agreement, the Subscriber has had the 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In determining whether to make this investment, Subscriber has relied solely on Subscriber’s own knowledge and understanding of the Company and its business based upon Subscriber’s own due diligence investigation and the information furnished pursuant to this paragraph. Subscriber understands that no person has been authorized to give any information or to make any representations which were not furnished pursuant to this Section 2 and Subscriber has not relied on any other representations or information in making its investment decision, whether written or oral, relating to the Company, its operations or its prospects.</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The Subscriber represents that it is an “accredited investor” as such term is defined in Rule 501(a) of Regulation 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acknowledges the sale contemplated hereby is being made in reliance on a private placement exemption under federal and state law.</w:t>
      </w:r>
    </w:p>
    <w:p>
      <w:pPr>
        <w:spacing w:after="0" w:line="18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Investment Purposes</w:t>
      </w:r>
      <w:r>
        <w:rPr>
          <w:rFonts w:ascii="Arial" w:cs="Arial" w:eastAsia="Arial" w:hAnsi="Arial"/>
          <w:sz w:val="18"/>
          <w:szCs w:val="18"/>
          <w:color w:val="auto"/>
        </w:rPr>
        <w:t>. The Subscriber is purchasing the Shares solely for investment purposes, for the Subscriber’s own account and not for the account or benefit of any other person, and not with a view towards the distribution or dissemination thereof that would result in a violation of the Securities Act. The Subscriber did not enter into this Agreement as a result of any general solicitation or general advertising within the meaning of Rule 502 of Regulation D under the Securities Act.</w:t>
      </w:r>
    </w:p>
    <w:p>
      <w:pPr>
        <w:spacing w:after="0" w:line="18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Restrictions on Transfer; Shell Company</w:t>
      </w:r>
      <w:r>
        <w:rPr>
          <w:rFonts w:ascii="Arial" w:cs="Arial" w:eastAsia="Arial" w:hAnsi="Arial"/>
          <w:sz w:val="17"/>
          <w:szCs w:val="17"/>
          <w:color w:val="auto"/>
        </w:rPr>
        <w:t>. The Subscriber understands the Shares are being offered in a transaction not involving a public offering within the meaning of the Securities Act. Subscriber understands the Shares will be “restricted securities” as defined in Rule 144(a)(3) under the Securities Act and Subscriber understands that the certificate representing the Shares will contain a legend in respect of such restrictions. If in the future the Subscriber decides to offer, resell, pledge or otherwise transfer the Shares, such Shares may be offered, resold, pledged or otherwise transferred only in accordance with the provisions of Section 5 hereof. Subscriber agrees that if any transfer of its Shares or any interest therein is proposed to be made, as a condition precedent to any such transfer, Subscriber may be required to deliver to the Company an opinion of counsel satisfactory to the Company. Absent registration or an exemption, the Subscriber agrees not to offer, resell, pledge or otherwise transfer the Shares. Subscriber further acknowledges that because the Company is a shell company, Rule 144 may not be available to the Subscriber for the resale of the Shares until one year following consummation of the initial business combination of the Company, despite technical compliance with the certain requirements of Rule 144 and the release or waiver of any contractual transfer restrictions.</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No Governmental Consents</w:t>
      </w:r>
      <w:r>
        <w:rPr>
          <w:rFonts w:ascii="Arial" w:cs="Arial" w:eastAsia="Arial" w:hAnsi="Arial"/>
          <w:sz w:val="18"/>
          <w:szCs w:val="18"/>
          <w:color w:val="auto"/>
        </w:rPr>
        <w:t>. No governmental, administrative or other third party consents or approvals are required, necessary or appropriate on the part of Subscriber in connection with the transactions contemplated by this Agreement.</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Company’s Representations, Warranties and Agreements</w:t>
      </w:r>
      <w:r>
        <w:rPr>
          <w:rFonts w:ascii="Arial" w:cs="Arial" w:eastAsia="Arial" w:hAnsi="Arial"/>
          <w:sz w:val="18"/>
          <w:szCs w:val="18"/>
          <w:color w:val="auto"/>
        </w:rPr>
        <w:t>. To induce the Subscriber to purchase the Shares, the Company hereby represents and warrants to the Subscriber and agrees with the Subscriber as follows:</w:t>
      </w:r>
    </w:p>
    <w:p>
      <w:pPr>
        <w:spacing w:after="0" w:line="17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Organization and Corporate Power</w:t>
      </w:r>
      <w:r>
        <w:rPr>
          <w:rFonts w:ascii="Arial" w:cs="Arial" w:eastAsia="Arial" w:hAnsi="Arial"/>
          <w:sz w:val="16"/>
          <w:szCs w:val="16"/>
          <w:color w:val="auto"/>
        </w:rPr>
        <w:t>. The Company is a Delaware corporation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w:t>
      </w:r>
    </w:p>
    <w:p>
      <w:pPr>
        <w:spacing w:after="0" w:line="1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and the consummation by the Company of the transactions contemplated hereby do not violate, conflict with or constitute a default under (i) the Certificate of Incorporation or Bylaws of the Company, (ii) any agreement, indenture or instrument to which the Company is a party, (iii) any law, statute, rule or regulation to which the Company is subject, or (iv) any agreement, order, judgment or decree to which the Company is subject.</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Title to Securities</w:t>
      </w:r>
      <w:r>
        <w:rPr>
          <w:rFonts w:ascii="Arial" w:cs="Arial" w:eastAsia="Arial" w:hAnsi="Arial"/>
          <w:sz w:val="18"/>
          <w:szCs w:val="18"/>
          <w:color w:val="auto"/>
        </w:rPr>
        <w:t>. Upon issuance in accordance with, and payment pursuant to, the terms hereof, the Shares will be duly and validly issued, fully paid and nonassessable. Upon issuance in accordance with, and payment pursuant to, the terms hereof the Subscriber will have or receive good title to the Shares, free and clear of all liens, claims and encumbrances of any kind, other than (a) transfer restrictions hereunder and other agreements to which the Shares may be subject which have been notified to the Subscriber in writing, (b) transfer restrictions under federal and state securities laws, and (c) liens, claims or encumbrances imposed due to the actions of the Subscriber.</w:t>
      </w:r>
    </w:p>
    <w:p>
      <w:pPr>
        <w:spacing w:after="0" w:line="18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No Adverse Actions</w:t>
      </w:r>
      <w:r>
        <w:rPr>
          <w:rFonts w:ascii="Arial" w:cs="Arial" w:eastAsia="Arial" w:hAnsi="Arial"/>
          <w:sz w:val="18"/>
          <w:szCs w:val="18"/>
          <w:color w:val="auto"/>
        </w:rPr>
        <w:t>. There are no actions, suits, investigations or proceedings pending, threatened against or affecting the Company which: (i) seek to restrain, enjoin, prevent the consummation of or otherwise affect the transactions contemplated by this Agreement or (ii) question the validity or legality of any transactions or seek to recover damages or to obtain other relief in connection with any transactions.</w:t>
      </w:r>
    </w:p>
    <w:p>
      <w:pPr>
        <w:spacing w:after="0" w:line="184" w:lineRule="exact"/>
        <w:rPr>
          <w:sz w:val="20"/>
          <w:szCs w:val="20"/>
          <w:color w:val="auto"/>
        </w:rPr>
      </w:pPr>
    </w:p>
    <w:p>
      <w:pPr>
        <w:ind w:left="180" w:hanging="172"/>
        <w:spacing w:after="0"/>
        <w:tabs>
          <w:tab w:leader="none" w:pos="18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Forfeiture of Shares</w:t>
      </w:r>
      <w:r>
        <w:rPr>
          <w:rFonts w:ascii="Arial" w:cs="Arial" w:eastAsia="Arial" w:hAnsi="Arial"/>
          <w:sz w:val="18"/>
          <w:szCs w:val="18"/>
          <w:color w:val="auto"/>
        </w:rPr>
        <w: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Partial or No Exercise of the Over-allotment Option</w:t>
      </w:r>
      <w:r>
        <w:rPr>
          <w:rFonts w:ascii="Arial" w:cs="Arial" w:eastAsia="Arial" w:hAnsi="Arial"/>
          <w:sz w:val="18"/>
          <w:szCs w:val="18"/>
          <w:color w:val="auto"/>
        </w:rPr>
        <w:t>. In the event the Over-allotment Option granted to the representative of the underwriters of the IPO is not exercised in full, the Subscriber acknowledges and agrees that it (and, if applicable, any transferee of Shares) shall forfeit any and all rights to such number of Shares (up to an aggregate of 2,812,500 Shares and pro rata based upon the percentage of the Over-allotment Option exercised) such that immediately following such forfeiture, the Subscriber (and any such transferees) will own an aggregate number of Shares (not including Shares issuable upon exercise of any warrants or any Common Stock purchased by Subscriber in the IPO or in the aftermarket) equal to 20% of the issued and outstanding Common Stock immediately following the IPO.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3" w:name="page324"/>
    <w:bookmarkEnd w:id="323"/>
    <w:p>
      <w:pPr>
        <w:ind w:right="240"/>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Rights as Stockholder</w:t>
      </w:r>
      <w:r>
        <w:rPr>
          <w:rFonts w:ascii="Arial" w:cs="Arial" w:eastAsia="Arial" w:hAnsi="Arial"/>
          <w:sz w:val="18"/>
          <w:szCs w:val="18"/>
          <w:color w:val="auto"/>
        </w:rPr>
        <w:t>. If any of the Shares are forfeited in accordance with this Section 3, then after such time the Subscriber (or successor in interest), shall no longer have any rights as a holder of such Shares, and the Company shall take such action as is appropriate to cancel such Shares.</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Share Certificates</w:t>
      </w:r>
      <w:r>
        <w:rPr>
          <w:rFonts w:ascii="Arial" w:cs="Arial" w:eastAsia="Arial" w:hAnsi="Arial"/>
          <w:sz w:val="17"/>
          <w:szCs w:val="17"/>
          <w:color w:val="auto"/>
        </w:rPr>
        <w:t>. In the event an adjustment to the Original Certificate is required pursuant to this Section 3, then the Subscriber shall return such Original Certificate to the Company or its designated agent as soon as practicable upon its receipt of notice from the Company advising Subscriber of such adjustment, following which a new certificate (the “</w:t>
      </w:r>
      <w:r>
        <w:rPr>
          <w:rFonts w:ascii="Arial" w:cs="Arial" w:eastAsia="Arial" w:hAnsi="Arial"/>
          <w:sz w:val="17"/>
          <w:szCs w:val="17"/>
          <w:b w:val="1"/>
          <w:bCs w:val="1"/>
          <w:color w:val="auto"/>
        </w:rPr>
        <w:t>New Certificate</w:t>
      </w:r>
      <w:r>
        <w:rPr>
          <w:rFonts w:ascii="Arial" w:cs="Arial" w:eastAsia="Arial" w:hAnsi="Arial"/>
          <w:sz w:val="17"/>
          <w:szCs w:val="17"/>
          <w:color w:val="auto"/>
        </w:rPr>
        <w:t>”) shall be issued in such amount representing the adjusted number of Shares held by the Subscriber. The New Certificate shall be returned to the Subscriber as soon as practicable.</w:t>
      </w:r>
    </w:p>
    <w:p>
      <w:pPr>
        <w:spacing w:after="0" w:line="171" w:lineRule="exact"/>
        <w:rPr>
          <w:sz w:val="20"/>
          <w:szCs w:val="20"/>
          <w:color w:val="auto"/>
        </w:rPr>
      </w:pPr>
    </w:p>
    <w:p>
      <w:pPr>
        <w:ind w:firstLine="8"/>
        <w:spacing w:after="0" w:line="272" w:lineRule="auto"/>
        <w:tabs>
          <w:tab w:leader="none" w:pos="180"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Waiver of Liquidation Distributions; Redemption Rights</w:t>
      </w:r>
      <w:r>
        <w:rPr>
          <w:rFonts w:ascii="Arial" w:cs="Arial" w:eastAsia="Arial" w:hAnsi="Arial"/>
          <w:sz w:val="17"/>
          <w:szCs w:val="17"/>
          <w:color w:val="auto"/>
        </w:rPr>
        <w:t>. In connection with the Shares purchased pursuant to this Agreement, the Subscriber hereby waives any and all right, title, interest or claim of any kind in or to any distributions by the Company from the trust account which will be established for the benefit of the Company’s public stockholders and into which substantially all of the proceeds of the IPO will be deposited (the “</w:t>
      </w:r>
      <w:r>
        <w:rPr>
          <w:rFonts w:ascii="Arial" w:cs="Arial" w:eastAsia="Arial" w:hAnsi="Arial"/>
          <w:sz w:val="17"/>
          <w:szCs w:val="17"/>
          <w:b w:val="1"/>
          <w:bCs w:val="1"/>
          <w:color w:val="auto"/>
        </w:rPr>
        <w:t>Trust Account</w:t>
      </w:r>
      <w:r>
        <w:rPr>
          <w:rFonts w:ascii="Arial" w:cs="Arial" w:eastAsia="Arial" w:hAnsi="Arial"/>
          <w:sz w:val="17"/>
          <w:szCs w:val="17"/>
          <w:color w:val="auto"/>
        </w:rPr>
        <w:t>”), in the event of a liquidation of the Company upon the Company’s failure to timely complete an initial business combination. For purposes of clarity, in the event the Subscriber purchases Common Stock in the IPO or in the aftermarket, any additional Common Stock so purchased shall be eligible to receive any liquidating distributions by the Company. However, in no event will the Subscriber have the right to redeem any Shares into funds held in the Trust Account upon the successful completion of an initial business combination.</w:t>
      </w:r>
    </w:p>
    <w:p>
      <w:pPr>
        <w:spacing w:after="0" w:line="177" w:lineRule="exact"/>
        <w:rPr>
          <w:rFonts w:ascii="Arial" w:cs="Arial" w:eastAsia="Arial" w:hAnsi="Arial"/>
          <w:sz w:val="17"/>
          <w:szCs w:val="17"/>
          <w:color w:val="auto"/>
        </w:rPr>
      </w:pPr>
    </w:p>
    <w:p>
      <w:pPr>
        <w:ind w:left="180" w:hanging="172"/>
        <w:spacing w:after="0"/>
        <w:tabs>
          <w:tab w:leader="none" w:pos="18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In addition to any restrictions to be contained in that certain letter agreement (commonly known as an “</w:t>
      </w:r>
      <w:r>
        <w:rPr>
          <w:rFonts w:ascii="Arial" w:cs="Arial" w:eastAsia="Arial" w:hAnsi="Arial"/>
          <w:sz w:val="16"/>
          <w:szCs w:val="16"/>
          <w:b w:val="1"/>
          <w:bCs w:val="1"/>
          <w:color w:val="auto"/>
        </w:rPr>
        <w:t>Insider Letter</w:t>
      </w:r>
      <w:r>
        <w:rPr>
          <w:rFonts w:ascii="Arial" w:cs="Arial" w:eastAsia="Arial" w:hAnsi="Arial"/>
          <w:sz w:val="16"/>
          <w:szCs w:val="16"/>
          <w:color w:val="auto"/>
        </w:rPr>
        <w:t>”) to be dated as of the closing of the IPO by and between Subscriber and the Company, Subscriber agrees not to sell, transfer, pledge, hypothecate or otherwise dispose of all or any part of the Shares unless, prior thereto (a) a registration statement on the appropriate form under the Securities Act and applicable state securities laws with respect to the Shares proposed to be transferred shall then be effective or (b) the Company has received an opinion from counsel reasonably satisfactory to the Company, that such registration is not required because such transaction is exempt from registration under the Securities Act and the rules promulgated by the Securities and Exchange Commission thereunder and with all applicable state securities laws.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Lock-up.</w:t>
      </w:r>
      <w:r>
        <w:rPr>
          <w:rFonts w:ascii="Arial" w:cs="Arial" w:eastAsia="Arial" w:hAnsi="Arial"/>
          <w:sz w:val="18"/>
          <w:szCs w:val="18"/>
          <w:color w:val="auto"/>
        </w:rPr>
        <w:t xml:space="preserve"> Subscriber acknowledges that the Shares will be subject to lock-up provisions contained in the Insider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Restrictive Legends</w:t>
      </w:r>
      <w:r>
        <w:rPr>
          <w:rFonts w:ascii="Arial" w:cs="Arial" w:eastAsia="Arial" w:hAnsi="Arial"/>
          <w:sz w:val="18"/>
          <w:szCs w:val="18"/>
          <w:color w:val="auto"/>
        </w:rPr>
        <w:t>. All certificates representing the Shares shall have endorsed thereon legends substantially as follows: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SECURITIES REPRESENTED BY THIS CERTIFICATE ARE SUBJECT TO LOCKUP PROVISIONS AND MAY NOT BE OFFERED, SOLD, TRANSFERRED, PLEDGED OR OTHERWISE DISPOSED DURING THE TERM OF THE LOCKUP PERIOD.”</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Additional Shares or Substituted Securities</w:t>
      </w:r>
      <w:r>
        <w:rPr>
          <w:rFonts w:ascii="Arial" w:cs="Arial" w:eastAsia="Arial" w:hAnsi="Arial"/>
          <w:sz w:val="18"/>
          <w:szCs w:val="18"/>
          <w:color w:val="auto"/>
        </w:rPr>
        <w:t>. In the event of the declaration of a stock dividend, the declaration of a special dividend payable in a form other than Common Stock, a spin-off, a stock split, an adjustment in conversion ratio, a recapitalization or a similar transaction affecting the Company’s outstanding Common Stock without receipt of consideration, any new, substituted or additional securities or other property which are by reason of such transaction distributed with respect to any Shares subject to this Section 5 or into which such Shares thereby become convertible shall immediately be subject to this Section 5 and Section 3. Appropriate adjustments to reflect the distribution of such securities or property shall be made to the number or class of Shares subject to this Section 5 and Section 3.</w:t>
      </w:r>
    </w:p>
    <w:p>
      <w:pPr>
        <w:spacing w:after="0" w:line="19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The Subscriber acknowledges that the Shares are being purchased pursuant to an exemption from the registration requirements of the Securities Act and will become freely tradable only after certain conditions are met or they are registered pursuant to a Registration Rights Agreement to be entered into with the Company prior to the closing of the IPO.</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4" w:name="page325"/>
    <w:bookmarkEnd w:id="324"/>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Subscriber agrees to execute such further instruments and to take such further action as may reasonably be necessary to carry out the intent of this Agreement.</w:t>
      </w:r>
    </w:p>
    <w:p>
      <w:pPr>
        <w:spacing w:after="0" w:line="17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statements or other documents which are required or contemplated by this Agreement shall be in writing and delivered: (i) 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that certain Insider Letter to be entered into between Subscriber and the Company, substantially in the form to be filed as an exhibit to the Registration Statement, embodies the entire agreement and understanding between the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The terms and provisions of this Agreement may be modified or amended only by written agreement executed by all parties hereto.</w:t>
      </w:r>
    </w:p>
    <w:p>
      <w:pPr>
        <w:spacing w:after="0" w:line="17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Waivers and Consents</w:t>
      </w:r>
      <w:r>
        <w:rPr>
          <w:rFonts w:ascii="Arial" w:cs="Arial" w:eastAsia="Arial" w:hAnsi="Arial"/>
          <w:sz w:val="16"/>
          <w:szCs w:val="16"/>
          <w:color w:val="auto"/>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5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Assignment</w:t>
      </w:r>
      <w:r>
        <w:rPr>
          <w:rFonts w:ascii="Arial" w:cs="Arial" w:eastAsia="Arial" w:hAnsi="Arial"/>
          <w:sz w:val="18"/>
          <w:szCs w:val="18"/>
          <w:color w:val="auto"/>
        </w:rPr>
        <w:t>. The rights and obligations under this Agreement may not be assigned by either party hereto without the prior written consent of the other party.</w:t>
      </w:r>
    </w:p>
    <w:p>
      <w:pPr>
        <w:spacing w:after="0" w:line="170"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Benefit</w:t>
      </w:r>
      <w:r>
        <w:rPr>
          <w:rFonts w:ascii="Arial" w:cs="Arial" w:eastAsia="Arial" w:hAnsi="Arial"/>
          <w:sz w:val="16"/>
          <w:szCs w:val="16"/>
          <w:color w:val="auto"/>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hereunder shall be construed in accordance with and governed by the laws of New York applicable to contracts wholly performed within the borders of such state, without giving effect to the conflict of law principles thereof. The parties hereto irrevocably submit to the exclusive jurisdiction of any federal court sitting in the Southern District of New York or any state court located in New York County, State of New York, over any suit, action or proceeding arising out of or relating to this Agreement. To the fullest extent they may effectively do so under applicable law, the parties hereto irrevocably waive and agree not to assert, by way of motion, as a defense or otherwise, any claim that they are not subject to the jurisdiction of any such court, any objection that they may now or hereafter have to the laying of the venue of any such suit, action or proceeding brought in any such court and any claim that any such suit, action or proceeding brought in any such court has been brought in an inconvenient forum.</w:t>
      </w:r>
    </w:p>
    <w:p>
      <w:pPr>
        <w:spacing w:after="0" w:line="19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court of competent jurisdiction shall determine that any provision, or any portion thereof, contained 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No Waiver of Rights, Powers and Remedies</w:t>
      </w:r>
      <w:r>
        <w:rPr>
          <w:rFonts w:ascii="Arial" w:cs="Arial" w:eastAsia="Arial" w:hAnsi="Arial"/>
          <w:sz w:val="18"/>
          <w:szCs w:val="18"/>
          <w:color w:val="auto"/>
        </w:rPr>
        <w:t>.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5" w:name="page326"/>
    <w:bookmarkEnd w:id="325"/>
    <w:p>
      <w:pPr>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by the parties hereto in this Agreement or in any other agreement, certificate or instrument provided for or contemplated hereby, shall survive the execution and delivery hereof and any investigations made by or on behalf of the parties.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 Broker or Finder</w:t>
      </w:r>
      <w:r>
        <w:rPr>
          <w:rFonts w:ascii="Arial" w:cs="Arial" w:eastAsia="Arial" w:hAnsi="Arial"/>
          <w:sz w:val="18"/>
          <w:szCs w:val="18"/>
          <w:color w:val="auto"/>
        </w:rPr>
        <w:t>. Each of the parties hereto represents and warrants to the other that no broker, finder or other financial consultant has acted on its behalf in connection with this Agreement or the transactions contemplated hereby in such a way as to create any liability on the other. Each of the parties hereto agrees to indemnify and hold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of the various sections of this Agreement are for convenience of reference only and shall in no way modify or affect the meaning or construction of any of the terms or provisions hereof.</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Construction</w:t>
      </w:r>
      <w:r>
        <w:rPr>
          <w:rFonts w:ascii="Arial" w:cs="Arial" w:eastAsia="Arial" w:hAnsi="Arial"/>
          <w:sz w:val="17"/>
          <w:szCs w:val="17"/>
          <w:color w:val="auto"/>
        </w:rPr>
        <w:t>. The words “</w:t>
      </w:r>
      <w:r>
        <w:rPr>
          <w:rFonts w:ascii="Arial" w:cs="Arial" w:eastAsia="Arial" w:hAnsi="Arial"/>
          <w:sz w:val="17"/>
          <w:szCs w:val="17"/>
          <w:i w:val="1"/>
          <w:iCs w:val="1"/>
          <w:color w:val="auto"/>
        </w:rPr>
        <w:t>include</w:t>
      </w:r>
      <w:r>
        <w:rPr>
          <w:rFonts w:ascii="Arial" w:cs="Arial" w:eastAsia="Arial" w:hAnsi="Arial"/>
          <w:sz w:val="17"/>
          <w:szCs w:val="17"/>
          <w:color w:val="auto"/>
        </w:rPr>
        <w:t>,” “</w:t>
      </w:r>
      <w:r>
        <w:rPr>
          <w:rFonts w:ascii="Arial" w:cs="Arial" w:eastAsia="Arial" w:hAnsi="Arial"/>
          <w:sz w:val="17"/>
          <w:szCs w:val="17"/>
          <w:i w:val="1"/>
          <w:iCs w:val="1"/>
          <w:color w:val="auto"/>
        </w:rPr>
        <w:t>includes</w:t>
      </w:r>
      <w:r>
        <w:rPr>
          <w:rFonts w:ascii="Arial" w:cs="Arial" w:eastAsia="Arial" w:hAnsi="Arial"/>
          <w:sz w:val="17"/>
          <w:szCs w:val="17"/>
          <w:color w:val="auto"/>
        </w:rPr>
        <w:t>,” and “</w:t>
      </w:r>
      <w:r>
        <w:rPr>
          <w:rFonts w:ascii="Arial" w:cs="Arial" w:eastAsia="Arial" w:hAnsi="Arial"/>
          <w:sz w:val="17"/>
          <w:szCs w:val="17"/>
          <w:i w:val="1"/>
          <w:iCs w:val="1"/>
          <w:color w:val="auto"/>
        </w:rPr>
        <w:t>including</w:t>
      </w:r>
      <w:r>
        <w:rPr>
          <w:rFonts w:ascii="Arial" w:cs="Arial" w:eastAsia="Arial" w:hAnsi="Arial"/>
          <w:sz w:val="17"/>
          <w:szCs w:val="17"/>
          <w:color w:val="auto"/>
        </w:rPr>
        <w:t>” will be deemed to be followed by “</w:t>
      </w:r>
      <w:r>
        <w:rPr>
          <w:rFonts w:ascii="Arial" w:cs="Arial" w:eastAsia="Arial" w:hAnsi="Arial"/>
          <w:sz w:val="17"/>
          <w:szCs w:val="17"/>
          <w:i w:val="1"/>
          <w:iCs w:val="1"/>
          <w:color w:val="auto"/>
        </w:rPr>
        <w:t>without limitation</w:t>
      </w:r>
      <w:r>
        <w:rPr>
          <w:rFonts w:ascii="Arial" w:cs="Arial" w:eastAsia="Arial" w:hAnsi="Arial"/>
          <w:sz w:val="17"/>
          <w:szCs w:val="17"/>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7"/>
          <w:szCs w:val="17"/>
          <w:i w:val="1"/>
          <w:iCs w:val="1"/>
          <w:color w:val="auto"/>
        </w:rPr>
        <w:t>this Agreement</w:t>
      </w:r>
      <w:r>
        <w:rPr>
          <w:rFonts w:ascii="Arial" w:cs="Arial" w:eastAsia="Arial" w:hAnsi="Arial"/>
          <w:sz w:val="17"/>
          <w:szCs w:val="17"/>
          <w:color w:val="auto"/>
        </w:rPr>
        <w:t>,” “</w:t>
      </w:r>
      <w:r>
        <w:rPr>
          <w:rFonts w:ascii="Arial" w:cs="Arial" w:eastAsia="Arial" w:hAnsi="Arial"/>
          <w:sz w:val="17"/>
          <w:szCs w:val="17"/>
          <w:i w:val="1"/>
          <w:iCs w:val="1"/>
          <w:color w:val="auto"/>
        </w:rPr>
        <w:t>herein</w:t>
      </w:r>
      <w:r>
        <w:rPr>
          <w:rFonts w:ascii="Arial" w:cs="Arial" w:eastAsia="Arial" w:hAnsi="Arial"/>
          <w:sz w:val="17"/>
          <w:szCs w:val="17"/>
          <w:color w:val="auto"/>
        </w:rPr>
        <w:t>,” “</w:t>
      </w:r>
      <w:r>
        <w:rPr>
          <w:rFonts w:ascii="Arial" w:cs="Arial" w:eastAsia="Arial" w:hAnsi="Arial"/>
          <w:sz w:val="17"/>
          <w:szCs w:val="17"/>
          <w:i w:val="1"/>
          <w:iCs w:val="1"/>
          <w:color w:val="auto"/>
        </w:rPr>
        <w:t>hereof</w:t>
      </w:r>
      <w:r>
        <w:rPr>
          <w:rFonts w:ascii="Arial" w:cs="Arial" w:eastAsia="Arial" w:hAnsi="Arial"/>
          <w:sz w:val="17"/>
          <w:szCs w:val="17"/>
          <w:color w:val="auto"/>
        </w:rPr>
        <w:t>,” “</w:t>
      </w:r>
      <w:r>
        <w:rPr>
          <w:rFonts w:ascii="Arial" w:cs="Arial" w:eastAsia="Arial" w:hAnsi="Arial"/>
          <w:sz w:val="17"/>
          <w:szCs w:val="17"/>
          <w:i w:val="1"/>
          <w:iCs w:val="1"/>
          <w:color w:val="auto"/>
        </w:rPr>
        <w:t>hereby</w:t>
      </w:r>
      <w:r>
        <w:rPr>
          <w:rFonts w:ascii="Arial" w:cs="Arial" w:eastAsia="Arial" w:hAnsi="Arial"/>
          <w:sz w:val="17"/>
          <w:szCs w:val="17"/>
          <w:color w:val="auto"/>
        </w:rPr>
        <w:t>,” “</w:t>
      </w:r>
      <w:r>
        <w:rPr>
          <w:rFonts w:ascii="Arial" w:cs="Arial" w:eastAsia="Arial" w:hAnsi="Arial"/>
          <w:sz w:val="17"/>
          <w:szCs w:val="17"/>
          <w:i w:val="1"/>
          <w:iCs w:val="1"/>
          <w:color w:val="auto"/>
        </w:rPr>
        <w:t>hereunder</w:t>
      </w:r>
      <w:r>
        <w:rPr>
          <w:rFonts w:ascii="Arial" w:cs="Arial" w:eastAsia="Arial" w:hAnsi="Arial"/>
          <w:sz w:val="17"/>
          <w:szCs w:val="17"/>
          <w:color w:val="auto"/>
        </w:rPr>
        <w:t>,” and words of similar import refer to this Agreement as a whole and not to any particular section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Mutual Drafting</w:t>
      </w:r>
      <w:r>
        <w:rPr>
          <w:rFonts w:ascii="Arial" w:cs="Arial" w:eastAsia="Arial" w:hAnsi="Arial"/>
          <w:sz w:val="18"/>
          <w:szCs w:val="18"/>
          <w:color w:val="auto"/>
        </w:rPr>
        <w:t>. This Agreement is the joint product of the Subscriber and the Company and each provision hereof has been subject to the mutual consultation, negotiation and agreement of such parties and shall not be construed for or against any party hereto.</w:t>
      </w:r>
    </w:p>
    <w:p>
      <w:pPr>
        <w:spacing w:after="0" w:line="170" w:lineRule="exact"/>
        <w:rPr>
          <w:sz w:val="20"/>
          <w:szCs w:val="20"/>
          <w:color w:val="auto"/>
        </w:rPr>
      </w:pPr>
    </w:p>
    <w:p>
      <w:pPr>
        <w:ind w:right="100" w:firstLine="8"/>
        <w:spacing w:after="0" w:line="259" w:lineRule="auto"/>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Voting and Redemption of Shares</w:t>
      </w:r>
      <w:r>
        <w:rPr>
          <w:rFonts w:ascii="Arial" w:cs="Arial" w:eastAsia="Arial" w:hAnsi="Arial"/>
          <w:sz w:val="18"/>
          <w:szCs w:val="18"/>
          <w:color w:val="auto"/>
        </w:rPr>
        <w:t>. The Subscriber agrees to vote the Shares in favor of an initial business combination that the Company negotiates and submits for approval to the Company’s stockholders and shall not seek redemption with respect to such Shares. Additionally, the Subscriber agrees not to redeem any Shares in connection with a redemption or tender offer presented to the Company’s stockholders in connection with an initial business combination negotiated by the Company.</w:t>
      </w:r>
    </w:p>
    <w:p>
      <w:pPr>
        <w:spacing w:after="0" w:line="182" w:lineRule="exact"/>
        <w:rPr>
          <w:rFonts w:ascii="Arial" w:cs="Arial" w:eastAsia="Arial" w:hAnsi="Arial"/>
          <w:sz w:val="18"/>
          <w:szCs w:val="18"/>
          <w:color w:val="auto"/>
        </w:rPr>
      </w:pPr>
    </w:p>
    <w:p>
      <w:pPr>
        <w:ind w:right="140" w:firstLine="8"/>
        <w:spacing w:after="0" w:line="254" w:lineRule="auto"/>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Each party shall indemnify (such party, the “</w:t>
      </w:r>
      <w:r>
        <w:rPr>
          <w:rFonts w:ascii="Arial" w:cs="Arial" w:eastAsia="Arial" w:hAnsi="Arial"/>
          <w:sz w:val="18"/>
          <w:szCs w:val="18"/>
          <w:b w:val="1"/>
          <w:bCs w:val="1"/>
          <w:color w:val="auto"/>
        </w:rPr>
        <w:t>Indemnifying Party</w:t>
      </w:r>
      <w:r>
        <w:rPr>
          <w:rFonts w:ascii="Arial" w:cs="Arial" w:eastAsia="Arial" w:hAnsi="Arial"/>
          <w:sz w:val="18"/>
          <w:szCs w:val="18"/>
          <w:color w:val="auto"/>
        </w:rPr>
        <w:t>”) the other party (such party, the “</w:t>
      </w:r>
      <w:r>
        <w:rPr>
          <w:rFonts w:ascii="Arial" w:cs="Arial" w:eastAsia="Arial" w:hAnsi="Arial"/>
          <w:sz w:val="18"/>
          <w:szCs w:val="18"/>
          <w:b w:val="1"/>
          <w:bCs w:val="1"/>
          <w:color w:val="auto"/>
        </w:rPr>
        <w:t>Indemnified Party</w:t>
      </w:r>
      <w:r>
        <w:rPr>
          <w:rFonts w:ascii="Arial" w:cs="Arial" w:eastAsia="Arial" w:hAnsi="Arial"/>
          <w:sz w:val="18"/>
          <w:szCs w:val="18"/>
          <w:color w:val="auto"/>
        </w:rPr>
        <w:t>”) and its respective officers, employees, and controlling persons to the fullest extent permitted by law from and against any and all losses, damages, expenses (including reasonable attorneys’ fees and expenses) or other liabilities resulting from or arising out of such party’s breach of any representation, warranty, covenant or agreement in this Agreement. The foregoing indemnification rights apply so long as the action or failure to act by the Indemnified Party does not constitute fraud, bad faith, willful misconduct or gross negligence. Notwithstanding any of the foregoing to the contrary, indemnification protections will not be construed so as to relieve (or attempt to relieve) any Indemnified Party of any liability (including liability under federal securities laws which, under certain circumstances, impose liability even on persons that act in good faith), to the extent (but only to the extent) that such liability may not be waived, modified or limited under applicable law, but will only be construed so as to effectuate the indemnification protections to the fullest extent permitted by law.</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color w:val="auto"/>
        </w:rPr>
        <w:t>If the foregoing accurately sets forth our understanding and agreement, please sign the enclosed copy of this Agreement and return it to us.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Annetta Acquisition Corp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Taragin</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Jay Taragin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this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May, 2020</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Annetta Sponsor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Taragin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Jay Taragin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Person</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Subscription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10.6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PLACEMENT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PURCHASE AGREEMENT</w:t>
      </w:r>
    </w:p>
    <w:p>
      <w:pPr>
        <w:spacing w:after="0" w:line="211" w:lineRule="exact"/>
        <w:rPr>
          <w:sz w:val="20"/>
          <w:szCs w:val="20"/>
          <w:color w:val="auto"/>
        </w:rPr>
      </w:pPr>
    </w:p>
    <w:p>
      <w:pPr>
        <w:ind w:right="240" w:firstLine="1296"/>
        <w:spacing w:after="0" w:line="263" w:lineRule="auto"/>
        <w:rPr>
          <w:sz w:val="20"/>
          <w:szCs w:val="20"/>
          <w:color w:val="auto"/>
        </w:rPr>
      </w:pPr>
      <w:r>
        <w:rPr>
          <w:rFonts w:ascii="Arial" w:cs="Arial" w:eastAsia="Arial" w:hAnsi="Arial"/>
          <w:sz w:val="18"/>
          <w:szCs w:val="18"/>
          <w:color w:val="auto"/>
        </w:rPr>
        <w:t>THIS PRIVATE PLACEMENT WARRANTS PURCHASE AGREEMENT, dated as of [DATE]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between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[SPONSOR COMPANY], a Delaware limited liability company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84"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WHEREAS, the Company intends to consummate an initial public offering of the Company’s units (the “</w:t>
      </w:r>
      <w:r>
        <w:rPr>
          <w:rFonts w:ascii="Arial" w:cs="Arial" w:eastAsia="Arial" w:hAnsi="Arial"/>
          <w:sz w:val="18"/>
          <w:szCs w:val="18"/>
          <w:u w:val="single" w:color="auto"/>
          <w:color w:val="auto"/>
        </w:rPr>
        <w:t>Public Offering</w:t>
      </w:r>
      <w:r>
        <w:rPr>
          <w:rFonts w:ascii="Arial" w:cs="Arial" w:eastAsia="Arial" w:hAnsi="Arial"/>
          <w:sz w:val="18"/>
          <w:szCs w:val="18"/>
          <w:color w:val="auto"/>
        </w:rPr>
        <w:t>”), each unit consisting of one share of the Company’s Class A common stock, par value $0.0001 per share (a “</w:t>
      </w:r>
      <w:r>
        <w:rPr>
          <w:rFonts w:ascii="Arial" w:cs="Arial" w:eastAsia="Arial" w:hAnsi="Arial"/>
          <w:sz w:val="18"/>
          <w:szCs w:val="18"/>
          <w:u w:val="single" w:color="auto"/>
          <w:color w:val="auto"/>
        </w:rPr>
        <w:t>Share</w:t>
      </w:r>
      <w:r>
        <w:rPr>
          <w:rFonts w:ascii="Arial" w:cs="Arial" w:eastAsia="Arial" w:hAnsi="Arial"/>
          <w:sz w:val="18"/>
          <w:szCs w:val="18"/>
          <w:color w:val="auto"/>
        </w:rPr>
        <w:t>”), and one-fourth of one redeemable warrant, each whole warrant exercisable for one Share at an exercise price of $11.50 per Share, as set forth in the Company’s registration statement on Form S-1 related to the Public Offering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and</w:t>
      </w:r>
    </w:p>
    <w:p>
      <w:pPr>
        <w:spacing w:after="0" w:line="187" w:lineRule="exact"/>
        <w:rPr>
          <w:sz w:val="20"/>
          <w:szCs w:val="20"/>
          <w:color w:val="auto"/>
        </w:rPr>
      </w:pPr>
    </w:p>
    <w:p>
      <w:pPr>
        <w:ind w:right="20" w:firstLine="1296"/>
        <w:spacing w:after="0" w:line="308" w:lineRule="auto"/>
        <w:rPr>
          <w:sz w:val="20"/>
          <w:szCs w:val="20"/>
          <w:color w:val="auto"/>
        </w:rPr>
      </w:pPr>
      <w:r>
        <w:rPr>
          <w:rFonts w:ascii="Arial" w:cs="Arial" w:eastAsia="Arial" w:hAnsi="Arial"/>
          <w:sz w:val="17"/>
          <w:szCs w:val="17"/>
          <w:color w:val="auto"/>
        </w:rPr>
        <w:t>WHEREAS, the Purchaser now wishes to purchase an aggregate of [•] warrants (or [•] warrants if the underwriters’ over-allotment option is exercised in full) (the “</w:t>
      </w:r>
      <w:r>
        <w:rPr>
          <w:rFonts w:ascii="Arial" w:cs="Arial" w:eastAsia="Arial" w:hAnsi="Arial"/>
          <w:sz w:val="17"/>
          <w:szCs w:val="17"/>
          <w:u w:val="single" w:color="auto"/>
          <w:color w:val="auto"/>
        </w:rPr>
        <w:t>Warrants</w:t>
      </w:r>
      <w:r>
        <w:rPr>
          <w:rFonts w:ascii="Arial" w:cs="Arial" w:eastAsia="Arial" w:hAnsi="Arial"/>
          <w:sz w:val="17"/>
          <w:szCs w:val="17"/>
          <w:color w:val="auto"/>
        </w:rPr>
        <w:t>”), each Warrant entitling the holder to purchase one Share at an exercise price of $11.50 per Share.</w:t>
      </w:r>
    </w:p>
    <w:p>
      <w:pPr>
        <w:spacing w:after="0" w:line="146" w:lineRule="exact"/>
        <w:rPr>
          <w:sz w:val="20"/>
          <w:szCs w:val="20"/>
          <w:color w:val="auto"/>
        </w:rPr>
      </w:pPr>
    </w:p>
    <w:p>
      <w:pPr>
        <w:ind w:right="260" w:firstLine="1296"/>
        <w:spacing w:after="0" w:line="342" w:lineRule="auto"/>
        <w:rPr>
          <w:sz w:val="20"/>
          <w:szCs w:val="20"/>
          <w:color w:val="auto"/>
        </w:rPr>
      </w:pPr>
      <w:r>
        <w:rPr>
          <w:rFonts w:ascii="Arial" w:cs="Arial" w:eastAsia="Arial" w:hAnsi="Arial"/>
          <w:sz w:val="16"/>
          <w:szCs w:val="16"/>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120" w:lineRule="exact"/>
        <w:rPr>
          <w:sz w:val="20"/>
          <w:szCs w:val="20"/>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Authorization, Purchase and Sale; Terms of the Warrants</w:t>
      </w:r>
      <w:r>
        <w:rPr>
          <w:rFonts w:ascii="Arial" w:cs="Arial" w:eastAsia="Arial" w:hAnsi="Arial"/>
          <w:sz w:val="16"/>
          <w:szCs w:val="16"/>
          <w:color w:val="auto"/>
        </w:rPr>
        <w:t>.</w:t>
      </w:r>
    </w:p>
    <w:p>
      <w:pPr>
        <w:spacing w:after="0" w:line="225" w:lineRule="exact"/>
        <w:rPr>
          <w:sz w:val="20"/>
          <w:szCs w:val="20"/>
          <w:color w:val="auto"/>
        </w:rPr>
      </w:pPr>
    </w:p>
    <w:p>
      <w:pPr>
        <w:ind w:left="2020" w:hanging="716"/>
        <w:spacing w:after="0"/>
        <w:tabs>
          <w:tab w:leader="none" w:pos="2020"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Authorization of the Warrants</w:t>
      </w:r>
      <w:r>
        <w:rPr>
          <w:rFonts w:ascii="Arial" w:cs="Arial" w:eastAsia="Arial" w:hAnsi="Arial"/>
          <w:sz w:val="17"/>
          <w:szCs w:val="17"/>
          <w:color w:val="auto"/>
        </w:rPr>
        <w:t>. The Company has duly authorized the issuance and sale of the Warrants to the Purchaser.</w:t>
      </w:r>
    </w:p>
    <w:p>
      <w:pPr>
        <w:spacing w:after="0" w:line="236" w:lineRule="exact"/>
        <w:rPr>
          <w:rFonts w:ascii="Arial" w:cs="Arial" w:eastAsia="Arial" w:hAnsi="Arial"/>
          <w:sz w:val="17"/>
          <w:szCs w:val="17"/>
          <w:color w:val="auto"/>
        </w:rPr>
      </w:pPr>
    </w:p>
    <w:p>
      <w:pPr>
        <w:ind w:left="2000" w:hanging="696"/>
        <w:spacing w:after="0"/>
        <w:tabs>
          <w:tab w:leader="none" w:pos="200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Warrants</w:t>
      </w:r>
      <w:r>
        <w:rPr>
          <w:rFonts w:ascii="Arial" w:cs="Arial" w:eastAsia="Arial" w:hAnsi="Arial"/>
          <w:sz w:val="18"/>
          <w:szCs w:val="18"/>
          <w:color w:val="auto"/>
        </w:rPr>
        <w:t>.</w:t>
      </w:r>
    </w:p>
    <w:p>
      <w:pPr>
        <w:spacing w:after="0" w:line="225" w:lineRule="exact"/>
        <w:rPr>
          <w:sz w:val="20"/>
          <w:szCs w:val="20"/>
          <w:color w:val="auto"/>
        </w:rPr>
      </w:pPr>
    </w:p>
    <w:p>
      <w:pPr>
        <w:ind w:left="2660" w:hanging="708"/>
        <w:spacing w:after="0"/>
        <w:tabs>
          <w:tab w:leader="none" w:pos="26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As payment in full for the [•] Warrants being purchased under this Agreement, the Purchaser shall pay $[•] (the</w:t>
      </w:r>
    </w:p>
    <w:p>
      <w:pPr>
        <w:spacing w:after="0" w:line="35" w:lineRule="exact"/>
        <w:rPr>
          <w:sz w:val="20"/>
          <w:szCs w:val="20"/>
          <w:color w:val="auto"/>
        </w:rPr>
      </w:pPr>
    </w:p>
    <w:p>
      <w:pPr>
        <w:ind w:left="660" w:right="6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by wire transfer of immediately available funds in accordance with the Company’s wiring instructions, at least one (1) business day prior to the effective date of the Registration Statement, or on such other date as the Company and the Purchaser may agree.</w:t>
      </w:r>
    </w:p>
    <w:p>
      <w:pPr>
        <w:spacing w:after="0" w:line="161" w:lineRule="exact"/>
        <w:rPr>
          <w:sz w:val="20"/>
          <w:szCs w:val="20"/>
          <w:color w:val="auto"/>
        </w:rPr>
      </w:pPr>
    </w:p>
    <w:p>
      <w:pPr>
        <w:ind w:left="660" w:right="20" w:firstLine="1292"/>
        <w:spacing w:after="0" w:line="255" w:lineRule="auto"/>
        <w:tabs>
          <w:tab w:leader="none" w:pos="267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the event that the underwriters’ over-allotment option is exercised in full, the Purchaser shall purchase up to an additional [•] Warrants (the “</w:t>
      </w:r>
      <w:r>
        <w:rPr>
          <w:rFonts w:ascii="Arial" w:cs="Arial" w:eastAsia="Arial" w:hAnsi="Arial"/>
          <w:sz w:val="18"/>
          <w:szCs w:val="18"/>
          <w:u w:val="single" w:color="auto"/>
          <w:color w:val="auto"/>
        </w:rPr>
        <w:t>Additional Warrants</w:t>
      </w:r>
      <w:r>
        <w:rPr>
          <w:rFonts w:ascii="Arial" w:cs="Arial" w:eastAsia="Arial" w:hAnsi="Arial"/>
          <w:sz w:val="18"/>
          <w:szCs w:val="18"/>
          <w:color w:val="auto"/>
        </w:rPr>
        <w:t>”), in the same proportion as the amount of the over-allotment option that is exercised, and simultaneously with such purchase of Additional Warrants, as payment in full for the Additional Warrants being purchased hereunder, and at least one (1) business day prior to the closing of all or any portion of the over-allotment option, or on such other date as the Company and the Purchaser may agree, the Purchaser shall pay $1.00 per Additional Warrant, up to an aggregate amount of $[•], by wire transfer of immediately available funds in accordance with the Company’s wiring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8" w:name="page329"/>
    <w:bookmarkEnd w:id="328"/>
    <w:p>
      <w:pPr>
        <w:ind w:left="4" w:right="80" w:firstLine="1292"/>
        <w:spacing w:after="0" w:line="255" w:lineRule="auto"/>
        <w:tabs>
          <w:tab w:leader="none" w:pos="20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closing of the purchase and sale of the Warrants shall take place simultaneously with the closing of the Public Offering (the “</w:t>
      </w:r>
      <w:r>
        <w:rPr>
          <w:rFonts w:ascii="Arial" w:cs="Arial" w:eastAsia="Arial" w:hAnsi="Arial"/>
          <w:sz w:val="18"/>
          <w:szCs w:val="18"/>
          <w:u w:val="single" w:color="auto"/>
          <w:color w:val="auto"/>
        </w:rPr>
        <w:t>Initial Closing Date</w:t>
      </w:r>
      <w:r>
        <w:rPr>
          <w:rFonts w:ascii="Arial" w:cs="Arial" w:eastAsia="Arial" w:hAnsi="Arial"/>
          <w:sz w:val="18"/>
          <w:szCs w:val="18"/>
          <w:color w:val="auto"/>
        </w:rPr>
        <w:t>”). The closing of the purchase and sale of the Additional Warrants, if applicable, shall take place simultaneously with the closing of all or any portion of the over-allotment option (such closing date, together with the Initial Closing Date, the “</w:t>
      </w:r>
      <w:r>
        <w:rPr>
          <w:rFonts w:ascii="Arial" w:cs="Arial" w:eastAsia="Arial" w:hAnsi="Arial"/>
          <w:sz w:val="18"/>
          <w:szCs w:val="18"/>
          <w:u w:val="single" w:color="auto"/>
          <w:color w:val="auto"/>
        </w:rPr>
        <w:t>Closing Dates</w:t>
      </w:r>
      <w:r>
        <w:rPr>
          <w:rFonts w:ascii="Arial" w:cs="Arial" w:eastAsia="Arial" w:hAnsi="Arial"/>
          <w:sz w:val="18"/>
          <w:szCs w:val="18"/>
          <w:color w:val="auto"/>
        </w:rPr>
        <w:t>” and each, a “</w:t>
      </w:r>
      <w:r>
        <w:rPr>
          <w:rFonts w:ascii="Arial" w:cs="Arial" w:eastAsia="Arial" w:hAnsi="Arial"/>
          <w:sz w:val="18"/>
          <w:szCs w:val="18"/>
          <w:u w:val="single" w:color="auto"/>
          <w:color w:val="auto"/>
        </w:rPr>
        <w:t>Closing Date</w:t>
      </w:r>
      <w:r>
        <w:rPr>
          <w:rFonts w:ascii="Arial" w:cs="Arial" w:eastAsia="Arial" w:hAnsi="Arial"/>
          <w:sz w:val="18"/>
          <w:szCs w:val="18"/>
          <w:color w:val="auto"/>
        </w:rPr>
        <w:t>”). The closing of the purchase and sale of each of the Warrants and the Additional Warrants shall take place at the offices of Paul, Weiss, Rifkind, Wharton &amp; Garrison LLP, 1285 Avenue of the Americas, New York, New York, 10019, or such other place as may be agreed upon by the parties hereto.</w:t>
      </w:r>
    </w:p>
    <w:p>
      <w:pPr>
        <w:spacing w:after="0" w:line="192" w:lineRule="exact"/>
        <w:rPr>
          <w:rFonts w:ascii="Arial" w:cs="Arial" w:eastAsia="Arial" w:hAnsi="Arial"/>
          <w:sz w:val="18"/>
          <w:szCs w:val="18"/>
          <w:color w:val="auto"/>
        </w:rPr>
      </w:pPr>
    </w:p>
    <w:p>
      <w:pPr>
        <w:ind w:left="1344" w:hanging="696"/>
        <w:spacing w:after="0"/>
        <w:tabs>
          <w:tab w:leader="none" w:pos="1344"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Terms of the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1292"/>
        <w:spacing w:after="0" w:line="277" w:lineRule="auto"/>
        <w:tabs>
          <w:tab w:leader="none" w:pos="201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Warrants shall have their terms set forth in a Warrant Agreement to be entered into by the Company and a warrant agent, in connection with the Public Offering (a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4" w:right="40" w:firstLine="1292"/>
        <w:spacing w:after="0" w:line="263" w:lineRule="auto"/>
        <w:tabs>
          <w:tab w:leader="none" w:pos="20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At or prior to the time of the Initial Closing Date, the Company and the Purchaser shall enter into a registration rights agreement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pursuant to which the Company will grant certain registration rights to the Purchaser relating to the Warrants and the Shares underlying the Warrants.</w:t>
      </w:r>
    </w:p>
    <w:p>
      <w:pPr>
        <w:spacing w:after="0" w:line="184"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As a material inducement to the Purchaser to enter into this Agreement and purchase the Warrants, the Company hereby represents and warrants to the Purchaser (which representations and warranties shall survive the Closing Dates) that:</w:t>
      </w:r>
    </w:p>
    <w:p>
      <w:pPr>
        <w:spacing w:after="0" w:line="184" w:lineRule="exact"/>
        <w:rPr>
          <w:sz w:val="20"/>
          <w:szCs w:val="20"/>
          <w:color w:val="auto"/>
        </w:rPr>
      </w:pPr>
    </w:p>
    <w:p>
      <w:pPr>
        <w:ind w:left="4" w:right="60" w:firstLine="644"/>
        <w:spacing w:after="0" w:line="301" w:lineRule="auto"/>
        <w:tabs>
          <w:tab w:leader="none" w:pos="1367" w:val="left"/>
        </w:tabs>
        <w:numPr>
          <w:ilvl w:val="1"/>
          <w:numId w:val="216"/>
        </w:numPr>
        <w:rPr>
          <w:rFonts w:ascii="Arial" w:cs="Arial" w:eastAsia="Arial" w:hAnsi="Arial"/>
          <w:sz w:val="16"/>
          <w:szCs w:val="16"/>
          <w:color w:val="auto"/>
        </w:rPr>
      </w:pPr>
      <w:r>
        <w:rPr>
          <w:rFonts w:ascii="Arial" w:cs="Arial" w:eastAsia="Arial" w:hAnsi="Arial"/>
          <w:sz w:val="16"/>
          <w:szCs w:val="16"/>
          <w:u w:val="single" w:color="auto"/>
          <w:color w:val="auto"/>
        </w:rPr>
        <w:t>Organization and Corporate Power</w:t>
      </w:r>
      <w:r>
        <w:rPr>
          <w:rFonts w:ascii="Arial" w:cs="Arial" w:eastAsia="Arial" w:hAnsi="Arial"/>
          <w:sz w:val="16"/>
          <w:szCs w:val="16"/>
          <w:color w:val="auto"/>
        </w:rPr>
        <w:t>. The Company is a corporation duly organized, validly existing and in good standing under the laws of the State of Delaware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Warrant Agreement.</w:t>
      </w:r>
    </w:p>
    <w:p>
      <w:pPr>
        <w:spacing w:after="0" w:line="157" w:lineRule="exact"/>
        <w:rPr>
          <w:rFonts w:ascii="Arial" w:cs="Arial" w:eastAsia="Arial" w:hAnsi="Arial"/>
          <w:sz w:val="16"/>
          <w:szCs w:val="16"/>
          <w:color w:val="auto"/>
        </w:rPr>
      </w:pPr>
    </w:p>
    <w:p>
      <w:pPr>
        <w:ind w:left="1344" w:hanging="696"/>
        <w:spacing w:after="0"/>
        <w:tabs>
          <w:tab w:leader="none" w:pos="1344"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20" w:firstLine="1292"/>
        <w:spacing w:after="0" w:line="279" w:lineRule="auto"/>
        <w:tabs>
          <w:tab w:leader="none" w:pos="2010" w:val="left"/>
        </w:tabs>
        <w:numPr>
          <w:ilvl w:val="2"/>
          <w:numId w:val="216"/>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and the Warrants have been duly authorized by the Company as of the Closing Dates. This Agreement constitutes a valid and binding obligation of the Company, enforceable in accordance with its terms. Upon issuance in accordance with, and payment pursuant to, the terms of the Warrant Agreement and this Agreement, the Warrants will constitute valid and binding obligations of the Company, enforceable in accordance with their terms as of the Closing Dates.</w:t>
      </w:r>
    </w:p>
    <w:p>
      <w:pPr>
        <w:spacing w:after="0" w:line="171" w:lineRule="exact"/>
        <w:rPr>
          <w:rFonts w:ascii="Arial" w:cs="Arial" w:eastAsia="Arial" w:hAnsi="Arial"/>
          <w:sz w:val="17"/>
          <w:szCs w:val="17"/>
          <w:color w:val="auto"/>
        </w:rPr>
      </w:pPr>
    </w:p>
    <w:p>
      <w:pPr>
        <w:ind w:left="4" w:firstLine="1292"/>
        <w:spacing w:after="0" w:line="287" w:lineRule="auto"/>
        <w:tabs>
          <w:tab w:leader="none" w:pos="2060" w:val="left"/>
        </w:tabs>
        <w:numPr>
          <w:ilvl w:val="2"/>
          <w:numId w:val="216"/>
        </w:numPr>
        <w:rPr>
          <w:rFonts w:ascii="Arial" w:cs="Arial" w:eastAsia="Arial" w:hAnsi="Arial"/>
          <w:sz w:val="16"/>
          <w:szCs w:val="16"/>
          <w:color w:val="auto"/>
        </w:rPr>
      </w:pPr>
      <w:r>
        <w:rPr>
          <w:rFonts w:ascii="Arial" w:cs="Arial" w:eastAsia="Arial" w:hAnsi="Arial"/>
          <w:sz w:val="16"/>
          <w:szCs w:val="16"/>
          <w:color w:val="auto"/>
        </w:rPr>
        <w:t>The execution and delivery by the Company of this Agreement and the Warrants, the issuance and sale of the Warrants, the issuance of the Shares upon exercise of the Warrants and the fulfillment of, and compliance with, the respective terms hereof and thereof by the Company, do not and will not as of the Closing Dates (a) conflict with or result in a breach of the terms, conditions or provisions of,</w:t>
      </w:r>
    </w:p>
    <w:p>
      <w:pPr>
        <w:spacing w:after="0" w:line="2" w:lineRule="exact"/>
        <w:rPr>
          <w:rFonts w:ascii="Arial" w:cs="Arial" w:eastAsia="Arial" w:hAnsi="Arial"/>
          <w:sz w:val="16"/>
          <w:szCs w:val="16"/>
          <w:color w:val="auto"/>
        </w:rPr>
      </w:pPr>
    </w:p>
    <w:p>
      <w:pPr>
        <w:ind w:left="4" w:right="100" w:hanging="4"/>
        <w:spacing w:after="0" w:line="270" w:lineRule="auto"/>
        <w:tabs>
          <w:tab w:leader="none" w:pos="259" w:val="left"/>
        </w:tabs>
        <w:numPr>
          <w:ilvl w:val="0"/>
          <w:numId w:val="217"/>
        </w:numPr>
        <w:rPr>
          <w:rFonts w:ascii="Arial" w:cs="Arial" w:eastAsia="Arial" w:hAnsi="Arial"/>
          <w:sz w:val="17"/>
          <w:szCs w:val="17"/>
          <w:color w:val="auto"/>
        </w:rPr>
      </w:pPr>
      <w:r>
        <w:rPr>
          <w:rFonts w:ascii="Arial" w:cs="Arial" w:eastAsia="Arial" w:hAnsi="Arial"/>
          <w:sz w:val="17"/>
          <w:szCs w:val="17"/>
          <w:color w:val="auto"/>
        </w:rPr>
        <w:t>constitute a default under, (c) result in the creation of any lien, security interest, charge or encumbrance upon the Company’s capital stock or assets under, (d) result in a violation of, or (e) require any authorization, consent, approval, exemption or other action by or notice or declaration to, or filing with, any court or administrative or governmental body or agency pursuant to the certificate of incorporation or the bylaws of the Company (in effect on the date hereof or as may be amended prior to completion of the contemplated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39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329" w:name="page330"/>
    <w:bookmarkEnd w:id="329"/>
    <w:p>
      <w:pPr>
        <w:ind w:firstLine="644"/>
        <w:spacing w:after="0" w:line="273" w:lineRule="auto"/>
        <w:tabs>
          <w:tab w:leader="none" w:pos="1353"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Title to Securities</w:t>
      </w:r>
      <w:r>
        <w:rPr>
          <w:rFonts w:ascii="Arial" w:cs="Arial" w:eastAsia="Arial" w:hAnsi="Arial"/>
          <w:sz w:val="17"/>
          <w:szCs w:val="17"/>
          <w:color w:val="auto"/>
        </w:rPr>
        <w:t>. Upon issuance in accordance with, and payment pursuant to, the terms hereof and the Warrant Agreement, the Shares issuable upon exercise of the Warrants will be duly and validly issued, fully paid and nonassessable. Upon issuance in accordance with, and payment pursuant to, the terms hereof and the Warrant Agreement, the Purchaser will have good title to the Warrants and the Shares issuable upon exercise of such Warrants,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pacing w:after="0" w:line="177" w:lineRule="exact"/>
        <w:rPr>
          <w:rFonts w:ascii="Arial" w:cs="Arial" w:eastAsia="Arial" w:hAnsi="Arial"/>
          <w:sz w:val="17"/>
          <w:szCs w:val="17"/>
          <w:color w:val="auto"/>
        </w:rPr>
      </w:pPr>
    </w:p>
    <w:p>
      <w:pPr>
        <w:ind w:right="120" w:firstLine="644"/>
        <w:spacing w:after="0" w:line="263" w:lineRule="auto"/>
        <w:tabs>
          <w:tab w:leader="none" w:pos="1363"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Governmental Consents</w:t>
      </w:r>
      <w:r>
        <w:rPr>
          <w:rFonts w:ascii="Arial" w:cs="Arial" w:eastAsia="Arial" w:hAnsi="Arial"/>
          <w:sz w:val="18"/>
          <w:szCs w:val="18"/>
          <w:color w:val="auto"/>
        </w:rPr>
        <w:t>.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83" w:lineRule="exact"/>
        <w:rPr>
          <w:rFonts w:ascii="Arial" w:cs="Arial" w:eastAsia="Arial" w:hAnsi="Arial"/>
          <w:sz w:val="18"/>
          <w:szCs w:val="18"/>
          <w:color w:val="auto"/>
        </w:rPr>
      </w:pPr>
    </w:p>
    <w:p>
      <w:pPr>
        <w:ind w:right="320" w:firstLine="644"/>
        <w:spacing w:after="0" w:line="263" w:lineRule="auto"/>
        <w:tabs>
          <w:tab w:leader="none" w:pos="1343"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Regulation D Qualification</w:t>
      </w:r>
      <w:r>
        <w:rPr>
          <w:rFonts w:ascii="Arial" w:cs="Arial" w:eastAsia="Arial" w:hAnsi="Arial"/>
          <w:sz w:val="18"/>
          <w:szCs w:val="18"/>
          <w:color w:val="auto"/>
        </w:rPr>
        <w:t>. Neither the Company nor, to its knowledge, any of its affiliates, officers, directors or beneficial stockholders of 20% or more of its outstanding securities, has experienced a disqualifying event as enumerated pursuant to Rule 506(d) of Regulation 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 of the Purchaser</w:t>
      </w:r>
      <w:r>
        <w:rPr>
          <w:rFonts w:ascii="Arial" w:cs="Arial" w:eastAsia="Arial" w:hAnsi="Arial"/>
          <w:sz w:val="18"/>
          <w:szCs w:val="18"/>
          <w:color w:val="auto"/>
        </w:rPr>
        <w:t>. As a material inducement to the Company to enter into this Agreement and issue and sell the Warrants to the Purchaser, the Purchaser hereby represents and warrants to the Company (which representations and warranties shall survive the Closing Dates) that:</w:t>
      </w:r>
    </w:p>
    <w:p>
      <w:pPr>
        <w:spacing w:after="0" w:line="184" w:lineRule="exact"/>
        <w:rPr>
          <w:sz w:val="20"/>
          <w:szCs w:val="20"/>
          <w:color w:val="auto"/>
        </w:rPr>
      </w:pPr>
    </w:p>
    <w:p>
      <w:pPr>
        <w:ind w:right="340" w:firstLine="644"/>
        <w:spacing w:after="0" w:line="277" w:lineRule="auto"/>
        <w:tabs>
          <w:tab w:leader="none" w:pos="1363"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Organization and Requisite Authority</w:t>
      </w:r>
      <w:r>
        <w:rPr>
          <w:rFonts w:ascii="Arial" w:cs="Arial" w:eastAsia="Arial" w:hAnsi="Arial"/>
          <w:sz w:val="18"/>
          <w:szCs w:val="18"/>
          <w:color w:val="auto"/>
        </w:rPr>
        <w:t>. The Purchaser possesses all requisite power and authority necessary to carry out the transactions contemplated by this Agreement.</w:t>
      </w:r>
    </w:p>
    <w:p>
      <w:pPr>
        <w:spacing w:after="0" w:line="170" w:lineRule="exact"/>
        <w:rPr>
          <w:rFonts w:ascii="Arial" w:cs="Arial" w:eastAsia="Arial" w:hAnsi="Arial"/>
          <w:sz w:val="18"/>
          <w:szCs w:val="18"/>
          <w:color w:val="auto"/>
        </w:rPr>
      </w:pPr>
    </w:p>
    <w:p>
      <w:pPr>
        <w:ind w:left="1340" w:hanging="696"/>
        <w:spacing w:after="0"/>
        <w:tabs>
          <w:tab w:leader="none" w:pos="134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292"/>
        <w:spacing w:after="0" w:line="286" w:lineRule="auto"/>
        <w:tabs>
          <w:tab w:leader="none" w:pos="2006"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65" w:lineRule="exact"/>
        <w:rPr>
          <w:rFonts w:ascii="Arial" w:cs="Arial" w:eastAsia="Arial" w:hAnsi="Arial"/>
          <w:sz w:val="17"/>
          <w:szCs w:val="17"/>
          <w:color w:val="auto"/>
        </w:rPr>
      </w:pPr>
    </w:p>
    <w:p>
      <w:pPr>
        <w:jc w:val="both"/>
        <w:ind w:right="100" w:firstLine="1292"/>
        <w:spacing w:after="0" w:line="286" w:lineRule="auto"/>
        <w:tabs>
          <w:tab w:leader="none" w:pos="201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The execution and delivery by the Purchaser of this Agreement and the fulfillment of and compliance with the terms hereof by the Purchaser does not and shall not as of the Closing Dates conflict with or result in a breach by the Purchaser of the terms, conditions or provisions of any agreement, instrument, order, judgment or decree to which the Purchaser is subject.</w:t>
      </w:r>
    </w:p>
    <w:p>
      <w:pPr>
        <w:spacing w:after="0" w:line="38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908" w:right="379" w:bottom="1440" w:gutter="0" w:footer="0" w:header="0"/>
        </w:sectPr>
      </w:pPr>
    </w:p>
    <w:bookmarkStart w:id="330" w:name="page331"/>
    <w:bookmarkEnd w:id="330"/>
    <w:p>
      <w:pPr>
        <w:ind w:left="880" w:hanging="696"/>
        <w:spacing w:after="0"/>
        <w:tabs>
          <w:tab w:leader="none" w:pos="88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right="280" w:firstLine="1292"/>
        <w:spacing w:after="0" w:line="263" w:lineRule="auto"/>
        <w:tabs>
          <w:tab w:leader="none" w:pos="1546"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Purchaser is acquiring the Warrants and, upon exercise of the Warrants, the Shares issuable upon such exercise (collectively, the “</w:t>
      </w:r>
      <w:r>
        <w:rPr>
          <w:rFonts w:ascii="Arial" w:cs="Arial" w:eastAsia="Arial" w:hAnsi="Arial"/>
          <w:sz w:val="18"/>
          <w:szCs w:val="18"/>
          <w:u w:val="single" w:color="auto"/>
          <w:color w:val="auto"/>
        </w:rPr>
        <w:t>Securities</w:t>
      </w:r>
      <w:r>
        <w:rPr>
          <w:rFonts w:ascii="Arial" w:cs="Arial" w:eastAsia="Arial" w:hAnsi="Arial"/>
          <w:sz w:val="18"/>
          <w:szCs w:val="18"/>
          <w:color w:val="auto"/>
        </w:rPr>
        <w:t>”), for the Purchaser’s own account, for investment purposes only and not with a view towards, or for resale in connection with, any public sale or distribution thereof.</w:t>
      </w:r>
    </w:p>
    <w:p>
      <w:pPr>
        <w:spacing w:after="0" w:line="183" w:lineRule="exact"/>
        <w:rPr>
          <w:rFonts w:ascii="Arial" w:cs="Arial" w:eastAsia="Arial" w:hAnsi="Arial"/>
          <w:sz w:val="18"/>
          <w:szCs w:val="18"/>
          <w:color w:val="auto"/>
        </w:rPr>
      </w:pPr>
    </w:p>
    <w:p>
      <w:pPr>
        <w:ind w:left="-460" w:right="460" w:firstLine="1292"/>
        <w:spacing w:after="0" w:line="263" w:lineRule="auto"/>
        <w:tabs>
          <w:tab w:leader="none" w:pos="155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Purchaser is an “accredited investor” as such term is defined in Rule 501(a)(3) of Regulation D under the Securities Act and the Purchaser has not experienced a disqualifying event as enumerated pursuant to Rule 506(d) of Regulation D under the Securities Act.</w:t>
      </w:r>
    </w:p>
    <w:p>
      <w:pPr>
        <w:spacing w:after="0" w:line="183" w:lineRule="exact"/>
        <w:rPr>
          <w:rFonts w:ascii="Arial" w:cs="Arial" w:eastAsia="Arial" w:hAnsi="Arial"/>
          <w:sz w:val="18"/>
          <w:szCs w:val="18"/>
          <w:color w:val="auto"/>
        </w:rPr>
      </w:pPr>
    </w:p>
    <w:p>
      <w:pPr>
        <w:ind w:left="-460" w:firstLine="1292"/>
        <w:spacing w:after="0" w:line="259" w:lineRule="auto"/>
        <w:tabs>
          <w:tab w:leader="none" w:pos="1556"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Purchaser understands that the Securities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Securities.</w:t>
      </w:r>
    </w:p>
    <w:p>
      <w:pPr>
        <w:spacing w:after="0" w:line="186" w:lineRule="exact"/>
        <w:rPr>
          <w:rFonts w:ascii="Arial" w:cs="Arial" w:eastAsia="Arial" w:hAnsi="Arial"/>
          <w:sz w:val="18"/>
          <w:szCs w:val="18"/>
          <w:color w:val="auto"/>
        </w:rPr>
      </w:pPr>
    </w:p>
    <w:p>
      <w:pPr>
        <w:ind w:left="-460" w:right="40" w:firstLine="1292"/>
        <w:spacing w:after="0" w:line="277" w:lineRule="auto"/>
        <w:tabs>
          <w:tab w:leader="none" w:pos="1545"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Purchaser did not enter into this Agreement as a result of any general solicitation or general advertising within the meaning of Rule 502(c) under the Securities Act.</w:t>
      </w:r>
    </w:p>
    <w:p>
      <w:pPr>
        <w:spacing w:after="0" w:line="170" w:lineRule="exact"/>
        <w:rPr>
          <w:rFonts w:ascii="Arial" w:cs="Arial" w:eastAsia="Arial" w:hAnsi="Arial"/>
          <w:sz w:val="18"/>
          <w:szCs w:val="18"/>
          <w:color w:val="auto"/>
        </w:rPr>
      </w:pPr>
    </w:p>
    <w:p>
      <w:pPr>
        <w:ind w:left="-460" w:right="120" w:firstLine="1292"/>
        <w:spacing w:after="0" w:line="275" w:lineRule="auto"/>
        <w:tabs>
          <w:tab w:leader="none" w:pos="1585" w:val="left"/>
        </w:tabs>
        <w:numPr>
          <w:ilvl w:val="1"/>
          <w:numId w:val="220"/>
        </w:numPr>
        <w:rPr>
          <w:rFonts w:ascii="Arial" w:cs="Arial" w:eastAsia="Arial" w:hAnsi="Arial"/>
          <w:sz w:val="17"/>
          <w:szCs w:val="17"/>
          <w:color w:val="auto"/>
        </w:rPr>
      </w:pPr>
      <w:r>
        <w:rPr>
          <w:rFonts w:ascii="Arial" w:cs="Arial" w:eastAsia="Arial" w:hAnsi="Arial"/>
          <w:sz w:val="17"/>
          <w:szCs w:val="17"/>
          <w:color w:val="auto"/>
        </w:rPr>
        <w:t>The Purchaser has been furnished with all materials relating to the business, finances and operations of the Company and materials relating to the offer and sale of the Securities which have been requested by the Purchaser. The Purchaser has been afforded the opportunity to ask questions of the executive officers and directors of the Company. The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176" w:lineRule="exact"/>
        <w:rPr>
          <w:rFonts w:ascii="Arial" w:cs="Arial" w:eastAsia="Arial" w:hAnsi="Arial"/>
          <w:sz w:val="17"/>
          <w:szCs w:val="17"/>
          <w:color w:val="auto"/>
        </w:rPr>
      </w:pPr>
    </w:p>
    <w:p>
      <w:pPr>
        <w:ind w:left="-460" w:right="320" w:firstLine="1292"/>
        <w:spacing w:after="0" w:line="311" w:lineRule="auto"/>
        <w:tabs>
          <w:tab w:leader="none" w:pos="159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The Purchaser understands that no United States federal or state agency or any other government or governmental agency has passed on or made any recommendation or endorsement of the Securities or the fairness or suitability of the investment in the Securities by the Purchaser nor have such authorities passed upon or endorsed the merits of the offering of the Securities.</w:t>
      </w:r>
    </w:p>
    <w:p>
      <w:pPr>
        <w:spacing w:after="0" w:line="148" w:lineRule="exact"/>
        <w:rPr>
          <w:rFonts w:ascii="Arial" w:cs="Arial" w:eastAsia="Arial" w:hAnsi="Arial"/>
          <w:sz w:val="16"/>
          <w:szCs w:val="16"/>
          <w:color w:val="auto"/>
        </w:rPr>
      </w:pPr>
    </w:p>
    <w:p>
      <w:pPr>
        <w:jc w:val="both"/>
        <w:ind w:left="-460" w:right="80" w:firstLine="1292"/>
        <w:spacing w:after="0" w:line="257" w:lineRule="auto"/>
        <w:tabs>
          <w:tab w:leader="none" w:pos="1595"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Rights Agreement, neither the Company nor any other person is under any obligation to register the Securities under the Securities Act or any state securities laws or to comply with the terms and conditions of any exemption thereunder.</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1" w:name="page332"/>
    <w:bookmarkEnd w:id="331"/>
    <w:p>
      <w:pPr>
        <w:jc w:val="both"/>
        <w:ind w:firstLine="1292"/>
        <w:spacing w:after="0" w:line="273" w:lineRule="auto"/>
        <w:tabs>
          <w:tab w:leader="none" w:pos="2016"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Purchaser has such knowledge and experience in financial and business matters, knowledge of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Securities. The Purchaser can afford a complete loss of its investments in the Securities.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of the Purchaser’s Obligations</w:t>
      </w:r>
      <w:r>
        <w:rPr>
          <w:rFonts w:ascii="Arial" w:cs="Arial" w:eastAsia="Arial" w:hAnsi="Arial"/>
          <w:sz w:val="18"/>
          <w:szCs w:val="18"/>
          <w:color w:val="auto"/>
        </w:rPr>
        <w:t>. The obligations of the Purchaser to purchase and pay for the Warrants are subject to the fulfillment, on or before the Closing Dates, of each of the following conditions:</w:t>
      </w:r>
    </w:p>
    <w:p>
      <w:pPr>
        <w:spacing w:after="0" w:line="170" w:lineRule="exact"/>
        <w:rPr>
          <w:sz w:val="20"/>
          <w:szCs w:val="20"/>
          <w:color w:val="auto"/>
        </w:rPr>
      </w:pPr>
    </w:p>
    <w:p>
      <w:pPr>
        <w:ind w:right="200" w:firstLine="644"/>
        <w:spacing w:after="0" w:line="277" w:lineRule="auto"/>
        <w:tabs>
          <w:tab w:leader="none" w:pos="1318"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Company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true and correct at and as of the Closing Dates as though then made.</w:t>
      </w:r>
    </w:p>
    <w:p>
      <w:pPr>
        <w:spacing w:after="0" w:line="170" w:lineRule="exact"/>
        <w:rPr>
          <w:rFonts w:ascii="Arial" w:cs="Arial" w:eastAsia="Arial" w:hAnsi="Arial"/>
          <w:sz w:val="18"/>
          <w:szCs w:val="18"/>
          <w:color w:val="auto"/>
        </w:rPr>
      </w:pPr>
    </w:p>
    <w:p>
      <w:pPr>
        <w:ind w:right="140" w:firstLine="644"/>
        <w:spacing w:after="0" w:line="277" w:lineRule="auto"/>
        <w:tabs>
          <w:tab w:leader="none" w:pos="1353"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and complied with all agreements, obligations and conditions contained in this Agreement that are required to be performed or complied with by it on or before the Closing Dates.</w:t>
      </w:r>
    </w:p>
    <w:p>
      <w:pPr>
        <w:spacing w:after="0" w:line="170" w:lineRule="exact"/>
        <w:rPr>
          <w:rFonts w:ascii="Arial" w:cs="Arial" w:eastAsia="Arial" w:hAnsi="Arial"/>
          <w:sz w:val="18"/>
          <w:szCs w:val="18"/>
          <w:color w:val="auto"/>
        </w:rPr>
      </w:pPr>
    </w:p>
    <w:p>
      <w:pPr>
        <w:ind w:right="340" w:firstLine="644"/>
        <w:spacing w:after="0" w:line="259" w:lineRule="auto"/>
        <w:tabs>
          <w:tab w:leader="none" w:pos="1353"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86" w:lineRule="exact"/>
        <w:rPr>
          <w:rFonts w:ascii="Arial" w:cs="Arial" w:eastAsia="Arial" w:hAnsi="Arial"/>
          <w:sz w:val="18"/>
          <w:szCs w:val="18"/>
          <w:color w:val="auto"/>
        </w:rPr>
      </w:pPr>
    </w:p>
    <w:p>
      <w:pPr>
        <w:ind w:right="100" w:firstLine="644"/>
        <w:spacing w:after="0" w:line="277" w:lineRule="auto"/>
        <w:tabs>
          <w:tab w:leader="none" w:pos="1363"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Warrant Agreement</w:t>
      </w:r>
      <w:r>
        <w:rPr>
          <w:rFonts w:ascii="Arial" w:cs="Arial" w:eastAsia="Arial" w:hAnsi="Arial"/>
          <w:sz w:val="18"/>
          <w:szCs w:val="18"/>
          <w:color w:val="auto"/>
        </w:rPr>
        <w:t>. The Company shall have entered into a Warrant Agreement with a warrant agent on terms satisfactory to the Purchaser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of the Company’s Obligations</w:t>
      </w:r>
      <w:r>
        <w:rPr>
          <w:rFonts w:ascii="Arial" w:cs="Arial" w:eastAsia="Arial" w:hAnsi="Arial"/>
          <w:sz w:val="18"/>
          <w:szCs w:val="18"/>
          <w:color w:val="auto"/>
        </w:rPr>
        <w:t>. The obligations of the Company to the Purchaser under this Agreement are subject to the fulfillment, on or before the Closing Dates, of each of the following conditions:</w:t>
      </w:r>
    </w:p>
    <w:p>
      <w:pPr>
        <w:spacing w:after="0" w:line="170" w:lineRule="exact"/>
        <w:rPr>
          <w:sz w:val="20"/>
          <w:szCs w:val="20"/>
          <w:color w:val="auto"/>
        </w:rPr>
      </w:pPr>
    </w:p>
    <w:p>
      <w:pPr>
        <w:ind w:right="160" w:firstLine="644"/>
        <w:spacing w:after="0" w:line="277" w:lineRule="auto"/>
        <w:tabs>
          <w:tab w:leader="none" w:pos="136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Purchaser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true and correct at and as of the Closing Dates as though then made.</w:t>
      </w:r>
    </w:p>
    <w:p>
      <w:pPr>
        <w:spacing w:after="0" w:line="170" w:lineRule="exact"/>
        <w:rPr>
          <w:rFonts w:ascii="Arial" w:cs="Arial" w:eastAsia="Arial" w:hAnsi="Arial"/>
          <w:sz w:val="18"/>
          <w:szCs w:val="18"/>
          <w:color w:val="auto"/>
        </w:rPr>
      </w:pPr>
    </w:p>
    <w:p>
      <w:pPr>
        <w:ind w:right="140" w:firstLine="644"/>
        <w:spacing w:after="0" w:line="277" w:lineRule="auto"/>
        <w:tabs>
          <w:tab w:leader="none" w:pos="135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Purchaser shall have performed and complied with all agreements, obligations and conditions contained in this Agreement that are required to be performed or complied with by the Purchaser on or before the Closing Dates.</w:t>
      </w:r>
    </w:p>
    <w:p>
      <w:pPr>
        <w:spacing w:after="0" w:line="170" w:lineRule="exact"/>
        <w:rPr>
          <w:rFonts w:ascii="Arial" w:cs="Arial" w:eastAsia="Arial" w:hAnsi="Arial"/>
          <w:sz w:val="18"/>
          <w:szCs w:val="18"/>
          <w:color w:val="auto"/>
        </w:rPr>
      </w:pPr>
    </w:p>
    <w:p>
      <w:pPr>
        <w:ind w:right="340" w:firstLine="644"/>
        <w:spacing w:after="0" w:line="259" w:lineRule="auto"/>
        <w:tabs>
          <w:tab w:leader="none" w:pos="135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200" w:lineRule="exact"/>
        <w:rPr>
          <w:sz w:val="20"/>
          <w:szCs w:val="20"/>
          <w:color w:val="auto"/>
        </w:rPr>
      </w:pPr>
    </w:p>
    <w:p>
      <w:pPr>
        <w:spacing w:after="0" w:line="20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980" w:top="908" w:right="439" w:bottom="1440" w:gutter="0" w:footer="0" w:header="0"/>
        </w:sectPr>
      </w:pPr>
    </w:p>
    <w:bookmarkStart w:id="332" w:name="page333"/>
    <w:bookmarkEnd w:id="332"/>
    <w:p>
      <w:pPr>
        <w:ind w:left="1360" w:hanging="716"/>
        <w:spacing w:after="0"/>
        <w:tabs>
          <w:tab w:leader="none" w:pos="136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Warrant Agreement</w:t>
      </w:r>
      <w:r>
        <w:rPr>
          <w:rFonts w:ascii="Arial" w:cs="Arial" w:eastAsia="Arial" w:hAnsi="Arial"/>
          <w:sz w:val="18"/>
          <w:szCs w:val="18"/>
          <w:color w:val="auto"/>
        </w:rPr>
        <w:t>. The Company shall have entered into the Warrant Agreement.</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after [DATE] upon the election by either the Company or a Purchaser entitled to purchase a majority of the Warrants upon written notice to the other parties if the closing of the Public Offering does not occur prior to such date.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of the representations and warranties contained herein shall survive the Closing Dates.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Definitions</w:t>
      </w:r>
      <w:r>
        <w:rPr>
          <w:rFonts w:ascii="Arial" w:cs="Arial" w:eastAsia="Arial" w:hAnsi="Arial"/>
          <w:sz w:val="18"/>
          <w:szCs w:val="18"/>
          <w:color w:val="auto"/>
        </w:rPr>
        <w:t>. Terms used but not otherwise defined in this Agreement shall have the meaning assigned to such terms in the Registration Statement.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ind w:right="20" w:firstLine="644"/>
        <w:spacing w:after="0" w:line="259" w:lineRule="auto"/>
        <w:tabs>
          <w:tab w:leader="none" w:pos="1363"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other than assignments by the Purchaser to affiliates thereof.</w:t>
      </w:r>
    </w:p>
    <w:p>
      <w:pPr>
        <w:spacing w:after="0" w:line="186" w:lineRule="exact"/>
        <w:rPr>
          <w:rFonts w:ascii="Arial" w:cs="Arial" w:eastAsia="Arial" w:hAnsi="Arial"/>
          <w:sz w:val="18"/>
          <w:szCs w:val="18"/>
          <w:color w:val="auto"/>
        </w:rPr>
      </w:pPr>
    </w:p>
    <w:p>
      <w:pPr>
        <w:ind w:right="80" w:firstLine="644"/>
        <w:spacing w:after="0" w:line="286" w:lineRule="auto"/>
        <w:tabs>
          <w:tab w:leader="none" w:pos="1353"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65" w:lineRule="exact"/>
        <w:rPr>
          <w:rFonts w:ascii="Arial" w:cs="Arial" w:eastAsia="Arial" w:hAnsi="Arial"/>
          <w:sz w:val="17"/>
          <w:szCs w:val="17"/>
          <w:color w:val="auto"/>
        </w:rPr>
      </w:pPr>
    </w:p>
    <w:p>
      <w:pPr>
        <w:ind w:right="240" w:firstLine="644"/>
        <w:spacing w:after="0" w:line="308" w:lineRule="auto"/>
        <w:tabs>
          <w:tab w:leader="none" w:pos="1353"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simultaneously in two or more counterparts, none of which need contain the signatures of more than one party, but all such counterparts taken together shall constitute one and the same agreement.</w:t>
      </w:r>
    </w:p>
    <w:p>
      <w:pPr>
        <w:spacing w:after="0" w:line="146" w:lineRule="exact"/>
        <w:rPr>
          <w:rFonts w:ascii="Arial" w:cs="Arial" w:eastAsia="Arial" w:hAnsi="Arial"/>
          <w:sz w:val="17"/>
          <w:szCs w:val="17"/>
          <w:color w:val="auto"/>
        </w:rPr>
      </w:pPr>
    </w:p>
    <w:p>
      <w:pPr>
        <w:ind w:right="80" w:firstLine="644"/>
        <w:spacing w:after="0" w:line="263" w:lineRule="auto"/>
        <w:tabs>
          <w:tab w:leader="none" w:pos="1363"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Descriptive Headings; Interpretation</w:t>
      </w:r>
      <w:r>
        <w:rPr>
          <w:rFonts w:ascii="Arial" w:cs="Arial" w:eastAsia="Arial" w:hAnsi="Arial"/>
          <w:sz w:val="18"/>
          <w:szCs w:val="18"/>
          <w:color w:val="auto"/>
        </w:rPr>
        <w:t>. The descriptive headings of this Agreement are inserted for convenience only and do not constitute a substantive part of this Agreement. The use of the word “including” in this Agreement shall be by way of example rather than by limitation.</w:t>
      </w:r>
    </w:p>
    <w:p>
      <w:pPr>
        <w:spacing w:after="0" w:line="40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8" w:right="379" w:bottom="1440" w:gutter="0" w:footer="0" w:header="0"/>
        </w:sectPr>
      </w:pPr>
    </w:p>
    <w:bookmarkStart w:id="333" w:name="page334"/>
    <w:bookmarkEnd w:id="333"/>
    <w:p>
      <w:pPr>
        <w:ind w:left="-460" w:firstLine="644"/>
        <w:spacing w:after="0" w:line="271" w:lineRule="auto"/>
        <w:tabs>
          <w:tab w:leader="none" w:pos="883"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hereunder shall be construed in accordance with and governed by the laws of New York applicable to contracts wholly performed within the borders of such state, without giving effect to the conflict of law principles thereof. The parties hereto irrevocably submit to the exclusive jurisdiction of any federal court sitting in the Southern District of New York or any state court located in New York County, State of New York, over any suit, action or proceeding arising out of or relating to this Agreement. To the fullest extent they may effectively do so under applicable law, the parties hereto irrevocably waive and agree not to assert, by way of motion, as a defense or otherwise, any claim that they are not subject to the jurisdiction of any such court, any objection that they may now or hereafter have to the laying of the venue of any such suit, action or proceeding brought in any such court and any claim that any such suit, action or proceeding brought in any such court has been brought in an inconvenient forum.</w:t>
      </w:r>
    </w:p>
    <w:p>
      <w:pPr>
        <w:spacing w:after="0" w:line="178" w:lineRule="exact"/>
        <w:rPr>
          <w:rFonts w:ascii="Arial" w:cs="Arial" w:eastAsia="Arial" w:hAnsi="Arial"/>
          <w:sz w:val="17"/>
          <w:szCs w:val="17"/>
          <w:color w:val="auto"/>
        </w:rPr>
      </w:pPr>
    </w:p>
    <w:p>
      <w:pPr>
        <w:ind w:left="-460" w:right="20" w:firstLine="644"/>
        <w:spacing w:after="0" w:line="277" w:lineRule="auto"/>
        <w:tabs>
          <w:tab w:leader="none" w:pos="858"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letter agreement may not be amended, modified or waived as to any particular provision, except by a written instrument executed by all parties hereto.</w:t>
      </w:r>
    </w:p>
    <w:p>
      <w:pPr>
        <w:spacing w:after="0" w:line="17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334" w:name="page335"/>
    <w:bookmarkEnd w:id="334"/>
    <w:p>
      <w:pPr>
        <w:ind w:left="1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to be effective as of the date first set forth above.</w:t>
      </w:r>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[SPONSOR COMPANY]</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[Signature Page to Private Placement Warrants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40"/>
          </w:cols>
          <w:pgMar w:left="1440" w:top="904" w:right="1119" w:bottom="1440" w:gutter="0" w:footer="0" w:header="0"/>
        </w:sectPr>
      </w:pPr>
    </w:p>
    <w:bookmarkStart w:id="335" w:name="page336"/>
    <w:bookmarkEnd w:id="335"/>
    <w:p>
      <w:pPr>
        <w:jc w:val="right"/>
        <w:spacing w:after="0"/>
        <w:rPr>
          <w:sz w:val="20"/>
          <w:szCs w:val="20"/>
          <w:color w:val="auto"/>
        </w:rPr>
      </w:pPr>
      <w:r>
        <w:rPr>
          <w:rFonts w:ascii="Arial" w:cs="Arial" w:eastAsia="Arial" w:hAnsi="Arial"/>
          <w:sz w:val="22"/>
          <w:szCs w:val="22"/>
          <w:b w:val="1"/>
          <w:bCs w:val="1"/>
          <w:color w:val="auto"/>
        </w:rPr>
        <w:t>Exhibit 10.7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5" w:lineRule="exact"/>
        <w:rPr>
          <w:sz w:val="20"/>
          <w:szCs w:val="20"/>
          <w:color w:val="auto"/>
        </w:rPr>
      </w:pPr>
    </w:p>
    <w:p>
      <w:pPr>
        <w:ind w:right="120" w:firstLine="1296"/>
        <w:spacing w:after="0" w:line="282" w:lineRule="auto"/>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[DATE] by and between [COMPANY],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and [NAME OF D&amp;O]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1296"/>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it is reasonable, prudent and necessary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contractually to obligate itself to indemnify, hold harmless, exonerate and to advance expenses on behalf of, persons who serve the Company and its direct and indirect subsidiaries (collectively, the “</w:t>
      </w:r>
      <w:r>
        <w:rPr>
          <w:rFonts w:ascii="Arial" w:cs="Arial" w:eastAsia="Arial" w:hAnsi="Arial"/>
          <w:sz w:val="17"/>
          <w:szCs w:val="17"/>
          <w:u w:val="single" w:color="auto"/>
          <w:color w:val="auto"/>
        </w:rPr>
        <w:t>Company Group</w:t>
      </w:r>
      <w:r>
        <w:rPr>
          <w:rFonts w:ascii="Arial" w:cs="Arial" w:eastAsia="Arial" w:hAnsi="Arial"/>
          <w:sz w:val="17"/>
          <w:szCs w:val="17"/>
          <w:color w:val="auto"/>
        </w:rPr>
        <w:t>”) to the fullest extent permitted by applicable law;</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this Agreement is a supplement to and in furtherance of the Amended and Restated Certificate of Incorporation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and the Bylaws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and any resolutions adopted pursuant thereto, and shall not be deemed a substitute therefor, nor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diminish or abrogate any rights of Indemnitee thereunder;</w:t>
      </w:r>
    </w:p>
    <w:p>
      <w:pPr>
        <w:spacing w:after="0" w:line="207" w:lineRule="exact"/>
        <w:rPr>
          <w:sz w:val="20"/>
          <w:szCs w:val="20"/>
          <w:color w:val="auto"/>
        </w:rPr>
      </w:pPr>
    </w:p>
    <w:p>
      <w:pPr>
        <w:ind w:right="60" w:firstLine="12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desires Indemnitee to serve in such capacity. Indemnitee is willing to serve, continue to serve and to take on additional service for or on behalf of the Company on the condition that Indemnitee be so indemnified; and</w:t>
      </w:r>
    </w:p>
    <w:p>
      <w:pPr>
        <w:spacing w:after="0" w:line="176" w:lineRule="exact"/>
        <w:rPr>
          <w:sz w:val="20"/>
          <w:szCs w:val="20"/>
          <w:color w:val="auto"/>
        </w:rPr>
      </w:pPr>
    </w:p>
    <w:p>
      <w:pPr>
        <w:ind w:right="340" w:firstLine="129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and subject to the provisions of the letter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[DATE], the Company and Indemnitee do hereby covenant 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20" w:firstLine="8"/>
        <w:spacing w:after="0" w:line="254" w:lineRule="auto"/>
        <w:tabs>
          <w:tab w:leader="none" w:pos="675"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 consideration of the Company’s covenants and obligations hereunder, Indemnitee will serve or continue to serve as an officer, director, advisor, key employee or any other capacity of any member of the Company Group,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any member of the Company Group, as provided in Section 17. This Agreement, however, shall not impose any obligation on Indemnitee or the Company to continue Indemnitee’s service to the Company Group beyond any period otherwise required by law or by other agreements or commitments of the parties, if any.</w:t>
      </w:r>
    </w:p>
    <w:p>
      <w:pPr>
        <w:spacing w:after="0" w:line="194" w:lineRule="exact"/>
        <w:rPr>
          <w:rFonts w:ascii="Arial" w:cs="Arial" w:eastAsia="Arial" w:hAnsi="Arial"/>
          <w:sz w:val="18"/>
          <w:szCs w:val="18"/>
          <w:color w:val="auto"/>
        </w:rPr>
      </w:pPr>
    </w:p>
    <w:p>
      <w:pPr>
        <w:ind w:left="680" w:hanging="672"/>
        <w:spacing w:after="0"/>
        <w:tabs>
          <w:tab w:leader="none" w:pos="68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225" w:lineRule="exact"/>
        <w:rPr>
          <w:rFonts w:ascii="Arial" w:cs="Arial" w:eastAsia="Arial" w:hAnsi="Arial"/>
          <w:sz w:val="18"/>
          <w:szCs w:val="18"/>
          <w:color w:val="auto"/>
        </w:rPr>
      </w:pPr>
    </w:p>
    <w:p>
      <w:pPr>
        <w:ind w:right="140" w:firstLine="656"/>
        <w:spacing w:after="0" w:line="279" w:lineRule="auto"/>
        <w:tabs>
          <w:tab w:leader="none" w:pos="1387" w:val="left"/>
        </w:tabs>
        <w:numPr>
          <w:ilvl w:val="1"/>
          <w:numId w:val="227"/>
        </w:numPr>
        <w:rPr>
          <w:rFonts w:ascii="Arial" w:cs="Arial" w:eastAsia="Arial" w:hAnsi="Arial"/>
          <w:sz w:val="17"/>
          <w:szCs w:val="17"/>
          <w:color w:val="auto"/>
        </w:rPr>
      </w:pPr>
      <w:r>
        <w:rPr>
          <w:rFonts w:ascii="Arial" w:cs="Arial" w:eastAsia="Arial" w:hAnsi="Arial"/>
          <w:sz w:val="17"/>
          <w:szCs w:val="17"/>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6" w:name="page337"/>
    <w:bookmarkEnd w:id="336"/>
    <w:p>
      <w:pPr>
        <w:ind w:right="420" w:firstLine="656"/>
        <w:spacing w:after="0" w:line="277" w:lineRule="auto"/>
        <w:tabs>
          <w:tab w:leader="none" w:pos="139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occur upon the earliest to occur after the date of this Agreement of any of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events:</w:t>
      </w:r>
    </w:p>
    <w:p>
      <w:pPr>
        <w:spacing w:after="0" w:line="210" w:lineRule="exact"/>
        <w:rPr>
          <w:rFonts w:ascii="Arial" w:cs="Arial" w:eastAsia="Arial" w:hAnsi="Arial"/>
          <w:sz w:val="17"/>
          <w:szCs w:val="17"/>
          <w:color w:val="auto"/>
        </w:rPr>
      </w:pPr>
    </w:p>
    <w:p>
      <w:pPr>
        <w:ind w:right="140" w:firstLine="1304"/>
        <w:spacing w:after="0" w:line="273" w:lineRule="auto"/>
        <w:tabs>
          <w:tab w:leader="none" w:pos="2006" w:val="left"/>
        </w:tabs>
        <w:numPr>
          <w:ilvl w:val="1"/>
          <w:numId w:val="228"/>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an affiliate of [SPONSOR COMPANY] (the “</w:t>
      </w:r>
      <w:r>
        <w:rPr>
          <w:rFonts w:ascii="Arial" w:cs="Arial" w:eastAsia="Arial" w:hAnsi="Arial"/>
          <w:sz w:val="17"/>
          <w:szCs w:val="17"/>
          <w:u w:val="single" w:color="auto"/>
          <w:color w:val="auto"/>
        </w:rPr>
        <w:t>Sponsor</w:t>
      </w:r>
      <w:r>
        <w:rPr>
          <w:rFonts w:ascii="Arial" w:cs="Arial" w:eastAsia="Arial" w:hAnsi="Arial"/>
          <w:sz w:val="17"/>
          <w:szCs w:val="17"/>
          <w:color w:val="auto"/>
        </w:rPr>
        <w:t>”),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ind w:right="40" w:firstLine="1304"/>
        <w:spacing w:after="0" w:line="259" w:lineRule="auto"/>
        <w:tabs>
          <w:tab w:leader="none" w:pos="2010"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appointment by the Board or nomination for election by the Company’s stockholders was approved by a vote of at least two thirds of the directors then still in office who were directors on the date hereof or whose appointment or nomination for election was previously so approved (collectively, the “</w:t>
      </w:r>
      <w:r>
        <w:rPr>
          <w:rFonts w:ascii="Arial" w:cs="Arial" w:eastAsia="Arial" w:hAnsi="Arial"/>
          <w:sz w:val="18"/>
          <w:szCs w:val="18"/>
          <w:u w:val="single" w:color="auto"/>
          <w:color w:val="auto"/>
        </w:rPr>
        <w:t>Continuing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cease for any reason to constitute a majority of the members of the Board;</w:t>
      </w:r>
    </w:p>
    <w:p>
      <w:pPr>
        <w:spacing w:after="0" w:line="186" w:lineRule="exact"/>
        <w:rPr>
          <w:rFonts w:ascii="Arial" w:cs="Arial" w:eastAsia="Arial" w:hAnsi="Arial"/>
          <w:sz w:val="18"/>
          <w:szCs w:val="18"/>
          <w:color w:val="auto"/>
        </w:rPr>
      </w:pPr>
    </w:p>
    <w:p>
      <w:pPr>
        <w:ind w:firstLine="1304"/>
        <w:spacing w:after="0" w:line="268" w:lineRule="auto"/>
        <w:tabs>
          <w:tab w:leader="none" w:pos="2016" w:val="left"/>
        </w:tabs>
        <w:numPr>
          <w:ilvl w:val="1"/>
          <w:numId w:val="228"/>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of the Company entitled to vote generally in the election of directors immediately prior to such Business Combination beneficially own, directly or indirectly, more than 51% of the combined voting power of the then outstanding securities of the surviving or resulting entity or the ultimate parent entity that controls such surviving or resulting entity (the “</w:t>
      </w:r>
      <w:r>
        <w:rPr>
          <w:rFonts w:ascii="Arial" w:cs="Arial" w:eastAsia="Arial" w:hAnsi="Arial"/>
          <w:sz w:val="17"/>
          <w:szCs w:val="17"/>
          <w:u w:val="single" w:color="auto"/>
          <w:color w:val="auto"/>
        </w:rPr>
        <w:t>Successor</w:t>
      </w:r>
      <w:r>
        <w:rPr>
          <w:rFonts w:ascii="Arial" w:cs="Arial" w:eastAsia="Arial" w:hAnsi="Arial"/>
          <w:sz w:val="17"/>
          <w:szCs w:val="17"/>
          <w:color w:val="auto"/>
        </w:rPr>
        <w:t>”) entitled to vote generally in the election of directors of the Successor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Company, no Person (excluding any corporation resulting from such Business Combination) is the Beneficial Owner, directly or indirectly, of 15% or more of the combined voting power of the then outstanding securities entitled to vote generally in the election of directors of the successor except to the extent that such Person was the Beneficial Owner, directly or indirectly, of 15% or more of the combined voting power of the Company prior to such Business Combination; and (3) a majority of the board of directors (or comparable governing body) of the Successor were Continuing Directors at the time of the execution of the initial agreement, or of the action of the Board of Directors, providing for such Business Combination;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37" w:name="page338"/>
    <w:bookmarkEnd w:id="337"/>
    <w:p>
      <w:pPr>
        <w:ind w:right="220" w:firstLine="1304"/>
        <w:spacing w:after="0" w:line="259" w:lineRule="auto"/>
        <w:tabs>
          <w:tab w:leader="none" w:pos="2005" w:val="left"/>
        </w:tabs>
        <w:numPr>
          <w:ilvl w:val="1"/>
          <w:numId w:val="229"/>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right="600" w:firstLine="1304"/>
        <w:spacing w:after="0" w:line="286" w:lineRule="auto"/>
        <w:tabs>
          <w:tab w:leader="none" w:pos="1955" w:val="left"/>
        </w:tabs>
        <w:numPr>
          <w:ilvl w:val="1"/>
          <w:numId w:val="229"/>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65" w:lineRule="exact"/>
        <w:rPr>
          <w:rFonts w:ascii="Arial" w:cs="Arial" w:eastAsia="Arial" w:hAnsi="Arial"/>
          <w:sz w:val="17"/>
          <w:szCs w:val="17"/>
          <w:color w:val="auto"/>
        </w:rPr>
      </w:pPr>
    </w:p>
    <w:p>
      <w:pPr>
        <w:ind w:right="160" w:firstLine="656"/>
        <w:spacing w:after="0" w:line="263" w:lineRule="auto"/>
        <w:tabs>
          <w:tab w:leader="none" w:pos="139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right="180" w:firstLine="656"/>
        <w:spacing w:after="0" w:line="277" w:lineRule="auto"/>
        <w:tabs>
          <w:tab w:leader="none" w:pos="141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right="280" w:firstLine="656"/>
        <w:spacing w:after="0" w:line="255" w:lineRule="auto"/>
        <w:tabs>
          <w:tab w:leader="none" w:pos="139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w:t>
      </w:r>
    </w:p>
    <w:p>
      <w:pPr>
        <w:spacing w:after="0" w:line="2" w:lineRule="exact"/>
        <w:rPr>
          <w:rFonts w:ascii="Arial" w:cs="Arial" w:eastAsia="Arial" w:hAnsi="Arial"/>
          <w:sz w:val="18"/>
          <w:szCs w:val="18"/>
          <w:color w:val="auto"/>
        </w:rPr>
      </w:pPr>
    </w:p>
    <w:p>
      <w:pPr>
        <w:ind w:right="520"/>
        <w:spacing w:after="0" w:line="260" w:lineRule="auto"/>
        <w:rPr>
          <w:rFonts w:ascii="Arial" w:cs="Arial" w:eastAsia="Arial" w:hAnsi="Arial"/>
          <w:sz w:val="18"/>
          <w:szCs w:val="18"/>
          <w:color w:val="auto"/>
        </w:rPr>
      </w:pPr>
      <w:r>
        <w:rPr>
          <w:rFonts w:ascii="Arial" w:cs="Arial" w:eastAsia="Arial" w:hAnsi="Arial"/>
          <w:sz w:val="18"/>
          <w:szCs w:val="18"/>
          <w:color w:val="auto"/>
        </w:rPr>
        <w:t>plan or other enterprise of which Indemnitee is or was serving at the request of the Company as a director, officer, trustee, general partner, managing member, fiduciary, employee or agent.</w:t>
      </w:r>
    </w:p>
    <w:p>
      <w:pPr>
        <w:spacing w:after="0" w:line="185" w:lineRule="exact"/>
        <w:rPr>
          <w:rFonts w:ascii="Arial" w:cs="Arial" w:eastAsia="Arial" w:hAnsi="Arial"/>
          <w:sz w:val="18"/>
          <w:szCs w:val="18"/>
          <w:color w:val="auto"/>
        </w:rPr>
      </w:pPr>
    </w:p>
    <w:p>
      <w:pPr>
        <w:ind w:left="1400" w:hanging="744"/>
        <w:spacing w:after="0"/>
        <w:tabs>
          <w:tab w:leader="none" w:pos="14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ind w:firstLine="656"/>
        <w:spacing w:after="0" w:line="269" w:lineRule="auto"/>
        <w:tabs>
          <w:tab w:leader="none" w:pos="1403" w:val="left"/>
        </w:tabs>
        <w:numPr>
          <w:ilvl w:val="0"/>
          <w:numId w:val="2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 incurred in any Proceeding by or in the right of the Company.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38" w:name="page339"/>
    <w:bookmarkEnd w:id="338"/>
    <w:p>
      <w:pPr>
        <w:ind w:firstLine="656"/>
        <w:spacing w:after="0" w:line="255" w:lineRule="auto"/>
        <w:tabs>
          <w:tab w:leader="none" w:pos="135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u w:val="single" w:color="auto"/>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ind w:firstLine="656"/>
        <w:spacing w:after="0" w:line="287" w:lineRule="auto"/>
        <w:tabs>
          <w:tab w:leader="none" w:pos="1397" w:val="left"/>
        </w:tabs>
        <w:numPr>
          <w:ilvl w:val="1"/>
          <w:numId w:val="2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spacing w:after="0" w:line="2" w:lineRule="exact"/>
        <w:rPr>
          <w:rFonts w:ascii="Arial" w:cs="Arial" w:eastAsia="Arial" w:hAnsi="Arial"/>
          <w:sz w:val="16"/>
          <w:szCs w:val="16"/>
          <w:color w:val="auto"/>
        </w:rPr>
      </w:pPr>
    </w:p>
    <w:p>
      <w:pPr>
        <w:ind w:right="80" w:firstLine="8"/>
        <w:spacing w:after="0" w:line="250" w:lineRule="auto"/>
        <w:tabs>
          <w:tab w:leader="none" w:pos="26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representing either the Company or Indemnitee in an action to determine Indemnitee’s rights under this Agreement.</w:t>
      </w:r>
    </w:p>
    <w:p>
      <w:pPr>
        <w:spacing w:after="0" w:line="210" w:lineRule="exact"/>
        <w:rPr>
          <w:rFonts w:ascii="Arial" w:cs="Arial" w:eastAsia="Arial" w:hAnsi="Arial"/>
          <w:sz w:val="18"/>
          <w:szCs w:val="18"/>
          <w:color w:val="auto"/>
        </w:rPr>
      </w:pPr>
    </w:p>
    <w:p>
      <w:pPr>
        <w:ind w:firstLine="656"/>
        <w:spacing w:after="0" w:line="273" w:lineRule="auto"/>
        <w:tabs>
          <w:tab w:leader="none" w:pos="1358"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as set forth in Sections 13(d) and 14(d) of the Exchange Act as in effect on the date hereof; provided, however, that “</w:t>
      </w:r>
      <w:r>
        <w:rPr>
          <w:rFonts w:ascii="Arial" w:cs="Arial" w:eastAsia="Arial" w:hAnsi="Arial"/>
          <w:sz w:val="17"/>
          <w:szCs w:val="17"/>
          <w:u w:val="single" w:color="auto"/>
          <w:color w:val="auto"/>
        </w:rPr>
        <w:t>Person</w:t>
      </w:r>
      <w:r>
        <w:rPr>
          <w:rFonts w:ascii="Arial" w:cs="Arial" w:eastAsia="Arial" w:hAnsi="Arial"/>
          <w:sz w:val="17"/>
          <w:szCs w:val="17"/>
          <w:color w:val="auto"/>
        </w:rPr>
        <w:t>”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339" w:name="page340"/>
    <w:bookmarkEnd w:id="339"/>
    <w:p>
      <w:pPr>
        <w:ind w:left="-8" w:right="20" w:firstLine="656"/>
        <w:spacing w:after="0" w:line="273" w:lineRule="auto"/>
        <w:tabs>
          <w:tab w:leader="none" w:pos="1349" w:val="left"/>
        </w:tabs>
        <w:numPr>
          <w:ilvl w:val="1"/>
          <w:numId w:val="23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of Indemnitee’s Corporate Status, whether or not serving in such capacity at the time any liability or expense is incurred for which indemnification, reimbursement, or advancement of expenses can be provided under this Agreement but shall not include any Enforcement Proceeding pursuant to Section 14.</w:t>
      </w:r>
    </w:p>
    <w:p>
      <w:pPr>
        <w:spacing w:after="0" w:line="177" w:lineRule="exact"/>
        <w:rPr>
          <w:rFonts w:ascii="Arial" w:cs="Arial" w:eastAsia="Arial" w:hAnsi="Arial"/>
          <w:sz w:val="17"/>
          <w:szCs w:val="17"/>
          <w:color w:val="auto"/>
        </w:rPr>
      </w:pPr>
    </w:p>
    <w:p>
      <w:pPr>
        <w:ind w:left="-8" w:firstLine="656"/>
        <w:spacing w:after="0" w:line="342" w:lineRule="auto"/>
        <w:tabs>
          <w:tab w:leader="none" w:pos="1344" w:val="left"/>
        </w:tabs>
        <w:numPr>
          <w:ilvl w:val="1"/>
          <w:numId w:val="23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Subsidiary</w:t>
      </w:r>
      <w:r>
        <w:rPr>
          <w:rFonts w:ascii="Arial" w:cs="Arial" w:eastAsia="Arial" w:hAnsi="Arial"/>
          <w:sz w:val="16"/>
          <w:szCs w:val="16"/>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23" w:lineRule="exact"/>
        <w:rPr>
          <w:rFonts w:ascii="Arial" w:cs="Arial" w:eastAsia="Arial" w:hAnsi="Arial"/>
          <w:sz w:val="16"/>
          <w:szCs w:val="16"/>
          <w:color w:val="auto"/>
        </w:rPr>
      </w:pPr>
    </w:p>
    <w:p>
      <w:pPr>
        <w:ind w:left="-8" w:right="120" w:firstLine="8"/>
        <w:spacing w:after="0" w:line="271" w:lineRule="auto"/>
        <w:tabs>
          <w:tab w:leader="none" w:pos="667" w:val="left"/>
        </w:tabs>
        <w:numPr>
          <w:ilvl w:val="0"/>
          <w:numId w:val="234"/>
        </w:numPr>
        <w:rPr>
          <w:rFonts w:ascii="Arial" w:cs="Arial" w:eastAsia="Arial" w:hAnsi="Arial"/>
          <w:sz w:val="17"/>
          <w:szCs w:val="17"/>
          <w:color w:val="auto"/>
        </w:rPr>
      </w:pP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To the fullest 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(including all interest, assessments and other charges paid or payable in connection with or in respect of such Expenses) actually and reasonably incurred by Indemnitee or on Indemnitee’s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Indemnitee’s conduct was unlawful.</w:t>
      </w:r>
    </w:p>
    <w:p>
      <w:pPr>
        <w:spacing w:after="0" w:line="178" w:lineRule="exact"/>
        <w:rPr>
          <w:rFonts w:ascii="Arial" w:cs="Arial" w:eastAsia="Arial" w:hAnsi="Arial"/>
          <w:sz w:val="17"/>
          <w:szCs w:val="17"/>
          <w:color w:val="auto"/>
        </w:rPr>
      </w:pPr>
    </w:p>
    <w:p>
      <w:pPr>
        <w:ind w:left="-8" w:firstLine="8"/>
        <w:spacing w:after="0" w:line="288" w:lineRule="auto"/>
        <w:tabs>
          <w:tab w:leader="none" w:pos="667"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340" w:name="page341"/>
    <w:bookmarkEnd w:id="340"/>
    <w:p>
      <w:pPr>
        <w:ind w:left="-8" w:right="80" w:firstLine="8"/>
        <w:spacing w:after="0" w:line="287" w:lineRule="auto"/>
        <w:tabs>
          <w:tab w:leader="none" w:pos="667"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provisions of this Agreement except for Section 27, to the extent that Indemnitee was or is, by reason of Indemnitee’s Corporate Status, a party to (or a participant in) and is successful, on the merits or otherwise, in defending any Proceeding or in defense of any claim, issue or matter therein, in whole or in part, the defending Company shall, to the fullest extent permitted by applicable law, indemnify, hold harmless and exonerate Indemnitee against all Expenses actually and reasonably incurred by Indemnitee in connection therewith. If Indemnitee is not wholly successful in defense of such Proceeding (or part thereof) but is successful, on the merits or otherwise, in defense of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defense of such Proceeding (or part thereof),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and without limitation, the termination of any claim, issue or matter in such a Proceeding by dismissal, with or without prejudice, shall be deemed to be a successful result as to the defense of such claim, issue or matter.</w:t>
      </w:r>
    </w:p>
    <w:p>
      <w:pPr>
        <w:spacing w:after="0" w:line="167" w:lineRule="exact"/>
        <w:rPr>
          <w:rFonts w:ascii="Arial" w:cs="Arial" w:eastAsia="Arial" w:hAnsi="Arial"/>
          <w:sz w:val="16"/>
          <w:szCs w:val="16"/>
          <w:color w:val="auto"/>
        </w:rPr>
      </w:pPr>
    </w:p>
    <w:p>
      <w:pPr>
        <w:ind w:left="-8" w:right="180" w:firstLine="8"/>
        <w:spacing w:after="0" w:line="279" w:lineRule="auto"/>
        <w:tabs>
          <w:tab w:leader="none" w:pos="667"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except for Section 27, to the extent that Indemnitee is, by reason of Indemnitee’s Corporate Status, a witness or deponent in any Proceeding to which Indemnitee was not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71" w:lineRule="exact"/>
        <w:rPr>
          <w:rFonts w:ascii="Arial" w:cs="Arial" w:eastAsia="Arial" w:hAnsi="Arial"/>
          <w:sz w:val="17"/>
          <w:szCs w:val="17"/>
          <w:color w:val="auto"/>
        </w:rPr>
      </w:pPr>
    </w:p>
    <w:p>
      <w:pPr>
        <w:ind w:left="-8" w:firstLine="8"/>
        <w:spacing w:after="0" w:line="255" w:lineRule="auto"/>
        <w:tabs>
          <w:tab w:leader="none" w:pos="667"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ADDITIONAL INDEMNIFICATION, HOLD HARMLESS AND EXONERATION RIGHTS</w:t>
      </w:r>
      <w:r>
        <w:rPr>
          <w:rFonts w:ascii="Arial" w:cs="Arial" w:eastAsia="Arial" w:hAnsi="Arial"/>
          <w:sz w:val="18"/>
          <w:szCs w:val="18"/>
          <w:color w:val="auto"/>
        </w:rPr>
        <w:t>. Notwithstanding any limitation in Sections 3, 4, or 5, except for Section 27, the Company shall, to the fullest extent permitted by applicable law, indemnify, hold harmless and exonerate Indemnitee if Indemnitee is a party to or threatened to be made a party to any Proceeding against all Expenses and judgments, fines, penalties and amounts paid in settlement in any Proceeding by or in the right of the Company to procure a judgment in its favor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341" w:name="page342"/>
    <w:bookmarkEnd w:id="341"/>
    <w:p>
      <w:pPr>
        <w:ind w:left="672" w:hanging="672"/>
        <w:spacing w:after="0"/>
        <w:tabs>
          <w:tab w:leader="none" w:pos="672"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CONTRIBUTION IN THE EVENT OF JOINT LIABILITY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00" w:firstLine="656"/>
        <w:spacing w:after="0" w:line="296" w:lineRule="auto"/>
        <w:tabs>
          <w:tab w:leader="none" w:pos="1379" w:val="left"/>
        </w:tabs>
        <w:numPr>
          <w:ilvl w:val="1"/>
          <w:numId w:val="236"/>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8" w:right="120" w:firstLine="656"/>
        <w:spacing w:after="0" w:line="308" w:lineRule="auto"/>
        <w:tabs>
          <w:tab w:leader="none" w:pos="1389" w:val="left"/>
        </w:tabs>
        <w:numPr>
          <w:ilvl w:val="1"/>
          <w:numId w:val="236"/>
        </w:numPr>
        <w:rPr>
          <w:rFonts w:ascii="Arial" w:cs="Arial" w:eastAsia="Arial" w:hAnsi="Arial"/>
          <w:sz w:val="17"/>
          <w:szCs w:val="17"/>
          <w:color w:val="auto"/>
        </w:rPr>
      </w:pPr>
      <w:r>
        <w:rPr>
          <w:rFonts w:ascii="Arial" w:cs="Arial" w:eastAsia="Arial" w:hAnsi="Arial"/>
          <w:sz w:val="17"/>
          <w:szCs w:val="17"/>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46" w:lineRule="exact"/>
        <w:rPr>
          <w:rFonts w:ascii="Arial" w:cs="Arial" w:eastAsia="Arial" w:hAnsi="Arial"/>
          <w:sz w:val="17"/>
          <w:szCs w:val="17"/>
          <w:color w:val="auto"/>
        </w:rPr>
      </w:pPr>
    </w:p>
    <w:p>
      <w:pPr>
        <w:ind w:left="-8" w:right="120" w:firstLine="656"/>
        <w:spacing w:after="0" w:line="277" w:lineRule="auto"/>
        <w:tabs>
          <w:tab w:leader="none" w:pos="1379"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70" w:lineRule="exact"/>
        <w:rPr>
          <w:rFonts w:ascii="Arial" w:cs="Arial" w:eastAsia="Arial" w:hAnsi="Arial"/>
          <w:sz w:val="18"/>
          <w:szCs w:val="18"/>
          <w:color w:val="auto"/>
        </w:rPr>
      </w:pPr>
    </w:p>
    <w:p>
      <w:pPr>
        <w:ind w:left="-8" w:right="540" w:firstLine="8"/>
        <w:spacing w:after="0" w:line="308" w:lineRule="auto"/>
        <w:tabs>
          <w:tab w:leader="none" w:pos="667"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the Company shall not be obligated under this Agreement to make any indemnification,advance expenses, hold harmless or exoneration payment in connection with any claim made against Indemnitee:</w:t>
      </w:r>
    </w:p>
    <w:p>
      <w:pPr>
        <w:spacing w:after="0" w:line="146" w:lineRule="exact"/>
        <w:rPr>
          <w:rFonts w:ascii="Arial" w:cs="Arial" w:eastAsia="Arial" w:hAnsi="Arial"/>
          <w:sz w:val="17"/>
          <w:szCs w:val="17"/>
          <w:color w:val="auto"/>
        </w:rPr>
      </w:pPr>
    </w:p>
    <w:p>
      <w:pPr>
        <w:ind w:left="-8" w:right="360" w:firstLine="656"/>
        <w:spacing w:after="0" w:line="263" w:lineRule="auto"/>
        <w:tabs>
          <w:tab w:leader="none" w:pos="1379" w:val="left"/>
        </w:tabs>
        <w:numPr>
          <w:ilvl w:val="1"/>
          <w:numId w:val="236"/>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83" w:lineRule="exact"/>
        <w:rPr>
          <w:rFonts w:ascii="Arial" w:cs="Arial" w:eastAsia="Arial" w:hAnsi="Arial"/>
          <w:sz w:val="18"/>
          <w:szCs w:val="18"/>
          <w:color w:val="auto"/>
        </w:rPr>
      </w:pPr>
    </w:p>
    <w:p>
      <w:pPr>
        <w:ind w:left="-8" w:right="40" w:firstLine="656"/>
        <w:spacing w:after="0" w:line="308" w:lineRule="auto"/>
        <w:tabs>
          <w:tab w:leader="none" w:pos="1389" w:val="left"/>
        </w:tabs>
        <w:numPr>
          <w:ilvl w:val="1"/>
          <w:numId w:val="236"/>
        </w:numPr>
        <w:rPr>
          <w:rFonts w:ascii="Arial" w:cs="Arial" w:eastAsia="Arial" w:hAnsi="Arial"/>
          <w:sz w:val="17"/>
          <w:szCs w:val="17"/>
          <w:color w:val="auto"/>
        </w:rPr>
      </w:pPr>
      <w:r>
        <w:rPr>
          <w:rFonts w:ascii="Arial" w:cs="Arial" w:eastAsia="Arial" w:hAnsi="Arial"/>
          <w:sz w:val="17"/>
          <w:szCs w:val="17"/>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46" w:lineRule="exact"/>
        <w:rPr>
          <w:rFonts w:ascii="Arial" w:cs="Arial" w:eastAsia="Arial" w:hAnsi="Arial"/>
          <w:sz w:val="17"/>
          <w:szCs w:val="17"/>
          <w:color w:val="auto"/>
        </w:rPr>
      </w:pPr>
    </w:p>
    <w:p>
      <w:pPr>
        <w:ind w:left="-8" w:firstLine="656"/>
        <w:spacing w:after="0" w:line="273" w:lineRule="auto"/>
        <w:tabs>
          <w:tab w:leader="none" w:pos="1379" w:val="left"/>
        </w:tabs>
        <w:numPr>
          <w:ilvl w:val="1"/>
          <w:numId w:val="236"/>
        </w:numPr>
        <w:rPr>
          <w:rFonts w:ascii="Arial" w:cs="Arial" w:eastAsia="Arial" w:hAnsi="Arial"/>
          <w:sz w:val="17"/>
          <w:szCs w:val="17"/>
          <w:color w:val="auto"/>
        </w:rPr>
      </w:pPr>
      <w:r>
        <w:rPr>
          <w:rFonts w:ascii="Arial" w:cs="Arial" w:eastAsia="Arial" w:hAnsi="Arial"/>
          <w:sz w:val="17"/>
          <w:szCs w:val="17"/>
          <w:color w:val="auto"/>
        </w:rPr>
        <w:t>except as otherwise provided in Sections 14(f)-(g)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39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908" w:right="419" w:bottom="1440" w:gutter="0" w:footer="0" w:header="0"/>
        </w:sectPr>
      </w:pPr>
    </w:p>
    <w:bookmarkStart w:id="342" w:name="page343"/>
    <w:bookmarkEnd w:id="342"/>
    <w:p>
      <w:pPr>
        <w:ind w:left="672" w:hanging="672"/>
        <w:spacing w:after="0"/>
        <w:tabs>
          <w:tab w:leader="none" w:pos="672"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ADVANCES OF EXPENSES; DEFENSE OF CLAIM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87" w:lineRule="auto"/>
        <w:tabs>
          <w:tab w:leader="none" w:pos="1379" w:val="left"/>
        </w:tabs>
        <w:numPr>
          <w:ilvl w:val="1"/>
          <w:numId w:val="237"/>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except for Section 27, and to the fullest extent not prohibited by applicable law, the Company shall pay the Expenses incurred by Indemnitee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an Enforcement Proceeding (assuming for this purpose all references to a “Proceeding” in the definition of Expenses were deemed related to an Enforcement Proceeding), including Expenses incurred preparing and forwarding statements to the Company to support the advances claimed. This Agreement shall constitute Indemnitee’s undertaking to repay the advanced amounts to the extent that it is ultimately determined that Indemnitee is not entitled to be indemnified, held harmless or exonerated by the Company under the provisions of this Agreement, the Charter, the Bylaws of the Company, applicable law or otherwise, but only if such an undertaking is required by applicable law. This Section 10(a) shall not apply to any Proceeding for which indemnity is not permitted under Section 9 of this Agreement, but shall apply to any Proceeding referenced in Section 9(b) prior to a final determination that Indemnitee is liable therefor.</w:t>
      </w:r>
    </w:p>
    <w:p>
      <w:pPr>
        <w:spacing w:after="0" w:line="167" w:lineRule="exact"/>
        <w:rPr>
          <w:rFonts w:ascii="Arial" w:cs="Arial" w:eastAsia="Arial" w:hAnsi="Arial"/>
          <w:sz w:val="16"/>
          <w:szCs w:val="16"/>
          <w:color w:val="auto"/>
        </w:rPr>
      </w:pPr>
    </w:p>
    <w:p>
      <w:pPr>
        <w:ind w:left="1392" w:hanging="744"/>
        <w:spacing w:after="0"/>
        <w:tabs>
          <w:tab w:leader="none" w:pos="139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8" w:right="180" w:firstLine="656"/>
        <w:spacing w:after="0" w:line="277" w:lineRule="auto"/>
        <w:tabs>
          <w:tab w:leader="none" w:pos="137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170" w:lineRule="exact"/>
        <w:rPr>
          <w:rFonts w:ascii="Arial" w:cs="Arial" w:eastAsia="Arial" w:hAnsi="Arial"/>
          <w:sz w:val="18"/>
          <w:szCs w:val="18"/>
          <w:color w:val="auto"/>
        </w:rPr>
      </w:pPr>
    </w:p>
    <w:p>
      <w:pPr>
        <w:ind w:left="672" w:hanging="672"/>
        <w:spacing w:after="0"/>
        <w:tabs>
          <w:tab w:leader="none" w:pos="672"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PROCEDURE FOR NOTIFICATION AND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20" w:firstLine="656"/>
        <w:spacing w:after="0" w:line="259" w:lineRule="auto"/>
        <w:tabs>
          <w:tab w:leader="none" w:pos="137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86" w:lineRule="exact"/>
        <w:rPr>
          <w:rFonts w:ascii="Arial" w:cs="Arial" w:eastAsia="Arial" w:hAnsi="Arial"/>
          <w:sz w:val="18"/>
          <w:szCs w:val="18"/>
          <w:color w:val="auto"/>
        </w:rPr>
      </w:pPr>
    </w:p>
    <w:p>
      <w:pPr>
        <w:ind w:left="-8" w:right="120" w:firstLine="656"/>
        <w:spacing w:after="0" w:line="259" w:lineRule="auto"/>
        <w:tabs>
          <w:tab w:leader="none" w:pos="138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sole discretion. Following such a written application for indemnification by Indemnitee, Indemnitee’s entitlement to indemnification shall be determined according to Section 12(a) of this Agreement.</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343" w:name="page344"/>
    <w:bookmarkEnd w:id="343"/>
    <w:p>
      <w:pPr>
        <w:ind w:left="672" w:hanging="672"/>
        <w:spacing w:after="0"/>
        <w:tabs>
          <w:tab w:leader="none" w:pos="672"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directors so direct, by Independent Counsel in a written opinion to the Board, a copy of which shall be delivered to Indemnitee, or (ii) if a Change in Control has occurred, by Independent Counsel in a written opinion to the Board, a copy of which shall be delivered to the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4" w:lineRule="exact"/>
        <w:rPr>
          <w:rFonts w:ascii="Arial" w:cs="Arial" w:eastAsia="Arial" w:hAnsi="Arial"/>
          <w:sz w:val="17"/>
          <w:szCs w:val="17"/>
          <w:color w:val="auto"/>
        </w:rPr>
      </w:pPr>
    </w:p>
    <w:p>
      <w:pPr>
        <w:ind w:left="-8" w:right="20" w:firstLine="656"/>
        <w:spacing w:after="0" w:line="285" w:lineRule="auto"/>
        <w:tabs>
          <w:tab w:leader="none" w:pos="1389" w:val="left"/>
        </w:tabs>
        <w:numPr>
          <w:ilvl w:val="1"/>
          <w:numId w:val="238"/>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344" w:name="page345"/>
    <w:bookmarkEnd w:id="344"/>
    <w:p>
      <w:pPr>
        <w:ind w:left="-8" w:right="160" w:firstLine="656"/>
        <w:spacing w:after="0" w:line="263" w:lineRule="auto"/>
        <w:tabs>
          <w:tab w:leader="none" w:pos="133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3" w:lineRule="exact"/>
        <w:rPr>
          <w:rFonts w:ascii="Arial" w:cs="Arial" w:eastAsia="Arial" w:hAnsi="Arial"/>
          <w:sz w:val="18"/>
          <w:szCs w:val="18"/>
          <w:color w:val="auto"/>
        </w:rPr>
      </w:pPr>
    </w:p>
    <w:p>
      <w:pPr>
        <w:ind w:left="672" w:hanging="672"/>
        <w:spacing w:after="0"/>
        <w:tabs>
          <w:tab w:leader="none" w:pos="672"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71" w:lineRule="auto"/>
        <w:tabs>
          <w:tab w:leader="none" w:pos="1379" w:val="left"/>
        </w:tabs>
        <w:numPr>
          <w:ilvl w:val="1"/>
          <w:numId w:val="240"/>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ind w:left="-8" w:right="40" w:firstLine="656"/>
        <w:spacing w:after="0" w:line="271" w:lineRule="auto"/>
        <w:tabs>
          <w:tab w:leader="none" w:pos="1389" w:val="left"/>
        </w:tabs>
        <w:numPr>
          <w:ilvl w:val="1"/>
          <w:numId w:val="240"/>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345" w:name="page346"/>
    <w:bookmarkEnd w:id="345"/>
    <w:p>
      <w:pPr>
        <w:ind w:left="-8" w:right="20" w:firstLine="656"/>
        <w:spacing w:after="0" w:line="257" w:lineRule="auto"/>
        <w:tabs>
          <w:tab w:leader="none" w:pos="1334"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8" w:right="60" w:firstLine="656"/>
        <w:spacing w:after="0" w:line="290" w:lineRule="auto"/>
        <w:tabs>
          <w:tab w:leader="none" w:pos="1389" w:val="left"/>
        </w:tabs>
        <w:numPr>
          <w:ilvl w:val="1"/>
          <w:numId w:val="241"/>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65" w:lineRule="exact"/>
        <w:rPr>
          <w:rFonts w:ascii="Arial" w:cs="Arial" w:eastAsia="Arial" w:hAnsi="Arial"/>
          <w:sz w:val="16"/>
          <w:szCs w:val="16"/>
          <w:color w:val="auto"/>
        </w:rPr>
      </w:pPr>
    </w:p>
    <w:p>
      <w:pPr>
        <w:jc w:val="both"/>
        <w:ind w:left="-8" w:right="320" w:firstLine="656"/>
        <w:spacing w:after="0" w:line="342" w:lineRule="auto"/>
        <w:tabs>
          <w:tab w:leader="none" w:pos="1334" w:val="left"/>
        </w:tabs>
        <w:numPr>
          <w:ilvl w:val="1"/>
          <w:numId w:val="241"/>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23" w:lineRule="exact"/>
        <w:rPr>
          <w:rFonts w:ascii="Arial" w:cs="Arial" w:eastAsia="Arial" w:hAnsi="Arial"/>
          <w:sz w:val="16"/>
          <w:szCs w:val="16"/>
          <w:color w:val="auto"/>
        </w:rPr>
      </w:pPr>
    </w:p>
    <w:p>
      <w:pPr>
        <w:ind w:left="672" w:hanging="672"/>
        <w:spacing w:after="0"/>
        <w:tabs>
          <w:tab w:leader="none" w:pos="672"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242"/>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 Such adjudication or arbitration proceeding is referred to herein as “Enforcement Proceeding.”</w:t>
      </w:r>
    </w:p>
    <w:p>
      <w:pPr>
        <w:spacing w:after="0" w:line="200" w:lineRule="exact"/>
        <w:rPr>
          <w:sz w:val="20"/>
          <w:szCs w:val="20"/>
          <w:color w:val="auto"/>
        </w:rPr>
      </w:pP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346" w:name="page347"/>
    <w:bookmarkEnd w:id="346"/>
    <w:p>
      <w:pPr>
        <w:ind w:right="120" w:firstLine="656"/>
        <w:spacing w:after="0" w:line="263" w:lineRule="auto"/>
        <w:tabs>
          <w:tab w:leader="none" w:pos="139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Enforcement Proceeding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ind w:firstLine="656"/>
        <w:spacing w:after="0" w:line="293" w:lineRule="auto"/>
        <w:tabs>
          <w:tab w:leader="none" w:pos="138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 any Enforcement Proceeding, Indemnitee shall be presumed to be entitled to be indemnified, held harmless, exonerated and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an Enforcement Proceeding,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4" w:lineRule="exact"/>
        <w:rPr>
          <w:rFonts w:ascii="Arial" w:cs="Arial" w:eastAsia="Arial" w:hAnsi="Arial"/>
          <w:sz w:val="16"/>
          <w:szCs w:val="16"/>
          <w:color w:val="auto"/>
        </w:rPr>
      </w:pPr>
    </w:p>
    <w:p>
      <w:pPr>
        <w:ind w:firstLine="656"/>
        <w:spacing w:after="0" w:line="259" w:lineRule="auto"/>
        <w:tabs>
          <w:tab w:leader="none" w:pos="139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Enforcement Proceeding,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right="60" w:firstLine="656"/>
        <w:spacing w:after="0" w:line="263" w:lineRule="auto"/>
        <w:tabs>
          <w:tab w:leader="none" w:pos="134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Company shall be precluded from asserting in Enforcement Proceeding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right="40" w:firstLine="656"/>
        <w:spacing w:after="0" w:line="270" w:lineRule="auto"/>
        <w:tabs>
          <w:tab w:leader="none" w:pos="136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(assuming for purposes of this sentence that all references to a Proceeding in the definition of Expenses were references to an Enforcement Proceeding) and, if requested by Indemnitee, shall (within ten (10) days after the Company’s receipt of such written request) pay to Indemnitee, to the fullest extent permitted by applicable law, such Expenses which are incurred by Indemnitee in connection with any Enforcement Proceeding brought by Indemnitee: (i) to enforce his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Enforcement Proceeding was not brought by Indemnitee in good faith).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7" w:name="page348"/>
    <w:bookmarkEnd w:id="347"/>
    <w:p>
      <w:pPr>
        <w:ind w:firstLine="656"/>
        <w:spacing w:after="0" w:line="259" w:lineRule="auto"/>
        <w:tabs>
          <w:tab w:leader="none" w:pos="1397"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or on behalf of the Company.</w:t>
      </w:r>
    </w:p>
    <w:p>
      <w:pPr>
        <w:spacing w:after="0" w:line="186" w:lineRule="exact"/>
        <w:rPr>
          <w:rFonts w:ascii="Arial" w:cs="Arial" w:eastAsia="Arial" w:hAnsi="Arial"/>
          <w:sz w:val="18"/>
          <w:szCs w:val="18"/>
          <w:color w:val="auto"/>
        </w:rPr>
      </w:pPr>
    </w:p>
    <w:p>
      <w:pPr>
        <w:ind w:firstLine="8"/>
        <w:spacing w:after="0" w:line="259" w:lineRule="auto"/>
        <w:tabs>
          <w:tab w:leader="none" w:pos="675"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Notwithstanding anything herein to the contrary, except for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86" w:lineRule="exact"/>
        <w:rPr>
          <w:rFonts w:ascii="Arial" w:cs="Arial" w:eastAsia="Arial" w:hAnsi="Arial"/>
          <w:sz w:val="18"/>
          <w:szCs w:val="18"/>
          <w:color w:val="auto"/>
        </w:rPr>
      </w:pPr>
    </w:p>
    <w:p>
      <w:pPr>
        <w:ind w:left="680" w:hanging="672"/>
        <w:spacing w:after="0"/>
        <w:tabs>
          <w:tab w:leader="none" w:pos="68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69" w:lineRule="auto"/>
        <w:tabs>
          <w:tab w:leader="none" w:pos="1387" w:val="left"/>
        </w:tabs>
        <w:numPr>
          <w:ilvl w:val="1"/>
          <w:numId w:val="245"/>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repeals, except as may otherwise be expressly set forth in such amendment, alteration or repeals and mutually agreed by Indemnitee and the Company.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8" w:name="page349"/>
    <w:bookmarkEnd w:id="348"/>
    <w:p>
      <w:pPr>
        <w:ind w:left="-8" w:right="20" w:firstLine="656"/>
        <w:spacing w:after="0" w:line="253" w:lineRule="auto"/>
        <w:tabs>
          <w:tab w:leader="none" w:pos="1389"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Delaware General Corporation Law (the “DGCL”), the Charter and the Bylaws permit the Company to purchase and maintain insurance or furnish similar protection or make other arrangements including, but not limited to, providing a trust fund, letter of credit, or surety bond (“Indemnification Arrangements”)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96" w:lineRule="exact"/>
        <w:rPr>
          <w:rFonts w:ascii="Arial" w:cs="Arial" w:eastAsia="Arial" w:hAnsi="Arial"/>
          <w:sz w:val="18"/>
          <w:szCs w:val="18"/>
          <w:color w:val="auto"/>
        </w:rPr>
      </w:pPr>
    </w:p>
    <w:p>
      <w:pPr>
        <w:ind w:left="-8" w:right="60" w:firstLine="656"/>
        <w:spacing w:after="0" w:line="270" w:lineRule="auto"/>
        <w:tabs>
          <w:tab w:leader="none" w:pos="1379" w:val="left"/>
        </w:tabs>
        <w:numPr>
          <w:ilvl w:val="1"/>
          <w:numId w:val="246"/>
        </w:numPr>
        <w:rPr>
          <w:rFonts w:ascii="Arial" w:cs="Arial" w:eastAsia="Arial" w:hAnsi="Arial"/>
          <w:sz w:val="17"/>
          <w:szCs w:val="17"/>
          <w:color w:val="auto"/>
        </w:rPr>
      </w:pPr>
      <w:r>
        <w:rPr>
          <w:rFonts w:ascii="Arial" w:cs="Arial" w:eastAsia="Arial" w:hAnsi="Arial"/>
          <w:sz w:val="17"/>
          <w:szCs w:val="17"/>
          <w:color w:val="auto"/>
        </w:rPr>
        <w:t>To the extent that any member of the Company Group maintains an insurance policy or policies providing liability insurance for directors, officers, trustees, partners, managers, managing members, fiduciaries, employees, or agents of the Company Group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or cause to be taken all necessary or desirable action to cause such insurers to pay, on behalf of Indemnitee, all amounts payable as a result of such Proceeding in accordance with the terms of such policies.</w:t>
      </w:r>
    </w:p>
    <w:p>
      <w:pPr>
        <w:spacing w:after="0" w:line="180" w:lineRule="exact"/>
        <w:rPr>
          <w:rFonts w:ascii="Arial" w:cs="Arial" w:eastAsia="Arial" w:hAnsi="Arial"/>
          <w:sz w:val="17"/>
          <w:szCs w:val="17"/>
          <w:color w:val="auto"/>
        </w:rPr>
      </w:pPr>
    </w:p>
    <w:p>
      <w:pPr>
        <w:ind w:left="-8" w:firstLine="656"/>
        <w:spacing w:after="0" w:line="286" w:lineRule="auto"/>
        <w:tabs>
          <w:tab w:leader="none" w:pos="1389" w:val="left"/>
        </w:tabs>
        <w:numPr>
          <w:ilvl w:val="1"/>
          <w:numId w:val="246"/>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65" w:lineRule="exact"/>
        <w:rPr>
          <w:rFonts w:ascii="Arial" w:cs="Arial" w:eastAsia="Arial" w:hAnsi="Arial"/>
          <w:sz w:val="17"/>
          <w:szCs w:val="17"/>
          <w:color w:val="auto"/>
        </w:rPr>
      </w:pPr>
    </w:p>
    <w:p>
      <w:pPr>
        <w:ind w:left="-8" w:right="40" w:firstLine="656"/>
        <w:spacing w:after="0" w:line="284" w:lineRule="auto"/>
        <w:tabs>
          <w:tab w:leader="none" w:pos="1379" w:val="left"/>
        </w:tabs>
        <w:numPr>
          <w:ilvl w:val="1"/>
          <w:numId w:val="246"/>
        </w:numPr>
        <w:rPr>
          <w:rFonts w:ascii="Arial" w:cs="Arial" w:eastAsia="Arial" w:hAnsi="Arial"/>
          <w:sz w:val="16"/>
          <w:szCs w:val="16"/>
          <w:color w:val="auto"/>
        </w:rPr>
      </w:pPr>
      <w:r>
        <w:rPr>
          <w:rFonts w:ascii="Arial" w:cs="Arial" w:eastAsia="Arial" w:hAnsi="Arial"/>
          <w:sz w:val="16"/>
          <w:szCs w:val="16"/>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left="-8" w:right="80" w:firstLine="8"/>
        <w:spacing w:after="0" w:line="323" w:lineRule="auto"/>
        <w:tabs>
          <w:tab w:leader="none" w:pos="25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35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349" w:name="page350"/>
    <w:bookmarkEnd w:id="349"/>
    <w:p>
      <w:pPr>
        <w:ind w:left="-8" w:right="20" w:firstLine="656"/>
        <w:spacing w:after="0" w:line="287" w:lineRule="auto"/>
        <w:tabs>
          <w:tab w:leader="none" w:pos="136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To the extent Indemnitee has rights to indemnification, advancement of expenses and/or insurance provided by the Sponsor or its affiliates as applicable, (i) the Company shall be the indemnitor of first resort (i.e., that its obligations to Indemnitee are primary and any obligation of the Sponsor or its affiliates, as applicable, to advance expenses or to provide indemnification for the same expenses or liabilities incurred by Indemnitee are secondary), (ii) the Company shall be required to advance the full amount of expenses incurred by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Agreement, the Company’s organizational documents or other agreement, without regard to any rights Indemnitee may have against the Sponsor or its affiliates, as applicable, and (iii) the Company irrevocably waives, relinquishes and releases the Sponsor and its affiliates, as applicable, from any and all claims against them for contribution, subrogation or any other recovery of any kind in respect thereof. No advancement or payment by the Sponsor or its affiliates, as applicable, on behalf of Indemnitee with respect to any claim for which Indemnitee has sought indemnification from the Company shall affect the foregoing, and the Sponsor and its affiliates, as applicable, shall have a right of contribution and be subrogated to the extent of such advancement or payment to all of the rights of recovery of Indemnitee against the Company.</w:t>
      </w:r>
    </w:p>
    <w:p>
      <w:pPr>
        <w:spacing w:after="0" w:line="167" w:lineRule="exact"/>
        <w:rPr>
          <w:rFonts w:ascii="Arial" w:cs="Arial" w:eastAsia="Arial" w:hAnsi="Arial"/>
          <w:sz w:val="16"/>
          <w:szCs w:val="16"/>
          <w:color w:val="auto"/>
        </w:rPr>
      </w:pPr>
    </w:p>
    <w:p>
      <w:pPr>
        <w:ind w:left="-8" w:firstLine="8"/>
        <w:spacing w:after="0" w:line="273" w:lineRule="auto"/>
        <w:tabs>
          <w:tab w:leader="none" w:pos="667"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All agreements and obligations of the Company contained herein shall continue during the period 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or Enforcement Proceeding (including any rights of appeal thereto) by reason of Indemnitee’s Corporate Status, whether or not Indemnitee is acting in any such capacity at the time any liability or expense is incurred for which indemnification or advancement can be provided under this Agreement.</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350" w:name="page351"/>
    <w:bookmarkEnd w:id="350"/>
    <w:p>
      <w:pPr>
        <w:ind w:left="680" w:hanging="672"/>
        <w:spacing w:after="0"/>
        <w:tabs>
          <w:tab w:leader="none" w:pos="680"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w:t>
      </w:r>
    </w:p>
    <w:p>
      <w:pPr>
        <w:spacing w:after="0" w:line="46" w:lineRule="exact"/>
        <w:rPr>
          <w:rFonts w:ascii="Arial" w:cs="Arial" w:eastAsia="Arial" w:hAnsi="Arial"/>
          <w:sz w:val="16"/>
          <w:szCs w:val="16"/>
          <w:color w:val="auto"/>
        </w:rPr>
      </w:pPr>
    </w:p>
    <w:p>
      <w:pPr>
        <w:ind w:right="140"/>
        <w:spacing w:after="0" w:line="269" w:lineRule="auto"/>
        <w:rPr>
          <w:rFonts w:ascii="Arial" w:cs="Arial" w:eastAsia="Arial" w:hAnsi="Arial"/>
          <w:sz w:val="16"/>
          <w:szCs w:val="16"/>
          <w:color w:val="auto"/>
        </w:rPr>
      </w:pPr>
      <w:r>
        <w:rPr>
          <w:rFonts w:ascii="Arial" w:cs="Arial" w:eastAsia="Arial" w:hAnsi="Arial"/>
          <w:sz w:val="17"/>
          <w:szCs w:val="17"/>
          <w:color w:val="auto"/>
        </w:rPr>
        <w:t>(a)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0" w:lineRule="exact"/>
        <w:rPr>
          <w:rFonts w:ascii="Arial" w:cs="Arial" w:eastAsia="Arial" w:hAnsi="Arial"/>
          <w:sz w:val="16"/>
          <w:szCs w:val="16"/>
          <w:color w:val="auto"/>
        </w:rPr>
      </w:pPr>
    </w:p>
    <w:p>
      <w:pPr>
        <w:ind w:left="680" w:hanging="672"/>
        <w:spacing w:after="0"/>
        <w:tabs>
          <w:tab w:leader="none" w:pos="68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ENFORCEMENT AND BINDING EFFECT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656"/>
        <w:spacing w:after="0" w:line="286" w:lineRule="auto"/>
        <w:tabs>
          <w:tab w:leader="none" w:pos="1387" w:val="left"/>
        </w:tabs>
        <w:numPr>
          <w:ilvl w:val="1"/>
          <w:numId w:val="250"/>
        </w:numPr>
        <w:rPr>
          <w:rFonts w:ascii="Arial" w:cs="Arial" w:eastAsia="Arial" w:hAnsi="Arial"/>
          <w:sz w:val="17"/>
          <w:szCs w:val="17"/>
          <w:color w:val="auto"/>
        </w:rPr>
      </w:pPr>
      <w:r>
        <w:rPr>
          <w:rFonts w:ascii="Arial" w:cs="Arial" w:eastAsia="Arial" w:hAnsi="Arial"/>
          <w:sz w:val="17"/>
          <w:szCs w:val="17"/>
          <w:color w:val="auto"/>
        </w:rPr>
        <w:t>The Company expressly confirms and agrees that it has entered into this Agreement and assumed the obligations imposed on it hereby in order to induce Indemnitee to serve as a director, officer or key employee of the Company Group, and the Company acknowledges that Indemnitee is relying upon this Agreement in serving as a director, officer or key employee of the Company Group.</w:t>
      </w:r>
    </w:p>
    <w:p>
      <w:pPr>
        <w:spacing w:after="0" w:line="165" w:lineRule="exact"/>
        <w:rPr>
          <w:rFonts w:ascii="Arial" w:cs="Arial" w:eastAsia="Arial" w:hAnsi="Arial"/>
          <w:sz w:val="17"/>
          <w:szCs w:val="17"/>
          <w:color w:val="auto"/>
        </w:rPr>
      </w:pPr>
    </w:p>
    <w:p>
      <w:pPr>
        <w:ind w:right="320" w:firstLine="656"/>
        <w:spacing w:after="0" w:line="311" w:lineRule="auto"/>
        <w:tabs>
          <w:tab w:leader="none" w:pos="1397" w:val="left"/>
        </w:tabs>
        <w:numPr>
          <w:ilvl w:val="1"/>
          <w:numId w:val="250"/>
        </w:numPr>
        <w:rPr>
          <w:rFonts w:ascii="Arial" w:cs="Arial" w:eastAsia="Arial" w:hAnsi="Arial"/>
          <w:sz w:val="16"/>
          <w:szCs w:val="16"/>
          <w:color w:val="auto"/>
        </w:rPr>
      </w:pPr>
      <w:r>
        <w:rPr>
          <w:rFonts w:ascii="Arial" w:cs="Arial" w:eastAsia="Arial" w:hAnsi="Arial"/>
          <w:sz w:val="16"/>
          <w:szCs w:val="16"/>
          <w:color w:val="auto"/>
        </w:rPr>
        <w:t>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8" w:lineRule="exact"/>
        <w:rPr>
          <w:rFonts w:ascii="Arial" w:cs="Arial" w:eastAsia="Arial" w:hAnsi="Arial"/>
          <w:sz w:val="16"/>
          <w:szCs w:val="16"/>
          <w:color w:val="auto"/>
        </w:rPr>
      </w:pPr>
    </w:p>
    <w:p>
      <w:pPr>
        <w:ind w:right="20" w:firstLine="656"/>
        <w:spacing w:after="0" w:line="254" w:lineRule="auto"/>
        <w:tabs>
          <w:tab w:leader="none" w:pos="138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indemnification, hold harmless, exoneration and advancement of expenses rights provided by or granted pursuant to this Agreement shall be binding upon and be enforceable by the parties hereto and their respective successors and permitted assigns (including any direct or indirect successor by purchase, merger, consolidation or otherwise to all or substantially all of the business and/or assets of the Company, but subject to such successor’s compliance with Section 19(d)),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permitted assigns, heirs, devisees, executors and administrators and other legal representatives.</w:t>
      </w:r>
    </w:p>
    <w:p>
      <w:pPr>
        <w:spacing w:after="0" w:line="194" w:lineRule="exact"/>
        <w:rPr>
          <w:rFonts w:ascii="Arial" w:cs="Arial" w:eastAsia="Arial" w:hAnsi="Arial"/>
          <w:sz w:val="18"/>
          <w:szCs w:val="18"/>
          <w:color w:val="auto"/>
        </w:rPr>
      </w:pPr>
    </w:p>
    <w:p>
      <w:pPr>
        <w:jc w:val="both"/>
        <w:ind w:right="120" w:firstLine="656"/>
        <w:spacing w:after="0" w:line="259" w:lineRule="auto"/>
        <w:tabs>
          <w:tab w:leader="none" w:pos="139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1" w:name="page352"/>
    <w:bookmarkEnd w:id="351"/>
    <w:p>
      <w:pPr>
        <w:ind w:left="-8" w:firstLine="656"/>
        <w:spacing w:after="0" w:line="289" w:lineRule="auto"/>
        <w:tabs>
          <w:tab w:leader="none" w:pos="1379"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security in connection therewith. The Company acknowledges that in the absence of a waiver, a bond or other security may be required of Indemnitee by a court of competent jurisdiction. The Company hereby waives any such requirement of such a bond or other security to the fullest extent permitted by law.</w:t>
      </w:r>
    </w:p>
    <w:p>
      <w:pPr>
        <w:spacing w:after="0" w:line="166" w:lineRule="exact"/>
        <w:rPr>
          <w:rFonts w:ascii="Arial" w:cs="Arial" w:eastAsia="Arial" w:hAnsi="Arial"/>
          <w:sz w:val="16"/>
          <w:szCs w:val="16"/>
          <w:color w:val="auto"/>
        </w:rPr>
      </w:pPr>
    </w:p>
    <w:p>
      <w:pPr>
        <w:ind w:left="-8" w:right="20" w:firstLine="8"/>
        <w:spacing w:after="0" w:line="259" w:lineRule="auto"/>
        <w:tabs>
          <w:tab w:leader="none" w:pos="667"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the Company and Indemnitee. No waiver of any provision of this Agreement shall be enforceable unless in writing and signed by the party against whom it is to be enforced. No waiver of any of the provisions of this Agreement shall be deemed or shall constitute a waiver of any other provisions of this Agreement nor shall any waiver constitute a continuing waiver.</w:t>
      </w:r>
    </w:p>
    <w:p>
      <w:pPr>
        <w:spacing w:after="0" w:line="186" w:lineRule="exact"/>
        <w:rPr>
          <w:rFonts w:ascii="Arial" w:cs="Arial" w:eastAsia="Arial" w:hAnsi="Arial"/>
          <w:sz w:val="18"/>
          <w:szCs w:val="18"/>
          <w:color w:val="auto"/>
        </w:rPr>
      </w:pPr>
    </w:p>
    <w:p>
      <w:pPr>
        <w:ind w:left="-8" w:right="140" w:firstLine="8"/>
        <w:spacing w:after="0" w:line="286" w:lineRule="auto"/>
        <w:tabs>
          <w:tab w:leader="none" w:pos="667"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 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165" w:lineRule="exact"/>
        <w:rPr>
          <w:rFonts w:ascii="Arial" w:cs="Arial" w:eastAsia="Arial" w:hAnsi="Arial"/>
          <w:sz w:val="17"/>
          <w:szCs w:val="17"/>
          <w:color w:val="auto"/>
        </w:rPr>
      </w:pPr>
    </w:p>
    <w:p>
      <w:pPr>
        <w:ind w:left="-8" w:right="180" w:firstLine="656"/>
        <w:spacing w:after="0" w:line="277" w:lineRule="auto"/>
        <w:tabs>
          <w:tab w:leader="none" w:pos="133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1352" w:hanging="704"/>
        <w:spacing w:after="0"/>
        <w:tabs>
          <w:tab w:leader="none" w:pos="135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[COMPANY INFORMATION]</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Attn: Raphael M. Russo</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Fax No.: (212) 492-0309</w:t>
      </w:r>
    </w:p>
    <w:p>
      <w:pPr>
        <w:spacing w:after="0" w:line="200" w:lineRule="exact"/>
        <w:rPr>
          <w:sz w:val="20"/>
          <w:szCs w:val="20"/>
          <w:color w:val="auto"/>
        </w:rPr>
      </w:pPr>
    </w:p>
    <w:p>
      <w:pPr>
        <w:spacing w:after="0" w:line="2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5" w:lineRule="exact"/>
        <w:rPr>
          <w:sz w:val="20"/>
          <w:szCs w:val="20"/>
          <w:color w:val="auto"/>
        </w:rPr>
      </w:pPr>
    </w:p>
    <w:p>
      <w:pPr>
        <w:ind w:firstLine="8"/>
        <w:spacing w:after="0" w:line="288" w:lineRule="auto"/>
        <w:tabs>
          <w:tab w:leader="none" w:pos="675"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168" w:lineRule="exact"/>
        <w:rPr>
          <w:rFonts w:ascii="Arial" w:cs="Arial" w:eastAsia="Arial" w:hAnsi="Arial"/>
          <w:sz w:val="16"/>
          <w:szCs w:val="16"/>
          <w:color w:val="auto"/>
        </w:rPr>
      </w:pPr>
    </w:p>
    <w:p>
      <w:pPr>
        <w:ind w:right="160" w:firstLine="8"/>
        <w:spacing w:after="0" w:line="263" w:lineRule="auto"/>
        <w:tabs>
          <w:tab w:leader="none" w:pos="675"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rFonts w:ascii="Arial" w:cs="Arial" w:eastAsia="Arial" w:hAnsi="Arial"/>
          <w:sz w:val="18"/>
          <w:szCs w:val="18"/>
          <w:color w:val="auto"/>
        </w:rPr>
      </w:pPr>
    </w:p>
    <w:p>
      <w:pPr>
        <w:ind w:firstLine="8"/>
        <w:spacing w:after="0" w:line="263" w:lineRule="auto"/>
        <w:tabs>
          <w:tab w:leader="none" w:pos="675"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spacing w:after="0" w:line="183" w:lineRule="exact"/>
        <w:rPr>
          <w:rFonts w:ascii="Arial" w:cs="Arial" w:eastAsia="Arial" w:hAnsi="Arial"/>
          <w:sz w:val="18"/>
          <w:szCs w:val="18"/>
          <w:color w:val="auto"/>
        </w:rPr>
      </w:pPr>
    </w:p>
    <w:p>
      <w:pPr>
        <w:ind w:right="80" w:firstLine="8"/>
        <w:spacing w:after="0" w:line="258" w:lineRule="auto"/>
        <w:tabs>
          <w:tab w:leader="none" w:pos="675"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to the fullest extent permitted by law, the Company undertakes to cause such act, resolution, approval</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or other procedure to be affected or adopted in a manner that will enable the Company to fulfill its obligations under this Agreement.</w:t>
      </w:r>
    </w:p>
    <w:p>
      <w:pPr>
        <w:spacing w:after="0" w:line="210" w:lineRule="exact"/>
        <w:rPr>
          <w:rFonts w:ascii="Arial" w:cs="Arial" w:eastAsia="Arial" w:hAnsi="Arial"/>
          <w:sz w:val="18"/>
          <w:szCs w:val="18"/>
          <w:color w:val="auto"/>
        </w:rPr>
      </w:pPr>
    </w:p>
    <w:p>
      <w:pPr>
        <w:ind w:right="80" w:firstLine="8"/>
        <w:spacing w:after="0" w:line="259" w:lineRule="auto"/>
        <w:tabs>
          <w:tab w:leader="none" w:pos="675"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WAIVER OF CLAIMS TO TRUST ACCOUNT</w:t>
      </w:r>
      <w:r>
        <w:rPr>
          <w:rFonts w:ascii="Arial" w:cs="Arial" w:eastAsia="Arial" w:hAnsi="Arial"/>
          <w:sz w:val="18"/>
          <w:szCs w:val="18"/>
          <w:color w:val="auto"/>
        </w:rPr>
        <w:t>. Indemnitee hereby agrees that it does not have any right, title, interest or claim of any kind (each, a “Claim”)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3" w:name="page354"/>
    <w:bookmarkEnd w:id="353"/>
    <w:p>
      <w:pPr>
        <w:ind w:left="-8" w:firstLine="8"/>
        <w:spacing w:after="0" w:line="272" w:lineRule="auto"/>
        <w:tabs>
          <w:tab w:leader="none" w:pos="667"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color w:val="auto"/>
        </w:rPr>
        <w:t>IN WITNESS WHEREOF, the parties hereto have caused this Indemnity Agreement to be signed as of the day and year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INDEMNITEE</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908" w:right="839" w:bottom="1440" w:gutter="0" w:footer="0" w:header="0"/>
        </w:sectPr>
      </w:pPr>
    </w:p>
    <w:bookmarkStart w:id="355" w:name="page356"/>
    <w:bookmarkEnd w:id="355"/>
    <w:p>
      <w:pPr>
        <w:ind w:left="10320"/>
        <w:spacing w:after="0"/>
        <w:rPr>
          <w:sz w:val="20"/>
          <w:szCs w:val="20"/>
          <w:color w:val="auto"/>
        </w:rPr>
      </w:pPr>
      <w:r>
        <w:rPr>
          <w:rFonts w:ascii="Arial" w:cs="Arial" w:eastAsia="Arial" w:hAnsi="Arial"/>
          <w:sz w:val="16"/>
          <w:szCs w:val="16"/>
          <w:b w:val="1"/>
          <w:bCs w:val="1"/>
          <w:color w:val="auto"/>
        </w:rPr>
        <w:t>Exhibit 10.8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LETTERHEAD]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Klein Associates, Inc.</w:t>
      </w:r>
    </w:p>
    <w:p>
      <w:pPr>
        <w:spacing w:after="0" w:line="202" w:lineRule="auto"/>
        <w:rPr>
          <w:sz w:val="20"/>
          <w:szCs w:val="20"/>
          <w:color w:val="auto"/>
        </w:rPr>
      </w:pPr>
      <w:r>
        <w:rPr>
          <w:rFonts w:ascii="Arial" w:cs="Arial" w:eastAsia="Arial" w:hAnsi="Arial"/>
          <w:sz w:val="18"/>
          <w:szCs w:val="18"/>
          <w:color w:val="auto"/>
        </w:rPr>
        <w:t>640 Fifth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 Administrative Services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letter agreement by and between [COMPANY],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M. Klein Associates, Inc., a New York corporation (the “</w:t>
      </w:r>
      <w:r>
        <w:rPr>
          <w:rFonts w:ascii="Arial" w:cs="Arial" w:eastAsia="Arial" w:hAnsi="Arial"/>
          <w:sz w:val="17"/>
          <w:szCs w:val="17"/>
          <w:b w:val="1"/>
          <w:bCs w:val="1"/>
          <w:i w:val="1"/>
          <w:iCs w:val="1"/>
          <w:color w:val="auto"/>
        </w:rPr>
        <w:t>Services Provider</w:t>
      </w:r>
      <w:r>
        <w:rPr>
          <w:rFonts w:ascii="Arial" w:cs="Arial" w:eastAsia="Arial" w:hAnsi="Arial"/>
          <w:sz w:val="17"/>
          <w:szCs w:val="17"/>
          <w:color w:val="auto"/>
        </w:rPr>
        <w:t>”), dated as of the date hereof, will confirm our agreement that, commencing on the date that securities of the Company are first listed on the New York Stock Exchange (the “</w:t>
      </w:r>
      <w:r>
        <w:rPr>
          <w:rFonts w:ascii="Arial" w:cs="Arial" w:eastAsia="Arial" w:hAnsi="Arial"/>
          <w:sz w:val="17"/>
          <w:szCs w:val="17"/>
          <w:b w:val="1"/>
          <w:bCs w:val="1"/>
          <w:i w:val="1"/>
          <w:iCs w:val="1"/>
          <w:color w:val="auto"/>
        </w:rPr>
        <w:t>Listing Date</w:t>
      </w:r>
      <w:r>
        <w:rPr>
          <w:rFonts w:ascii="Arial" w:cs="Arial" w:eastAsia="Arial" w:hAnsi="Arial"/>
          <w:sz w:val="17"/>
          <w:szCs w:val="17"/>
          <w:color w:val="auto"/>
        </w:rPr>
        <w:t>”) and continuing until the earlier of the consummation by the Company of an initial business combination and the Company’s liquidation (in each case as described in the Registration Statement on Form S-1 (File No. 333-[•]) filed with the Securities and Exchange Commission) (such earlier date hereinafter referred to as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176" w:lineRule="exact"/>
        <w:rPr>
          <w:sz w:val="20"/>
          <w:szCs w:val="20"/>
          <w:color w:val="auto"/>
        </w:rPr>
      </w:pPr>
    </w:p>
    <w:p>
      <w:pPr>
        <w:ind w:left="660" w:right="120" w:hanging="652"/>
        <w:spacing w:after="0" w:line="257" w:lineRule="auto"/>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Services Provider (and/or any of its affiliates designated by the Services Provider) shall make available to the Company, at the address of the Services Provider referred to above (or any successor location or other existing office locations of the Services Provider or any of its affiliates), office space and administrative and support services as may be reasonably requested by the Company. In exchange therefor, the Company shall pay to the Services Provider, on the first day of each month, the sum of $[•] per month commencing on the Listing Date and continuing monthly thereafter until the Termination Date; and</w:t>
      </w:r>
    </w:p>
    <w:p>
      <w:pPr>
        <w:spacing w:after="0" w:line="187" w:lineRule="exact"/>
        <w:rPr>
          <w:rFonts w:ascii="Arial" w:cs="Arial" w:eastAsia="Arial" w:hAnsi="Arial"/>
          <w:sz w:val="18"/>
          <w:szCs w:val="18"/>
          <w:color w:val="auto"/>
        </w:rPr>
      </w:pPr>
    </w:p>
    <w:p>
      <w:pPr>
        <w:ind w:left="660" w:right="40" w:hanging="652"/>
        <w:spacing w:after="0" w:line="272" w:lineRule="auto"/>
        <w:tabs>
          <w:tab w:leader="none" w:pos="6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Services Provider hereby irrevocably waives any and all right, title, interest, causes of action and claims of any kind or nature whatsoever (each,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in or to, and any and all right to seek payment of any amounts due to it out of, the trust account established for the benefit of the public stockholders of the Company and into which substantially all of the proceeds of the Company’s initial public offering will be deposited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and hereby irrevocably waives any Claim it presently has or may have in the future as a result of, or arising out of, this letter agreement,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6" w:name="page357"/>
    <w:bookmarkEnd w:id="356"/>
    <w:p>
      <w:pPr>
        <w:ind w:right="360"/>
        <w:spacing w:after="0" w:line="263" w:lineRule="auto"/>
        <w:rPr>
          <w:sz w:val="20"/>
          <w:szCs w:val="20"/>
          <w:color w:val="auto"/>
        </w:rPr>
      </w:pPr>
      <w:r>
        <w:rPr>
          <w:rFonts w:ascii="Arial" w:cs="Arial" w:eastAsia="Arial" w:hAnsi="Arial"/>
          <w:sz w:val="18"/>
          <w:szCs w:val="18"/>
          <w:color w:val="auto"/>
        </w:rPr>
        <w:t>This letter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This letter agreement may not be amended, modified or waived as to any particular provision, except by a written instrument executed by all parties hereto.</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party hereto may assign either this letter agreement or any of its rights, interests, or obligations hereunder without the prior written approval of the other party, provided that the Services Provider may assign this letter agreement or any of its rights, interests, or obligations hereunder to an affiliate without the prior written approval of the Company. Any purported assignment in violation of this paragraph shall be void and ineffectual and shall not operate to transfer or assign any interest or title to the purported assignee.</w:t>
      </w:r>
    </w:p>
    <w:p>
      <w:pPr>
        <w:spacing w:after="0" w:line="1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This letter agreement constitutes the entire relationship of the parties hereto with respect to the subject matter described herein and any litigation between the parties (whether grounded in contract, tort, statute, law or equity) shall be governed by and construed in accordance with the laws of the State of New York.</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letter agreement may be executed in one or more counterparts, each of which shall for all purposes be deemed to be an original but all of which together shall constitute one and the same letter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57" w:name="page358"/>
    <w:bookmarkEnd w:id="357"/>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KLEIN ASSOCIATES,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[Signature Page to Administrative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In connection with the filing by Annetta Acquisition Corp of the Registration Statement on Form S-1 with the Securities and Exchange Commission under the Securities Act of 1933, as amended (the “Securities Act”), I hereby consent, pursuant to Rule 438 of the Securities Act, to being named as a nominee to the board of directors of Annetta Acquisition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27, 2020</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Glenn R.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Glenn R.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46B5A9"/>
    <w:multiLevelType w:val="hybridMultilevel"/>
    <w:lvl w:ilvl="0">
      <w:lvlJc w:val="left"/>
      <w:lvlText w:val="(%1)"/>
      <w:numFmt w:val="decimal"/>
      <w:start w:val="1"/>
    </w:lvl>
  </w:abstractNum>
  <w:abstractNum w:abstractNumId="1">
    <w:nsid w:val="5D888A08"/>
    <w:multiLevelType w:val="hybridMultilevel"/>
    <w:lvl w:ilvl="0">
      <w:lvlJc w:val="left"/>
      <w:lvlText w:val="(%1)"/>
      <w:numFmt w:val="decimal"/>
      <w:start w:val="1"/>
    </w:lvl>
  </w:abstractNum>
  <w:abstractNum w:abstractNumId="2">
    <w:nsid w:val="2A082C70"/>
    <w:multiLevelType w:val="hybridMultilevel"/>
    <w:lvl w:ilvl="0">
      <w:lvlJc w:val="left"/>
      <w:lvlText w:val="•"/>
      <w:numFmt w:val="bullet"/>
      <w:start w:val="1"/>
    </w:lvl>
  </w:abstractNum>
  <w:abstractNum w:abstractNumId="3">
    <w:nsid w:val="5EC6AFD4"/>
    <w:multiLevelType w:val="hybridMultilevel"/>
    <w:lvl w:ilvl="0">
      <w:lvlJc w:val="left"/>
      <w:lvlText w:val="•"/>
      <w:numFmt w:val="bullet"/>
      <w:start w:val="1"/>
    </w:lvl>
  </w:abstractNum>
  <w:abstractNum w:abstractNumId="4">
    <w:nsid w:val="19E21BB2"/>
    <w:multiLevelType w:val="hybridMultilevel"/>
    <w:lvl w:ilvl="0">
      <w:lvlJc w:val="left"/>
      <w:lvlText w:val="•"/>
      <w:numFmt w:val="bullet"/>
      <w:start w:val="1"/>
    </w:lvl>
  </w:abstractNum>
  <w:abstractNum w:abstractNumId="5">
    <w:nsid w:val="75E0858A"/>
    <w:multiLevelType w:val="hybridMultilevel"/>
    <w:lvl w:ilvl="0">
      <w:lvlJc w:val="left"/>
      <w:lvlText w:val="•"/>
      <w:numFmt w:val="bullet"/>
      <w:start w:val="1"/>
    </w:lvl>
  </w:abstractNum>
  <w:abstractNum w:abstractNumId="6">
    <w:nsid w:val="57A61A29"/>
    <w:multiLevelType w:val="hybridMultilevel"/>
    <w:lvl w:ilvl="0">
      <w:lvlJc w:val="left"/>
      <w:lvlText w:val="•"/>
      <w:numFmt w:val="bullet"/>
      <w:start w:val="1"/>
    </w:lvl>
  </w:abstractNum>
  <w:abstractNum w:abstractNumId="7">
    <w:nsid w:val="5399C654"/>
    <w:multiLevelType w:val="hybridMultilevel"/>
    <w:lvl w:ilvl="0">
      <w:lvlJc w:val="left"/>
      <w:lvlText w:val="•"/>
      <w:numFmt w:val="bullet"/>
      <w:start w:val="1"/>
    </w:lvl>
  </w:abstractNum>
  <w:abstractNum w:abstractNumId="8">
    <w:nsid w:val="20EE1348"/>
    <w:multiLevelType w:val="hybridMultilevel"/>
    <w:lvl w:ilvl="0">
      <w:lvlJc w:val="left"/>
      <w:lvlText w:val="•"/>
      <w:numFmt w:val="bullet"/>
      <w:start w:val="1"/>
    </w:lvl>
  </w:abstractNum>
  <w:abstractNum w:abstractNumId="9">
    <w:nsid w:val="4427069A"/>
    <w:multiLevelType w:val="hybridMultilevel"/>
    <w:lvl w:ilvl="0">
      <w:lvlJc w:val="left"/>
      <w:lvlText w:val="•"/>
      <w:numFmt w:val="bullet"/>
      <w:start w:val="1"/>
    </w:lvl>
  </w:abstractNum>
  <w:abstractNum w:abstractNumId="10">
    <w:nsid w:val="B37E80A"/>
    <w:multiLevelType w:val="hybridMultilevel"/>
    <w:lvl w:ilvl="0">
      <w:lvlJc w:val="left"/>
      <w:lvlText w:val="•"/>
      <w:numFmt w:val="bullet"/>
      <w:start w:val="1"/>
    </w:lvl>
  </w:abstractNum>
  <w:abstractNum w:abstractNumId="11">
    <w:nsid w:val="2157F6BC"/>
    <w:multiLevelType w:val="hybridMultilevel"/>
    <w:lvl w:ilvl="0">
      <w:lvlJc w:val="left"/>
      <w:lvlText w:val="(%1)"/>
      <w:numFmt w:val="lowerLetter"/>
      <w:start w:val="1"/>
    </w:lvl>
  </w:abstractNum>
  <w:abstractNum w:abstractNumId="12">
    <w:nsid w:val="704E1DD5"/>
    <w:multiLevelType w:val="hybridMultilevel"/>
    <w:lvl w:ilvl="0">
      <w:lvlJc w:val="left"/>
      <w:lvlText w:val="(%1)"/>
      <w:numFmt w:val="decimal"/>
      <w:start w:val="1"/>
    </w:lvl>
  </w:abstractNum>
  <w:abstractNum w:abstractNumId="13">
    <w:nsid w:val="57D2F10E"/>
    <w:multiLevelType w:val="hybridMultilevel"/>
    <w:lvl w:ilvl="0">
      <w:lvlJc w:val="left"/>
      <w:lvlText w:val="•"/>
      <w:numFmt w:val="bullet"/>
      <w:start w:val="1"/>
    </w:lvl>
  </w:abstractNum>
  <w:abstractNum w:abstractNumId="14">
    <w:nsid w:val="BFFAE18"/>
    <w:multiLevelType w:val="hybridMultilevel"/>
    <w:lvl w:ilvl="0">
      <w:lvlJc w:val="left"/>
      <w:lvlText w:val="\emdash "/>
      <w:numFmt w:val="bullet"/>
      <w:start w:val="1"/>
    </w:lvl>
  </w:abstractNum>
  <w:abstractNum w:abstractNumId="15">
    <w:nsid w:val="E3E47A8"/>
    <w:multiLevelType w:val="hybridMultilevel"/>
    <w:lvl w:ilvl="0">
      <w:lvlJc w:val="left"/>
      <w:lvlText w:val="(%1)"/>
      <w:numFmt w:val="decimal"/>
      <w:start w:val="1"/>
    </w:lvl>
  </w:abstractNum>
  <w:abstractNum w:abstractNumId="16">
    <w:nsid w:val="2E48F044"/>
    <w:multiLevelType w:val="hybridMultilevel"/>
    <w:lvl w:ilvl="0">
      <w:lvlJc w:val="left"/>
      <w:lvlText w:val="•"/>
      <w:numFmt w:val="bullet"/>
      <w:start w:val="1"/>
    </w:lvl>
  </w:abstractNum>
  <w:abstractNum w:abstractNumId="17">
    <w:nsid w:val="49D0FEAC"/>
    <w:multiLevelType w:val="hybridMultilevel"/>
    <w:lvl w:ilvl="0">
      <w:lvlJc w:val="left"/>
      <w:lvlText w:val="•"/>
      <w:numFmt w:val="bullet"/>
      <w:start w:val="1"/>
    </w:lvl>
  </w:abstractNum>
  <w:abstractNum w:abstractNumId="18">
    <w:nsid w:val="4BEE5A5B"/>
    <w:multiLevelType w:val="hybridMultilevel"/>
    <w:lvl w:ilvl="0">
      <w:lvlJc w:val="left"/>
      <w:lvlText w:val="(%1)"/>
      <w:numFmt w:val="decimal"/>
      <w:start w:val="2"/>
    </w:lvl>
  </w:abstractNum>
  <w:abstractNum w:abstractNumId="19">
    <w:nsid w:val="5551B9F3"/>
    <w:multiLevelType w:val="hybridMultilevel"/>
    <w:lvl w:ilvl="0">
      <w:lvlJc w:val="left"/>
      <w:lvlText w:val="(%1)"/>
      <w:numFmt w:val="decimal"/>
      <w:start w:val="1"/>
    </w:lvl>
  </w:abstractNum>
  <w:abstractNum w:abstractNumId="20">
    <w:nsid w:val="24F6AB8E"/>
    <w:multiLevelType w:val="hybridMultilevel"/>
    <w:lvl w:ilvl="0">
      <w:lvlJc w:val="left"/>
      <w:lvlText w:val="•"/>
      <w:numFmt w:val="bullet"/>
      <w:start w:val="1"/>
    </w:lvl>
  </w:abstractNum>
  <w:abstractNum w:abstractNumId="21">
    <w:nsid w:val="634C574C"/>
    <w:multiLevelType w:val="hybridMultilevel"/>
    <w:lvl w:ilvl="0">
      <w:lvlJc w:val="left"/>
      <w:lvlText w:val="•"/>
      <w:numFmt w:val="bullet"/>
      <w:start w:val="1"/>
    </w:lvl>
  </w:abstractNum>
  <w:abstractNum w:abstractNumId="22">
    <w:nsid w:val="24E99DD7"/>
    <w:multiLevelType w:val="hybridMultilevel"/>
    <w:lvl w:ilvl="0">
      <w:lvlJc w:val="left"/>
      <w:lvlText w:val="•"/>
      <w:numFmt w:val="bullet"/>
      <w:start w:val="1"/>
    </w:lvl>
  </w:abstractNum>
  <w:abstractNum w:abstractNumId="23">
    <w:nsid w:val="2A31B62D"/>
    <w:multiLevelType w:val="hybridMultilevel"/>
    <w:lvl w:ilvl="0">
      <w:lvlJc w:val="left"/>
      <w:lvlText w:val="•"/>
      <w:numFmt w:val="bullet"/>
      <w:start w:val="1"/>
    </w:lvl>
  </w:abstractNum>
  <w:abstractNum w:abstractNumId="24">
    <w:nsid w:val="1849C29B"/>
    <w:multiLevelType w:val="hybridMultilevel"/>
    <w:lvl w:ilvl="0">
      <w:lvlJc w:val="left"/>
      <w:lvlText w:val="•"/>
      <w:numFmt w:val="bullet"/>
      <w:start w:val="1"/>
    </w:lvl>
  </w:abstractNum>
  <w:abstractNum w:abstractNumId="25">
    <w:nsid w:val="7DFF9D09"/>
    <w:multiLevelType w:val="hybridMultilevel"/>
    <w:lvl w:ilvl="0">
      <w:lvlJc w:val="left"/>
      <w:lvlText w:val="•"/>
      <w:numFmt w:val="bullet"/>
      <w:start w:val="1"/>
    </w:lvl>
  </w:abstractNum>
  <w:abstractNum w:abstractNumId="26">
    <w:nsid w:val="754342"/>
    <w:multiLevelType w:val="hybridMultilevel"/>
    <w:lvl w:ilvl="0">
      <w:lvlJc w:val="left"/>
      <w:lvlText w:val="•"/>
      <w:numFmt w:val="bullet"/>
      <w:start w:val="1"/>
    </w:lvl>
  </w:abstractNum>
  <w:abstractNum w:abstractNumId="27">
    <w:nsid w:val="69E7F3E5"/>
    <w:multiLevelType w:val="hybridMultilevel"/>
    <w:lvl w:ilvl="0">
      <w:lvlJc w:val="left"/>
      <w:lvlText w:val="•"/>
      <w:numFmt w:val="bullet"/>
      <w:start w:val="1"/>
    </w:lvl>
  </w:abstractNum>
  <w:abstractNum w:abstractNumId="28">
    <w:nsid w:val="2A6DE806"/>
    <w:multiLevelType w:val="hybridMultilevel"/>
    <w:lvl w:ilvl="0">
      <w:lvlJc w:val="left"/>
      <w:lvlText w:val="•"/>
      <w:numFmt w:val="bullet"/>
      <w:start w:val="1"/>
    </w:lvl>
  </w:abstractNum>
  <w:abstractNum w:abstractNumId="29">
    <w:nsid w:val="1816F8C4"/>
    <w:multiLevelType w:val="hybridMultilevel"/>
    <w:lvl w:ilvl="0">
      <w:lvlJc w:val="left"/>
      <w:lvlText w:val="•"/>
      <w:numFmt w:val="bullet"/>
      <w:start w:val="1"/>
    </w:lvl>
  </w:abstractNum>
  <w:abstractNum w:abstractNumId="30">
    <w:nsid w:val="37DF2233"/>
    <w:multiLevelType w:val="hybridMultilevel"/>
    <w:lvl w:ilvl="0">
      <w:lvlJc w:val="left"/>
      <w:lvlText w:val="(%1)"/>
      <w:numFmt w:val="decimal"/>
      <w:start w:val="1"/>
    </w:lvl>
  </w:abstractNum>
  <w:abstractNum w:abstractNumId="31">
    <w:nsid w:val="7AB49DAF"/>
    <w:multiLevelType w:val="hybridMultilevel"/>
    <w:lvl w:ilvl="0">
      <w:lvlJc w:val="left"/>
      <w:lvlText w:val="(%1)"/>
      <w:numFmt w:val="decimal"/>
      <w:start w:val="1"/>
    </w:lvl>
  </w:abstractNum>
  <w:abstractNum w:abstractNumId="32">
    <w:nsid w:val="759F82CD"/>
    <w:multiLevelType w:val="hybridMultilevel"/>
    <w:lvl w:ilvl="0">
      <w:lvlJc w:val="left"/>
      <w:lvlText w:val="(%1)"/>
      <w:numFmt w:val="decimal"/>
      <w:start w:val="1"/>
    </w:lvl>
  </w:abstractNum>
  <w:abstractNum w:abstractNumId="33">
    <w:nsid w:val="61E74EA3"/>
    <w:multiLevelType w:val="hybridMultilevel"/>
    <w:lvl w:ilvl="0">
      <w:lvlJc w:val="left"/>
      <w:lvlText w:val="•"/>
      <w:numFmt w:val="bullet"/>
      <w:start w:val="1"/>
    </w:lvl>
  </w:abstractNum>
  <w:abstractNum w:abstractNumId="34">
    <w:nsid w:val="597B4D84"/>
    <w:multiLevelType w:val="hybridMultilevel"/>
    <w:lvl w:ilvl="0">
      <w:lvlJc w:val="left"/>
      <w:lvlText w:val="•"/>
      <w:numFmt w:val="bullet"/>
      <w:start w:val="1"/>
    </w:lvl>
  </w:abstractNum>
  <w:abstractNum w:abstractNumId="35">
    <w:nsid w:val="F819E7F"/>
    <w:multiLevelType w:val="hybridMultilevel"/>
    <w:lvl w:ilvl="0">
      <w:lvlJc w:val="left"/>
      <w:lvlText w:val="\emdash "/>
      <w:numFmt w:val="bullet"/>
      <w:start w:val="1"/>
    </w:lvl>
  </w:abstractNum>
  <w:abstractNum w:abstractNumId="36">
    <w:nsid w:val="57C7D42D"/>
    <w:multiLevelType w:val="hybridMultilevel"/>
    <w:lvl w:ilvl="0">
      <w:lvlJc w:val="left"/>
      <w:lvlText w:val="•"/>
      <w:numFmt w:val="bullet"/>
      <w:start w:val="1"/>
    </w:lvl>
  </w:abstractNum>
  <w:abstractNum w:abstractNumId="37">
    <w:nsid w:val="312167AD"/>
    <w:multiLevelType w:val="hybridMultilevel"/>
    <w:lvl w:ilvl="0">
      <w:lvlJc w:val="left"/>
      <w:lvlText w:val="•"/>
      <w:numFmt w:val="bullet"/>
      <w:start w:val="1"/>
    </w:lvl>
  </w:abstractNum>
  <w:abstractNum w:abstractNumId="38">
    <w:nsid w:val="631B64D4"/>
    <w:multiLevelType w:val="hybridMultilevel"/>
    <w:lvl w:ilvl="0">
      <w:lvlJc w:val="left"/>
      <w:lvlText w:val="•"/>
      <w:numFmt w:val="bullet"/>
      <w:start w:val="1"/>
    </w:lvl>
  </w:abstractNum>
  <w:abstractNum w:abstractNumId="39">
    <w:nsid w:val="78B5E776"/>
    <w:multiLevelType w:val="hybridMultilevel"/>
    <w:lvl w:ilvl="0">
      <w:lvlJc w:val="left"/>
      <w:lvlText w:val="•"/>
      <w:numFmt w:val="bullet"/>
      <w:start w:val="1"/>
    </w:lvl>
  </w:abstractNum>
  <w:abstractNum w:abstractNumId="40">
    <w:nsid w:val="75486E47"/>
    <w:multiLevelType w:val="hybridMultilevel"/>
    <w:lvl w:ilvl="0">
      <w:lvlJc w:val="left"/>
      <w:lvlText w:val="•"/>
      <w:numFmt w:val="bullet"/>
      <w:start w:val="1"/>
    </w:lvl>
  </w:abstractNum>
  <w:abstractNum w:abstractNumId="41">
    <w:nsid w:val="6E534CDE"/>
    <w:multiLevelType w:val="hybridMultilevel"/>
    <w:lvl w:ilvl="0">
      <w:lvlJc w:val="left"/>
      <w:lvlText w:val="(%1)"/>
      <w:numFmt w:val="lowerLetter"/>
      <w:start w:val="1"/>
    </w:lvl>
  </w:abstractNum>
  <w:abstractNum w:abstractNumId="42">
    <w:nsid w:val="1A0DDE32"/>
    <w:multiLevelType w:val="hybridMultilevel"/>
    <w:lvl w:ilvl="0">
      <w:lvlJc w:val="left"/>
      <w:lvlText w:val="(%1)"/>
      <w:numFmt w:val="lowerLetter"/>
      <w:start w:val="1"/>
    </w:lvl>
  </w:abstractNum>
  <w:abstractNum w:abstractNumId="43">
    <w:nsid w:val="65968C1C"/>
    <w:multiLevelType w:val="hybridMultilevel"/>
    <w:lvl w:ilvl="0">
      <w:lvlJc w:val="left"/>
      <w:lvlText w:val="•"/>
      <w:numFmt w:val="bullet"/>
      <w:start w:val="1"/>
    </w:lvl>
  </w:abstractNum>
  <w:abstractNum w:abstractNumId="44">
    <w:nsid w:val="46263DEC"/>
    <w:multiLevelType w:val="hybridMultilevel"/>
    <w:lvl w:ilvl="0">
      <w:lvlJc w:val="left"/>
      <w:lvlText w:val="•"/>
      <w:numFmt w:val="bullet"/>
      <w:start w:val="1"/>
    </w:lvl>
  </w:abstractNum>
  <w:abstractNum w:abstractNumId="45">
    <w:nsid w:val="260D8C4A"/>
    <w:multiLevelType w:val="hybridMultilevel"/>
    <w:lvl w:ilvl="0">
      <w:lvlJc w:val="left"/>
      <w:lvlText w:val="•"/>
      <w:numFmt w:val="bullet"/>
      <w:start w:val="1"/>
    </w:lvl>
  </w:abstractNum>
  <w:abstractNum w:abstractNumId="46">
    <w:nsid w:val="73D4D3C4"/>
    <w:multiLevelType w:val="hybridMultilevel"/>
    <w:lvl w:ilvl="0">
      <w:lvlJc w:val="left"/>
      <w:lvlText w:val="(%1)"/>
      <w:numFmt w:val="decimal"/>
      <w:start w:val="1"/>
    </w:lvl>
  </w:abstractNum>
  <w:abstractNum w:abstractNumId="47">
    <w:nsid w:val="746F2E30"/>
    <w:multiLevelType w:val="hybridMultilevel"/>
    <w:lvl w:ilvl="0">
      <w:lvlJc w:val="left"/>
      <w:lvlText w:val="•"/>
      <w:numFmt w:val="bullet"/>
      <w:start w:val="1"/>
    </w:lvl>
  </w:abstractNum>
  <w:abstractNum w:abstractNumId="48">
    <w:nsid w:val="6FDE8AF6"/>
    <w:multiLevelType w:val="hybridMultilevel"/>
    <w:lvl w:ilvl="0">
      <w:lvlJc w:val="left"/>
      <w:lvlText w:val="•"/>
      <w:numFmt w:val="bullet"/>
      <w:start w:val="1"/>
    </w:lvl>
  </w:abstractNum>
  <w:abstractNum w:abstractNumId="49">
    <w:nsid w:val="3FC32E20"/>
    <w:multiLevelType w:val="hybridMultilevel"/>
    <w:lvl w:ilvl="0">
      <w:lvlJc w:val="left"/>
      <w:lvlText w:val="(%1)"/>
      <w:numFmt w:val="decimal"/>
      <w:start w:val="2"/>
    </w:lvl>
  </w:abstractNum>
  <w:abstractNum w:abstractNumId="50">
    <w:nsid w:val="49C0E823"/>
    <w:multiLevelType w:val="hybridMultilevel"/>
    <w:lvl w:ilvl="0">
      <w:lvlJc w:val="left"/>
      <w:lvlText w:val="(%1)"/>
      <w:numFmt w:val="decimal"/>
      <w:start w:val="2"/>
    </w:lvl>
  </w:abstractNum>
  <w:abstractNum w:abstractNumId="51">
    <w:nsid w:val="14D53685"/>
    <w:multiLevelType w:val="hybridMultilevel"/>
    <w:lvl w:ilvl="0">
      <w:lvlJc w:val="left"/>
      <w:lvlText w:val="•"/>
      <w:numFmt w:val="bullet"/>
      <w:start w:val="1"/>
    </w:lvl>
  </w:abstractNum>
  <w:abstractNum w:abstractNumId="52">
    <w:nsid w:val="230F856C"/>
    <w:multiLevelType w:val="hybridMultilevel"/>
    <w:lvl w:ilvl="0">
      <w:lvlJc w:val="left"/>
      <w:lvlText w:val="(%1)"/>
      <w:numFmt w:val="lowerLetter"/>
      <w:start w:val="1"/>
    </w:lvl>
  </w:abstractNum>
  <w:abstractNum w:abstractNumId="53">
    <w:nsid w:val="6EAA85FB"/>
    <w:multiLevelType w:val="hybridMultilevel"/>
    <w:lvl w:ilvl="0">
      <w:lvlJc w:val="left"/>
      <w:lvlText w:val="•"/>
      <w:numFmt w:val="bullet"/>
      <w:start w:val="1"/>
    </w:lvl>
  </w:abstractNum>
  <w:abstractNum w:abstractNumId="54">
    <w:nsid w:val="3F06ECB2"/>
    <w:multiLevelType w:val="hybridMultilevel"/>
    <w:lvl w:ilvl="0">
      <w:lvlJc w:val="left"/>
      <w:lvlText w:val="•"/>
      <w:numFmt w:val="bullet"/>
      <w:start w:val="1"/>
    </w:lvl>
  </w:abstractNum>
  <w:abstractNum w:abstractNumId="55">
    <w:nsid w:val="3B594807"/>
    <w:multiLevelType w:val="hybridMultilevel"/>
    <w:lvl w:ilvl="0">
      <w:lvlJc w:val="left"/>
      <w:lvlText w:val="•"/>
      <w:numFmt w:val="bullet"/>
      <w:start w:val="1"/>
    </w:lvl>
  </w:abstractNum>
  <w:abstractNum w:abstractNumId="56">
    <w:nsid w:val="6CAA2304"/>
    <w:multiLevelType w:val="hybridMultilevel"/>
    <w:lvl w:ilvl="0">
      <w:lvlJc w:val="left"/>
      <w:lvlText w:val="•"/>
      <w:numFmt w:val="bullet"/>
      <w:start w:val="1"/>
    </w:lvl>
  </w:abstractNum>
  <w:abstractNum w:abstractNumId="57">
    <w:nsid w:val="3F7C2FF4"/>
    <w:multiLevelType w:val="hybridMultilevel"/>
    <w:lvl w:ilvl="0">
      <w:lvlJc w:val="left"/>
      <w:lvlText w:val="•"/>
      <w:numFmt w:val="bullet"/>
      <w:start w:val="1"/>
    </w:lvl>
  </w:abstractNum>
  <w:abstractNum w:abstractNumId="58">
    <w:nsid w:val="25413BEC"/>
    <w:multiLevelType w:val="hybridMultilevel"/>
    <w:lvl w:ilvl="0">
      <w:lvlJc w:val="left"/>
      <w:lvlText w:val="•"/>
      <w:numFmt w:val="bullet"/>
      <w:start w:val="1"/>
    </w:lvl>
  </w:abstractNum>
  <w:abstractNum w:abstractNumId="59">
    <w:nsid w:val="17180B0B"/>
    <w:multiLevelType w:val="hybridMultilevel"/>
    <w:lvl w:ilvl="0">
      <w:lvlJc w:val="left"/>
      <w:lvlText w:val="•"/>
      <w:numFmt w:val="bullet"/>
      <w:start w:val="1"/>
    </w:lvl>
  </w:abstractNum>
  <w:abstractNum w:abstractNumId="60">
    <w:nsid w:val="579328B9"/>
    <w:multiLevelType w:val="hybridMultilevel"/>
    <w:lvl w:ilvl="0">
      <w:lvlJc w:val="left"/>
      <w:lvlText w:val="•"/>
      <w:numFmt w:val="bullet"/>
      <w:start w:val="1"/>
    </w:lvl>
  </w:abstractNum>
  <w:abstractNum w:abstractNumId="61">
    <w:nsid w:val="5D205E20"/>
    <w:multiLevelType w:val="hybridMultilevel"/>
    <w:lvl w:ilvl="0">
      <w:lvlJc w:val="left"/>
      <w:lvlText w:val="(%1)"/>
      <w:numFmt w:val="decimal"/>
      <w:start w:val="1"/>
    </w:lvl>
  </w:abstractNum>
  <w:abstractNum w:abstractNumId="62">
    <w:nsid w:val="11CCA8BA"/>
    <w:multiLevelType w:val="hybridMultilevel"/>
    <w:lvl w:ilvl="0">
      <w:lvlJc w:val="left"/>
      <w:lvlText w:val="(%1)"/>
      <w:numFmt w:val="upperLetter"/>
      <w:start w:val="1"/>
    </w:lvl>
  </w:abstractNum>
  <w:abstractNum w:abstractNumId="63">
    <w:nsid w:val="4D32AB86"/>
    <w:multiLevelType w:val="hybridMultilevel"/>
    <w:lvl w:ilvl="0">
      <w:lvlJc w:val="left"/>
      <w:lvlText w:val="•"/>
      <w:numFmt w:val="bullet"/>
      <w:start w:val="1"/>
    </w:lvl>
  </w:abstractNum>
  <w:abstractNum w:abstractNumId="64">
    <w:nsid w:val="3F07ACC3"/>
    <w:multiLevelType w:val="hybridMultilevel"/>
    <w:lvl w:ilvl="0">
      <w:lvlJc w:val="left"/>
      <w:lvlText w:val="•"/>
      <w:numFmt w:val="bullet"/>
      <w:start w:val="1"/>
    </w:lvl>
  </w:abstractNum>
  <w:abstractNum w:abstractNumId="65">
    <w:nsid w:val="6B47F63E"/>
    <w:multiLevelType w:val="hybridMultilevel"/>
    <w:lvl w:ilvl="0">
      <w:lvlJc w:val="left"/>
      <w:lvlText w:val="(%1)"/>
      <w:numFmt w:val="decimal"/>
      <w:start w:val="9"/>
    </w:lvl>
  </w:abstractNum>
  <w:abstractNum w:abstractNumId="66">
    <w:nsid w:val="5CB44A05"/>
    <w:multiLevelType w:val="hybridMultilevel"/>
    <w:lvl w:ilvl="0">
      <w:lvlJc w:val="left"/>
      <w:lvlText w:val="•"/>
      <w:numFmt w:val="bullet"/>
      <w:start w:val="1"/>
    </w:lvl>
  </w:abstractNum>
  <w:abstractNum w:abstractNumId="67">
    <w:nsid w:val="16CF80F1"/>
    <w:multiLevelType w:val="hybridMultilevel"/>
    <w:lvl w:ilvl="0">
      <w:lvlJc w:val="left"/>
      <w:lvlText w:val="(%1)"/>
      <w:numFmt w:val="decimal"/>
      <w:start w:val="1"/>
    </w:lvl>
  </w:abstractNum>
  <w:abstractNum w:abstractNumId="68">
    <w:nsid w:val="1C695DEC"/>
    <w:multiLevelType w:val="hybridMultilevel"/>
    <w:lvl w:ilvl="0">
      <w:lvlJc w:val="left"/>
      <w:lvlText w:val="•"/>
      <w:numFmt w:val="bullet"/>
      <w:start w:val="1"/>
    </w:lvl>
  </w:abstractNum>
  <w:abstractNum w:abstractNumId="69">
    <w:nsid w:val="3FCFAED9"/>
    <w:multiLevelType w:val="hybridMultilevel"/>
    <w:lvl w:ilvl="0">
      <w:lvlJc w:val="left"/>
      <w:lvlText w:val="•"/>
      <w:numFmt w:val="bullet"/>
      <w:start w:val="1"/>
    </w:lvl>
  </w:abstractNum>
  <w:abstractNum w:abstractNumId="70">
    <w:nsid w:val="F856867"/>
    <w:multiLevelType w:val="hybridMultilevel"/>
    <w:lvl w:ilvl="0">
      <w:lvlJc w:val="left"/>
      <w:lvlText w:val="•"/>
      <w:numFmt w:val="bullet"/>
      <w:start w:val="1"/>
    </w:lvl>
  </w:abstractNum>
  <w:abstractNum w:abstractNumId="71">
    <w:nsid w:val="11B1CC33"/>
    <w:multiLevelType w:val="hybridMultilevel"/>
    <w:lvl w:ilvl="0">
      <w:lvlJc w:val="left"/>
      <w:lvlText w:val="(%1)"/>
      <w:numFmt w:val="lowerRoman"/>
      <w:start w:val="3"/>
    </w:lvl>
  </w:abstractNum>
  <w:abstractNum w:abstractNumId="72">
    <w:nsid w:val="2E22FBB7"/>
    <w:multiLevelType w:val="hybridMultilevel"/>
    <w:lvl w:ilvl="0">
      <w:lvlJc w:val="left"/>
      <w:lvlText w:val="•"/>
      <w:numFmt w:val="bullet"/>
      <w:start w:val="1"/>
    </w:lvl>
  </w:abstractNum>
  <w:abstractNum w:abstractNumId="73">
    <w:nsid w:val="29934699"/>
    <w:multiLevelType w:val="hybridMultilevel"/>
    <w:lvl w:ilvl="0">
      <w:lvlJc w:val="left"/>
      <w:lvlText w:val="•"/>
      <w:numFmt w:val="bullet"/>
      <w:start w:val="1"/>
    </w:lvl>
  </w:abstractNum>
  <w:abstractNum w:abstractNumId="74">
    <w:nsid w:val="77485850"/>
    <w:multiLevelType w:val="hybridMultilevel"/>
    <w:lvl w:ilvl="0">
      <w:lvlJc w:val="left"/>
      <w:lvlText w:val="•"/>
      <w:numFmt w:val="bullet"/>
      <w:start w:val="1"/>
    </w:lvl>
  </w:abstractNum>
  <w:abstractNum w:abstractNumId="75">
    <w:nsid w:val="744939A3"/>
    <w:multiLevelType w:val="hybridMultilevel"/>
    <w:lvl w:ilvl="0">
      <w:lvlJc w:val="left"/>
      <w:lvlText w:val="(%1)"/>
      <w:numFmt w:val="decimal"/>
      <w:start w:val="2"/>
    </w:lvl>
  </w:abstractNum>
  <w:abstractNum w:abstractNumId="76">
    <w:nsid w:val="4FA0D2E3"/>
    <w:multiLevelType w:val="hybridMultilevel"/>
    <w:lvl w:ilvl="0">
      <w:lvlJc w:val="left"/>
      <w:lvlText w:val="•"/>
      <w:numFmt w:val="bullet"/>
      <w:start w:val="1"/>
    </w:lvl>
  </w:abstractNum>
  <w:abstractNum w:abstractNumId="77">
    <w:nsid w:val="6B1D2C14"/>
    <w:multiLevelType w:val="hybridMultilevel"/>
    <w:lvl w:ilvl="0">
      <w:lvlJc w:val="left"/>
      <w:lvlText w:val="(%1)"/>
      <w:numFmt w:val="decimal"/>
      <w:start w:val="1"/>
    </w:lvl>
  </w:abstractNum>
  <w:abstractNum w:abstractNumId="78">
    <w:nsid w:val="68B867D3"/>
    <w:multiLevelType w:val="hybridMultilevel"/>
    <w:lvl w:ilvl="0">
      <w:lvlJc w:val="left"/>
      <w:lvlText w:val="•"/>
      <w:numFmt w:val="bullet"/>
      <w:start w:val="1"/>
    </w:lvl>
  </w:abstractNum>
  <w:abstractNum w:abstractNumId="79">
    <w:nsid w:val="3F7F5DD9"/>
    <w:multiLevelType w:val="hybridMultilevel"/>
    <w:lvl w:ilvl="0">
      <w:lvlJc w:val="left"/>
      <w:lvlText w:val="•"/>
      <w:numFmt w:val="bullet"/>
      <w:start w:val="1"/>
    </w:lvl>
  </w:abstractNum>
  <w:abstractNum w:abstractNumId="80">
    <w:nsid w:val="2AE05A34"/>
    <w:multiLevelType w:val="hybridMultilevel"/>
    <w:lvl w:ilvl="0">
      <w:lvlJc w:val="left"/>
      <w:lvlText w:val="•"/>
      <w:numFmt w:val="bullet"/>
      <w:start w:val="1"/>
    </w:lvl>
  </w:abstractNum>
  <w:abstractNum w:abstractNumId="81">
    <w:nsid w:val="32794FF7"/>
    <w:multiLevelType w:val="hybridMultilevel"/>
    <w:lvl w:ilvl="0">
      <w:lvlJc w:val="left"/>
      <w:lvlText w:val="(%1)"/>
      <w:numFmt w:val="lowerRoman"/>
      <w:start w:val="1"/>
    </w:lvl>
  </w:abstractNum>
  <w:abstractNum w:abstractNumId="82">
    <w:nsid w:val="5454945E"/>
    <w:multiLevelType w:val="hybridMultilevel"/>
    <w:lvl w:ilvl="0">
      <w:lvlJc w:val="left"/>
      <w:lvlText w:val="•"/>
      <w:numFmt w:val="bullet"/>
      <w:start w:val="1"/>
    </w:lvl>
  </w:abstractNum>
  <w:abstractNum w:abstractNumId="83">
    <w:nsid w:val="4DEFDFA0"/>
    <w:multiLevelType w:val="hybridMultilevel"/>
    <w:lvl w:ilvl="0">
      <w:lvlJc w:val="left"/>
      <w:lvlText w:val="•"/>
      <w:numFmt w:val="bullet"/>
      <w:start w:val="1"/>
    </w:lvl>
  </w:abstractNum>
  <w:abstractNum w:abstractNumId="84">
    <w:nsid w:val="2123D5F2"/>
    <w:multiLevelType w:val="hybridMultilevel"/>
    <w:lvl w:ilvl="0">
      <w:lvlJc w:val="left"/>
      <w:lvlText w:val="(%1)"/>
      <w:numFmt w:val="decimal"/>
      <w:start w:val="1"/>
    </w:lvl>
  </w:abstractNum>
  <w:abstractNum w:abstractNumId="85">
    <w:nsid w:val="135B8110"/>
    <w:multiLevelType w:val="hybridMultilevel"/>
    <w:lvl w:ilvl="0">
      <w:lvlJc w:val="left"/>
      <w:lvlText w:val="(%1)"/>
      <w:numFmt w:val="decimal"/>
      <w:start w:val="1"/>
    </w:lvl>
  </w:abstractNum>
  <w:abstractNum w:abstractNumId="86">
    <w:nsid w:val="94927A8"/>
    <w:multiLevelType w:val="hybridMultilevel"/>
    <w:lvl w:ilvl="0">
      <w:lvlJc w:val="left"/>
      <w:lvlText w:val="(%1)"/>
      <w:numFmt w:val="decimal"/>
      <w:start w:val="1"/>
    </w:lvl>
  </w:abstractNum>
  <w:abstractNum w:abstractNumId="87">
    <w:nsid w:val="DCDF8F6"/>
    <w:multiLevelType w:val="hybridMultilevel"/>
    <w:lvl w:ilvl="0">
      <w:lvlJc w:val="left"/>
      <w:lvlText w:val="•"/>
      <w:numFmt w:val="bullet"/>
      <w:start w:val="1"/>
    </w:lvl>
  </w:abstractNum>
  <w:abstractNum w:abstractNumId="88">
    <w:nsid w:val="52D7B105"/>
    <w:multiLevelType w:val="hybridMultilevel"/>
    <w:lvl w:ilvl="0">
      <w:lvlJc w:val="left"/>
      <w:lvlText w:val="(%1)"/>
      <w:numFmt w:val="decimal"/>
      <w:start w:val="1"/>
    </w:lvl>
  </w:abstractNum>
  <w:abstractNum w:abstractNumId="89">
    <w:nsid w:val="2E8A6394"/>
    <w:multiLevelType w:val="hybridMultilevel"/>
    <w:lvl w:ilvl="0">
      <w:lvlJc w:val="left"/>
      <w:lvlText w:val="(%1)"/>
      <w:numFmt w:val="lowerLetter"/>
      <w:start w:val="1"/>
    </w:lvl>
  </w:abstractNum>
  <w:abstractNum w:abstractNumId="90">
    <w:nsid w:val="24E60401"/>
    <w:multiLevelType w:val="hybridMultilevel"/>
    <w:lvl w:ilvl="0">
      <w:lvlJc w:val="left"/>
      <w:lvlText w:val="(%1)"/>
      <w:numFmt w:val="lowerLetter"/>
      <w:start w:val="3"/>
    </w:lvl>
  </w:abstractNum>
  <w:abstractNum w:abstractNumId="91">
    <w:nsid w:val="2A6AD9BE"/>
    <w:multiLevelType w:val="hybridMultilevel"/>
    <w:lvl w:ilvl="0">
      <w:lvlJc w:val="left"/>
      <w:lvlText w:val="(%1)"/>
      <w:numFmt w:val="lowerLetter"/>
      <w:start w:val="9"/>
    </w:lvl>
  </w:abstractNum>
  <w:abstractNum w:abstractNumId="92">
    <w:nsid w:val="BAAC1B4"/>
    <w:multiLevelType w:val="hybridMultilevel"/>
    <w:lvl w:ilvl="0">
      <w:lvlJc w:val="left"/>
      <w:lvlText w:val="*"/>
      <w:numFmt w:val="bullet"/>
      <w:start w:val="1"/>
    </w:lvl>
  </w:abstractNum>
  <w:abstractNum w:abstractNumId="93">
    <w:nsid w:val="36B2ACBC"/>
    <w:multiLevelType w:val="hybridMultilevel"/>
    <w:lvl w:ilvl="0">
      <w:lvlJc w:val="left"/>
      <w:lvlText w:val="(%1)"/>
      <w:numFmt w:val="lowerLetter"/>
      <w:start w:val="2"/>
    </w:lvl>
  </w:abstractNum>
  <w:abstractNum w:abstractNumId="94">
    <w:nsid w:val="779D854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5">
    <w:nsid w:val="4AB26E78"/>
    <w:multiLevelType w:val="hybridMultilevel"/>
    <w:lvl w:ilvl="0">
      <w:lvlJc w:val="left"/>
      <w:lvlText w:val="(%1)"/>
      <w:numFmt w:val="lowerRoman"/>
      <w:start w:val="3"/>
    </w:lvl>
  </w:abstractNum>
  <w:abstractNum w:abstractNumId="96">
    <w:nsid w:val="21FAA2FA"/>
    <w:multiLevelType w:val="hybridMultilevel"/>
    <w:lvl w:ilvl="0">
      <w:lvlJc w:val="left"/>
      <w:lvlText w:val="•"/>
      <w:numFmt w:val="bullet"/>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97">
    <w:nsid w:val="5451CF49"/>
    <w:multiLevelType w:val="hybridMultilevel"/>
    <w:lvl w:ilvl="0">
      <w:lvlJc w:val="left"/>
      <w:lvlText w:val="•"/>
      <w:numFmt w:val="bullet"/>
      <w:start w:val="1"/>
    </w:lvl>
    <w:lvl w:ilvl="1">
      <w:lvlJc w:val="left"/>
      <w:lvlText w:val="(%2)"/>
      <w:numFmt w:val="upperLetter"/>
      <w:start w:val="2"/>
    </w:lvl>
    <w:lvl w:ilvl="2">
      <w:lvlJc w:val="left"/>
      <w:lvlText w:val="%3"/>
      <w:numFmt w:val="lowerLetter"/>
      <w:start w:val="1"/>
    </w:lvl>
    <w:lvl w:ilvl="3">
      <w:lvlJc w:val="left"/>
      <w:lvlText w:val="%4"/>
      <w:numFmt w:val="lowerRoman"/>
      <w:start w:val="1"/>
    </w:lvl>
  </w:abstractNum>
  <w:abstractNum w:abstractNumId="98">
    <w:nsid w:val="6181EF69"/>
    <w:multiLevelType w:val="hybridMultilevel"/>
    <w:lvl w:ilvl="0">
      <w:lvlJc w:val="left"/>
      <w:lvlText w:val="•"/>
      <w:numFmt w:val="bullet"/>
      <w:start w:val="1"/>
    </w:lvl>
  </w:abstractNum>
  <w:abstractNum w:abstractNumId="99">
    <w:nsid w:val="3E6400E6"/>
    <w:multiLevelType w:val="hybridMultilevel"/>
    <w:lvl w:ilvl="0">
      <w:lvlJc w:val="left"/>
      <w:lvlText w:val="(%1)"/>
      <w:numFmt w:val="lowerRoman"/>
      <w:start w:val="3"/>
    </w:lvl>
  </w:abstractNum>
  <w:abstractNum w:abstractNumId="100">
    <w:nsid w:val="14217E23"/>
    <w:multiLevelType w:val="hybridMultilevel"/>
    <w:lvl w:ilvl="0">
      <w:lvlJc w:val="left"/>
      <w:lvlText w:val="(%1)"/>
      <w:numFmt w:val="lowerLetter"/>
      <w:start w:val="3"/>
    </w:lvl>
  </w:abstractNum>
  <w:abstractNum w:abstractNumId="101">
    <w:nsid w:val="710757D0"/>
    <w:multiLevelType w:val="hybridMultilevel"/>
    <w:lvl w:ilvl="0">
      <w:lvlJc w:val="left"/>
      <w:lvlText w:val="%1."/>
      <w:numFmt w:val="decimal"/>
      <w:start w:val="1"/>
    </w:lvl>
  </w:abstractNum>
  <w:abstractNum w:abstractNumId="102">
    <w:nsid w:val="5015CD1A"/>
    <w:multiLevelType w:val="hybridMultilevel"/>
    <w:lvl w:ilvl="0">
      <w:lvlJc w:val="left"/>
      <w:lvlText w:val="(%1)"/>
      <w:numFmt w:val="lowerLetter"/>
      <w:start w:val="1"/>
    </w:lvl>
    <w:lvl w:ilvl="1">
      <w:lvlJc w:val="left"/>
      <w:lvlText w:val="(%2)"/>
      <w:numFmt w:val="lowerRoman"/>
      <w:start w:val="1"/>
    </w:lvl>
  </w:abstractNum>
  <w:abstractNum w:abstractNumId="103">
    <w:nsid w:val="424479DA"/>
    <w:multiLevelType w:val="hybridMultilevel"/>
    <w:lvl w:ilvl="0">
      <w:lvlJc w:val="left"/>
      <w:lvlText w:val="%1"/>
      <w:numFmt w:val="lowerLetter"/>
      <w:start w:val="1"/>
    </w:lvl>
    <w:lvl w:ilvl="1">
      <w:lvlJc w:val="left"/>
      <w:lvlText w:val="(%2)"/>
      <w:numFmt w:val="lowerLetter"/>
      <w:start w:val="61"/>
    </w:lvl>
  </w:abstractNum>
  <w:abstractNum w:abstractNumId="104">
    <w:nsid w:val="1A9A9E69"/>
    <w:multiLevelType w:val="hybridMultilevel"/>
    <w:lvl w:ilvl="0">
      <w:lvlJc w:val="left"/>
      <w:lvlText w:val="(%1)"/>
      <w:numFmt w:val="lowerLetter"/>
      <w:start w:val="2"/>
    </w:lvl>
    <w:lvl w:ilvl="1">
      <w:lvlJc w:val="left"/>
      <w:lvlText w:val="(%2)"/>
      <w:numFmt w:val="lowerLetter"/>
      <w:start w:val="9"/>
    </w:lvl>
  </w:abstractNum>
  <w:abstractNum w:abstractNumId="105">
    <w:nsid w:val="475E256A"/>
    <w:multiLevelType w:val="hybridMultilevel"/>
    <w:lvl w:ilvl="0">
      <w:lvlJc w:val="left"/>
      <w:lvlText w:val="(%1)"/>
      <w:numFmt w:val="lowerRoman"/>
      <w:start w:val="2"/>
    </w:lvl>
  </w:abstractNum>
  <w:abstractNum w:abstractNumId="106">
    <w:nsid w:val="368DB37E"/>
    <w:multiLevelType w:val="hybridMultilevel"/>
    <w:lvl w:ilvl="0">
      <w:lvlJc w:val="left"/>
      <w:lvlText w:val="(%1)"/>
      <w:numFmt w:val="lowerRoman"/>
      <w:start w:val="3"/>
    </w:lvl>
  </w:abstractNum>
  <w:abstractNum w:abstractNumId="107">
    <w:nsid w:val="6A3B714C"/>
    <w:multiLevelType w:val="hybridMultilevel"/>
    <w:lvl w:ilvl="0">
      <w:lvlJc w:val="left"/>
      <w:lvlText w:val="(%1)"/>
      <w:numFmt w:val="lowerLetter"/>
      <w:start w:val="3"/>
    </w:lvl>
  </w:abstractNum>
  <w:abstractNum w:abstractNumId="108">
    <w:nsid w:val="327B517E"/>
    <w:multiLevelType w:val="hybridMultilevel"/>
    <w:lvl w:ilvl="0">
      <w:lvlJc w:val="left"/>
      <w:lvlText w:val="(%1)"/>
      <w:numFmt w:val="lowerLetter"/>
      <w:start w:val="1"/>
    </w:lvl>
  </w:abstractNum>
  <w:abstractNum w:abstractNumId="109">
    <w:nsid w:val="1F461B51"/>
    <w:multiLevelType w:val="hybridMultilevel"/>
    <w:lvl w:ilvl="0">
      <w:lvlJc w:val="left"/>
      <w:lvlText w:val="(%1)"/>
      <w:numFmt w:val="lowerLetter"/>
      <w:start w:val="1"/>
    </w:lvl>
  </w:abstractNum>
  <w:abstractNum w:abstractNumId="110">
    <w:nsid w:val="29BACF25"/>
    <w:multiLevelType w:val="hybridMultilevel"/>
    <w:lvl w:ilvl="0">
      <w:lvlJc w:val="left"/>
      <w:lvlText w:val="(%1)"/>
      <w:numFmt w:val="lowerLetter"/>
      <w:start w:val="2"/>
    </w:lvl>
  </w:abstractNum>
  <w:abstractNum w:abstractNumId="111">
    <w:nsid w:val="5D5BABB3"/>
    <w:multiLevelType w:val="hybridMultilevel"/>
    <w:lvl w:ilvl="0">
      <w:lvlJc w:val="left"/>
      <w:lvlText w:val="(%1)"/>
      <w:numFmt w:val="lowerLetter"/>
      <w:start w:val="5"/>
    </w:lvl>
  </w:abstractNum>
  <w:abstractNum w:abstractNumId="112">
    <w:nsid w:val="51BF6B48"/>
    <w:multiLevelType w:val="hybridMultilevel"/>
    <w:lvl w:ilvl="0">
      <w:lvlJc w:val="left"/>
      <w:lvlText w:val="(%1)"/>
      <w:numFmt w:val="lowerLetter"/>
      <w:start w:val="1"/>
    </w:lvl>
  </w:abstractNum>
  <w:abstractNum w:abstractNumId="113">
    <w:nsid w:val="7E0F6384"/>
    <w:multiLevelType w:val="hybridMultilevel"/>
    <w:lvl w:ilvl="0">
      <w:lvlJc w:val="left"/>
      <w:lvlText w:val="(%1)"/>
      <w:numFmt w:val="lowerLetter"/>
      <w:start w:val="1"/>
    </w:lvl>
  </w:abstractNum>
  <w:abstractNum w:abstractNumId="114">
    <w:nsid w:val="2B4B8B53"/>
    <w:multiLevelType w:val="hybridMultilevel"/>
    <w:lvl w:ilvl="0">
      <w:lvlJc w:val="left"/>
      <w:lvlText w:val="(%1)"/>
      <w:numFmt w:val="lowerLetter"/>
      <w:start w:val="3"/>
    </w:lvl>
  </w:abstractNum>
  <w:abstractNum w:abstractNumId="115">
    <w:nsid w:val="72E3413A"/>
    <w:multiLevelType w:val="hybridMultilevel"/>
    <w:lvl w:ilvl="0">
      <w:lvlJc w:val="left"/>
      <w:lvlText w:val="(%1)"/>
      <w:numFmt w:val="lowerLetter"/>
      <w:start w:val="5"/>
    </w:lvl>
  </w:abstractNum>
  <w:abstractNum w:abstractNumId="116">
    <w:nsid w:val="116AE494"/>
    <w:multiLevelType w:val="hybridMultilevel"/>
    <w:lvl w:ilvl="0">
      <w:lvlJc w:val="left"/>
      <w:lvlText w:val="(%1)"/>
      <w:numFmt w:val="lowerLetter"/>
      <w:start w:val="1"/>
    </w:lvl>
  </w:abstractNum>
  <w:abstractNum w:abstractNumId="117">
    <w:nsid w:val="3494B2FB"/>
    <w:multiLevelType w:val="hybridMultilevel"/>
    <w:lvl w:ilvl="0">
      <w:lvlJc w:val="left"/>
      <w:lvlText w:val="(%1)"/>
      <w:numFmt w:val="lowerLetter"/>
      <w:start w:val="1"/>
    </w:lvl>
  </w:abstractNum>
  <w:abstractNum w:abstractNumId="118">
    <w:nsid w:val="B13A31"/>
    <w:multiLevelType w:val="hybridMultilevel"/>
    <w:lvl w:ilvl="0">
      <w:lvlJc w:val="left"/>
      <w:lvlText w:val="(%1)"/>
      <w:numFmt w:val="lowerLetter"/>
      <w:start w:val="1"/>
    </w:lvl>
    <w:lvl w:ilvl="1">
      <w:lvlJc w:val="left"/>
      <w:lvlText w:val="(%2)"/>
      <w:numFmt w:val="lowerLetter"/>
      <w:start w:val="9"/>
    </w:lvl>
  </w:abstractNum>
  <w:abstractNum w:abstractNumId="119">
    <w:nsid w:val="64429599"/>
    <w:multiLevelType w:val="hybridMultilevel"/>
    <w:lvl w:ilvl="0">
      <w:lvlJc w:val="left"/>
      <w:lvlText w:val="(%1)"/>
      <w:numFmt w:val="lowerRoman"/>
      <w:start w:val="2"/>
    </w:lvl>
  </w:abstractNum>
  <w:abstractNum w:abstractNumId="120">
    <w:nsid w:val="631F1690"/>
    <w:multiLevelType w:val="hybridMultilevel"/>
    <w:lvl w:ilvl="0">
      <w:lvlJc w:val="left"/>
      <w:lvlText w:val="(%1)"/>
      <w:numFmt w:val="lowerLetter"/>
      <w:start w:val="4"/>
    </w:lvl>
    <w:lvl w:ilvl="1">
      <w:lvlJc w:val="left"/>
      <w:lvlText w:val="(%2)"/>
      <w:numFmt w:val="lowerRoman"/>
      <w:start w:val="1"/>
    </w:lvl>
  </w:abstractNum>
  <w:abstractNum w:abstractNumId="121">
    <w:nsid w:val="25973E32"/>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1"/>
    </w:lvl>
  </w:abstractNum>
  <w:abstractNum w:abstractNumId="122">
    <w:nsid w:val="EAD6F57"/>
    <w:multiLevelType w:val="hybridMultilevel"/>
    <w:lvl w:ilvl="0">
      <w:lvlJc w:val="left"/>
      <w:lvlText w:val="%1"/>
      <w:numFmt w:val="lowerRoman"/>
      <w:start w:val="1"/>
    </w:lvl>
    <w:lvl w:ilvl="1">
      <w:lvlJc w:val="left"/>
      <w:lvlText w:val="(%2)"/>
      <w:numFmt w:val="lowerLetter"/>
      <w:start w:val="7"/>
    </w:lvl>
    <w:lvl w:ilvl="2">
      <w:lvlJc w:val="left"/>
      <w:lvlText w:val="%3"/>
      <w:numFmt w:val="lowerLetter"/>
      <w:start w:val="1"/>
    </w:lvl>
  </w:abstractNum>
  <w:abstractNum w:abstractNumId="123">
    <w:nsid w:val="6EC9D844"/>
    <w:multiLevelType w:val="hybridMultilevel"/>
    <w:lvl w:ilvl="0">
      <w:lvlJc w:val="left"/>
      <w:lvlText w:val="(%1)"/>
      <w:numFmt w:val="lowerRoman"/>
      <w:start w:val="4"/>
    </w:lvl>
    <w:lvl w:ilvl="1">
      <w:lvlJc w:val="left"/>
      <w:lvlText w:val="(%2)"/>
      <w:numFmt w:val="lowerLetter"/>
      <w:start w:val="10"/>
    </w:lvl>
    <w:lvl w:ilvl="2">
      <w:lvlJc w:val="left"/>
      <w:lvlText w:val="%3"/>
      <w:numFmt w:val="lowerLetter"/>
      <w:start w:val="1"/>
    </w:lvl>
  </w:abstractNum>
  <w:abstractNum w:abstractNumId="124">
    <w:nsid w:val="5C49EAEE"/>
    <w:multiLevelType w:val="hybridMultilevel"/>
    <w:lvl w:ilvl="0">
      <w:lvlJc w:val="left"/>
      <w:lvlText w:val="(%1)"/>
      <w:numFmt w:val="lowerLetter"/>
      <w:start w:val="1"/>
    </w:lvl>
  </w:abstractNum>
  <w:abstractNum w:abstractNumId="125">
    <w:nsid w:val="64AF49B"/>
    <w:multiLevelType w:val="hybridMultilevel"/>
    <w:lvl w:ilvl="0">
      <w:lvlJc w:val="left"/>
      <w:lvlText w:val="(%1)"/>
      <w:numFmt w:val="lowerLetter"/>
      <w:start w:val="2"/>
    </w:lvl>
    <w:lvl w:ilvl="1">
      <w:lvlJc w:val="left"/>
      <w:lvlText w:val="(%2)"/>
      <w:numFmt w:val="lowerRoman"/>
      <w:start w:val="1"/>
    </w:lvl>
  </w:abstractNum>
  <w:abstractNum w:abstractNumId="126">
    <w:nsid w:val="397C46BC"/>
    <w:multiLevelType w:val="hybridMultilevel"/>
    <w:lvl w:ilvl="0">
      <w:lvlJc w:val="left"/>
      <w:lvlText w:val="(%1)"/>
      <w:numFmt w:val="lowerLetter"/>
      <w:start w:val="4"/>
    </w:lvl>
  </w:abstractNum>
  <w:abstractNum w:abstractNumId="127">
    <w:nsid w:val="7E448DE9"/>
    <w:multiLevelType w:val="hybridMultilevel"/>
    <w:lvl w:ilvl="0">
      <w:lvlJc w:val="left"/>
      <w:lvlText w:val="(%1)"/>
      <w:numFmt w:val="lowerLetter"/>
      <w:start w:val="1"/>
    </w:lvl>
    <w:lvl w:ilvl="1">
      <w:lvlJc w:val="left"/>
      <w:lvlText w:val="(%2)"/>
      <w:numFmt w:val="lowerRoman"/>
      <w:start w:val="1"/>
    </w:lvl>
  </w:abstractNum>
  <w:abstractNum w:abstractNumId="128">
    <w:nsid w:val="5A9CC3E5"/>
    <w:multiLevelType w:val="hybridMultilevel"/>
    <w:lvl w:ilvl="0">
      <w:lvlJc w:val="left"/>
      <w:lvlText w:val="%1"/>
      <w:numFmt w:val="lowerLetter"/>
      <w:start w:val="1"/>
    </w:lvl>
    <w:lvl w:ilvl="1">
      <w:lvlJc w:val="left"/>
      <w:lvlText w:val="(%2)"/>
      <w:numFmt w:val="lowerRoman"/>
      <w:start w:val="3"/>
    </w:lvl>
  </w:abstractNum>
  <w:abstractNum w:abstractNumId="129">
    <w:nsid w:val="1AFE3625"/>
    <w:multiLevelType w:val="hybridMultilevel"/>
    <w:lvl w:ilvl="0">
      <w:lvlJc w:val="left"/>
      <w:lvlText w:val="(%1)"/>
      <w:numFmt w:val="lowerLetter"/>
      <w:start w:val="2"/>
    </w:lvl>
    <w:lvl w:ilvl="1">
      <w:lvlJc w:val="left"/>
      <w:lvlText w:val="%2"/>
      <w:numFmt w:val="lowerRoman"/>
      <w:start w:val="1"/>
    </w:lvl>
  </w:abstractNum>
  <w:abstractNum w:abstractNumId="130">
    <w:nsid w:val="3CA88ECF"/>
    <w:multiLevelType w:val="hybridMultilevel"/>
    <w:lvl w:ilvl="0">
      <w:lvlJc w:val="left"/>
      <w:lvlText w:val="(%1)"/>
      <w:numFmt w:val="lowerLetter"/>
      <w:start w:val="1"/>
    </w:lvl>
  </w:abstractNum>
  <w:abstractNum w:abstractNumId="131">
    <w:nsid w:val="6EBE4208"/>
    <w:multiLevelType w:val="hybridMultilevel"/>
    <w:lvl w:ilvl="0">
      <w:lvlJc w:val="left"/>
      <w:lvlText w:val="(%1)"/>
      <w:numFmt w:val="lowerLetter"/>
      <w:start w:val="3"/>
    </w:lvl>
  </w:abstractNum>
  <w:abstractNum w:abstractNumId="132">
    <w:nsid w:val="C058DF5"/>
    <w:multiLevelType w:val="hybridMultilevel"/>
    <w:lvl w:ilvl="0">
      <w:lvlJc w:val="left"/>
      <w:lvlText w:val="(%1)"/>
      <w:numFmt w:val="lowerLetter"/>
      <w:start w:val="5"/>
    </w:lvl>
  </w:abstractNum>
  <w:abstractNum w:abstractNumId="133">
    <w:nsid w:val="CBE5BE9"/>
    <w:multiLevelType w:val="hybridMultilevel"/>
    <w:lvl w:ilvl="0">
      <w:lvlJc w:val="left"/>
      <w:lvlText w:val="(%1)"/>
      <w:numFmt w:val="lowerLetter"/>
      <w:start w:val="1"/>
    </w:lvl>
    <w:lvl w:ilvl="1">
      <w:lvlJc w:val="left"/>
      <w:lvlText w:val="(%2)"/>
      <w:numFmt w:val="lowerLetter"/>
      <w:start w:val="9"/>
    </w:lvl>
  </w:abstractNum>
  <w:abstractNum w:abstractNumId="134">
    <w:nsid w:val="3102BBE2"/>
    <w:multiLevelType w:val="hybridMultilevel"/>
    <w:lvl w:ilvl="0">
      <w:lvlJc w:val="left"/>
      <w:lvlText w:val="%1"/>
      <w:numFmt w:val="lowerLetter"/>
      <w:start w:val="1"/>
    </w:lvl>
    <w:lvl w:ilvl="1">
      <w:lvlJc w:val="left"/>
      <w:lvlText w:val="(%2)"/>
      <w:numFmt w:val="lowerLetter"/>
      <w:start w:val="35"/>
    </w:lvl>
  </w:abstractNum>
  <w:abstractNum w:abstractNumId="135">
    <w:nsid w:val="26A02C5E"/>
    <w:multiLevelType w:val="hybridMultilevel"/>
    <w:lvl w:ilvl="0">
      <w:lvlJc w:val="left"/>
      <w:lvlText w:val="(%1)"/>
      <w:numFmt w:val="lowerLetter"/>
      <w:start w:val="6"/>
    </w:lvl>
    <w:lvl w:ilvl="1">
      <w:lvlJc w:val="left"/>
      <w:lvlText w:val="%2"/>
      <w:numFmt w:val="lowerLetter"/>
      <w:start w:val="1"/>
    </w:lvl>
  </w:abstractNum>
  <w:abstractNum w:abstractNumId="136">
    <w:nsid w:val="541C8153"/>
    <w:multiLevelType w:val="hybridMultilevel"/>
    <w:lvl w:ilvl="0">
      <w:lvlJc w:val="left"/>
      <w:lvlText w:val="(%1)"/>
      <w:numFmt w:val="lowerLetter"/>
      <w:start w:val="1"/>
    </w:lvl>
  </w:abstractNum>
  <w:abstractNum w:abstractNumId="137">
    <w:nsid w:val="67906F60"/>
    <w:multiLevelType w:val="hybridMultilevel"/>
    <w:lvl w:ilvl="0">
      <w:lvlJc w:val="left"/>
      <w:lvlText w:val="(%1)"/>
      <w:numFmt w:val="lowerLetter"/>
      <w:start w:val="2"/>
    </w:lvl>
  </w:abstractNum>
  <w:abstractNum w:abstractNumId="138">
    <w:nsid w:val="10DB9DAA"/>
    <w:multiLevelType w:val="hybridMultilevel"/>
    <w:lvl w:ilvl="0">
      <w:lvlJc w:val="left"/>
      <w:lvlText w:val="(%1)"/>
      <w:numFmt w:val="lowerLetter"/>
      <w:start w:val="1"/>
    </w:lvl>
  </w:abstractNum>
  <w:abstractNum w:abstractNumId="139">
    <w:nsid w:val="697D2D2"/>
    <w:multiLevelType w:val="hybridMultilevel"/>
    <w:lvl w:ilvl="0">
      <w:lvlJc w:val="left"/>
      <w:lvlText w:val="(%1)"/>
      <w:numFmt w:val="lowerLetter"/>
      <w:start w:val="1"/>
    </w:lvl>
    <w:lvl w:ilvl="1">
      <w:lvlJc w:val="left"/>
      <w:lvlText w:val="(%2)"/>
      <w:numFmt w:val="lowerRoman"/>
      <w:start w:val="1"/>
    </w:lvl>
  </w:abstractNum>
  <w:abstractNum w:abstractNumId="140">
    <w:nsid w:val="6D68AB2"/>
    <w:multiLevelType w:val="hybridMultilevel"/>
    <w:lvl w:ilvl="0">
      <w:lvlJc w:val="left"/>
      <w:lvlText w:val="(%1)"/>
      <w:numFmt w:val="lowerRoman"/>
      <w:start w:val="4"/>
    </w:lvl>
  </w:abstractNum>
  <w:abstractNum w:abstractNumId="141">
    <w:nsid w:val="3A966CD0"/>
    <w:multiLevelType w:val="hybridMultilevel"/>
    <w:lvl w:ilvl="0">
      <w:lvlJc w:val="left"/>
      <w:lvlText w:val="%1"/>
      <w:numFmt w:val="lowerLetter"/>
      <w:start w:val="1"/>
    </w:lvl>
    <w:lvl w:ilvl="1">
      <w:lvlJc w:val="left"/>
      <w:lvlText w:val="(%2)"/>
      <w:numFmt w:val="lowerLetter"/>
      <w:start w:val="22"/>
    </w:lvl>
  </w:abstractNum>
  <w:abstractNum w:abstractNumId="142">
    <w:nsid w:val="63F37E85"/>
    <w:multiLevelType w:val="hybridMultilevel"/>
    <w:lvl w:ilvl="0">
      <w:lvlJc w:val="left"/>
      <w:lvlText w:val="(%1)"/>
      <w:numFmt w:val="lowerLetter"/>
      <w:start w:val="2"/>
    </w:lvl>
    <w:lvl w:ilvl="1">
      <w:lvlJc w:val="left"/>
      <w:lvlText w:val="%2"/>
      <w:numFmt w:val="lowerLetter"/>
      <w:start w:val="1"/>
    </w:lvl>
  </w:abstractNum>
  <w:abstractNum w:abstractNumId="143">
    <w:nsid w:val="5895F5FA"/>
    <w:multiLevelType w:val="hybridMultilevel"/>
    <w:lvl w:ilvl="0">
      <w:lvlJc w:val="left"/>
      <w:lvlText w:val="(%1)"/>
      <w:numFmt w:val="lowerLetter"/>
      <w:start w:val="1"/>
    </w:lvl>
  </w:abstractNum>
  <w:abstractNum w:abstractNumId="144">
    <w:nsid w:val="38A5D054"/>
    <w:multiLevelType w:val="hybridMultilevel"/>
    <w:lvl w:ilvl="0">
      <w:lvlJc w:val="left"/>
      <w:lvlText w:val="(%1)"/>
      <w:numFmt w:val="lowerLetter"/>
      <w:start w:val="1"/>
    </w:lvl>
  </w:abstractNum>
  <w:abstractNum w:abstractNumId="145">
    <w:nsid w:val="F3F09D8"/>
    <w:multiLevelType w:val="hybridMultilevel"/>
    <w:lvl w:ilvl="0">
      <w:lvlJc w:val="left"/>
      <w:lvlText w:val="(%1)"/>
      <w:numFmt w:val="lowerLetter"/>
      <w:start w:val="1"/>
    </w:lvl>
  </w:abstractNum>
  <w:abstractNum w:abstractNumId="146">
    <w:nsid w:val="4B793735"/>
    <w:multiLevelType w:val="hybridMultilevel"/>
    <w:lvl w:ilvl="0">
      <w:lvlJc w:val="left"/>
      <w:lvlText w:val="%1"/>
      <w:numFmt w:val="lowerLetter"/>
      <w:start w:val="1"/>
    </w:lvl>
    <w:lvl w:ilvl="1">
      <w:lvlJc w:val="left"/>
      <w:lvlText w:val="(%2)"/>
      <w:numFmt w:val="lowerLetter"/>
      <w:start w:val="2"/>
    </w:lvl>
  </w:abstractNum>
  <w:abstractNum w:abstractNumId="147">
    <w:nsid w:val="4A10B4E8"/>
    <w:multiLevelType w:val="hybridMultilevel"/>
    <w:lvl w:ilvl="0">
      <w:lvlJc w:val="left"/>
      <w:lvlText w:val="(%1)"/>
      <w:numFmt w:val="lowerLetter"/>
      <w:start w:val="9"/>
    </w:lvl>
    <w:lvl w:ilvl="1">
      <w:lvlJc w:val="left"/>
      <w:lvlText w:val="(%2)"/>
      <w:numFmt w:val="lowerLetter"/>
      <w:start w:val="3"/>
    </w:lvl>
  </w:abstractNum>
  <w:abstractNum w:abstractNumId="148">
    <w:nsid w:val="43D3BCD4"/>
    <w:multiLevelType w:val="hybridMultilevel"/>
    <w:lvl w:ilvl="0">
      <w:lvlJc w:val="left"/>
      <w:lvlText w:val="(%1)"/>
      <w:numFmt w:val="lowerLetter"/>
      <w:start w:val="5"/>
    </w:lvl>
  </w:abstractNum>
  <w:abstractNum w:abstractNumId="149">
    <w:nsid w:val="4C2A7166"/>
    <w:multiLevelType w:val="hybridMultilevel"/>
    <w:lvl w:ilvl="0">
      <w:lvlJc w:val="left"/>
      <w:lvlText w:val="(%1)"/>
      <w:numFmt w:val="lowerLetter"/>
      <w:start w:val="1"/>
    </w:lvl>
    <w:lvl w:ilvl="1">
      <w:lvlJc w:val="left"/>
      <w:lvlText w:val="(%2)"/>
      <w:numFmt w:val="lowerRoman"/>
      <w:start w:val="1"/>
    </w:lvl>
  </w:abstractNum>
  <w:abstractNum w:abstractNumId="150">
    <w:nsid w:val="2E534A82"/>
    <w:multiLevelType w:val="hybridMultilevel"/>
    <w:lvl w:ilvl="0">
      <w:lvlJc w:val="left"/>
      <w:lvlText w:val="%1."/>
      <w:numFmt w:val="decimal"/>
      <w:start w:val="1"/>
    </w:lvl>
  </w:abstractNum>
  <w:abstractNum w:abstractNumId="151">
    <w:nsid w:val="26F2D364"/>
    <w:multiLevelType w:val="hybridMultilevel"/>
    <w:lvl w:ilvl="0">
      <w:lvlJc w:val="left"/>
      <w:lvlText w:val="(%1)"/>
      <w:numFmt w:val="lowerLetter"/>
      <w:start w:val="1"/>
    </w:lvl>
  </w:abstractNum>
  <w:abstractNum w:abstractNumId="152">
    <w:nsid w:val="71C1AF98"/>
    <w:multiLevelType w:val="hybridMultilevel"/>
    <w:lvl w:ilvl="0">
      <w:lvlJc w:val="left"/>
      <w:lvlText w:val="%1"/>
      <w:numFmt w:val="decimal"/>
      <w:start w:val="1"/>
    </w:lvl>
    <w:lvl w:ilvl="1">
      <w:lvlJc w:val="left"/>
      <w:lvlText w:val="(%2)"/>
      <w:numFmt w:val="lowerRoman"/>
      <w:start w:val="1"/>
    </w:lvl>
  </w:abstractNum>
  <w:abstractNum w:abstractNumId="153">
    <w:nsid w:val="3D00B9D9"/>
    <w:multiLevelType w:val="hybridMultilevel"/>
    <w:lvl w:ilvl="0">
      <w:lvlJc w:val="left"/>
      <w:lvlText w:val="%1."/>
      <w:numFmt w:val="decimal"/>
      <w:start w:val="3"/>
    </w:lvl>
    <w:lvl w:ilvl="1">
      <w:lvlJc w:val="left"/>
      <w:lvlText w:val="%2"/>
      <w:numFmt w:val="lowerRoman"/>
      <w:start w:val="1"/>
    </w:lvl>
  </w:abstractNum>
  <w:abstractNum w:abstractNumId="154">
    <w:nsid w:val="15BCABA8"/>
    <w:multiLevelType w:val="hybridMultilevel"/>
    <w:lvl w:ilvl="0">
      <w:lvlJc w:val="left"/>
      <w:lvlText w:val="(%1)"/>
      <w:numFmt w:val="lowerLetter"/>
      <w:start w:val="1"/>
    </w:lvl>
  </w:abstractNum>
  <w:abstractNum w:abstractNumId="155">
    <w:nsid w:val="4E0B9A87"/>
    <w:multiLevelType w:val="hybridMultilevel"/>
    <w:lvl w:ilvl="0">
      <w:lvlJc w:val="left"/>
      <w:lvlText w:val="(%1)"/>
      <w:numFmt w:val="lowerLetter"/>
      <w:start w:val="2"/>
    </w:lvl>
  </w:abstractNum>
  <w:abstractNum w:abstractNumId="156">
    <w:nsid w:val="434BAE75"/>
    <w:multiLevelType w:val="hybridMultilevel"/>
    <w:lvl w:ilvl="0">
      <w:lvlJc w:val="left"/>
      <w:lvlText w:val="(%1)"/>
      <w:numFmt w:val="lowerLetter"/>
      <w:start w:val="3"/>
    </w:lvl>
  </w:abstractNum>
  <w:abstractNum w:abstractNumId="157">
    <w:nsid w:val="4F38F265"/>
    <w:multiLevelType w:val="hybridMultilevel"/>
    <w:lvl w:ilvl="0">
      <w:lvlJc w:val="left"/>
      <w:lvlText w:val="%1."/>
      <w:numFmt w:val="decimal"/>
      <w:start w:val="4"/>
    </w:lvl>
  </w:abstractNum>
  <w:abstractNum w:abstractNumId="158">
    <w:nsid w:val="4C502870"/>
    <w:multiLevelType w:val="hybridMultilevel"/>
    <w:lvl w:ilvl="0">
      <w:lvlJc w:val="left"/>
      <w:lvlText w:val="(%1)"/>
      <w:numFmt w:val="decimal"/>
      <w:start w:val="1"/>
    </w:lvl>
  </w:abstractNum>
  <w:abstractNum w:abstractNumId="159">
    <w:nsid w:val="1DE8725A"/>
    <w:multiLevelType w:val="hybridMultilevel"/>
    <w:lvl w:ilvl="0">
      <w:lvlJc w:val="left"/>
      <w:lvlText w:val="%1."/>
      <w:numFmt w:val="decimal"/>
      <w:start w:val="5"/>
    </w:lvl>
  </w:abstractNum>
  <w:abstractNum w:abstractNumId="160">
    <w:nsid w:val="6A37288A"/>
    <w:multiLevelType w:val="hybridMultilevel"/>
    <w:lvl w:ilvl="0">
      <w:lvlJc w:val="left"/>
      <w:lvlText w:val="%1."/>
      <w:numFmt w:val="decimal"/>
      <w:start w:val="6"/>
    </w:lvl>
  </w:abstractNum>
  <w:abstractNum w:abstractNumId="161">
    <w:nsid w:val="8F8B73F"/>
    <w:multiLevelType w:val="hybridMultilevel"/>
    <w:lvl w:ilvl="0">
      <w:lvlJc w:val="left"/>
      <w:lvlText w:val="%1."/>
      <w:numFmt w:val="decimal"/>
      <w:start w:val="7"/>
    </w:lvl>
  </w:abstractNum>
  <w:abstractNum w:abstractNumId="162">
    <w:nsid w:val="CA6B462"/>
    <w:multiLevelType w:val="hybridMultilevel"/>
    <w:lvl w:ilvl="0">
      <w:lvlJc w:val="left"/>
      <w:lvlText w:val="%1."/>
      <w:numFmt w:val="decimal"/>
      <w:start w:val="8"/>
    </w:lvl>
  </w:abstractNum>
  <w:abstractNum w:abstractNumId="163">
    <w:nsid w:val="763CB680"/>
    <w:multiLevelType w:val="hybridMultilevel"/>
    <w:lvl w:ilvl="0">
      <w:lvlJc w:val="left"/>
      <w:lvlText w:val="%1."/>
      <w:numFmt w:val="decimal"/>
      <w:start w:val="9"/>
    </w:lvl>
  </w:abstractNum>
  <w:abstractNum w:abstractNumId="164">
    <w:nsid w:val="15B71329"/>
    <w:multiLevelType w:val="hybridMultilevel"/>
    <w:lvl w:ilvl="0">
      <w:lvlJc w:val="left"/>
      <w:lvlText w:val="%1."/>
      <w:numFmt w:val="decimal"/>
      <w:start w:val="1"/>
    </w:lvl>
  </w:abstractNum>
  <w:abstractNum w:abstractNumId="165">
    <w:nsid w:val="3DA97044"/>
    <w:multiLevelType w:val="hybridMultilevel"/>
    <w:lvl w:ilvl="0">
      <w:lvlJc w:val="left"/>
      <w:lvlText w:val="(%1)"/>
      <w:numFmt w:val="lowerRoman"/>
      <w:start w:val="2"/>
    </w:lvl>
  </w:abstractNum>
  <w:abstractNum w:abstractNumId="166">
    <w:nsid w:val="1CDCE2DE"/>
    <w:multiLevelType w:val="hybridMultilevel"/>
    <w:lvl w:ilvl="0">
      <w:lvlJc w:val="left"/>
      <w:lvlText w:val="%1."/>
      <w:numFmt w:val="decimal"/>
      <w:start w:val="1"/>
    </w:lvl>
  </w:abstractNum>
  <w:abstractNum w:abstractNumId="167">
    <w:nsid w:val="69D3947C"/>
    <w:multiLevelType w:val="hybridMultilevel"/>
    <w:lvl w:ilvl="0">
      <w:lvlJc w:val="left"/>
      <w:lvlText w:val="%1."/>
      <w:numFmt w:val="decimal"/>
      <w:start w:val="1"/>
    </w:lvl>
  </w:abstractNum>
  <w:abstractNum w:abstractNumId="168">
    <w:nsid w:val="2539DFA5"/>
    <w:multiLevelType w:val="hybridMultilevel"/>
    <w:lvl w:ilvl="0">
      <w:lvlJc w:val="left"/>
      <w:lvlText w:val="%1."/>
      <w:numFmt w:val="decimal"/>
      <w:start w:val="4"/>
    </w:lvl>
    <w:lvl w:ilvl="1">
      <w:lvlJc w:val="left"/>
      <w:lvlText w:val="(%2)"/>
      <w:numFmt w:val="lowerLetter"/>
      <w:start w:val="1"/>
    </w:lvl>
  </w:abstractNum>
  <w:abstractNum w:abstractNumId="169">
    <w:nsid w:val="2DB88089"/>
    <w:multiLevelType w:val="hybridMultilevel"/>
    <w:lvl w:ilvl="0">
      <w:lvlJc w:val="left"/>
      <w:lvlText w:val="%1"/>
      <w:numFmt w:val="decimal"/>
      <w:start w:val="1"/>
    </w:lvl>
    <w:lvl w:ilvl="1">
      <w:lvlJc w:val="left"/>
      <w:lvlText w:val="%2."/>
      <w:numFmt w:val="decimal"/>
      <w:start w:val="8"/>
    </w:lvl>
  </w:abstractNum>
  <w:abstractNum w:abstractNumId="170">
    <w:nsid w:val="706B674E"/>
    <w:multiLevelType w:val="hybridMultilevel"/>
    <w:lvl w:ilvl="0">
      <w:lvlJc w:val="left"/>
      <w:lvlText w:val="(%1)"/>
      <w:numFmt w:val="decimal"/>
      <w:start w:val="1"/>
    </w:lvl>
    <w:lvl w:ilvl="1">
      <w:lvlJc w:val="left"/>
      <w:lvlText w:val="%2."/>
      <w:numFmt w:val="decimal"/>
      <w:start w:val="10"/>
    </w:lvl>
  </w:abstractNum>
  <w:abstractNum w:abstractNumId="171">
    <w:nsid w:val="2C106A57"/>
    <w:multiLevelType w:val="hybridMultilevel"/>
    <w:lvl w:ilvl="0">
      <w:lvlJc w:val="left"/>
      <w:lvlText w:val="%1."/>
      <w:numFmt w:val="decimal"/>
      <w:start w:val="13"/>
    </w:lvl>
  </w:abstractNum>
  <w:abstractNum w:abstractNumId="172">
    <w:nsid w:val="684EED59"/>
    <w:multiLevelType w:val="hybridMultilevel"/>
    <w:lvl w:ilvl="0">
      <w:lvlJc w:val="left"/>
      <w:lvlText w:val="%1."/>
      <w:numFmt w:val="decimal"/>
      <w:start w:val="1"/>
    </w:lvl>
  </w:abstractNum>
  <w:abstractNum w:abstractNumId="173">
    <w:nsid w:val="545EE5D3"/>
    <w:multiLevelType w:val="hybridMultilevel"/>
    <w:lvl w:ilvl="0">
      <w:lvlJc w:val="left"/>
      <w:lvlText w:val="%1."/>
      <w:numFmt w:val="decimal"/>
      <w:start w:val="2"/>
    </w:lvl>
  </w:abstractNum>
  <w:abstractNum w:abstractNumId="174">
    <w:nsid w:val="4A66051"/>
    <w:multiLevelType w:val="hybridMultilevel"/>
    <w:lvl w:ilvl="0">
      <w:lvlJc w:val="left"/>
      <w:lvlText w:val="%1"/>
      <w:numFmt w:val="lowerRoman"/>
      <w:start w:val="1"/>
    </w:lvl>
    <w:lvl w:ilvl="1">
      <w:lvlJc w:val="left"/>
      <w:lvlText w:val="%2."/>
      <w:numFmt w:val="decimal"/>
      <w:start w:val="3"/>
    </w:lvl>
  </w:abstractNum>
  <w:abstractNum w:abstractNumId="175">
    <w:nsid w:val="20F4BDAD"/>
    <w:multiLevelType w:val="hybridMultilevel"/>
    <w:lvl w:ilvl="0">
      <w:lvlJc w:val="left"/>
      <w:lvlText w:val="(%1)"/>
      <w:numFmt w:val="lowerRoman"/>
      <w:start w:val="2"/>
    </w:lvl>
    <w:lvl w:ilvl="1">
      <w:lvlJc w:val="left"/>
      <w:lvlText w:val="%2"/>
      <w:numFmt w:val="decimal"/>
      <w:start w:val="1"/>
    </w:lvl>
  </w:abstractNum>
  <w:abstractNum w:abstractNumId="176">
    <w:nsid w:val="639DEFAC"/>
    <w:multiLevelType w:val="hybridMultilevel"/>
    <w:lvl w:ilvl="0">
      <w:lvlJc w:val="left"/>
      <w:lvlText w:val="(%1)"/>
      <w:numFmt w:val="lowerRoman"/>
      <w:start w:val="2"/>
    </w:lvl>
    <w:lvl w:ilvl="1">
      <w:lvlJc w:val="left"/>
      <w:lvlText w:val="%2."/>
      <w:numFmt w:val="decimal"/>
      <w:start w:val="4"/>
    </w:lvl>
  </w:abstractNum>
  <w:abstractNum w:abstractNumId="177">
    <w:nsid w:val="501F9786"/>
    <w:multiLevelType w:val="hybridMultilevel"/>
    <w:lvl w:ilvl="0">
      <w:lvlJc w:val="left"/>
      <w:lvlText w:val="%1"/>
      <w:numFmt w:val="upperLetter"/>
      <w:start w:val="1"/>
    </w:lvl>
    <w:lvl w:ilvl="1">
      <w:lvlJc w:val="left"/>
      <w:lvlText w:val="%2."/>
      <w:numFmt w:val="decimal"/>
      <w:start w:val="5"/>
    </w:lvl>
  </w:abstractNum>
  <w:abstractNum w:abstractNumId="178">
    <w:nsid w:val="6B057295"/>
    <w:multiLevelType w:val="hybridMultilevel"/>
    <w:lvl w:ilvl="0">
      <w:lvlJc w:val="left"/>
      <w:lvlText w:val="(%1)"/>
      <w:numFmt w:val="upperLetter"/>
      <w:start w:val="2"/>
    </w:lvl>
    <w:lvl w:ilvl="1">
      <w:lvlJc w:val="left"/>
      <w:lvlText w:val="%2"/>
      <w:numFmt w:val="decimal"/>
      <w:start w:val="1"/>
    </w:lvl>
  </w:abstractNum>
  <w:abstractNum w:abstractNumId="179">
    <w:nsid w:val="2771AC80"/>
    <w:multiLevelType w:val="hybridMultilevel"/>
    <w:lvl w:ilvl="0">
      <w:lvlJc w:val="left"/>
      <w:lvlText w:val="%1"/>
      <w:numFmt w:val="decimal"/>
      <w:start w:val="1"/>
    </w:lvl>
    <w:lvl w:ilvl="1">
      <w:lvlJc w:val="left"/>
      <w:lvlText w:val="(%2)"/>
      <w:numFmt w:val="lowerLetter"/>
      <w:start w:val="2"/>
    </w:lvl>
  </w:abstractNum>
  <w:abstractNum w:abstractNumId="180">
    <w:nsid w:val="1C4A08EC"/>
    <w:multiLevelType w:val="hybridMultilevel"/>
    <w:lvl w:ilvl="0">
      <w:lvlJc w:val="left"/>
      <w:lvlText w:val="%1."/>
      <w:numFmt w:val="decimal"/>
      <w:start w:val="8"/>
    </w:lvl>
    <w:lvl w:ilvl="1">
      <w:lvlJc w:val="left"/>
      <w:lvlText w:val="%2"/>
      <w:numFmt w:val="lowerLetter"/>
      <w:start w:val="1"/>
    </w:lvl>
  </w:abstractNum>
  <w:abstractNum w:abstractNumId="181">
    <w:nsid w:val="1958BD17"/>
    <w:multiLevelType w:val="hybridMultilevel"/>
    <w:lvl w:ilvl="0">
      <w:lvlJc w:val="left"/>
      <w:lvlText w:val="%1"/>
      <w:numFmt w:val="upperLetter"/>
      <w:start w:val="1"/>
    </w:lvl>
    <w:lvl w:ilvl="1">
      <w:lvlJc w:val="left"/>
      <w:lvlText w:val="%2."/>
      <w:numFmt w:val="decimal"/>
      <w:start w:val="9"/>
    </w:lvl>
  </w:abstractNum>
  <w:abstractNum w:abstractNumId="182">
    <w:nsid w:val="4E647FE4"/>
    <w:multiLevelType w:val="hybridMultilevel"/>
    <w:lvl w:ilvl="0">
      <w:lvlJc w:val="left"/>
      <w:lvlText w:val="%1"/>
      <w:numFmt w:val="lowerRoman"/>
      <w:start w:val="1"/>
    </w:lvl>
    <w:lvl w:ilvl="1">
      <w:lvlJc w:val="left"/>
      <w:lvlText w:val="%2."/>
      <w:numFmt w:val="decimal"/>
      <w:start w:val="11"/>
    </w:lvl>
  </w:abstractNum>
  <w:abstractNum w:abstractNumId="183">
    <w:nsid w:val="E0BB885"/>
    <w:multiLevelType w:val="hybridMultilevel"/>
    <w:lvl w:ilvl="0">
      <w:lvlJc w:val="left"/>
      <w:lvlText w:val="(%1)"/>
      <w:numFmt w:val="lowerRoman"/>
      <w:start w:val="8"/>
    </w:lvl>
    <w:lvl w:ilvl="1">
      <w:lvlJc w:val="left"/>
      <w:lvlText w:val="%2."/>
      <w:numFmt w:val="decimal"/>
      <w:start w:val="12"/>
    </w:lvl>
  </w:abstractNum>
  <w:abstractNum w:abstractNumId="184">
    <w:nsid w:val="565976F1"/>
    <w:multiLevelType w:val="hybridMultilevel"/>
    <w:lvl w:ilvl="0">
      <w:lvlJc w:val="left"/>
      <w:lvlText w:val="%1."/>
      <w:numFmt w:val="decimal"/>
      <w:start w:val="15"/>
    </w:lvl>
  </w:abstractNum>
  <w:abstractNum w:abstractNumId="185">
    <w:nsid w:val="64212B8C"/>
    <w:multiLevelType w:val="hybridMultilevel"/>
    <w:lvl w:ilvl="0">
      <w:lvlJc w:val="left"/>
      <w:lvlText w:val="%1."/>
      <w:numFmt w:val="decimal"/>
      <w:start w:val="1"/>
    </w:lvl>
    <w:lvl w:ilvl="1">
      <w:lvlJc w:val="left"/>
      <w:lvlText w:val="(%2)"/>
      <w:numFmt w:val="lowerLetter"/>
      <w:start w:val="1"/>
    </w:lvl>
  </w:abstractNum>
  <w:abstractNum w:abstractNumId="186">
    <w:nsid w:val="5C17530C"/>
    <w:multiLevelType w:val="hybridMultilevel"/>
    <w:lvl w:ilvl="0">
      <w:lvlJc w:val="left"/>
      <w:lvlText w:val="(%1)"/>
      <w:numFmt w:val="lowerLetter"/>
      <w:start w:val="2"/>
    </w:lvl>
  </w:abstractNum>
  <w:abstractNum w:abstractNumId="187">
    <w:nsid w:val="19A52566"/>
    <w:multiLevelType w:val="hybridMultilevel"/>
    <w:lvl w:ilvl="0">
      <w:lvlJc w:val="left"/>
      <w:lvlText w:val="(%1)"/>
      <w:numFmt w:val="lowerLetter"/>
      <w:start w:val="10"/>
    </w:lvl>
  </w:abstractNum>
  <w:abstractNum w:abstractNumId="188">
    <w:nsid w:val="335A1DF1"/>
    <w:multiLevelType w:val="hybridMultilevel"/>
    <w:lvl w:ilvl="0">
      <w:lvlJc w:val="left"/>
      <w:lvlText w:val="(%1)"/>
      <w:numFmt w:val="lowerLetter"/>
      <w:start w:val="13"/>
    </w:lvl>
  </w:abstractNum>
  <w:abstractNum w:abstractNumId="189">
    <w:nsid w:val="28677B7C"/>
    <w:multiLevelType w:val="hybridMultilevel"/>
    <w:lvl w:ilvl="0">
      <w:lvlJc w:val="left"/>
      <w:lvlText w:val="(%1)"/>
      <w:numFmt w:val="lowerLetter"/>
      <w:start w:val="12"/>
    </w:lvl>
  </w:abstractNum>
  <w:abstractNum w:abstractNumId="190">
    <w:nsid w:val="378D97C0"/>
    <w:multiLevelType w:val="hybridMultilevel"/>
    <w:lvl w:ilvl="0">
      <w:lvlJc w:val="left"/>
      <w:lvlText w:val="%1."/>
      <w:numFmt w:val="decimal"/>
      <w:start w:val="2"/>
    </w:lvl>
    <w:lvl w:ilvl="1">
      <w:lvlJc w:val="left"/>
      <w:lvlText w:val="(%2)"/>
      <w:numFmt w:val="lowerLetter"/>
      <w:start w:val="1"/>
    </w:lvl>
  </w:abstractNum>
  <w:abstractNum w:abstractNumId="191">
    <w:nsid w:val="1D91467C"/>
    <w:multiLevelType w:val="hybridMultilevel"/>
    <w:lvl w:ilvl="0">
      <w:lvlJc w:val="left"/>
      <w:lvlText w:val="%1"/>
      <w:numFmt w:val="decimal"/>
      <w:start w:val="1"/>
    </w:lvl>
    <w:lvl w:ilvl="1">
      <w:lvlJc w:val="left"/>
      <w:lvlText w:val="(%2)"/>
      <w:numFmt w:val="lowerLetter"/>
      <w:start w:val="4"/>
    </w:lvl>
  </w:abstractNum>
  <w:abstractNum w:abstractNumId="192">
    <w:nsid w:val="316032BB"/>
    <w:multiLevelType w:val="hybridMultilevel"/>
    <w:lvl w:ilvl="0">
      <w:lvlJc w:val="left"/>
      <w:lvlText w:val="%1."/>
      <w:numFmt w:val="decimal"/>
      <w:start w:val="3"/>
    </w:lvl>
    <w:lvl w:ilvl="1">
      <w:lvlJc w:val="left"/>
      <w:lvlText w:val="(%2)"/>
      <w:numFmt w:val="lowerLetter"/>
      <w:start w:val="1"/>
    </w:lvl>
  </w:abstractNum>
  <w:abstractNum w:abstractNumId="193">
    <w:nsid w:val="44344C22"/>
    <w:multiLevelType w:val="hybridMultilevel"/>
    <w:lvl w:ilvl="0">
      <w:lvlJc w:val="left"/>
      <w:lvlText w:val="%1"/>
      <w:numFmt w:val="decimal"/>
      <w:start w:val="1"/>
    </w:lvl>
    <w:lvl w:ilvl="1">
      <w:lvlJc w:val="left"/>
      <w:lvlText w:val="(%2)"/>
      <w:numFmt w:val="lowerLetter"/>
      <w:start w:val="5"/>
    </w:lvl>
  </w:abstractNum>
  <w:abstractNum w:abstractNumId="194">
    <w:nsid w:val="13CDFCFC"/>
    <w:multiLevelType w:val="hybridMultilevel"/>
    <w:lvl w:ilvl="0">
      <w:lvlJc w:val="left"/>
      <w:lvlText w:val="%1."/>
      <w:numFmt w:val="decimal"/>
      <w:start w:val="4"/>
    </w:lvl>
    <w:lvl w:ilvl="1">
      <w:lvlJc w:val="left"/>
      <w:lvlText w:val="%2"/>
      <w:numFmt w:val="lowerLetter"/>
      <w:start w:val="1"/>
    </w:lvl>
  </w:abstractNum>
  <w:abstractNum w:abstractNumId="195">
    <w:nsid w:val="471745E4"/>
    <w:multiLevelType w:val="hybridMultilevel"/>
    <w:lvl w:ilvl="0">
      <w:lvlJc w:val="left"/>
      <w:lvlText w:val="%1."/>
      <w:numFmt w:val="decimal"/>
      <w:start w:val="5"/>
    </w:lvl>
    <w:lvl w:ilvl="1">
      <w:lvlJc w:val="left"/>
      <w:lvlText w:val="(%2)"/>
      <w:numFmt w:val="lowerLetter"/>
      <w:start w:val="1"/>
    </w:lvl>
  </w:abstractNum>
  <w:abstractNum w:abstractNumId="196">
    <w:nsid w:val="1DDBC66"/>
    <w:multiLevelType w:val="hybridMultilevel"/>
    <w:lvl w:ilvl="0">
      <w:lvlJc w:val="left"/>
      <w:lvlText w:val="%1"/>
      <w:numFmt w:val="lowerLetter"/>
      <w:start w:val="1"/>
    </w:lvl>
    <w:lvl w:ilvl="1">
      <w:lvlJc w:val="left"/>
      <w:lvlText w:val="(%2)"/>
      <w:numFmt w:val="lowerLetter"/>
      <w:start w:val="3"/>
    </w:lvl>
  </w:abstractNum>
  <w:abstractNum w:abstractNumId="197">
    <w:nsid w:val="30AADFDA"/>
    <w:multiLevelType w:val="hybridMultilevel"/>
    <w:lvl w:ilvl="0">
      <w:lvlJc w:val="left"/>
      <w:lvlText w:val="(%1)"/>
      <w:numFmt w:val="lowerLetter"/>
      <w:start w:val="9"/>
    </w:lvl>
    <w:lvl w:ilvl="1">
      <w:lvlJc w:val="left"/>
      <w:lvlText w:val="(%2)"/>
      <w:numFmt w:val="lowerLetter"/>
      <w:start w:val="5"/>
    </w:lvl>
  </w:abstractNum>
  <w:abstractNum w:abstractNumId="198">
    <w:nsid w:val="30EADA61"/>
    <w:multiLevelType w:val="hybridMultilevel"/>
    <w:lvl w:ilvl="0">
      <w:lvlJc w:val="left"/>
      <w:lvlText w:val="(%1)"/>
      <w:numFmt w:val="lowerLetter"/>
      <w:start w:val="7"/>
    </w:lvl>
  </w:abstractNum>
  <w:abstractNum w:abstractNumId="199">
    <w:nsid w:val="27179C0B"/>
    <w:multiLevelType w:val="hybridMultilevel"/>
    <w:lvl w:ilvl="0">
      <w:lvlJc w:val="left"/>
      <w:lvlText w:val="(%1)"/>
      <w:numFmt w:val="upperLetter"/>
      <w:start w:val="1"/>
    </w:lvl>
  </w:abstractNum>
  <w:abstractNum w:abstractNumId="200">
    <w:nsid w:val="5E636063"/>
    <w:multiLevelType w:val="hybridMultilevel"/>
    <w:lvl w:ilvl="0">
      <w:lvlJc w:val="left"/>
      <w:lvlText w:val="(%1)"/>
      <w:numFmt w:val="upperLetter"/>
      <w:start w:val="4"/>
    </w:lvl>
  </w:abstractNum>
  <w:abstractNum w:abstractNumId="201">
    <w:nsid w:val="215641AF"/>
    <w:multiLevelType w:val="hybridMultilevel"/>
    <w:lvl w:ilvl="0">
      <w:lvlJc w:val="left"/>
      <w:lvlText w:val="(%1)"/>
      <w:numFmt w:val="decimal"/>
      <w:start w:val="5"/>
    </w:lvl>
  </w:abstractNum>
  <w:abstractNum w:abstractNumId="202">
    <w:nsid w:val="53280662"/>
    <w:multiLevelType w:val="hybridMultilevel"/>
    <w:lvl w:ilvl="0">
      <w:lvlJc w:val="left"/>
      <w:lvlText w:val="(%1)"/>
      <w:numFmt w:val="lowerRoman"/>
      <w:start w:val="1"/>
    </w:lvl>
  </w:abstractNum>
  <w:abstractNum w:abstractNumId="203">
    <w:nsid w:val="46B24DBC"/>
    <w:multiLevelType w:val="hybridMultilevel"/>
    <w:lvl w:ilvl="0">
      <w:lvlJc w:val="left"/>
      <w:lvlText w:val="%1"/>
      <w:numFmt w:val="upperLetter"/>
      <w:start w:val="1"/>
    </w:lvl>
    <w:lvl w:ilvl="1">
      <w:lvlJc w:val="left"/>
      <w:lvlText w:val="(%2)"/>
      <w:numFmt w:val="lowerLetter"/>
      <w:start w:val="1"/>
    </w:lvl>
  </w:abstractNum>
  <w:abstractNum w:abstractNumId="204">
    <w:nsid w:val="75B52783"/>
    <w:multiLevelType w:val="hybridMultilevel"/>
    <w:lvl w:ilvl="0">
      <w:lvlJc w:val="left"/>
      <w:lvlText w:val="(%1)"/>
      <w:numFmt w:val="upperLetter"/>
      <w:start w:val="1"/>
    </w:lvl>
    <w:lvl w:ilvl="1">
      <w:lvlJc w:val="left"/>
      <w:lvlText w:val="%2"/>
      <w:numFmt w:val="lowerLetter"/>
      <w:start w:val="1"/>
    </w:lvl>
  </w:abstractNum>
  <w:abstractNum w:abstractNumId="205">
    <w:nsid w:val="57CE66B4"/>
    <w:multiLevelType w:val="hybridMultilevel"/>
    <w:lvl w:ilvl="0">
      <w:lvlJc w:val="left"/>
      <w:lvlText w:val="%1."/>
      <w:numFmt w:val="decimal"/>
      <w:start w:val="1"/>
    </w:lvl>
  </w:abstractNum>
  <w:abstractNum w:abstractNumId="206">
    <w:nsid w:val="67A70B69"/>
    <w:multiLevelType w:val="hybridMultilevel"/>
    <w:lvl w:ilvl="0">
      <w:lvlJc w:val="left"/>
      <w:lvlText w:val="%1."/>
      <w:numFmt w:val="decimal"/>
      <w:start w:val="3"/>
    </w:lvl>
  </w:abstractNum>
  <w:abstractNum w:abstractNumId="207">
    <w:nsid w:val="5953172F"/>
    <w:multiLevelType w:val="hybridMultilevel"/>
    <w:lvl w:ilvl="0">
      <w:lvlJc w:val="left"/>
      <w:lvlText w:val="%1."/>
      <w:numFmt w:val="decimal"/>
      <w:start w:val="4"/>
    </w:lvl>
  </w:abstractNum>
  <w:abstractNum w:abstractNumId="208">
    <w:nsid w:val="27EDFE3A"/>
    <w:multiLevelType w:val="hybridMultilevel"/>
    <w:lvl w:ilvl="0">
      <w:lvlJc w:val="left"/>
      <w:lvlText w:val="%1."/>
      <w:numFmt w:val="decimal"/>
      <w:start w:val="6"/>
    </w:lvl>
  </w:abstractNum>
  <w:abstractNum w:abstractNumId="209">
    <w:nsid w:val="52AC7DFF"/>
    <w:multiLevelType w:val="hybridMultilevel"/>
    <w:lvl w:ilvl="0">
      <w:lvlJc w:val="left"/>
      <w:lvlText w:val="%1."/>
      <w:numFmt w:val="decimal"/>
      <w:start w:val="7"/>
    </w:lvl>
  </w:abstractNum>
  <w:abstractNum w:abstractNumId="210">
    <w:nsid w:val="C4C3AF"/>
    <w:multiLevelType w:val="hybridMultilevel"/>
    <w:lvl w:ilvl="0">
      <w:lvlJc w:val="left"/>
      <w:lvlText w:val="%1."/>
      <w:numFmt w:val="upperLetter"/>
      <w:start w:val="1"/>
    </w:lvl>
  </w:abstractNum>
  <w:abstractNum w:abstractNumId="211">
    <w:nsid w:val="44380727"/>
    <w:multiLevelType w:val="hybridMultilevel"/>
    <w:lvl w:ilvl="0">
      <w:lvlJc w:val="left"/>
      <w:lvlText w:val="(%1)"/>
      <w:numFmt w:val="lowerRoman"/>
      <w:start w:val="1"/>
    </w:lvl>
  </w:abstractNum>
  <w:abstractNum w:abstractNumId="212">
    <w:nsid w:val="6C053B16"/>
    <w:multiLevelType w:val="hybridMultilevel"/>
    <w:lvl w:ilvl="0">
      <w:lvlJc w:val="left"/>
      <w:lvlText w:val="(%1)"/>
      <w:numFmt w:val="lowerRoman"/>
      <w:start w:val="2"/>
    </w:lvl>
  </w:abstractNum>
  <w:abstractNum w:abstractNumId="213">
    <w:nsid w:val="4F294393"/>
    <w:multiLevelType w:val="hybridMultilevel"/>
    <w:lvl w:ilvl="0">
      <w:lvlJc w:val="left"/>
      <w:lvlText w:val="%1"/>
      <w:numFmt w:val="upperLetter"/>
      <w:start w:val="1"/>
    </w:lvl>
    <w:lvl w:ilvl="1">
      <w:lvlJc w:val="left"/>
      <w:lvlText w:val="(%2)"/>
      <w:numFmt w:val="lowerRoman"/>
      <w:start w:val="3"/>
    </w:lvl>
  </w:abstractNum>
  <w:abstractNum w:abstractNumId="214">
    <w:nsid w:val="5243BFAC"/>
    <w:multiLevelType w:val="hybridMultilevel"/>
    <w:lvl w:ilvl="0">
      <w:lvlJc w:val="left"/>
      <w:lvlText w:val="%1."/>
      <w:numFmt w:val="upperLetter"/>
      <w:start w:val="3"/>
    </w:lvl>
    <w:lvl w:ilvl="1">
      <w:lvlJc w:val="left"/>
      <w:lvlText w:val="(%2)"/>
      <w:numFmt w:val="lowerRoman"/>
      <w:start w:val="1"/>
    </w:lvl>
  </w:abstractNum>
  <w:abstractNum w:abstractNumId="215">
    <w:nsid w:val="425EB207"/>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216">
    <w:nsid w:val="334A6F1F"/>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217">
    <w:nsid w:val="2E5B12B8"/>
    <w:multiLevelType w:val="hybridMultilevel"/>
    <w:lvl w:ilvl="0">
      <w:lvlJc w:val="left"/>
      <w:lvlText w:val="%1."/>
      <w:numFmt w:val="upperLetter"/>
      <w:start w:val="3"/>
    </w:lvl>
  </w:abstractNum>
  <w:abstractNum w:abstractNumId="218">
    <w:nsid w:val="5C03D76D"/>
    <w:multiLevelType w:val="hybridMultilevel"/>
    <w:lvl w:ilvl="0">
      <w:lvlJc w:val="left"/>
      <w:lvlText w:val="%1."/>
      <w:numFmt w:val="upperLetter"/>
      <w:start w:val="1"/>
    </w:lvl>
    <w:lvl w:ilvl="1">
      <w:lvlJc w:val="left"/>
      <w:lvlText w:val="(%2)"/>
      <w:numFmt w:val="lowerRoman"/>
      <w:start w:val="1"/>
    </w:lvl>
  </w:abstractNum>
  <w:abstractNum w:abstractNumId="219">
    <w:nsid w:val="66A48D11"/>
    <w:multiLevelType w:val="hybridMultilevel"/>
    <w:lvl w:ilvl="0">
      <w:lvlJc w:val="left"/>
      <w:lvlText w:val="%1."/>
      <w:numFmt w:val="upperLetter"/>
      <w:start w:val="3"/>
    </w:lvl>
    <w:lvl w:ilvl="1">
      <w:lvlJc w:val="left"/>
      <w:lvlText w:val="(%2)"/>
      <w:numFmt w:val="lowerRoman"/>
      <w:start w:val="1"/>
    </w:lvl>
  </w:abstractNum>
  <w:abstractNum w:abstractNumId="220">
    <w:nsid w:val="56C28E34"/>
    <w:multiLevelType w:val="hybridMultilevel"/>
    <w:lvl w:ilvl="0">
      <w:lvlJc w:val="left"/>
      <w:lvlText w:val="(%1)"/>
      <w:numFmt w:val="lowerRoman"/>
      <w:start w:val="8"/>
    </w:lvl>
  </w:abstractNum>
  <w:abstractNum w:abstractNumId="221">
    <w:nsid w:val="13916F2D"/>
    <w:multiLevelType w:val="hybridMultilevel"/>
    <w:lvl w:ilvl="0">
      <w:lvlJc w:val="left"/>
      <w:lvlText w:val="%1."/>
      <w:numFmt w:val="upperLetter"/>
      <w:start w:val="1"/>
    </w:lvl>
  </w:abstractNum>
  <w:abstractNum w:abstractNumId="222">
    <w:nsid w:val="435D38D"/>
    <w:multiLevelType w:val="hybridMultilevel"/>
    <w:lvl w:ilvl="0">
      <w:lvlJc w:val="left"/>
      <w:lvlText w:val="%1."/>
      <w:numFmt w:val="upperLetter"/>
      <w:start w:val="1"/>
    </w:lvl>
  </w:abstractNum>
  <w:abstractNum w:abstractNumId="223">
    <w:nsid w:val="822C0EF"/>
    <w:multiLevelType w:val="hybridMultilevel"/>
    <w:lvl w:ilvl="0">
      <w:lvlJc w:val="left"/>
      <w:lvlText w:val="%1."/>
      <w:numFmt w:val="upperLetter"/>
      <w:start w:val="4"/>
    </w:lvl>
  </w:abstractNum>
  <w:abstractNum w:abstractNumId="224">
    <w:nsid w:val="57C5BB4F"/>
    <w:multiLevelType w:val="hybridMultilevel"/>
    <w:lvl w:ilvl="0">
      <w:lvlJc w:val="left"/>
      <w:lvlText w:val="%1."/>
      <w:numFmt w:val="upperLetter"/>
      <w:start w:val="1"/>
    </w:lvl>
  </w:abstractNum>
  <w:abstractNum w:abstractNumId="225">
    <w:nsid w:val="1803D089"/>
    <w:multiLevelType w:val="hybridMultilevel"/>
    <w:lvl w:ilvl="0">
      <w:lvlJc w:val="left"/>
      <w:lvlText w:val="%1."/>
      <w:numFmt w:val="upperLetter"/>
      <w:start w:val="5"/>
    </w:lvl>
  </w:abstractNum>
  <w:abstractNum w:abstractNumId="226">
    <w:nsid w:val="4F3A06D4"/>
    <w:multiLevelType w:val="hybridMultilevel"/>
    <w:lvl w:ilvl="0">
      <w:lvlJc w:val="left"/>
      <w:lvlText w:val="%1."/>
      <w:numFmt w:val="decimal"/>
      <w:start w:val="1"/>
    </w:lvl>
    <w:lvl w:ilvl="1">
      <w:lvlJc w:val="left"/>
      <w:lvlText w:val="(%2)"/>
      <w:numFmt w:val="lowerLetter"/>
      <w:start w:val="1"/>
    </w:lvl>
  </w:abstractNum>
  <w:abstractNum w:abstractNumId="227">
    <w:nsid w:val="59A377B6"/>
    <w:multiLevelType w:val="hybridMultilevel"/>
    <w:lvl w:ilvl="0">
      <w:lvlJc w:val="left"/>
      <w:lvlText w:val="(%1)"/>
      <w:numFmt w:val="lowerLetter"/>
      <w:start w:val="2"/>
    </w:lvl>
    <w:lvl w:ilvl="1">
      <w:lvlJc w:val="left"/>
      <w:lvlText w:val="(%2)"/>
      <w:numFmt w:val="lowerRoman"/>
      <w:start w:val="1"/>
    </w:lvl>
  </w:abstractNum>
  <w:abstractNum w:abstractNumId="228">
    <w:nsid w:val="48AEB063"/>
    <w:multiLevelType w:val="hybridMultilevel"/>
    <w:lvl w:ilvl="0">
      <w:lvlJc w:val="left"/>
      <w:lvlText w:val="%1"/>
      <w:numFmt w:val="lowerLetter"/>
      <w:start w:val="1"/>
    </w:lvl>
    <w:lvl w:ilvl="1">
      <w:lvlJc w:val="left"/>
      <w:lvlText w:val="(%2)"/>
      <w:numFmt w:val="lowerRoman"/>
      <w:start w:val="4"/>
    </w:lvl>
  </w:abstractNum>
  <w:abstractNum w:abstractNumId="229">
    <w:nsid w:val="24E135"/>
    <w:multiLevelType w:val="hybridMultilevel"/>
    <w:lvl w:ilvl="0">
      <w:lvlJc w:val="left"/>
      <w:lvlText w:val="(%1)"/>
      <w:numFmt w:val="lowerLetter"/>
      <w:start w:val="4"/>
    </w:lvl>
    <w:lvl w:ilvl="1">
      <w:lvlJc w:val="left"/>
      <w:lvlText w:val="%2"/>
      <w:numFmt w:val="lowerRoman"/>
      <w:start w:val="1"/>
    </w:lvl>
  </w:abstractNum>
  <w:abstractNum w:abstractNumId="230">
    <w:nsid w:val="BB13C1"/>
    <w:multiLevelType w:val="hybridMultilevel"/>
    <w:lvl w:ilvl="0">
      <w:lvlJc w:val="left"/>
      <w:lvlText w:val="%1"/>
      <w:numFmt w:val="lowerLetter"/>
      <w:start w:val="1"/>
    </w:lvl>
    <w:lvl w:ilvl="1">
      <w:lvlJc w:val="left"/>
      <w:lvlText w:val="(%2)"/>
      <w:numFmt w:val="lowerLetter"/>
      <w:start w:val="10"/>
    </w:lvl>
  </w:abstractNum>
  <w:abstractNum w:abstractNumId="231">
    <w:nsid w:val="271210C7"/>
    <w:multiLevelType w:val="hybridMultilevel"/>
    <w:lvl w:ilvl="0">
      <w:lvlJc w:val="left"/>
      <w:lvlText w:val="(%1)"/>
      <w:numFmt w:val="lowerLetter"/>
      <w:start w:val="35"/>
    </w:lvl>
    <w:lvl w:ilvl="1">
      <w:lvlJc w:val="left"/>
      <w:lvlText w:val="(%2)"/>
      <w:numFmt w:val="lowerLetter"/>
      <w:start w:val="12"/>
    </w:lvl>
  </w:abstractNum>
  <w:abstractNum w:abstractNumId="232">
    <w:nsid w:val="217B22E4"/>
    <w:multiLevelType w:val="hybridMultilevel"/>
    <w:lvl w:ilvl="0">
      <w:lvlJc w:val="left"/>
      <w:lvlText w:val="%1"/>
      <w:numFmt w:val="decimal"/>
      <w:start w:val="1"/>
    </w:lvl>
    <w:lvl w:ilvl="1">
      <w:lvlJc w:val="left"/>
      <w:lvlText w:val="(%2)"/>
      <w:numFmt w:val="lowerLetter"/>
      <w:start w:val="13"/>
    </w:lvl>
  </w:abstractNum>
  <w:abstractNum w:abstractNumId="233">
    <w:nsid w:val="53E31A24"/>
    <w:multiLevelType w:val="hybridMultilevel"/>
    <w:lvl w:ilvl="0">
      <w:lvlJc w:val="left"/>
      <w:lvlText w:val="%1."/>
      <w:numFmt w:val="decimal"/>
      <w:start w:val="3"/>
    </w:lvl>
    <w:lvl w:ilvl="1">
      <w:lvlJc w:val="left"/>
      <w:lvlText w:val="%2"/>
      <w:numFmt w:val="lowerLetter"/>
      <w:start w:val="1"/>
    </w:lvl>
  </w:abstractNum>
  <w:abstractNum w:abstractNumId="234">
    <w:nsid w:val="6DC45E83"/>
    <w:multiLevelType w:val="hybridMultilevel"/>
    <w:lvl w:ilvl="0">
      <w:lvlJc w:val="left"/>
      <w:lvlText w:val="%1."/>
      <w:numFmt w:val="decimal"/>
      <w:start w:val="5"/>
    </w:lvl>
  </w:abstractNum>
  <w:abstractNum w:abstractNumId="235">
    <w:nsid w:val="17304A67"/>
    <w:multiLevelType w:val="hybridMultilevel"/>
    <w:lvl w:ilvl="0">
      <w:lvlJc w:val="left"/>
      <w:lvlText w:val="%1."/>
      <w:numFmt w:val="decimal"/>
      <w:start w:val="8"/>
    </w:lvl>
    <w:lvl w:ilvl="1">
      <w:lvlJc w:val="left"/>
      <w:lvlText w:val="(%2)"/>
      <w:numFmt w:val="lowerLetter"/>
      <w:start w:val="1"/>
    </w:lvl>
  </w:abstractNum>
  <w:abstractNum w:abstractNumId="236">
    <w:nsid w:val="2BB180D8"/>
    <w:multiLevelType w:val="hybridMultilevel"/>
    <w:lvl w:ilvl="0">
      <w:lvlJc w:val="left"/>
      <w:lvlText w:val="%1."/>
      <w:numFmt w:val="decimal"/>
      <w:start w:val="10"/>
    </w:lvl>
    <w:lvl w:ilvl="1">
      <w:lvlJc w:val="left"/>
      <w:lvlText w:val="(%2)"/>
      <w:numFmt w:val="lowerLetter"/>
      <w:start w:val="1"/>
    </w:lvl>
  </w:abstractNum>
  <w:abstractNum w:abstractNumId="237">
    <w:nsid w:val="556B69ED"/>
    <w:multiLevelType w:val="hybridMultilevel"/>
    <w:lvl w:ilvl="0">
      <w:lvlJc w:val="left"/>
      <w:lvlText w:val="%1."/>
      <w:numFmt w:val="decimal"/>
      <w:start w:val="12"/>
    </w:lvl>
    <w:lvl w:ilvl="1">
      <w:lvlJc w:val="left"/>
      <w:lvlText w:val="(%2)"/>
      <w:numFmt w:val="lowerLetter"/>
      <w:start w:val="1"/>
    </w:lvl>
  </w:abstractNum>
  <w:abstractNum w:abstractNumId="238">
    <w:nsid w:val="70836196"/>
    <w:multiLevelType w:val="hybridMultilevel"/>
    <w:lvl w:ilvl="0">
      <w:lvlJc w:val="left"/>
      <w:lvlText w:val="%1"/>
      <w:numFmt w:val="decimal"/>
      <w:start w:val="1"/>
    </w:lvl>
    <w:lvl w:ilvl="1">
      <w:lvlJc w:val="left"/>
      <w:lvlText w:val="(%2)"/>
      <w:numFmt w:val="lowerLetter"/>
      <w:start w:val="3"/>
    </w:lvl>
  </w:abstractNum>
  <w:abstractNum w:abstractNumId="239">
    <w:nsid w:val="539F7F12"/>
    <w:multiLevelType w:val="hybridMultilevel"/>
    <w:lvl w:ilvl="0">
      <w:lvlJc w:val="left"/>
      <w:lvlText w:val="%1."/>
      <w:numFmt w:val="decimal"/>
      <w:start w:val="13"/>
    </w:lvl>
    <w:lvl w:ilvl="1">
      <w:lvlJc w:val="left"/>
      <w:lvlText w:val="(%2)"/>
      <w:numFmt w:val="lowerLetter"/>
      <w:start w:val="1"/>
    </w:lvl>
  </w:abstractNum>
  <w:abstractNum w:abstractNumId="240">
    <w:nsid w:val="2817E7EC"/>
    <w:multiLevelType w:val="hybridMultilevel"/>
    <w:lvl w:ilvl="0">
      <w:lvlJc w:val="left"/>
      <w:lvlText w:val="%1"/>
      <w:numFmt w:val="decimal"/>
      <w:start w:val="1"/>
    </w:lvl>
    <w:lvl w:ilvl="1">
      <w:lvlJc w:val="left"/>
      <w:lvlText w:val="(%2)"/>
      <w:numFmt w:val="lowerLetter"/>
      <w:start w:val="3"/>
    </w:lvl>
  </w:abstractNum>
  <w:abstractNum w:abstractNumId="241">
    <w:nsid w:val="71482545"/>
    <w:multiLevelType w:val="hybridMultilevel"/>
    <w:lvl w:ilvl="0">
      <w:lvlJc w:val="left"/>
      <w:lvlText w:val="%1."/>
      <w:numFmt w:val="decimal"/>
      <w:start w:val="14"/>
    </w:lvl>
    <w:lvl w:ilvl="1">
      <w:lvlJc w:val="left"/>
      <w:lvlText w:val="(%2)"/>
      <w:numFmt w:val="lowerLetter"/>
      <w:start w:val="1"/>
    </w:lvl>
  </w:abstractNum>
  <w:abstractNum w:abstractNumId="242">
    <w:nsid w:val="17D78639"/>
    <w:multiLevelType w:val="hybridMultilevel"/>
    <w:lvl w:ilvl="0">
      <w:lvlJc w:val="left"/>
      <w:lvlText w:val="(%1)"/>
      <w:numFmt w:val="lowerLetter"/>
      <w:start w:val="2"/>
    </w:lvl>
  </w:abstractNum>
  <w:abstractNum w:abstractNumId="243">
    <w:nsid w:val="141D2302"/>
    <w:multiLevelType w:val="hybridMultilevel"/>
    <w:lvl w:ilvl="0">
      <w:lvlJc w:val="left"/>
      <w:lvlText w:val="%1"/>
      <w:numFmt w:val="decimal"/>
      <w:start w:val="1"/>
    </w:lvl>
    <w:lvl w:ilvl="1">
      <w:lvlJc w:val="left"/>
      <w:lvlText w:val="(%2)"/>
      <w:numFmt w:val="lowerLetter"/>
      <w:start w:val="7"/>
    </w:lvl>
  </w:abstractNum>
  <w:abstractNum w:abstractNumId="244">
    <w:nsid w:val="407168D8"/>
    <w:multiLevelType w:val="hybridMultilevel"/>
    <w:lvl w:ilvl="0">
      <w:lvlJc w:val="left"/>
      <w:lvlText w:val="%1."/>
      <w:numFmt w:val="decimal"/>
      <w:start w:val="15"/>
    </w:lvl>
    <w:lvl w:ilvl="1">
      <w:lvlJc w:val="left"/>
      <w:lvlText w:val="(%2)"/>
      <w:numFmt w:val="lowerLetter"/>
      <w:start w:val="1"/>
    </w:lvl>
  </w:abstractNum>
  <w:abstractNum w:abstractNumId="245">
    <w:nsid w:val="6A1B45E5"/>
    <w:multiLevelType w:val="hybridMultilevel"/>
    <w:lvl w:ilvl="0">
      <w:lvlJc w:val="left"/>
      <w:lvlText w:val="%1"/>
      <w:numFmt w:val="lowerLetter"/>
      <w:start w:val="1"/>
    </w:lvl>
    <w:lvl w:ilvl="1">
      <w:lvlJc w:val="left"/>
      <w:lvlText w:val="(%2)"/>
      <w:numFmt w:val="lowerLetter"/>
      <w:start w:val="2"/>
    </w:lvl>
  </w:abstractNum>
  <w:abstractNum w:abstractNumId="246">
    <w:nsid w:val="567BD50A"/>
    <w:multiLevelType w:val="hybridMultilevel"/>
    <w:lvl w:ilvl="0">
      <w:lvlJc w:val="left"/>
      <w:lvlText w:val="(%1)"/>
      <w:numFmt w:val="lowerLetter"/>
      <w:start w:val="35"/>
    </w:lvl>
    <w:lvl w:ilvl="1">
      <w:lvlJc w:val="left"/>
      <w:lvlText w:val="%2"/>
      <w:numFmt w:val="lowerLetter"/>
      <w:start w:val="1"/>
    </w:lvl>
  </w:abstractNum>
  <w:abstractNum w:abstractNumId="247">
    <w:nsid w:val="73BBD7F8"/>
    <w:multiLevelType w:val="hybridMultilevel"/>
    <w:lvl w:ilvl="0">
      <w:lvlJc w:val="left"/>
      <w:lvlText w:val="%1"/>
      <w:numFmt w:val="decimal"/>
      <w:start w:val="1"/>
    </w:lvl>
    <w:lvl w:ilvl="1">
      <w:lvlJc w:val="left"/>
      <w:lvlText w:val="(%2)"/>
      <w:numFmt w:val="lowerLetter"/>
      <w:start w:val="6"/>
    </w:lvl>
  </w:abstractNum>
  <w:abstractNum w:abstractNumId="248">
    <w:nsid w:val="1876589D"/>
    <w:multiLevelType w:val="hybridMultilevel"/>
    <w:lvl w:ilvl="0">
      <w:lvlJc w:val="left"/>
      <w:lvlText w:val="%1."/>
      <w:numFmt w:val="decimal"/>
      <w:start w:val="17"/>
    </w:lvl>
    <w:lvl w:ilvl="1">
      <w:lvlJc w:val="left"/>
      <w:lvlText w:val="%2"/>
      <w:numFmt w:val="lowerLetter"/>
      <w:start w:val="1"/>
    </w:lvl>
  </w:abstractNum>
  <w:abstractNum w:abstractNumId="249">
    <w:nsid w:val="327FAC77"/>
    <w:multiLevelType w:val="hybridMultilevel"/>
    <w:lvl w:ilvl="0">
      <w:lvlJc w:val="left"/>
      <w:lvlText w:val="%1."/>
      <w:numFmt w:val="decimal"/>
      <w:start w:val="18"/>
    </w:lvl>
    <w:lvl w:ilvl="1">
      <w:lvlJc w:val="left"/>
      <w:lvlText w:val="(%2)"/>
      <w:numFmt w:val="lowerLetter"/>
      <w:start w:val="1"/>
    </w:lvl>
  </w:abstractNum>
  <w:abstractNum w:abstractNumId="250">
    <w:nsid w:val="5A606509"/>
    <w:multiLevelType w:val="hybridMultilevel"/>
    <w:lvl w:ilvl="0">
      <w:lvlJc w:val="left"/>
      <w:lvlText w:val="%1"/>
      <w:numFmt w:val="decimal"/>
      <w:start w:val="1"/>
    </w:lvl>
    <w:lvl w:ilvl="1">
      <w:lvlJc w:val="left"/>
      <w:lvlText w:val="(%2)"/>
      <w:numFmt w:val="lowerLetter"/>
      <w:start w:val="5"/>
    </w:lvl>
  </w:abstractNum>
  <w:abstractNum w:abstractNumId="251">
    <w:nsid w:val="6F38E6D1"/>
    <w:multiLevelType w:val="hybridMultilevel"/>
    <w:lvl w:ilvl="0">
      <w:lvlJc w:val="left"/>
      <w:lvlText w:val="%1."/>
      <w:numFmt w:val="decimal"/>
      <w:start w:val="20"/>
    </w:lvl>
    <w:lvl w:ilvl="1">
      <w:lvlJc w:val="left"/>
      <w:lvlText w:val="(%2)"/>
      <w:numFmt w:val="lowerLetter"/>
      <w:start w:val="1"/>
    </w:lvl>
  </w:abstractNum>
  <w:abstractNum w:abstractNumId="252">
    <w:nsid w:val="46111BA5"/>
    <w:multiLevelType w:val="hybridMultilevel"/>
    <w:lvl w:ilvl="0">
      <w:lvlJc w:val="left"/>
      <w:lvlText w:val="%1."/>
      <w:numFmt w:val="decimal"/>
      <w:start w:val="22"/>
    </w:lvl>
  </w:abstractNum>
  <w:abstractNum w:abstractNumId="253">
    <w:nsid w:val="5E963896"/>
    <w:multiLevelType w:val="hybridMultilevel"/>
    <w:lvl w:ilvl="0">
      <w:lvlJc w:val="left"/>
      <w:lvlText w:val="%1."/>
      <w:numFmt w:val="decimal"/>
      <w:start w:val="27"/>
    </w:lvl>
  </w:abstractNum>
  <w:abstractNum w:abstractNumId="254">
    <w:nsid w:val="775BA7C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2020-07-20T23:13:11Z</dcterms:created>
  <dcterms:modified xsi:type="dcterms:W3CDTF">2020-07-20T23:13:11Z</dcterms:modified>
</cp:coreProperties>
</file>