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5"/>
          <w:szCs w:val="15"/>
          <w:b w:val="1"/>
          <w:bCs w:val="1"/>
          <w:color w:val="auto"/>
        </w:rPr>
        <w:t>Filed by Churchill Capital Corp IV</w:t>
      </w:r>
    </w:p>
    <w:p>
      <w:pPr>
        <w:spacing w:after="0" w:line="22"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under the Securities Exchange Act of 1934</w:t>
      </w:r>
    </w:p>
    <w:p>
      <w:pPr>
        <w:spacing w:after="0" w:line="178"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Subject Company: Churchill Capital Corp IV</w:t>
      </w:r>
    </w:p>
    <w:p>
      <w:pPr>
        <w:spacing w:after="0" w:line="22"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Commission File No. 001-39408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715391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361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187325</wp:posOffset>
            </wp:positionV>
            <wp:extent cx="7153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11"/>
        <w:spacing w:after="0"/>
        <w:rPr>
          <w:sz w:val="20"/>
          <w:szCs w:val="20"/>
          <w:color w:val="auto"/>
        </w:rPr>
      </w:pPr>
      <w:r>
        <w:rPr>
          <w:rFonts w:ascii="Arial" w:cs="Arial" w:eastAsia="Arial" w:hAnsi="Arial"/>
          <w:sz w:val="27"/>
          <w:szCs w:val="27"/>
          <w:b w:val="1"/>
          <w:bCs w:val="1"/>
          <w:color w:val="auto"/>
        </w:rPr>
        <w:t>UNITED STATES</w:t>
      </w:r>
    </w:p>
    <w:p>
      <w:pPr>
        <w:spacing w:after="0" w:line="26" w:lineRule="exact"/>
        <w:rPr>
          <w:sz w:val="24"/>
          <w:szCs w:val="24"/>
          <w:color w:val="auto"/>
        </w:rPr>
      </w:pPr>
    </w:p>
    <w:p>
      <w:pPr>
        <w:jc w:val="center"/>
        <w:ind w:right="11"/>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11"/>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120650</wp:posOffset>
            </wp:positionV>
            <wp:extent cx="17887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340" w:lineRule="exact"/>
        <w:rPr>
          <w:sz w:val="24"/>
          <w:szCs w:val="24"/>
          <w:color w:val="auto"/>
        </w:rPr>
      </w:pPr>
    </w:p>
    <w:p>
      <w:pPr>
        <w:jc w:val="center"/>
        <w:ind w:right="11"/>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134620</wp:posOffset>
            </wp:positionV>
            <wp:extent cx="17887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382" w:lineRule="exact"/>
        <w:rPr>
          <w:sz w:val="24"/>
          <w:szCs w:val="24"/>
          <w:color w:val="auto"/>
        </w:rPr>
      </w:pPr>
    </w:p>
    <w:p>
      <w:pPr>
        <w:jc w:val="center"/>
        <w:ind w:right="11"/>
        <w:spacing w:after="0"/>
        <w:rPr>
          <w:sz w:val="20"/>
          <w:szCs w:val="20"/>
          <w:color w:val="auto"/>
        </w:rPr>
      </w:pPr>
      <w:r>
        <w:rPr>
          <w:rFonts w:ascii="Arial" w:cs="Arial" w:eastAsia="Arial" w:hAnsi="Arial"/>
          <w:sz w:val="15"/>
          <w:szCs w:val="15"/>
          <w:b w:val="1"/>
          <w:bCs w:val="1"/>
          <w:color w:val="auto"/>
        </w:rPr>
        <w:t>CURRENT REPORT</w:t>
      </w:r>
    </w:p>
    <w:p>
      <w:pPr>
        <w:spacing w:after="0" w:line="191" w:lineRule="exact"/>
        <w:rPr>
          <w:sz w:val="24"/>
          <w:szCs w:val="24"/>
          <w:color w:val="auto"/>
        </w:rPr>
      </w:pPr>
    </w:p>
    <w:p>
      <w:pPr>
        <w:jc w:val="center"/>
        <w:ind w:right="11"/>
        <w:spacing w:after="0"/>
        <w:rPr>
          <w:sz w:val="20"/>
          <w:szCs w:val="20"/>
          <w:color w:val="auto"/>
        </w:rPr>
      </w:pPr>
      <w:r>
        <w:rPr>
          <w:rFonts w:ascii="Arial" w:cs="Arial" w:eastAsia="Arial" w:hAnsi="Arial"/>
          <w:sz w:val="15"/>
          <w:szCs w:val="15"/>
          <w:b w:val="1"/>
          <w:bCs w:val="1"/>
          <w:color w:val="auto"/>
        </w:rPr>
        <w:t>Pursuant to Section 13 or 15(d)</w:t>
      </w:r>
    </w:p>
    <w:p>
      <w:pPr>
        <w:spacing w:after="0" w:line="22" w:lineRule="exact"/>
        <w:rPr>
          <w:sz w:val="24"/>
          <w:szCs w:val="24"/>
          <w:color w:val="auto"/>
        </w:rPr>
      </w:pPr>
    </w:p>
    <w:p>
      <w:pPr>
        <w:jc w:val="center"/>
        <w:ind w:right="11"/>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78" w:lineRule="exact"/>
        <w:rPr>
          <w:sz w:val="24"/>
          <w:szCs w:val="24"/>
          <w:color w:val="auto"/>
        </w:rPr>
      </w:pPr>
    </w:p>
    <w:p>
      <w:pPr>
        <w:jc w:val="center"/>
        <w:ind w:right="11"/>
        <w:spacing w:after="0"/>
        <w:rPr>
          <w:sz w:val="20"/>
          <w:szCs w:val="20"/>
          <w:color w:val="auto"/>
        </w:rPr>
      </w:pPr>
      <w:r>
        <w:rPr>
          <w:rFonts w:ascii="Arial" w:cs="Arial" w:eastAsia="Arial" w:hAnsi="Arial"/>
          <w:sz w:val="15"/>
          <w:szCs w:val="15"/>
          <w:color w:val="auto"/>
        </w:rPr>
        <w:t xml:space="preserve">Date of Report (Date of earliest event reported): </w:t>
      </w:r>
      <w:r>
        <w:rPr>
          <w:rFonts w:ascii="Arial" w:cs="Arial" w:eastAsia="Arial" w:hAnsi="Arial"/>
          <w:sz w:val="15"/>
          <w:szCs w:val="15"/>
          <w:b w:val="1"/>
          <w:bCs w:val="1"/>
          <w:color w:val="auto"/>
        </w:rPr>
        <w:t>May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130810</wp:posOffset>
            </wp:positionV>
            <wp:extent cx="17887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367" w:lineRule="exact"/>
        <w:rPr>
          <w:sz w:val="24"/>
          <w:szCs w:val="24"/>
          <w:color w:val="auto"/>
        </w:rPr>
      </w:pPr>
    </w:p>
    <w:p>
      <w:pPr>
        <w:jc w:val="center"/>
        <w:ind w:right="11"/>
        <w:spacing w:after="0"/>
        <w:rPr>
          <w:sz w:val="20"/>
          <w:szCs w:val="20"/>
          <w:color w:val="auto"/>
        </w:rPr>
      </w:pPr>
      <w:r>
        <w:rPr>
          <w:rFonts w:ascii="Arial" w:cs="Arial" w:eastAsia="Arial" w:hAnsi="Arial"/>
          <w:sz w:val="27"/>
          <w:szCs w:val="27"/>
          <w:b w:val="1"/>
          <w:bCs w:val="1"/>
          <w:color w:val="auto"/>
        </w:rPr>
        <w:t>Churchill Capital Corp IV</w:t>
      </w:r>
    </w:p>
    <w:p>
      <w:pPr>
        <w:spacing w:after="0" w:line="32" w:lineRule="exact"/>
        <w:rPr>
          <w:sz w:val="24"/>
          <w:szCs w:val="24"/>
          <w:color w:val="auto"/>
        </w:rPr>
      </w:pPr>
    </w:p>
    <w:p>
      <w:pPr>
        <w:jc w:val="center"/>
        <w:ind w:right="11"/>
        <w:spacing w:after="0"/>
        <w:rPr>
          <w:sz w:val="20"/>
          <w:szCs w:val="20"/>
          <w:color w:val="auto"/>
        </w:rPr>
      </w:pPr>
      <w:r>
        <w:rPr>
          <w:rFonts w:ascii="Arial" w:cs="Arial" w:eastAsia="Arial" w:hAnsi="Arial"/>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120650</wp:posOffset>
            </wp:positionV>
            <wp:extent cx="17887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359" w:lineRule="exact"/>
        <w:rPr>
          <w:sz w:val="24"/>
          <w:szCs w:val="24"/>
          <w:color w:val="auto"/>
        </w:rPr>
      </w:pPr>
    </w:p>
    <w:tbl>
      <w:tblPr>
        <w:tblLayout w:type="fixed"/>
        <w:tblInd w:w="1489" w:type="dxa"/>
        <w:tblCellMar>
          <w:top w:w="0" w:type="dxa"/>
          <w:left w:w="0" w:type="dxa"/>
          <w:bottom w:w="0" w:type="dxa"/>
          <w:right w:w="0" w:type="dxa"/>
        </w:tblCellMar>
      </w:tblPr>
      <w:tr>
        <w:trPr>
          <w:trHeight w:val="186"/>
        </w:trPr>
        <w:tc>
          <w:tcPr>
            <w:tcW w:w="2300" w:type="dxa"/>
            <w:vAlign w:val="bottom"/>
          </w:tcPr>
          <w:p>
            <w:pPr>
              <w:jc w:val="center"/>
              <w:ind w:right="1364"/>
              <w:spacing w:after="0"/>
              <w:rPr>
                <w:sz w:val="20"/>
                <w:szCs w:val="20"/>
                <w:color w:val="auto"/>
              </w:rPr>
            </w:pPr>
            <w:r>
              <w:rPr>
                <w:rFonts w:ascii="Arial" w:cs="Arial" w:eastAsia="Arial" w:hAnsi="Arial"/>
                <w:sz w:val="15"/>
                <w:szCs w:val="15"/>
                <w:b w:val="1"/>
                <w:bCs w:val="1"/>
                <w:color w:val="auto"/>
                <w:w w:val="94"/>
              </w:rPr>
              <w:t>Delaware</w:t>
            </w:r>
          </w:p>
        </w:tc>
        <w:tc>
          <w:tcPr>
            <w:tcW w:w="3820" w:type="dxa"/>
            <w:vAlign w:val="bottom"/>
          </w:tcPr>
          <w:p>
            <w:pPr>
              <w:jc w:val="center"/>
              <w:ind w:left="44"/>
              <w:spacing w:after="0"/>
              <w:rPr>
                <w:sz w:val="20"/>
                <w:szCs w:val="20"/>
                <w:color w:val="auto"/>
              </w:rPr>
            </w:pPr>
            <w:r>
              <w:rPr>
                <w:rFonts w:ascii="Arial" w:cs="Arial" w:eastAsia="Arial" w:hAnsi="Arial"/>
                <w:sz w:val="15"/>
                <w:szCs w:val="15"/>
                <w:b w:val="1"/>
                <w:bCs w:val="1"/>
                <w:color w:val="auto"/>
                <w:w w:val="91"/>
              </w:rPr>
              <w:t>001-39408</w:t>
            </w:r>
          </w:p>
        </w:tc>
        <w:tc>
          <w:tcPr>
            <w:tcW w:w="2420" w:type="dxa"/>
            <w:vAlign w:val="bottom"/>
          </w:tcPr>
          <w:p>
            <w:pPr>
              <w:jc w:val="center"/>
              <w:ind w:left="1224"/>
              <w:spacing w:after="0"/>
              <w:rPr>
                <w:sz w:val="20"/>
                <w:szCs w:val="20"/>
                <w:color w:val="auto"/>
              </w:rPr>
            </w:pPr>
            <w:r>
              <w:rPr>
                <w:rFonts w:ascii="Arial" w:cs="Arial" w:eastAsia="Arial" w:hAnsi="Arial"/>
                <w:sz w:val="15"/>
                <w:szCs w:val="15"/>
                <w:b w:val="1"/>
                <w:bCs w:val="1"/>
                <w:color w:val="auto"/>
                <w:w w:val="89"/>
              </w:rPr>
              <w:t>85-0891392</w:t>
            </w:r>
          </w:p>
        </w:tc>
      </w:tr>
      <w:tr>
        <w:trPr>
          <w:trHeight w:val="182"/>
        </w:trPr>
        <w:tc>
          <w:tcPr>
            <w:tcW w:w="2300" w:type="dxa"/>
            <w:vAlign w:val="bottom"/>
          </w:tcPr>
          <w:p>
            <w:pPr>
              <w:jc w:val="center"/>
              <w:ind w:right="1364"/>
              <w:spacing w:after="0"/>
              <w:rPr>
                <w:sz w:val="20"/>
                <w:szCs w:val="20"/>
                <w:color w:val="auto"/>
              </w:rPr>
            </w:pPr>
            <w:r>
              <w:rPr>
                <w:rFonts w:ascii="Arial" w:cs="Arial" w:eastAsia="Arial" w:hAnsi="Arial"/>
                <w:sz w:val="15"/>
                <w:szCs w:val="15"/>
                <w:color w:val="auto"/>
                <w:w w:val="89"/>
              </w:rPr>
              <w:t>(State or other</w:t>
            </w:r>
          </w:p>
        </w:tc>
        <w:tc>
          <w:tcPr>
            <w:tcW w:w="3820" w:type="dxa"/>
            <w:vAlign w:val="bottom"/>
          </w:tcPr>
          <w:p>
            <w:pPr>
              <w:jc w:val="center"/>
              <w:ind w:left="44"/>
              <w:spacing w:after="0"/>
              <w:rPr>
                <w:sz w:val="20"/>
                <w:szCs w:val="20"/>
                <w:color w:val="auto"/>
              </w:rPr>
            </w:pPr>
            <w:r>
              <w:rPr>
                <w:rFonts w:ascii="Arial" w:cs="Arial" w:eastAsia="Arial" w:hAnsi="Arial"/>
                <w:sz w:val="15"/>
                <w:szCs w:val="15"/>
                <w:color w:val="auto"/>
                <w:w w:val="94"/>
              </w:rPr>
              <w:t>(Commission File</w:t>
            </w:r>
          </w:p>
        </w:tc>
        <w:tc>
          <w:tcPr>
            <w:tcW w:w="2420" w:type="dxa"/>
            <w:vAlign w:val="bottom"/>
          </w:tcPr>
          <w:p>
            <w:pPr>
              <w:jc w:val="center"/>
              <w:ind w:left="1224"/>
              <w:spacing w:after="0"/>
              <w:rPr>
                <w:sz w:val="20"/>
                <w:szCs w:val="20"/>
                <w:color w:val="auto"/>
              </w:rPr>
            </w:pPr>
            <w:r>
              <w:rPr>
                <w:rFonts w:ascii="Arial" w:cs="Arial" w:eastAsia="Arial" w:hAnsi="Arial"/>
                <w:sz w:val="15"/>
                <w:szCs w:val="15"/>
                <w:color w:val="auto"/>
                <w:w w:val="94"/>
              </w:rPr>
              <w:t>(I.R.S. Employer</w:t>
            </w:r>
          </w:p>
        </w:tc>
      </w:tr>
      <w:tr>
        <w:trPr>
          <w:trHeight w:val="182"/>
        </w:trPr>
        <w:tc>
          <w:tcPr>
            <w:tcW w:w="2300" w:type="dxa"/>
            <w:vAlign w:val="bottom"/>
          </w:tcPr>
          <w:p>
            <w:pPr>
              <w:jc w:val="center"/>
              <w:ind w:right="1364"/>
              <w:spacing w:after="0"/>
              <w:rPr>
                <w:sz w:val="20"/>
                <w:szCs w:val="20"/>
                <w:color w:val="auto"/>
              </w:rPr>
            </w:pPr>
            <w:r>
              <w:rPr>
                <w:rFonts w:ascii="Arial" w:cs="Arial" w:eastAsia="Arial" w:hAnsi="Arial"/>
                <w:sz w:val="15"/>
                <w:szCs w:val="15"/>
                <w:color w:val="auto"/>
                <w:w w:val="98"/>
              </w:rPr>
              <w:t>jurisdiction of</w:t>
            </w:r>
          </w:p>
        </w:tc>
        <w:tc>
          <w:tcPr>
            <w:tcW w:w="3820" w:type="dxa"/>
            <w:vAlign w:val="bottom"/>
          </w:tcPr>
          <w:p>
            <w:pPr>
              <w:jc w:val="center"/>
              <w:ind w:left="44"/>
              <w:spacing w:after="0"/>
              <w:rPr>
                <w:sz w:val="20"/>
                <w:szCs w:val="20"/>
                <w:color w:val="auto"/>
              </w:rPr>
            </w:pPr>
            <w:r>
              <w:rPr>
                <w:rFonts w:ascii="Arial" w:cs="Arial" w:eastAsia="Arial" w:hAnsi="Arial"/>
                <w:sz w:val="15"/>
                <w:szCs w:val="15"/>
                <w:color w:val="auto"/>
                <w:w w:val="92"/>
              </w:rPr>
              <w:t>Number)</w:t>
            </w:r>
          </w:p>
        </w:tc>
        <w:tc>
          <w:tcPr>
            <w:tcW w:w="2420" w:type="dxa"/>
            <w:vAlign w:val="bottom"/>
          </w:tcPr>
          <w:p>
            <w:pPr>
              <w:jc w:val="center"/>
              <w:ind w:left="1224"/>
              <w:spacing w:after="0"/>
              <w:rPr>
                <w:sz w:val="20"/>
                <w:szCs w:val="20"/>
                <w:color w:val="auto"/>
              </w:rPr>
            </w:pPr>
            <w:r>
              <w:rPr>
                <w:rFonts w:ascii="Arial" w:cs="Arial" w:eastAsia="Arial" w:hAnsi="Arial"/>
                <w:sz w:val="15"/>
                <w:szCs w:val="15"/>
                <w:color w:val="auto"/>
                <w:w w:val="95"/>
              </w:rPr>
              <w:t>Identification No.)</w:t>
            </w:r>
          </w:p>
        </w:tc>
      </w:tr>
      <w:tr>
        <w:trPr>
          <w:trHeight w:val="191"/>
        </w:trPr>
        <w:tc>
          <w:tcPr>
            <w:tcW w:w="2300" w:type="dxa"/>
            <w:vAlign w:val="bottom"/>
          </w:tcPr>
          <w:p>
            <w:pPr>
              <w:jc w:val="center"/>
              <w:ind w:right="1364"/>
              <w:spacing w:after="0"/>
              <w:rPr>
                <w:sz w:val="20"/>
                <w:szCs w:val="20"/>
                <w:color w:val="auto"/>
              </w:rPr>
            </w:pPr>
            <w:r>
              <w:rPr>
                <w:rFonts w:ascii="Arial" w:cs="Arial" w:eastAsia="Arial" w:hAnsi="Arial"/>
                <w:sz w:val="15"/>
                <w:szCs w:val="15"/>
                <w:color w:val="auto"/>
                <w:w w:val="93"/>
              </w:rPr>
              <w:t>incorporation)</w:t>
            </w:r>
          </w:p>
        </w:tc>
        <w:tc>
          <w:tcPr>
            <w:tcW w:w="3820" w:type="dxa"/>
            <w:vAlign w:val="bottom"/>
          </w:tcPr>
          <w:p>
            <w:pPr>
              <w:spacing w:after="0"/>
              <w:rPr>
                <w:sz w:val="16"/>
                <w:szCs w:val="16"/>
                <w:color w:val="auto"/>
              </w:rPr>
            </w:pPr>
          </w:p>
        </w:tc>
        <w:tc>
          <w:tcPr>
            <w:tcW w:w="2420" w:type="dxa"/>
            <w:vAlign w:val="bottom"/>
          </w:tcPr>
          <w:p>
            <w:pPr>
              <w:spacing w:after="0"/>
              <w:rPr>
                <w:sz w:val="16"/>
                <w:szCs w:val="16"/>
                <w:color w:val="auto"/>
              </w:rPr>
            </w:pPr>
          </w:p>
        </w:tc>
      </w:tr>
    </w:tbl>
    <w:p>
      <w:pPr>
        <w:spacing w:after="0" w:line="170" w:lineRule="exact"/>
        <w:rPr>
          <w:sz w:val="24"/>
          <w:szCs w:val="24"/>
          <w:color w:val="auto"/>
        </w:rPr>
      </w:pPr>
    </w:p>
    <w:p>
      <w:pPr>
        <w:sectPr>
          <w:pgSz w:w="11900" w:h="16838" w:orient="portrait"/>
          <w:cols w:equalWidth="0" w:num="1">
            <w:col w:w="11269"/>
          </w:cols>
          <w:pgMar w:left="311" w:top="420" w:right="319" w:bottom="1440" w:gutter="0" w:footer="0" w:header="0"/>
        </w:sectPr>
      </w:pPr>
    </w:p>
    <w:p>
      <w:pPr>
        <w:jc w:val="center"/>
        <w:ind w:right="1791"/>
        <w:spacing w:after="0"/>
        <w:rPr>
          <w:sz w:val="20"/>
          <w:szCs w:val="20"/>
          <w:color w:val="auto"/>
        </w:rPr>
      </w:pPr>
      <w:r>
        <w:rPr>
          <w:rFonts w:ascii="Arial" w:cs="Arial" w:eastAsia="Arial" w:hAnsi="Arial"/>
          <w:sz w:val="15"/>
          <w:szCs w:val="15"/>
          <w:b w:val="1"/>
          <w:bCs w:val="1"/>
          <w:color w:val="auto"/>
        </w:rPr>
        <w:t>640 Fifth Avenue, 12</w:t>
      </w:r>
      <w:r>
        <w:rPr>
          <w:rFonts w:ascii="Arial" w:cs="Arial" w:eastAsia="Arial" w:hAnsi="Arial"/>
          <w:sz w:val="12"/>
          <w:szCs w:val="12"/>
          <w:b w:val="1"/>
          <w:bCs w:val="1"/>
          <w:color w:val="auto"/>
        </w:rPr>
        <w:t>th</w:t>
      </w:r>
      <w:r>
        <w:rPr>
          <w:rFonts w:ascii="Arial" w:cs="Arial" w:eastAsia="Arial" w:hAnsi="Arial"/>
          <w:sz w:val="15"/>
          <w:szCs w:val="15"/>
          <w:b w:val="1"/>
          <w:bCs w:val="1"/>
          <w:color w:val="auto"/>
        </w:rPr>
        <w:t xml:space="preserve"> Floor</w:t>
      </w:r>
    </w:p>
    <w:p>
      <w:pPr>
        <w:spacing w:after="0" w:line="55" w:lineRule="exact"/>
        <w:rPr>
          <w:sz w:val="24"/>
          <w:szCs w:val="24"/>
          <w:color w:val="auto"/>
        </w:rPr>
      </w:pPr>
    </w:p>
    <w:p>
      <w:pPr>
        <w:jc w:val="center"/>
        <w:ind w:right="1791"/>
        <w:spacing w:after="0"/>
        <w:rPr>
          <w:sz w:val="20"/>
          <w:szCs w:val="20"/>
          <w:color w:val="auto"/>
        </w:rPr>
      </w:pPr>
      <w:r>
        <w:rPr>
          <w:rFonts w:ascii="Arial" w:cs="Arial" w:eastAsia="Arial" w:hAnsi="Arial"/>
          <w:sz w:val="15"/>
          <w:szCs w:val="15"/>
          <w:b w:val="1"/>
          <w:bCs w:val="1"/>
          <w:color w:val="auto"/>
        </w:rPr>
        <w:t>New York, NY</w:t>
      </w:r>
    </w:p>
    <w:p>
      <w:pPr>
        <w:spacing w:after="0" w:line="9" w:lineRule="exact"/>
        <w:rPr>
          <w:sz w:val="24"/>
          <w:szCs w:val="24"/>
          <w:color w:val="auto"/>
        </w:rPr>
      </w:pPr>
    </w:p>
    <w:p>
      <w:pPr>
        <w:jc w:val="center"/>
        <w:ind w:right="1791"/>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420"/>
        <w:spacing w:after="0"/>
        <w:rPr>
          <w:sz w:val="20"/>
          <w:szCs w:val="20"/>
          <w:color w:val="auto"/>
        </w:rPr>
      </w:pPr>
      <w:r>
        <w:rPr>
          <w:rFonts w:ascii="Arial" w:cs="Arial" w:eastAsia="Arial" w:hAnsi="Arial"/>
          <w:sz w:val="15"/>
          <w:szCs w:val="15"/>
          <w:b w:val="1"/>
          <w:bCs w:val="1"/>
          <w:color w:val="auto"/>
        </w:rPr>
        <w:t>10019</w:t>
      </w:r>
    </w:p>
    <w:p>
      <w:pPr>
        <w:spacing w:after="0" w:line="22" w:lineRule="exact"/>
        <w:rPr>
          <w:sz w:val="24"/>
          <w:szCs w:val="24"/>
          <w:color w:val="auto"/>
        </w:rPr>
      </w:pPr>
    </w:p>
    <w:p>
      <w:pPr>
        <w:jc w:val="center"/>
        <w:ind w:right="2420"/>
        <w:spacing w:after="0"/>
        <w:rPr>
          <w:sz w:val="20"/>
          <w:szCs w:val="20"/>
          <w:color w:val="auto"/>
        </w:rPr>
      </w:pPr>
      <w:r>
        <w:rPr>
          <w:rFonts w:ascii="Arial" w:cs="Arial" w:eastAsia="Arial" w:hAnsi="Arial"/>
          <w:sz w:val="14"/>
          <w:szCs w:val="14"/>
          <w:color w:val="auto"/>
        </w:rPr>
        <w:t>(Zip Code)</w:t>
      </w:r>
    </w:p>
    <w:p>
      <w:pPr>
        <w:spacing w:after="0" w:line="189" w:lineRule="exact"/>
        <w:rPr>
          <w:sz w:val="24"/>
          <w:szCs w:val="24"/>
          <w:color w:val="auto"/>
        </w:rPr>
      </w:pPr>
    </w:p>
    <w:p>
      <w:pPr>
        <w:sectPr>
          <w:pgSz w:w="11900" w:h="16838" w:orient="portrait"/>
          <w:cols w:equalWidth="0" w:num="2">
            <w:col w:w="7449" w:space="720"/>
            <w:col w:w="3100"/>
          </w:cols>
          <w:pgMar w:left="311" w:top="420" w:right="319" w:bottom="1440" w:gutter="0" w:footer="0" w:header="0"/>
          <w:type w:val="continuous"/>
        </w:sectPr>
      </w:pPr>
    </w:p>
    <w:p>
      <w:pPr>
        <w:jc w:val="center"/>
        <w:ind w:right="11"/>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(212) 380-7500</w:t>
      </w:r>
    </w:p>
    <w:p>
      <w:pPr>
        <w:spacing w:after="0" w:line="191" w:lineRule="exact"/>
        <w:rPr>
          <w:sz w:val="24"/>
          <w:szCs w:val="24"/>
          <w:color w:val="auto"/>
        </w:rPr>
      </w:pPr>
    </w:p>
    <w:p>
      <w:pPr>
        <w:jc w:val="center"/>
        <w:ind w:right="11"/>
        <w:spacing w:after="0"/>
        <w:rPr>
          <w:sz w:val="20"/>
          <w:szCs w:val="20"/>
          <w:color w:val="auto"/>
        </w:rPr>
      </w:pPr>
      <w:r>
        <w:rPr>
          <w:rFonts w:ascii="Arial" w:cs="Arial" w:eastAsia="Arial" w:hAnsi="Arial"/>
          <w:sz w:val="15"/>
          <w:szCs w:val="15"/>
          <w:b w:val="1"/>
          <w:bCs w:val="1"/>
          <w:color w:val="auto"/>
        </w:rPr>
        <w:t>Not Applicable</w:t>
      </w:r>
    </w:p>
    <w:p>
      <w:pPr>
        <w:spacing w:after="0" w:line="22" w:lineRule="exact"/>
        <w:rPr>
          <w:sz w:val="24"/>
          <w:szCs w:val="24"/>
          <w:color w:val="auto"/>
        </w:rPr>
      </w:pPr>
    </w:p>
    <w:p>
      <w:pPr>
        <w:jc w:val="center"/>
        <w:ind w:right="11"/>
        <w:spacing w:after="0"/>
        <w:rPr>
          <w:sz w:val="20"/>
          <w:szCs w:val="20"/>
          <w:color w:val="auto"/>
        </w:rPr>
      </w:pPr>
      <w:r>
        <w:rPr>
          <w:rFonts w:ascii="Arial" w:cs="Arial" w:eastAsia="Arial" w:hAnsi="Arial"/>
          <w:sz w:val="15"/>
          <w:szCs w:val="15"/>
          <w:i w:val="1"/>
          <w:iCs w:val="1"/>
          <w:color w:val="auto"/>
        </w:rPr>
        <w:t>(Former name or former address, if changed since last report)</w:t>
      </w:r>
    </w:p>
    <w:p>
      <w:pPr>
        <w:spacing w:after="0" w:line="182" w:lineRule="exact"/>
        <w:rPr>
          <w:sz w:val="24"/>
          <w:szCs w:val="24"/>
          <w:color w:val="auto"/>
        </w:rPr>
      </w:pPr>
    </w:p>
    <w:p>
      <w:pPr>
        <w:ind w:left="9" w:right="300"/>
        <w:spacing w:after="0" w:line="278"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46" w:lineRule="exact"/>
        <w:rPr>
          <w:sz w:val="24"/>
          <w:szCs w:val="24"/>
          <w:color w:val="auto"/>
        </w:rPr>
      </w:pPr>
    </w:p>
    <w:p>
      <w:pPr>
        <w:ind w:left="269" w:hanging="269"/>
        <w:spacing w:after="0"/>
        <w:tabs>
          <w:tab w:leader="none" w:pos="269"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sz w:val="24"/>
          <w:szCs w:val="24"/>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90" w:lineRule="exact"/>
        <w:rPr>
          <w:rFonts w:ascii="MS PGothic" w:cs="MS PGothic" w:eastAsia="MS PGothic" w:hAnsi="MS PGothic"/>
          <w:sz w:val="15"/>
          <w:szCs w:val="15"/>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0" w:lineRule="exact"/>
        <w:rPr>
          <w:rFonts w:ascii="MS PGothic" w:cs="MS PGothic" w:eastAsia="MS PGothic" w:hAnsi="MS PGothic"/>
          <w:sz w:val="15"/>
          <w:szCs w:val="15"/>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177" w:lineRule="exact"/>
        <w:rPr>
          <w:sz w:val="24"/>
          <w:szCs w:val="24"/>
          <w:color w:val="auto"/>
        </w:rPr>
      </w:pPr>
    </w:p>
    <w:tbl>
      <w:tblPr>
        <w:tblLayout w:type="fixed"/>
        <w:tblInd w:w="89" w:type="dxa"/>
        <w:tblCellMar>
          <w:top w:w="0" w:type="dxa"/>
          <w:left w:w="0" w:type="dxa"/>
          <w:bottom w:w="0" w:type="dxa"/>
          <w:right w:w="0" w:type="dxa"/>
        </w:tblCellMar>
      </w:tblPr>
      <w:tr>
        <w:trPr>
          <w:trHeight w:val="172"/>
        </w:trPr>
        <w:tc>
          <w:tcPr>
            <w:tcW w:w="1720" w:type="dxa"/>
            <w:vAlign w:val="bottom"/>
          </w:tcPr>
          <w:p>
            <w:pPr>
              <w:spacing w:after="0"/>
              <w:rPr>
                <w:sz w:val="15"/>
                <w:szCs w:val="15"/>
                <w:color w:val="auto"/>
              </w:rPr>
            </w:pPr>
          </w:p>
        </w:tc>
        <w:tc>
          <w:tcPr>
            <w:tcW w:w="3080" w:type="dxa"/>
            <w:vAlign w:val="bottom"/>
            <w:gridSpan w:val="2"/>
          </w:tcPr>
          <w:p>
            <w:pPr>
              <w:jc w:val="center"/>
              <w:ind w:right="2000"/>
              <w:spacing w:after="0"/>
              <w:rPr>
                <w:sz w:val="20"/>
                <w:szCs w:val="20"/>
                <w:color w:val="auto"/>
              </w:rPr>
            </w:pPr>
            <w:r>
              <w:rPr>
                <w:rFonts w:ascii="Arial" w:cs="Arial" w:eastAsia="Arial" w:hAnsi="Arial"/>
                <w:sz w:val="15"/>
                <w:szCs w:val="15"/>
                <w:color w:val="auto"/>
                <w:w w:val="89"/>
              </w:rPr>
              <w:t>Title of each class</w:t>
            </w:r>
          </w:p>
        </w:tc>
        <w:tc>
          <w:tcPr>
            <w:tcW w:w="2740" w:type="dxa"/>
            <w:vAlign w:val="bottom"/>
            <w:gridSpan w:val="3"/>
          </w:tcPr>
          <w:p>
            <w:pPr>
              <w:jc w:val="center"/>
              <w:ind w:right="1160"/>
              <w:spacing w:after="0"/>
              <w:rPr>
                <w:sz w:val="20"/>
                <w:szCs w:val="20"/>
                <w:color w:val="auto"/>
              </w:rPr>
            </w:pPr>
            <w:r>
              <w:rPr>
                <w:rFonts w:ascii="Arial" w:cs="Arial" w:eastAsia="Arial" w:hAnsi="Arial"/>
                <w:sz w:val="15"/>
                <w:szCs w:val="15"/>
                <w:color w:val="auto"/>
                <w:w w:val="93"/>
              </w:rPr>
              <w:t>Trading Symbol</w:t>
            </w:r>
          </w:p>
        </w:tc>
        <w:tc>
          <w:tcPr>
            <w:tcW w:w="2680" w:type="dxa"/>
            <w:vAlign w:val="bottom"/>
          </w:tcPr>
          <w:p>
            <w:pPr>
              <w:jc w:val="center"/>
              <w:spacing w:after="0"/>
              <w:rPr>
                <w:sz w:val="20"/>
                <w:szCs w:val="20"/>
                <w:color w:val="auto"/>
              </w:rPr>
            </w:pPr>
            <w:r>
              <w:rPr>
                <w:rFonts w:ascii="Arial" w:cs="Arial" w:eastAsia="Arial" w:hAnsi="Arial"/>
                <w:sz w:val="15"/>
                <w:szCs w:val="15"/>
                <w:color w:val="auto"/>
                <w:w w:val="90"/>
              </w:rPr>
              <w:t>Name of each exchange on which registered</w:t>
            </w:r>
          </w:p>
        </w:tc>
      </w:tr>
      <w:tr>
        <w:trPr>
          <w:trHeight w:val="20"/>
        </w:trPr>
        <w:tc>
          <w:tcPr>
            <w:tcW w:w="17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85"/>
        </w:trPr>
        <w:tc>
          <w:tcPr>
            <w:tcW w:w="4800" w:type="dxa"/>
            <w:vAlign w:val="bottom"/>
            <w:gridSpan w:val="3"/>
          </w:tcPr>
          <w:p>
            <w:pPr>
              <w:jc w:val="center"/>
              <w:ind w:right="300"/>
              <w:spacing w:after="0"/>
              <w:rPr>
                <w:sz w:val="20"/>
                <w:szCs w:val="20"/>
                <w:color w:val="auto"/>
              </w:rPr>
            </w:pPr>
            <w:r>
              <w:rPr>
                <w:rFonts w:ascii="Arial" w:cs="Arial" w:eastAsia="Arial" w:hAnsi="Arial"/>
                <w:sz w:val="15"/>
                <w:szCs w:val="15"/>
                <w:color w:val="auto"/>
                <w:w w:val="90"/>
              </w:rPr>
              <w:t>Units, each consisting of one share of Class A common stock, $0.0001 par</w:t>
            </w:r>
          </w:p>
        </w:tc>
        <w:tc>
          <w:tcPr>
            <w:tcW w:w="300" w:type="dxa"/>
            <w:vAlign w:val="bottom"/>
          </w:tcPr>
          <w:p>
            <w:pPr>
              <w:spacing w:after="0"/>
              <w:rPr>
                <w:sz w:val="16"/>
                <w:szCs w:val="16"/>
                <w:color w:val="auto"/>
              </w:rPr>
            </w:pPr>
          </w:p>
        </w:tc>
        <w:tc>
          <w:tcPr>
            <w:tcW w:w="2440" w:type="dxa"/>
            <w:vAlign w:val="bottom"/>
            <w:gridSpan w:val="2"/>
          </w:tcPr>
          <w:p>
            <w:pPr>
              <w:jc w:val="center"/>
              <w:ind w:right="1480"/>
              <w:spacing w:after="0"/>
              <w:rPr>
                <w:sz w:val="20"/>
                <w:szCs w:val="20"/>
                <w:color w:val="auto"/>
              </w:rPr>
            </w:pPr>
            <w:r>
              <w:rPr>
                <w:rFonts w:ascii="Arial" w:cs="Arial" w:eastAsia="Arial" w:hAnsi="Arial"/>
                <w:sz w:val="15"/>
                <w:szCs w:val="15"/>
                <w:color w:val="auto"/>
                <w:w w:val="94"/>
              </w:rPr>
              <w:t>CCIV.U</w:t>
            </w:r>
          </w:p>
        </w:tc>
        <w:tc>
          <w:tcPr>
            <w:tcW w:w="2680" w:type="dxa"/>
            <w:vAlign w:val="bottom"/>
          </w:tcPr>
          <w:p>
            <w:pPr>
              <w:jc w:val="center"/>
              <w:spacing w:after="0"/>
              <w:rPr>
                <w:sz w:val="20"/>
                <w:szCs w:val="20"/>
                <w:color w:val="auto"/>
              </w:rPr>
            </w:pPr>
            <w:r>
              <w:rPr>
                <w:rFonts w:ascii="Arial" w:cs="Arial" w:eastAsia="Arial" w:hAnsi="Arial"/>
                <w:sz w:val="15"/>
                <w:szCs w:val="15"/>
                <w:color w:val="auto"/>
                <w:w w:val="92"/>
              </w:rPr>
              <w:t>New York Stock Exchange</w:t>
            </w:r>
          </w:p>
        </w:tc>
      </w:tr>
      <w:tr>
        <w:trPr>
          <w:trHeight w:val="191"/>
        </w:trPr>
        <w:tc>
          <w:tcPr>
            <w:tcW w:w="4800" w:type="dxa"/>
            <w:vAlign w:val="bottom"/>
            <w:gridSpan w:val="3"/>
          </w:tcPr>
          <w:p>
            <w:pPr>
              <w:jc w:val="center"/>
              <w:ind w:right="300"/>
              <w:spacing w:after="0"/>
              <w:rPr>
                <w:sz w:val="20"/>
                <w:szCs w:val="20"/>
                <w:color w:val="auto"/>
              </w:rPr>
            </w:pPr>
            <w:r>
              <w:rPr>
                <w:rFonts w:ascii="Arial" w:cs="Arial" w:eastAsia="Arial" w:hAnsi="Arial"/>
                <w:sz w:val="15"/>
                <w:szCs w:val="15"/>
                <w:color w:val="auto"/>
                <w:w w:val="92"/>
              </w:rPr>
              <w:t>value, and one-fifth of one warrant</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363"/>
        </w:trPr>
        <w:tc>
          <w:tcPr>
            <w:tcW w:w="4800" w:type="dxa"/>
            <w:vAlign w:val="bottom"/>
            <w:gridSpan w:val="3"/>
          </w:tcPr>
          <w:p>
            <w:pPr>
              <w:jc w:val="center"/>
              <w:ind w:right="300"/>
              <w:spacing w:after="0"/>
              <w:rPr>
                <w:sz w:val="20"/>
                <w:szCs w:val="20"/>
                <w:color w:val="auto"/>
              </w:rPr>
            </w:pPr>
            <w:r>
              <w:rPr>
                <w:rFonts w:ascii="Arial" w:cs="Arial" w:eastAsia="Arial" w:hAnsi="Arial"/>
                <w:sz w:val="15"/>
                <w:szCs w:val="15"/>
                <w:color w:val="auto"/>
                <w:w w:val="90"/>
              </w:rPr>
              <w:t>Shares of Class A common Stock</w:t>
            </w:r>
          </w:p>
        </w:tc>
        <w:tc>
          <w:tcPr>
            <w:tcW w:w="300" w:type="dxa"/>
            <w:vAlign w:val="bottom"/>
          </w:tcPr>
          <w:p>
            <w:pPr>
              <w:spacing w:after="0"/>
              <w:rPr>
                <w:sz w:val="24"/>
                <w:szCs w:val="24"/>
                <w:color w:val="auto"/>
              </w:rPr>
            </w:pPr>
          </w:p>
        </w:tc>
        <w:tc>
          <w:tcPr>
            <w:tcW w:w="2440" w:type="dxa"/>
            <w:vAlign w:val="bottom"/>
            <w:gridSpan w:val="2"/>
          </w:tcPr>
          <w:p>
            <w:pPr>
              <w:jc w:val="center"/>
              <w:ind w:right="1480"/>
              <w:spacing w:after="0"/>
              <w:rPr>
                <w:sz w:val="20"/>
                <w:szCs w:val="20"/>
                <w:color w:val="auto"/>
              </w:rPr>
            </w:pPr>
            <w:r>
              <w:rPr>
                <w:rFonts w:ascii="Arial" w:cs="Arial" w:eastAsia="Arial" w:hAnsi="Arial"/>
                <w:sz w:val="15"/>
                <w:szCs w:val="15"/>
                <w:color w:val="auto"/>
              </w:rPr>
              <w:t>CCIV</w:t>
            </w:r>
          </w:p>
        </w:tc>
        <w:tc>
          <w:tcPr>
            <w:tcW w:w="2680" w:type="dxa"/>
            <w:vAlign w:val="bottom"/>
          </w:tcPr>
          <w:p>
            <w:pPr>
              <w:jc w:val="center"/>
              <w:spacing w:after="0"/>
              <w:rPr>
                <w:sz w:val="20"/>
                <w:szCs w:val="20"/>
                <w:color w:val="auto"/>
              </w:rPr>
            </w:pPr>
            <w:r>
              <w:rPr>
                <w:rFonts w:ascii="Arial" w:cs="Arial" w:eastAsia="Arial" w:hAnsi="Arial"/>
                <w:sz w:val="15"/>
                <w:szCs w:val="15"/>
                <w:color w:val="auto"/>
                <w:w w:val="92"/>
              </w:rPr>
              <w:t>New York Stock Exchange</w:t>
            </w:r>
          </w:p>
        </w:tc>
      </w:tr>
      <w:tr>
        <w:trPr>
          <w:trHeight w:val="363"/>
        </w:trPr>
        <w:tc>
          <w:tcPr>
            <w:tcW w:w="1720" w:type="dxa"/>
            <w:vAlign w:val="bottom"/>
          </w:tcPr>
          <w:p>
            <w:pPr>
              <w:spacing w:after="0"/>
              <w:rPr>
                <w:sz w:val="24"/>
                <w:szCs w:val="24"/>
                <w:color w:val="auto"/>
              </w:rPr>
            </w:pPr>
          </w:p>
        </w:tc>
        <w:tc>
          <w:tcPr>
            <w:tcW w:w="3080" w:type="dxa"/>
            <w:vAlign w:val="bottom"/>
            <w:gridSpan w:val="2"/>
          </w:tcPr>
          <w:p>
            <w:pPr>
              <w:jc w:val="center"/>
              <w:ind w:right="2020"/>
              <w:spacing w:after="0"/>
              <w:rPr>
                <w:sz w:val="20"/>
                <w:szCs w:val="20"/>
                <w:color w:val="auto"/>
              </w:rPr>
            </w:pPr>
            <w:r>
              <w:rPr>
                <w:rFonts w:ascii="Arial" w:cs="Arial" w:eastAsia="Arial" w:hAnsi="Arial"/>
                <w:sz w:val="15"/>
                <w:szCs w:val="15"/>
                <w:color w:val="auto"/>
                <w:w w:val="88"/>
              </w:rPr>
              <w:t>Warrants</w:t>
            </w:r>
          </w:p>
        </w:tc>
        <w:tc>
          <w:tcPr>
            <w:tcW w:w="300" w:type="dxa"/>
            <w:vAlign w:val="bottom"/>
          </w:tcPr>
          <w:p>
            <w:pPr>
              <w:spacing w:after="0"/>
              <w:rPr>
                <w:sz w:val="24"/>
                <w:szCs w:val="24"/>
                <w:color w:val="auto"/>
              </w:rPr>
            </w:pPr>
          </w:p>
        </w:tc>
        <w:tc>
          <w:tcPr>
            <w:tcW w:w="2440" w:type="dxa"/>
            <w:vAlign w:val="bottom"/>
            <w:gridSpan w:val="2"/>
          </w:tcPr>
          <w:p>
            <w:pPr>
              <w:jc w:val="center"/>
              <w:ind w:right="1480"/>
              <w:spacing w:after="0"/>
              <w:rPr>
                <w:sz w:val="20"/>
                <w:szCs w:val="20"/>
                <w:color w:val="auto"/>
              </w:rPr>
            </w:pPr>
            <w:r>
              <w:rPr>
                <w:rFonts w:ascii="Arial" w:cs="Arial" w:eastAsia="Arial" w:hAnsi="Arial"/>
                <w:sz w:val="15"/>
                <w:szCs w:val="15"/>
                <w:color w:val="auto"/>
                <w:w w:val="99"/>
              </w:rPr>
              <w:t>CCIV WS</w:t>
            </w:r>
          </w:p>
        </w:tc>
        <w:tc>
          <w:tcPr>
            <w:tcW w:w="2680" w:type="dxa"/>
            <w:vAlign w:val="bottom"/>
          </w:tcPr>
          <w:p>
            <w:pPr>
              <w:jc w:val="center"/>
              <w:spacing w:after="0"/>
              <w:rPr>
                <w:sz w:val="20"/>
                <w:szCs w:val="20"/>
                <w:color w:val="auto"/>
              </w:rPr>
            </w:pPr>
            <w:r>
              <w:rPr>
                <w:rFonts w:ascii="Arial" w:cs="Arial" w:eastAsia="Arial" w:hAnsi="Arial"/>
                <w:sz w:val="15"/>
                <w:szCs w:val="15"/>
                <w:color w:val="auto"/>
                <w:w w:val="92"/>
              </w:rPr>
              <w:t>New York Stock Exchange</w:t>
            </w:r>
          </w:p>
        </w:tc>
      </w:tr>
    </w:tbl>
    <w:p>
      <w:pPr>
        <w:spacing w:after="0" w:line="173" w:lineRule="exact"/>
        <w:rPr>
          <w:sz w:val="24"/>
          <w:szCs w:val="24"/>
          <w:color w:val="auto"/>
        </w:rPr>
      </w:pPr>
    </w:p>
    <w:p>
      <w:pPr>
        <w:ind w:left="9" w:right="460"/>
        <w:spacing w:after="0" w:line="27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9"/>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21" w:lineRule="exact"/>
        <w:rPr>
          <w:sz w:val="24"/>
          <w:szCs w:val="24"/>
          <w:color w:val="auto"/>
        </w:rPr>
      </w:pPr>
    </w:p>
    <w:p>
      <w:pPr>
        <w:ind w:left="9" w:right="60"/>
        <w:spacing w:after="0" w:line="19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539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53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285750</wp:posOffset>
            </wp:positionV>
            <wp:extent cx="715391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420" w:right="319" w:bottom="1440" w:gutter="0" w:footer="0" w:header="0"/>
          <w:type w:val="continuous"/>
        </w:sectPr>
      </w:pPr>
    </w:p>
    <w:bookmarkStart w:id="1" w:name="page2"/>
    <w:bookmarkEnd w:id="1"/>
    <w:p>
      <w:pPr>
        <w:ind w:left="5"/>
        <w:spacing w:after="0"/>
        <w:tabs>
          <w:tab w:leader="none" w:pos="1085"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195" w:lineRule="exact"/>
        <w:rPr>
          <w:sz w:val="20"/>
          <w:szCs w:val="20"/>
          <w:color w:val="auto"/>
        </w:rPr>
      </w:pPr>
    </w:p>
    <w:p>
      <w:pPr>
        <w:ind w:left="5"/>
        <w:spacing w:after="0"/>
        <w:rPr>
          <w:sz w:val="20"/>
          <w:szCs w:val="20"/>
          <w:color w:val="auto"/>
        </w:rPr>
      </w:pPr>
      <w:r>
        <w:rPr>
          <w:rFonts w:ascii="Arial" w:cs="Arial" w:eastAsia="Arial" w:hAnsi="Arial"/>
          <w:sz w:val="15"/>
          <w:szCs w:val="15"/>
          <w:color w:val="auto"/>
        </w:rPr>
        <w:t>Attached as Exhibit 99.1 and incorporated by reference herein is information discussed by Atieva, Inc. d/b/a Lucid Motors at its analyst day on May 13, 2021.</w:t>
      </w:r>
    </w:p>
    <w:p>
      <w:pPr>
        <w:spacing w:after="0" w:line="191" w:lineRule="exact"/>
        <w:rPr>
          <w:sz w:val="20"/>
          <w:szCs w:val="20"/>
          <w:color w:val="auto"/>
        </w:rPr>
      </w:pPr>
    </w:p>
    <w:p>
      <w:pPr>
        <w:ind w:left="5"/>
        <w:spacing w:after="0" w:line="261" w:lineRule="auto"/>
        <w:rPr>
          <w:sz w:val="20"/>
          <w:szCs w:val="20"/>
          <w:color w:val="auto"/>
        </w:rPr>
      </w:pPr>
      <w:r>
        <w:rPr>
          <w:rFonts w:ascii="Arial" w:cs="Arial" w:eastAsia="Arial" w:hAnsi="Arial"/>
          <w:sz w:val="15"/>
          <w:szCs w:val="15"/>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Churchill Capital Corp IV under the Securities Act of 1933, as amended or the Exchange Act, regardless of any general incorporation language in such filings. This Current Report will not be deemed an admission as to the materiality of any information of the information in this Item 7.01, including Exhibit 99.1.</w:t>
      </w:r>
    </w:p>
    <w:p>
      <w:pPr>
        <w:spacing w:after="0" w:line="154" w:lineRule="exact"/>
        <w:rPr>
          <w:sz w:val="20"/>
          <w:szCs w:val="20"/>
          <w:color w:val="auto"/>
        </w:rPr>
      </w:pPr>
    </w:p>
    <w:p>
      <w:pPr>
        <w:ind w:left="5"/>
        <w:spacing w:after="0"/>
        <w:tabs>
          <w:tab w:leader="none" w:pos="1085"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191" w:lineRule="exact"/>
        <w:rPr>
          <w:sz w:val="20"/>
          <w:szCs w:val="20"/>
          <w:color w:val="auto"/>
        </w:rPr>
      </w:pPr>
    </w:p>
    <w:p>
      <w:pPr>
        <w:ind w:left="545" w:hanging="545"/>
        <w:spacing w:after="0"/>
        <w:tabs>
          <w:tab w:leader="none" w:pos="545"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Exhibits.</w:t>
      </w:r>
    </w:p>
    <w:p>
      <w:pPr>
        <w:spacing w:after="0" w:line="194" w:lineRule="exact"/>
        <w:rPr>
          <w:rFonts w:ascii="Arial" w:cs="Arial" w:eastAsia="Arial" w:hAnsi="Arial"/>
          <w:sz w:val="15"/>
          <w:szCs w:val="15"/>
          <w:b w:val="1"/>
          <w:bCs w:val="1"/>
          <w:color w:val="auto"/>
        </w:rPr>
      </w:pPr>
    </w:p>
    <w:p>
      <w:pPr>
        <w:ind w:left="545"/>
        <w:spacing w:after="0"/>
        <w:rPr>
          <w:rFonts w:ascii="Arial" w:cs="Arial" w:eastAsia="Arial" w:hAnsi="Arial"/>
          <w:sz w:val="15"/>
          <w:szCs w:val="15"/>
          <w:b w:val="1"/>
          <w:bCs w:val="1"/>
          <w:color w:val="auto"/>
        </w:rPr>
      </w:pPr>
      <w:r>
        <w:rPr>
          <w:rFonts w:ascii="Arial" w:cs="Arial" w:eastAsia="Arial" w:hAnsi="Arial"/>
          <w:sz w:val="15"/>
          <w:szCs w:val="15"/>
          <w:color w:val="auto"/>
        </w:rPr>
        <w:t>The Exhibit Index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380365</wp:posOffset>
            </wp:positionV>
            <wp:extent cx="715391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5"/>
          </w:cols>
          <w:pgMar w:left="315" w:top="613"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5"/>
          <w:szCs w:val="15"/>
          <w:b w:val="1"/>
          <w:bCs w:val="1"/>
          <w:color w:val="auto"/>
        </w:rPr>
        <w:t>EXHIBIT INDEX</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60" w:type="dxa"/>
            <w:vAlign w:val="bottom"/>
            <w:gridSpan w:val="2"/>
          </w:tcPr>
          <w:p>
            <w:pPr>
              <w:spacing w:after="0"/>
              <w:rPr>
                <w:sz w:val="20"/>
                <w:szCs w:val="20"/>
                <w:color w:val="auto"/>
              </w:rPr>
            </w:pPr>
            <w:r>
              <w:rPr>
                <w:rFonts w:ascii="Arial" w:cs="Arial" w:eastAsia="Arial" w:hAnsi="Arial"/>
                <w:sz w:val="15"/>
                <w:szCs w:val="15"/>
                <w:b w:val="1"/>
                <w:bCs w:val="1"/>
                <w:color w:val="auto"/>
              </w:rPr>
              <w:t>Exhibit No.</w:t>
            </w:r>
          </w:p>
        </w:tc>
        <w:tc>
          <w:tcPr>
            <w:tcW w:w="9900" w:type="dxa"/>
            <w:vAlign w:val="bottom"/>
          </w:tcPr>
          <w:p>
            <w:pPr>
              <w:spacing w:after="0"/>
              <w:rPr>
                <w:sz w:val="20"/>
                <w:szCs w:val="20"/>
                <w:color w:val="auto"/>
              </w:rPr>
            </w:pPr>
            <w:r>
              <w:rPr>
                <w:rFonts w:ascii="Arial" w:cs="Arial" w:eastAsia="Arial" w:hAnsi="Arial"/>
                <w:sz w:val="15"/>
                <w:szCs w:val="15"/>
                <w:b w:val="1"/>
                <w:bCs w:val="1"/>
                <w:color w:val="auto"/>
              </w:rPr>
              <w:t>Description</w:t>
            </w:r>
          </w:p>
        </w:tc>
      </w:tr>
      <w:tr>
        <w:trPr>
          <w:trHeight w:val="183"/>
        </w:trPr>
        <w:tc>
          <w:tcPr>
            <w:tcW w:w="11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99.1</w:t>
            </w:r>
          </w:p>
        </w:tc>
        <w:tc>
          <w:tcPr>
            <w:tcW w:w="240" w:type="dxa"/>
            <w:vAlign w:val="bottom"/>
          </w:tcPr>
          <w:p>
            <w:pPr>
              <w:spacing w:after="0"/>
              <w:rPr>
                <w:sz w:val="15"/>
                <w:szCs w:val="15"/>
                <w:color w:val="auto"/>
              </w:rPr>
            </w:pPr>
          </w:p>
        </w:tc>
        <w:tc>
          <w:tcPr>
            <w:tcW w:w="99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Analyst Day Information.</w:t>
            </w:r>
          </w:p>
        </w:tc>
      </w:tr>
      <w:tr>
        <w:trPr>
          <w:trHeight w:val="559"/>
        </w:trPr>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4" w:right="31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5"/>
          <w:szCs w:val="15"/>
          <w:b w:val="1"/>
          <w:bCs w:val="1"/>
          <w:color w:val="auto"/>
        </w:rPr>
        <w:t>SIGNATURE</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14" w:lineRule="exact"/>
        <w:rPr>
          <w:sz w:val="20"/>
          <w:szCs w:val="20"/>
          <w:color w:val="auto"/>
        </w:rPr>
      </w:pPr>
    </w:p>
    <w:p>
      <w:pPr>
        <w:ind w:left="6760"/>
        <w:spacing w:after="0"/>
        <w:rPr>
          <w:sz w:val="20"/>
          <w:szCs w:val="20"/>
          <w:color w:val="auto"/>
        </w:rPr>
      </w:pPr>
      <w:r>
        <w:rPr>
          <w:rFonts w:ascii="Arial" w:cs="Arial" w:eastAsia="Arial" w:hAnsi="Arial"/>
          <w:sz w:val="15"/>
          <w:szCs w:val="15"/>
          <w:color w:val="auto"/>
        </w:rPr>
        <w:t>Churchill Capital Corp IV</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Dated: May 13, 2021</w:t>
      </w:r>
    </w:p>
    <w:p>
      <w:pPr>
        <w:spacing w:after="0" w:line="9" w:lineRule="exact"/>
        <w:rPr>
          <w:sz w:val="20"/>
          <w:szCs w:val="20"/>
          <w:color w:val="auto"/>
        </w:rPr>
      </w:pPr>
    </w:p>
    <w:p>
      <w:pPr>
        <w:ind w:left="6760"/>
        <w:spacing w:after="0"/>
        <w:tabs>
          <w:tab w:leader="none" w:pos="71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4501515</wp:posOffset>
            </wp:positionH>
            <wp:positionV relativeFrom="paragraph">
              <wp:posOffset>6985</wp:posOffset>
            </wp:positionV>
            <wp:extent cx="264668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46680" cy="698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5"/>
          <w:szCs w:val="15"/>
          <w:color w:val="auto"/>
        </w:rPr>
        <w:t>Name: Jay Taragin</w:t>
      </w:r>
    </w:p>
    <w:p>
      <w:pPr>
        <w:spacing w:after="0" w:line="18" w:lineRule="exact"/>
        <w:rPr>
          <w:sz w:val="20"/>
          <w:szCs w:val="20"/>
          <w:color w:val="auto"/>
        </w:rPr>
      </w:pPr>
    </w:p>
    <w:p>
      <w:pPr>
        <w:ind w:left="7100"/>
        <w:spacing w:after="0"/>
        <w:rPr>
          <w:sz w:val="20"/>
          <w:szCs w:val="20"/>
          <w:color w:val="auto"/>
        </w:rPr>
      </w:pPr>
      <w:r>
        <w:rPr>
          <w:rFonts w:ascii="Arial" w:cs="Arial" w:eastAsia="Arial" w:hAnsi="Arial"/>
          <w:sz w:val="15"/>
          <w:szCs w:val="15"/>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5391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060"/>
          </w:cols>
          <w:pgMar w:left="320" w:top="784" w:right="519" w:bottom="1440" w:gutter="0" w:footer="0" w:header="0"/>
        </w:sectPr>
      </w:pPr>
    </w:p>
    <w:bookmarkStart w:id="4" w:name="page5"/>
    <w:bookmarkEnd w:id="4"/>
    <w:p>
      <w:pPr>
        <w:ind w:left="920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157480</wp:posOffset>
            </wp:positionV>
            <wp:extent cx="7206615" cy="4312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0" w:num="1">
            <w:col w:w="10140"/>
          </w:cols>
          <w:pgMar w:left="1440" w:top="798"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34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6615" cy="4334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26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6615" cy="4326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26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6615" cy="4326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406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6615" cy="4406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276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6615" cy="427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48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6615" cy="4348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2906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661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41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6615" cy="4341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2906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661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26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6615" cy="4326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34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6615" cy="4334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391795</wp:posOffset>
            </wp:positionV>
            <wp:extent cx="7206615" cy="43129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6615" cy="43129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2021-05-13T15:37:02Z</dcterms:created>
  <dcterms:modified xsi:type="dcterms:W3CDTF">2021-05-13T15:37:02Z</dcterms:modified>
</cp:coreProperties>
</file>