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25,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25, 2025, Lucid Group, Inc.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registered for resale up to (i) 100,000 shares of the Company’s Series A Convertible Preferred Stock, par value $0.0001 per share (the “</w:t>
      </w:r>
      <w:r>
        <w:rPr>
          <w:rFonts w:ascii="Times New Roman" w:cs="Times New Roman" w:eastAsia="Times New Roman" w:hAnsi="Times New Roman"/>
          <w:sz w:val="18"/>
          <w:szCs w:val="18"/>
          <w:b w:val="1"/>
          <w:bCs w:val="1"/>
          <w:i w:val="1"/>
          <w:iCs w:val="1"/>
          <w:color w:val="auto"/>
        </w:rPr>
        <w:t>Series A Convertible Preferred Stock</w:t>
      </w:r>
      <w:r>
        <w:rPr>
          <w:rFonts w:ascii="Times New Roman" w:cs="Times New Roman" w:eastAsia="Times New Roman" w:hAnsi="Times New Roman"/>
          <w:sz w:val="18"/>
          <w:szCs w:val="18"/>
          <w:color w:val="auto"/>
        </w:rPr>
        <w:t>”), (ii) 297,567,387 shares of the Company’s Class A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which may be issued upon conversion of the Series A Convertible Preferred Stock as of December 31, 2024, (iii) 75,000 shares of the Company’s Series B Convertible Preferred Stock, par value $0.0001 per share (the “</w:t>
      </w:r>
      <w:r>
        <w:rPr>
          <w:rFonts w:ascii="Times New Roman" w:cs="Times New Roman" w:eastAsia="Times New Roman" w:hAnsi="Times New Roman"/>
          <w:sz w:val="18"/>
          <w:szCs w:val="18"/>
          <w:b w:val="1"/>
          <w:bCs w:val="1"/>
          <w:i w:val="1"/>
          <w:iCs w:val="1"/>
          <w:color w:val="auto"/>
        </w:rPr>
        <w:t>Series B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(iv) 177,103,144 shares of Common Stock, which may be issued upon conversion of the Series B Convertible Preferred Stock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and (v) 396,188,386 shares of Common Stock, pursuant to a registration statement and a related prospectus supplement filed by the Company with the Securities and Exchange Commission.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filing a copy of the legal opinion and consent of Skadden, Arps, Slate, Meagher &amp; Flom LLP as Exhibit 5.1 to this Current Report on Form 8-K to add such exhibit to the Company’s Registration Statement on Form S-3ASR (File No. 333-282677).</w:t>
      </w:r>
    </w:p>
    <w:p>
      <w:pPr>
        <w:spacing w:after="0" w:line="15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20"/>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3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Opinion of Skadden, Arps, Slate, Meagher &amp; Flom LLP.</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Consent of Skadden, Arps, Slate, Meagher &amp; Flom LLP (included in Exhibit 5.1).</w:t>
            </w:r>
          </w:p>
        </w:tc>
      </w:tr>
      <w:tr>
        <w:trPr>
          <w:trHeight w:val="237"/>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0"/>
                <w:szCs w:val="20"/>
                <w:color w:val="auto"/>
              </w:rPr>
            </w:pPr>
          </w:p>
        </w:tc>
        <w:tc>
          <w:tcPr>
            <w:tcW w:w="59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440" w:type="dxa"/>
            <w:vAlign w:val="bottom"/>
          </w:tcPr>
          <w:p>
            <w:pPr>
              <w:spacing w:after="0"/>
              <w:rPr>
                <w:sz w:val="20"/>
                <w:szCs w:val="20"/>
                <w:color w:val="auto"/>
              </w:rPr>
            </w:pPr>
          </w:p>
        </w:tc>
      </w:tr>
      <w:tr>
        <w:trPr>
          <w:trHeight w:val="432"/>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8"/>
          <w:szCs w:val="18"/>
          <w:color w:val="auto"/>
        </w:rPr>
        <w:t>Dated: February 25, 2025</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tbl>
      <w:tblPr>
        <w:tblLayout w:type="fixed"/>
        <w:tblInd w:w="406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98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420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tc>
        <w:tc>
          <w:tcPr>
            <w:tcW w:w="2980" w:type="dxa"/>
            <w:vAlign w:val="bottom"/>
          </w:tcPr>
          <w:p>
            <w:pPr>
              <w:spacing w:after="0"/>
              <w:rPr>
                <w:sz w:val="24"/>
                <w:szCs w:val="24"/>
                <w:color w:val="auto"/>
              </w:rPr>
            </w:pPr>
          </w:p>
        </w:tc>
      </w:tr>
      <w:tr>
        <w:trPr>
          <w:trHeight w:val="216"/>
        </w:trPr>
        <w:tc>
          <w:tcPr>
            <w:tcW w:w="42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525 UNIVERSITY AVENUE</w:t>
            </w:r>
          </w:p>
        </w:tc>
        <w:tc>
          <w:tcPr>
            <w:tcW w:w="2980" w:type="dxa"/>
            <w:vAlign w:val="bottom"/>
          </w:tcPr>
          <w:p>
            <w:pPr>
              <w:spacing w:after="0"/>
              <w:rPr>
                <w:sz w:val="18"/>
                <w:szCs w:val="18"/>
                <w:color w:val="auto"/>
              </w:rPr>
            </w:pPr>
          </w:p>
        </w:tc>
      </w:tr>
      <w:tr>
        <w:trPr>
          <w:trHeight w:val="216"/>
        </w:trPr>
        <w:tc>
          <w:tcPr>
            <w:tcW w:w="4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PALO ALTO, CALIFORNIA 94301</w:t>
            </w:r>
          </w:p>
        </w:tc>
        <w:tc>
          <w:tcPr>
            <w:tcW w:w="29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FIRM/AFFILIATE</w:t>
            </w:r>
          </w:p>
        </w:tc>
      </w:tr>
      <w:tr>
        <w:trPr>
          <w:trHeight w:val="216"/>
        </w:trPr>
        <w:tc>
          <w:tcPr>
            <w:tcW w:w="420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OFFICES</w:t>
            </w:r>
          </w:p>
        </w:tc>
      </w:tr>
      <w:tr>
        <w:trPr>
          <w:trHeight w:val="216"/>
        </w:trPr>
        <w:tc>
          <w:tcPr>
            <w:tcW w:w="420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TEL: (650) 470-4500</w:t>
            </w:r>
          </w:p>
        </w:tc>
        <w:tc>
          <w:tcPr>
            <w:tcW w:w="29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8"/>
              </w:rPr>
              <w:t>FAX: (650) 470-4570</w:t>
            </w: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BOSTON</w:t>
            </w:r>
          </w:p>
        </w:tc>
      </w:tr>
      <w:tr>
        <w:trPr>
          <w:trHeight w:val="216"/>
        </w:trPr>
        <w:tc>
          <w:tcPr>
            <w:tcW w:w="420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8"/>
              </w:rPr>
              <w:t>www.skadden.com</w:t>
            </w:r>
          </w:p>
        </w:tc>
        <w:tc>
          <w:tcPr>
            <w:tcW w:w="29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CHICAGO</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7"/>
              </w:rPr>
              <w:t>HOUSTON</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LOS ANGELES</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6"/>
              </w:rPr>
              <w:t>PALO ALTO</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WASHINGTON, D.C.</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WILMINGTON</w:t>
            </w:r>
          </w:p>
        </w:tc>
      </w:tr>
      <w:tr>
        <w:trPr>
          <w:trHeight w:val="216"/>
        </w:trPr>
        <w:tc>
          <w:tcPr>
            <w:tcW w:w="4200" w:type="dxa"/>
            <w:vAlign w:val="bottom"/>
          </w:tcPr>
          <w:p>
            <w:pPr>
              <w:spacing w:after="0"/>
              <w:rPr>
                <w:sz w:val="18"/>
                <w:szCs w:val="18"/>
                <w:color w:val="auto"/>
              </w:rPr>
            </w:pPr>
          </w:p>
        </w:tc>
        <w:tc>
          <w:tcPr>
            <w:tcW w:w="2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ABU DHABI</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BEIJING</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BRUSSELS</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7"/>
              </w:rPr>
              <w:t>FRANKFURT</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LONDON</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MUNICH</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3"/>
              </w:rPr>
              <w:t>PARIS</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SÃO PAULO</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4200" w:type="dxa"/>
            <w:vAlign w:val="bottom"/>
          </w:tcPr>
          <w:p>
            <w:pPr>
              <w:spacing w:after="0"/>
              <w:rPr>
                <w:sz w:val="18"/>
                <w:szCs w:val="18"/>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4200" w:type="dxa"/>
            <w:vAlign w:val="bottom"/>
          </w:tcPr>
          <w:p>
            <w:pPr>
              <w:spacing w:after="0"/>
              <w:rPr>
                <w:sz w:val="20"/>
                <w:szCs w:val="20"/>
                <w:color w:val="auto"/>
              </w:rPr>
            </w:pPr>
          </w:p>
        </w:tc>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7"/>
              </w:rPr>
              <w:t>TORONTO</w:t>
            </w:r>
          </w:p>
        </w:tc>
      </w:tr>
      <w:tr>
        <w:trPr>
          <w:trHeight w:val="432"/>
        </w:trPr>
        <w:tc>
          <w:tcPr>
            <w:tcW w:w="42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29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California 94560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Re:</w:t>
            </w: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Lucid Group, Inc.</w:t>
            </w:r>
          </w:p>
        </w:tc>
      </w:tr>
      <w:tr>
        <w:trPr>
          <w:trHeight w:val="194"/>
        </w:trPr>
        <w:tc>
          <w:tcPr>
            <w:tcW w:w="1960" w:type="dxa"/>
            <w:vAlign w:val="bottom"/>
          </w:tcPr>
          <w:p>
            <w:pPr>
              <w:spacing w:after="0"/>
              <w:rPr>
                <w:sz w:val="16"/>
                <w:szCs w:val="16"/>
                <w:color w:val="auto"/>
              </w:rPr>
            </w:pPr>
          </w:p>
        </w:tc>
        <w:tc>
          <w:tcPr>
            <w:tcW w:w="29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Registration Statement on Form S-3ASR</w:t>
            </w:r>
          </w:p>
        </w:tc>
      </w:tr>
      <w:tr>
        <w:trPr>
          <w:trHeight w:val="45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2940" w:type="dxa"/>
            <w:vAlign w:val="bottom"/>
          </w:tcPr>
          <w:p>
            <w:pPr>
              <w:spacing w:after="0"/>
              <w:rPr>
                <w:sz w:val="24"/>
                <w:szCs w:val="24"/>
                <w:color w:val="auto"/>
              </w:rPr>
            </w:pPr>
          </w:p>
        </w:tc>
      </w:tr>
    </w:tbl>
    <w:p>
      <w:pPr>
        <w:spacing w:after="0" w:line="198"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We have acted as special United States counsel to Lucid Group, Inc., a Delaware corporation (the “Company”), in connection with the resale by the selling stockholder identified in Schedule A hereto (the “Selling Stockholder”) of up to (i) 100,000 shares of the Company’s Series A Convertible Preferred Stock, par value $0.0001 per share (the “Series A Convertible Preferred Stock”), (ii) 297,567,387 shares of the Company’s Class A Common Stock (the “Series A Conversion Shares”), par value $0.0001 per share (“Common Stock”), which may be issued upon conversion of the Series A Convertible Preferred Stock as of December 31, 2024, (iii) 75,000 shares of the Company’s Series B Convertible Preferred Stock, par value $0.0001 per share (the “Series B Convertible Preferred Stock”, and together with the Series A Convertible Preferred Stock, the “Convertible Preferred Stock”),</w:t>
      </w:r>
    </w:p>
    <w:p>
      <w:pPr>
        <w:spacing w:after="0" w:line="5" w:lineRule="exact"/>
        <w:rPr>
          <w:sz w:val="20"/>
          <w:szCs w:val="20"/>
          <w:color w:val="auto"/>
        </w:rPr>
      </w:pPr>
    </w:p>
    <w:p>
      <w:pPr>
        <w:ind w:right="200" w:firstLine="8"/>
        <w:spacing w:after="0" w:line="251"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177,103,144 shares of Common Stock, which may be issued upon conversion of the Series B Convertible Preferred Stock as of December 31, 2024 (the “Series B Conversion Shares”, and together with the Series A Conversion Shares, the “Conversion Shares”), and (v) 396,188,386 shares of Common Stock (the “Secondary Shares”). We have been advised that (i) the Series A Convertible Preferred Stock was issued pursuant to a subscription agreement (the “Series A Subscription Agreement”), dated as of March 24, 2024, between the Company and Ayar Third Investment Company (“Ayar”), (ii) the Series B Convertible Preferred Stock was issued pursuant to a subscription agreement, dated as of August 4, 2024, between the Company and Ayar (the “Series B Subscription Agreement”), and (iii) the Secondary Shares were issued pursuant to a subscription agreement, dated as of October 16, 2024, between the Company and Ayar (the “Secondary Shares Subscription Agreement”, and together with the Series A Subscription Agreement and Series B Subscription Agreement, the “Subscription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 of 1933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registration statement on Form S-3ASR (File No. 333-282677) of the Company relating to Common Stock, preferred stock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securities of the Company filed on October 16, 2024 with the Securities and Exchange Commission (the “Commission”)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allowing for delayed offerings pursuant to Rule 415 of the General Rules and Regulations under the Securities Act (the “Rules and Regulations”), including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deemed to be a part of the registration statement pursuant to Rule 430B of the Rules and Regulations (such registration statement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referred to as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prospectus, dated October 16, 2024 (the “Base Prospectus”), which forms a part of and is included in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 prospectus supplement, dated February 25, 2025 (together with the Base Prospectus, the “Prospectus”), relating to the offering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Convertible Preferred Stock, the Secondary Shares and the Conversion Shares, in the form filed with the Commission pursuant to Rule 424(b)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executed copies of the Subscription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 executed copy of a certificate of Brian Tomkiel, General Counsel, Corporate Secretary, and Compliance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dated the date hereof (the “Secretary’s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a copy of the Company’s Third Amended and Restated Certificate of Incorporation, as in effect on December 28, 2023, certified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Secretary of State of the State of Delaware as of February 25, 2025, and certified pursuant to the Secretary’s Certificate (the “Amended and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60" w:firstLine="1296"/>
        <w:spacing w:after="0" w:line="260" w:lineRule="auto"/>
        <w:rPr>
          <w:sz w:val="20"/>
          <w:szCs w:val="20"/>
          <w:color w:val="auto"/>
        </w:rPr>
      </w:pPr>
      <w:r>
        <w:rPr>
          <w:rFonts w:ascii="Times New Roman" w:cs="Times New Roman" w:eastAsia="Times New Roman" w:hAnsi="Times New Roman"/>
          <w:sz w:val="18"/>
          <w:szCs w:val="18"/>
          <w:color w:val="auto"/>
        </w:rPr>
        <w:t>(g)            a copy of the Company’s Second Amended and Restated Bylaws, as amended and in effect on December 28, 2023 and as of the date hereof, and certified pursuant to the Secretary’s Certificate (the “Bylaws”);  </w:t>
      </w:r>
    </w:p>
    <w:p>
      <w:pPr>
        <w:spacing w:after="0" w:line="200"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18"/>
          <w:szCs w:val="18"/>
          <w:color w:val="auto"/>
        </w:rPr>
        <w:t>(h)            copies of the Company’s certificate of designations of the Series A Convertible Preferred Stock (the “Series A Certificate of Designations”) and the Company’s certificate of designations of the Series B Convertible Preferred Stock (the “Series B Certificate of Designations”, and together with the Series A Certificate of Designations, the “Certificates of Designations”), certified by the Secretary of State of the State of Delaware as of February 25, 2025 and February 25, 2025, respectively, and certified pursuant to the Secretary’s Certificate; and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copies of certain resolutions of the Board of Directors of the Company, adopted on December 28, 2023 and October 15,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resolutions of the Special Pricing Subcommittee of the Pricing Committee thereof, adopted on March 23, 2024, July 30, 2024 and October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certain resolutions of the Audit Committee thereof, adopted on March 23, 2024, August 2, 2024 and October 11, 2024, certified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the Selling Stockholder and others, and such other documents as we have deemed necessary or appropriate as a basis for the opinions stated below, including the facts and conclusions set forth in the Secretary’s Certificate and the factual representations and warranties contained in the Subscription Agreements.  </w:t>
      </w:r>
    </w:p>
    <w:p>
      <w:pPr>
        <w:spacing w:after="0" w:line="207"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With respect to our opinion set forth in paragraph 1 below, we have assumed that (i) the Company received the consideration for the Convertible Preferred Stock and the Secondary Shares set forth in the applicable Subscription Agreements and board resolutions and (ii) each issuance of the Convertible Preferred Stock and the Secondary Shares has been registered in the Company’s share registry. As to any facts relevant to the opinions stated herein that we did not independently establish or verify, we have relied upon statements and representations of officers and other representatives of the Company and the Selling Stockholder and others and of public officials, including the facts and conclusions set forth in the Amended and Restated Certificate of Incorporation and the Secretary’s Certificate and the factual representations and warranties set forth in the Subscription Agreements.  </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General Corporation Law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herein, “Organizational Documents” means those documents listed in paragraphs (f) through (h)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00" w:firstLine="648"/>
        <w:spacing w:after="0" w:line="260" w:lineRule="auto"/>
        <w:rPr>
          <w:sz w:val="20"/>
          <w:szCs w:val="20"/>
          <w:color w:val="auto"/>
        </w:rPr>
      </w:pPr>
      <w:r>
        <w:rPr>
          <w:rFonts w:ascii="Times New Roman" w:cs="Times New Roman" w:eastAsia="Times New Roman" w:hAnsi="Times New Roman"/>
          <w:sz w:val="18"/>
          <w:szCs w:val="18"/>
          <w:color w:val="auto"/>
        </w:rPr>
        <w:t>1.            The Convertible Preferred Stock and the Secondary Shares have been duly authorized by all requisite corporate action on the part of the Company under the DGCL and have been validly issued and are fully paid and nonassessable.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            The Conversion Shares have been duly authorized by all requisite corporate action on the part of the Company under the DGCL and upon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the Convertible Preferred Stock into Conversion Shares in accordance with the terms of the applicable Certificate of Designations,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validly issued, fully paid and nonassessable.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addition, in rendering the foregoing opinions we have assumed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(a)          the Company’s issuance of the Conversion Shares does not and will not and the Company’s issuance of the Convertible Preferred Stock and the Secondary Shares did not (i) except to the extent expressly stated in the opinions contained herein, violate any statute to which the Company or such issuance is subject, or (ii) constitute a violation of, or a breach under, or require the consent or approval of any other person under, any agreement or instrument binding on the Company (except that we do not and will not make this assumption with respect to the Organizational Documents or those agreements or instruments expressed to be governed by the laws of the State of New York which are listed in Part II of the Registration Statement or the Company’s Annual Report on Form 10-K for the year ended December 31, 2024, although we have assumed compliance with any covenant, restriction or provision with respect to financial ratios or tests or any aspect of the financial condition or results of operations of the Company contained in such agreements or instruments), and we have further assumed that the Company will continue to have sufficient authorized shares of Common Stock; and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Company’s authorized capital stock is as set forth in the Amended and Restated Certificate of Incorporation and the Certificates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Designations, and we have relied solely on the certified copies thereof issued by the Secretary of State of the State of Delaware and have not made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inquiries or investigations.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opinion letter shall be interpreted in accordance with customary practice of United States lawyers who regularly give opinions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of this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“Validity Of The Securities” in the Prospectus forming part of the Registration Statement. We also hereby consent to the filing of this opinion letter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ectPr>
          <w:pgSz w:w="11900" w:h="16838" w:orient="portrait"/>
          <w:cols w:equalWidth="0" w:num="1">
            <w:col w:w="11140"/>
          </w:cols>
          <w:pgMar w:left="320" w:top="220" w:right="439"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Skadden, Arps, Slate, Meagher &amp; Flom LLP</w:t>
      </w:r>
    </w:p>
    <w:p>
      <w:pPr>
        <w:spacing w:after="0" w:line="857" w:lineRule="exact"/>
        <w:rPr>
          <w:sz w:val="20"/>
          <w:szCs w:val="20"/>
          <w:color w:val="auto"/>
        </w:rPr>
      </w:pPr>
    </w:p>
    <w:p>
      <w:pPr>
        <w:sectPr>
          <w:pgSz w:w="11900" w:h="16838" w:orient="portrait"/>
          <w:cols w:equalWidth="0" w:num="2">
            <w:col w:w="4900" w:space="720"/>
            <w:col w:w="5520"/>
          </w:cols>
          <w:pgMar w:left="320" w:top="22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Schedule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Ayar Third Investment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sectPr>
      <w:pgSz w:w="11900" w:h="16838" w:orient="portrait"/>
      <w:cols w:equalWidth="0" w:num="1">
        <w:col w:w="10139"/>
      </w:cols>
      <w:pgMar w:left="320" w:top="2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2025-02-25T17:21:40Z</dcterms:created>
  <dcterms:modified xsi:type="dcterms:W3CDTF">2025-02-25T17:21:40Z</dcterms:modified>
</cp:coreProperties>
</file>