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Acctng &amp; Internal Ctrl*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417,153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729,068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701,197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("RSU") vest over four years, with 1/8th vesting on the grant date and the remainder of the RSUs to vest 1/16th quarterly on each March 5, June 5, September 5, and December 5 annually thereafter, subject to the reporting person's continued service through each applicable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the RSUs reported on this Form 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 Mr. Dhingra also serves as Interim Chief Financial Officer and Principal Financial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Horwood,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4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2024-09-17T16:50:15Z</dcterms:created>
  <dcterms:modified xsi:type="dcterms:W3CDTF">2024-09-17T16:50:15Z</dcterms:modified>
</cp:coreProperties>
</file>