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5, 2022</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Lucid Group,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78"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3740" w:type="dxa"/>
            <w:vAlign w:val="bottom"/>
          </w:tcPr>
          <w:p>
            <w:pPr>
              <w:jc w:val="center"/>
              <w:ind w:right="710"/>
              <w:spacing w:after="0"/>
              <w:rPr>
                <w:sz w:val="20"/>
                <w:szCs w:val="20"/>
                <w:color w:val="auto"/>
              </w:rPr>
            </w:pPr>
            <w:r>
              <w:rPr>
                <w:rFonts w:ascii="Arial" w:cs="Arial" w:eastAsia="Arial" w:hAnsi="Arial"/>
                <w:sz w:val="18"/>
                <w:szCs w:val="18"/>
                <w:b w:val="1"/>
                <w:bCs w:val="1"/>
                <w:color w:val="auto"/>
                <w:w w:val="93"/>
              </w:rPr>
              <w:t>Delaware</w:t>
            </w:r>
          </w:p>
        </w:tc>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3540" w:type="dxa"/>
            <w:vAlign w:val="bottom"/>
          </w:tcPr>
          <w:p>
            <w:pPr>
              <w:jc w:val="right"/>
              <w:ind w:right="790"/>
              <w:spacing w:after="0"/>
              <w:rPr>
                <w:sz w:val="20"/>
                <w:szCs w:val="20"/>
                <w:color w:val="auto"/>
              </w:rPr>
            </w:pPr>
            <w:r>
              <w:rPr>
                <w:rFonts w:ascii="Arial" w:cs="Arial" w:eastAsia="Arial" w:hAnsi="Arial"/>
                <w:sz w:val="18"/>
                <w:szCs w:val="18"/>
                <w:b w:val="1"/>
                <w:bCs w:val="1"/>
                <w:color w:val="auto"/>
              </w:rPr>
              <w:t>85-0891392</w:t>
            </w:r>
          </w:p>
        </w:tc>
      </w:tr>
      <w:tr>
        <w:trPr>
          <w:trHeight w:val="256"/>
        </w:trPr>
        <w:tc>
          <w:tcPr>
            <w:tcW w:w="3740" w:type="dxa"/>
            <w:vAlign w:val="bottom"/>
          </w:tcPr>
          <w:p>
            <w:pPr>
              <w:jc w:val="center"/>
              <w:ind w:right="750"/>
              <w:spacing w:after="0"/>
              <w:rPr>
                <w:sz w:val="20"/>
                <w:szCs w:val="20"/>
                <w:color w:val="auto"/>
              </w:rPr>
            </w:pPr>
            <w:r>
              <w:rPr>
                <w:rFonts w:ascii="Arial" w:cs="Arial" w:eastAsia="Arial" w:hAnsi="Arial"/>
                <w:sz w:val="18"/>
                <w:szCs w:val="18"/>
                <w:color w:val="auto"/>
                <w:w w:val="93"/>
              </w:rPr>
              <w:t>(State or other jurisdiction of</w:t>
            </w:r>
          </w:p>
        </w:tc>
        <w:tc>
          <w:tcPr>
            <w:tcW w:w="300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w:t>
            </w:r>
          </w:p>
        </w:tc>
        <w:tc>
          <w:tcPr>
            <w:tcW w:w="3540" w:type="dxa"/>
            <w:vAlign w:val="bottom"/>
          </w:tcPr>
          <w:p>
            <w:pPr>
              <w:jc w:val="center"/>
              <w:ind w:left="8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710"/>
              <w:spacing w:after="0"/>
              <w:rPr>
                <w:sz w:val="20"/>
                <w:szCs w:val="20"/>
                <w:color w:val="auto"/>
              </w:rPr>
            </w:pPr>
            <w:r>
              <w:rPr>
                <w:rFonts w:ascii="Arial" w:cs="Arial" w:eastAsia="Arial" w:hAnsi="Arial"/>
                <w:sz w:val="18"/>
                <w:szCs w:val="18"/>
                <w:color w:val="auto"/>
                <w:w w:val="93"/>
              </w:rPr>
              <w:t>incorporation or organization)</w:t>
            </w:r>
          </w:p>
        </w:tc>
        <w:tc>
          <w:tcPr>
            <w:tcW w:w="3000" w:type="dxa"/>
            <w:vAlign w:val="bottom"/>
          </w:tcPr>
          <w:p>
            <w:pPr>
              <w:jc w:val="center"/>
              <w:spacing w:after="0"/>
              <w:rPr>
                <w:sz w:val="20"/>
                <w:szCs w:val="20"/>
                <w:color w:val="auto"/>
              </w:rPr>
            </w:pPr>
            <w:r>
              <w:rPr>
                <w:rFonts w:ascii="Arial" w:cs="Arial" w:eastAsia="Arial" w:hAnsi="Arial"/>
                <w:sz w:val="18"/>
                <w:szCs w:val="18"/>
                <w:color w:val="auto"/>
                <w:w w:val="94"/>
              </w:rPr>
              <w:t>Number)</w:t>
            </w:r>
          </w:p>
        </w:tc>
        <w:tc>
          <w:tcPr>
            <w:tcW w:w="3540" w:type="dxa"/>
            <w:vAlign w:val="bottom"/>
          </w:tcPr>
          <w:p>
            <w:pPr>
              <w:spacing w:after="0"/>
              <w:rPr>
                <w:sz w:val="20"/>
                <w:szCs w:val="20"/>
                <w:color w:val="auto"/>
              </w:rPr>
            </w:pPr>
          </w:p>
        </w:tc>
      </w:tr>
      <w:tr>
        <w:trPr>
          <w:trHeight w:val="414"/>
        </w:trPr>
        <w:tc>
          <w:tcPr>
            <w:tcW w:w="3740" w:type="dxa"/>
            <w:vAlign w:val="bottom"/>
          </w:tcPr>
          <w:p>
            <w:pPr>
              <w:jc w:val="center"/>
              <w:ind w:right="710"/>
              <w:spacing w:after="0"/>
              <w:rPr>
                <w:sz w:val="20"/>
                <w:szCs w:val="20"/>
                <w:color w:val="auto"/>
              </w:rPr>
            </w:pPr>
            <w:r>
              <w:rPr>
                <w:rFonts w:ascii="Arial" w:cs="Arial" w:eastAsia="Arial" w:hAnsi="Arial"/>
                <w:sz w:val="18"/>
                <w:szCs w:val="18"/>
                <w:b w:val="1"/>
                <w:bCs w:val="1"/>
                <w:color w:val="auto"/>
                <w:w w:val="91"/>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4"/>
        </w:trPr>
        <w:tc>
          <w:tcPr>
            <w:tcW w:w="3740" w:type="dxa"/>
            <w:vAlign w:val="bottom"/>
          </w:tcPr>
          <w:p>
            <w:pPr>
              <w:jc w:val="center"/>
              <w:ind w:right="690"/>
              <w:spacing w:after="0"/>
              <w:rPr>
                <w:sz w:val="20"/>
                <w:szCs w:val="20"/>
                <w:color w:val="auto"/>
              </w:rPr>
            </w:pPr>
            <w:r>
              <w:rPr>
                <w:rFonts w:ascii="Arial" w:cs="Arial" w:eastAsia="Arial" w:hAnsi="Arial"/>
                <w:sz w:val="18"/>
                <w:szCs w:val="18"/>
                <w:b w:val="1"/>
                <w:bCs w:val="1"/>
                <w:color w:val="auto"/>
                <w:w w:val="95"/>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Arial" w:cs="Arial" w:eastAsia="Arial" w:hAnsi="Arial"/>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Arial" w:cs="Arial" w:eastAsia="Arial" w:hAnsi="Arial"/>
                <w:sz w:val="18"/>
                <w:szCs w:val="18"/>
                <w:color w:val="auto"/>
                <w:w w:val="94"/>
              </w:rPr>
              <w:t>(Zip Code)</w:t>
            </w:r>
          </w:p>
        </w:tc>
      </w:tr>
    </w:tbl>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648-3553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143" w:lineRule="exact"/>
        <w:rPr>
          <w:sz w:val="24"/>
          <w:szCs w:val="24"/>
          <w:color w:val="auto"/>
        </w:rPr>
      </w:pPr>
    </w:p>
    <w:p>
      <w:pPr>
        <w:ind w:right="68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Class A Common Stock, $0.0001 par value per share</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color w:val="auto"/>
              </w:rPr>
              <w:t>LCID</w:t>
            </w:r>
          </w:p>
        </w:tc>
        <w:tc>
          <w:tcPr>
            <w:tcW w:w="41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42"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231F20"/>
        </w:rPr>
        <w:t xml:space="preserve">Emerging growth company </w:t>
      </w:r>
      <w:r>
        <w:rPr>
          <w:rFonts w:ascii="MS PGothic" w:cs="MS PGothic" w:eastAsia="MS PGothic" w:hAnsi="MS PGothic"/>
          <w:sz w:val="16"/>
          <w:szCs w:val="16"/>
          <w:color w:val="000000"/>
        </w:rPr>
        <w:t>☐</w:t>
      </w:r>
    </w:p>
    <w:p>
      <w:pPr>
        <w:spacing w:after="0" w:line="171" w:lineRule="exact"/>
        <w:rPr>
          <w:sz w:val="24"/>
          <w:szCs w:val="24"/>
          <w:color w:val="auto"/>
        </w:rPr>
      </w:pPr>
    </w:p>
    <w:p>
      <w:pPr>
        <w:ind w:right="160"/>
        <w:spacing w:after="0" w:line="25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4"/>
          <w:szCs w:val="24"/>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 w:name="page2"/>
    <w:bookmarkEnd w:id="1"/>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2.02 - Results of Operations and Financial Condition</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5, 2022, Lucid Group, Inc. (“Lucid”) issued a press release announcing its results for the first quarter ended March 31, 2022. A copy of the press release is attached as Exhibit 99.1 to this current report on Form 8-K and is incorporated by reference herein.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Lucid uses its </w:t>
      </w:r>
      <w:r>
        <w:rPr>
          <w:rFonts w:ascii="Arial" w:cs="Arial" w:eastAsia="Arial" w:hAnsi="Arial"/>
          <w:sz w:val="18"/>
          <w:szCs w:val="18"/>
          <w:u w:val="single" w:color="auto"/>
          <w:color w:val="auto"/>
        </w:rPr>
        <w:t>ir.lucidmotors.com</w:t>
      </w:r>
      <w:r>
        <w:rPr>
          <w:rFonts w:ascii="Arial" w:cs="Arial" w:eastAsia="Arial" w:hAnsi="Arial"/>
          <w:sz w:val="18"/>
          <w:szCs w:val="18"/>
          <w:color w:val="auto"/>
        </w:rPr>
        <w:t xml:space="preserve"> website as a means of disclosing material non-public information and for complying with its disclosure obligations under Regulation FD.</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9.01 - Financial Statements and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(d) Exhibits</w:t>
            </w:r>
          </w:p>
        </w:tc>
        <w:tc>
          <w:tcPr>
            <w:tcW w:w="3680" w:type="dxa"/>
            <w:vAlign w:val="bottom"/>
          </w:tcPr>
          <w:p>
            <w:pPr>
              <w:spacing w:after="0"/>
              <w:rPr>
                <w:sz w:val="20"/>
                <w:szCs w:val="20"/>
                <w:color w:val="auto"/>
              </w:rPr>
            </w:pPr>
          </w:p>
        </w:tc>
        <w:tc>
          <w:tcPr>
            <w:tcW w:w="6320" w:type="dxa"/>
            <w:vAlign w:val="bottom"/>
          </w:tcPr>
          <w:p>
            <w:pPr>
              <w:spacing w:after="0"/>
              <w:rPr>
                <w:sz w:val="20"/>
                <w:szCs w:val="20"/>
                <w:color w:val="auto"/>
              </w:rPr>
            </w:pPr>
          </w:p>
        </w:tc>
      </w:tr>
      <w:tr>
        <w:trPr>
          <w:trHeight w:val="441"/>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368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234"/>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Number</w:t>
            </w:r>
          </w:p>
        </w:tc>
        <w:tc>
          <w:tcPr>
            <w:tcW w:w="100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99.1</w:t>
            </w:r>
          </w:p>
        </w:tc>
        <w:tc>
          <w:tcPr>
            <w:tcW w:w="1000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Lucid Reports First Quarter 2022 Financial Results</w:t>
              </w:r>
            </w:hyperlink>
          </w:p>
        </w:tc>
      </w:tr>
      <w:tr>
        <w:trPr>
          <w:trHeight w:val="20"/>
        </w:trPr>
        <w:tc>
          <w:tcPr>
            <w:tcW w:w="1240" w:type="dxa"/>
            <w:vAlign w:val="bottom"/>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291"/>
        </w:trPr>
        <w:tc>
          <w:tcPr>
            <w:tcW w:w="1240" w:type="dxa"/>
            <w:vAlign w:val="bottom"/>
          </w:tcPr>
          <w:p>
            <w:pPr>
              <w:ind w:left="20"/>
              <w:spacing w:after="0"/>
              <w:rPr>
                <w:sz w:val="20"/>
                <w:szCs w:val="20"/>
                <w:color w:val="auto"/>
              </w:rPr>
            </w:pPr>
            <w:r>
              <w:rPr>
                <w:rFonts w:ascii="Arial" w:cs="Arial" w:eastAsia="Arial" w:hAnsi="Arial"/>
                <w:sz w:val="18"/>
                <w:szCs w:val="18"/>
                <w:color w:val="auto"/>
              </w:rPr>
              <w:t>104</w:t>
            </w:r>
          </w:p>
        </w:tc>
        <w:tc>
          <w:tcPr>
            <w:tcW w:w="100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33"/>
        </w:trPr>
        <w:tc>
          <w:tcPr>
            <w:tcW w:w="124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May 5, 2022</w:t>
      </w:r>
    </w:p>
    <w:p>
      <w:pPr>
        <w:spacing w:after="0" w:line="32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Lucid Group, Inc.</w:t>
      </w:r>
    </w:p>
    <w:p>
      <w:pPr>
        <w:spacing w:after="0" w:line="320" w:lineRule="exact"/>
        <w:rPr>
          <w:sz w:val="20"/>
          <w:szCs w:val="20"/>
          <w:color w:val="auto"/>
        </w:rPr>
      </w:pPr>
    </w:p>
    <w:p>
      <w:pPr>
        <w:ind w:left="5400"/>
        <w:spacing w:after="0"/>
        <w:tabs>
          <w:tab w:leader="none" w:pos="5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31750</wp:posOffset>
            </wp:positionV>
            <wp:extent cx="3420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Sherry House</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107" w:right="339" w:bottom="1440" w:gutter="0" w:footer="0" w:header="0"/>
        </w:sectPr>
      </w:pPr>
    </w:p>
    <w:bookmarkStart w:id="3" w:name="page4"/>
    <w:bookmarkEnd w:id="3"/>
    <w:p>
      <w:pPr>
        <w:ind w:left="10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2590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25905" cy="21463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Lucid Reports First Quarter 2022 Financial Results</w:t>
      </w:r>
    </w:p>
    <w:p>
      <w:pPr>
        <w:spacing w:after="0" w:line="231"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Q1 revenue of $57.7M driven by customer deliveries of 360 vehicles in the quarter</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Strong demand with more than 30,000 customer reservations as of today, reflecting potential sales of $2.9B</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Production volume outlook for 2022 remains on track at 12,000 to 14,000 vehicles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Announces new pricing effective June 1 while honoring current pricing for all existing reservation holders</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 xml:space="preserve">NEWARK, CA </w:t>
      </w:r>
      <w:r>
        <w:rPr>
          <w:rFonts w:ascii="Arial" w:cs="Arial" w:eastAsia="Arial" w:hAnsi="Arial"/>
          <w:sz w:val="19"/>
          <w:szCs w:val="19"/>
          <w:color w:val="1B1B1B"/>
        </w:rPr>
        <w:t>—</w:t>
      </w:r>
      <w:r>
        <w:rPr>
          <w:rFonts w:ascii="Arial" w:cs="Arial" w:eastAsia="Arial" w:hAnsi="Arial"/>
          <w:sz w:val="19"/>
          <w:szCs w:val="19"/>
          <w:color w:val="auto"/>
        </w:rPr>
        <w:t xml:space="preserve"> May 5, 2022 </w:t>
      </w:r>
      <w:r>
        <w:rPr>
          <w:rFonts w:ascii="Arial" w:cs="Arial" w:eastAsia="Arial" w:hAnsi="Arial"/>
          <w:sz w:val="19"/>
          <w:szCs w:val="19"/>
          <w:color w:val="1B1B1B"/>
        </w:rPr>
        <w:t>—</w:t>
      </w:r>
      <w:r>
        <w:rPr>
          <w:rFonts w:ascii="Arial" w:cs="Arial" w:eastAsia="Arial" w:hAnsi="Arial"/>
          <w:sz w:val="19"/>
          <w:szCs w:val="19"/>
          <w:color w:val="auto"/>
        </w:rPr>
        <w:t xml:space="preserve"> </w:t>
      </w:r>
      <w:r>
        <w:rPr>
          <w:rFonts w:ascii="Arial" w:cs="Arial" w:eastAsia="Arial" w:hAnsi="Arial"/>
          <w:sz w:val="19"/>
          <w:szCs w:val="19"/>
          <w:u w:val="single" w:color="auto"/>
          <w:color w:val="0563C1"/>
        </w:rPr>
        <w:t>Lucid Group, Inc.</w:t>
      </w:r>
      <w:r>
        <w:rPr>
          <w:rFonts w:ascii="Arial" w:cs="Arial" w:eastAsia="Arial" w:hAnsi="Arial"/>
          <w:sz w:val="19"/>
          <w:szCs w:val="19"/>
          <w:color w:val="auto"/>
        </w:rPr>
        <w:t xml:space="preserve"> (NASDAQ: LCID), </w:t>
      </w:r>
      <w:r>
        <w:rPr>
          <w:rFonts w:ascii="Arial" w:cs="Arial" w:eastAsia="Arial" w:hAnsi="Arial"/>
          <w:sz w:val="19"/>
          <w:szCs w:val="19"/>
          <w:color w:val="1B1B1B"/>
        </w:rPr>
        <w:t>setting new standards with the longest range, fastest charging</w:t>
      </w:r>
      <w:r>
        <w:rPr>
          <w:rFonts w:ascii="Arial" w:cs="Arial" w:eastAsia="Arial" w:hAnsi="Arial"/>
          <w:sz w:val="19"/>
          <w:szCs w:val="19"/>
          <w:color w:val="auto"/>
        </w:rPr>
        <w:t xml:space="preserve"> </w:t>
      </w:r>
      <w:r>
        <w:rPr>
          <w:rFonts w:ascii="Arial" w:cs="Arial" w:eastAsia="Arial" w:hAnsi="Arial"/>
          <w:sz w:val="19"/>
          <w:szCs w:val="19"/>
          <w:color w:val="1B1B1B"/>
        </w:rPr>
        <w:t xml:space="preserve">electric car on the market, </w:t>
      </w:r>
      <w:r>
        <w:rPr>
          <w:rFonts w:ascii="Arial" w:cs="Arial" w:eastAsia="Arial" w:hAnsi="Arial"/>
          <w:sz w:val="19"/>
          <w:szCs w:val="19"/>
          <w:color w:val="000000"/>
        </w:rPr>
        <w:t>today announced financial results for its first quarter ended March 31, 2022. Lucid reported Q1 revenue of $57.7</w:t>
      </w:r>
      <w:r>
        <w:rPr>
          <w:rFonts w:ascii="Arial" w:cs="Arial" w:eastAsia="Arial" w:hAnsi="Arial"/>
          <w:sz w:val="19"/>
          <w:szCs w:val="19"/>
          <w:color w:val="1B1B1B"/>
        </w:rPr>
        <w:t xml:space="preserve"> </w:t>
      </w:r>
      <w:r>
        <w:rPr>
          <w:rFonts w:ascii="Arial" w:cs="Arial" w:eastAsia="Arial" w:hAnsi="Arial"/>
          <w:sz w:val="19"/>
          <w:szCs w:val="19"/>
          <w:color w:val="000000"/>
        </w:rPr>
        <w:t xml:space="preserve">million on deliveries of 360 vehicles to customers in the first quarter. The Company reported strong customer demand for Lucid Air with reservations now exceeding 30,000, reflecting potential sales of $2.9 billion. Lucid reiterated its 2022 production volume outlook of 12,000 to 14,000 vehicles and ended the quarter with close to $5.4 billion cash on hand, which is expected to fund the Company well into 2023. Lucid also today announced revised pricing across most models beginning June 1, 2022. Lucid will honor current pricing for existing reservations as well as any new reservations made by May 31, 2022. </w:t>
      </w:r>
      <w:r>
        <w:rPr>
          <w:rFonts w:ascii="Arial" w:cs="Arial" w:eastAsia="Arial" w:hAnsi="Arial"/>
          <w:sz w:val="24"/>
          <w:szCs w:val="24"/>
          <w:color w:val="000000"/>
          <w:vertAlign w:val="superscript"/>
        </w:rPr>
        <w:t>2</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continued to make progress in the first quarter of 2022 despite on-going global supply chain challenges. We are nearing completion of deliveries of Lucid Air Dream Edition, and we began deliveries of Lucid Air Grand Touring, with an EPA-estimated range of up to 516 miles and an unprecedented efficiency of 4.6 miles per kilowatt-hour,</w:t>
      </w:r>
      <w:r>
        <w:rPr>
          <w:rFonts w:ascii="Arial" w:cs="Arial" w:eastAsia="Arial" w:hAnsi="Arial"/>
          <w:sz w:val="23"/>
          <w:szCs w:val="23"/>
          <w:color w:val="auto"/>
          <w:vertAlign w:val="superscript"/>
        </w:rPr>
        <w:t>1</w:t>
      </w:r>
      <w:r>
        <w:rPr>
          <w:rFonts w:ascii="Arial" w:cs="Arial" w:eastAsia="Arial" w:hAnsi="Arial"/>
          <w:sz w:val="18"/>
          <w:szCs w:val="18"/>
          <w:color w:val="auto"/>
        </w:rPr>
        <w:t>” said Peter Rawlinson, Lucid's CEO and CTO. “We believe Lucid Air’s unique fusion of a dynamic driving experience, interior space and comfort, range, fast charging, and performance is simply unparalleled.</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also announced today that we are increasing prices of our vehicles that will go into effect at the beginning of June. The world has changed dramatically from the time we first announced Lucid Air pricing in September 2020, but I want to reassure our existing reservation holders that we will be honoring current pricing for them as well as for any new reservations made before the end of the month,” Rawlinson added. “Looking forward, we remain intently focused on ramping production and are excited about our product roadmap in 2022 and beyond with Air Grand Touring Performance deliveries expected in June; Air Touring and Air Pure later this year; and with our Project Gravity SUV remaining on target to begin production in the first half of 2024.”</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Q1 revenue was $57.7 million, primarily driven by higher customer deliveries of Lucid Air vehicles. We continue to have a healthy balance sheet, closing the quarter with nearly $5.4 billion of cash on hand, which we believe is sufficient to fund the Company well into 2023,” said Sherry House, Lucid's CFO. “In addition to the 30,000 customer reservations we announced today, we recently signed a deal in which the government of Saudi Arabia committed to purchase up to 100,000 electric vehicles from Lucid over the next 10 years.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“Similar to many companies in our industry, we continue to face global supply chain and logistics challenges, including Covid-related factory shutdowns in China. We are working closely with our suppliers to mitigate the impact of disruptions,” House added. “While any extended disruptions could result in an impact to our production forecast, today we are reiterating our 12,000-14,000 vehicle production forecast for 2022 based on the information we have at this point combined with our mitigation plans.”</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June 1, new reservations will be priced in the U.S. at $154,000 for Air Grand Touring, $107,400 for Air Touring and $87,400 for Air Pure.</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The price for the new Lucid Air Grand Touring Performance model, announced just two weeks ago, will remain priced in the U.S. at $179,000. These prices are for base models, before the potential $7,500 U.S. federal tax credit, and excluding tax, title, license, options and destination fees. Updated pricing for Canada will be available on Lucid’s website, </w:t>
      </w:r>
      <w:r>
        <w:rPr>
          <w:rFonts w:ascii="Arial" w:cs="Arial" w:eastAsia="Arial" w:hAnsi="Arial"/>
          <w:sz w:val="18"/>
          <w:szCs w:val="18"/>
          <w:color w:val="0000FF"/>
        </w:rPr>
        <w:t>www.lucidmotors.com/en-ca</w:t>
      </w:r>
      <w:r>
        <w:rPr>
          <w:rFonts w:ascii="Arial" w:cs="Arial" w:eastAsia="Arial" w:hAnsi="Arial"/>
          <w:sz w:val="18"/>
          <w:szCs w:val="18"/>
          <w:color w:val="auto"/>
        </w:rPr>
        <w:t>, on June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319" w:right="339" w:bottom="1440" w:gutter="0" w:footer="0" w:header="0"/>
        </w:sectPr>
      </w:pPr>
    </w:p>
    <w:bookmarkStart w:id="4" w:name="page5"/>
    <w:bookmarkEnd w:id="4"/>
    <w:p>
      <w:pPr>
        <w:jc w:val="both"/>
        <w:spacing w:after="0" w:line="246" w:lineRule="auto"/>
        <w:rPr>
          <w:sz w:val="20"/>
          <w:szCs w:val="20"/>
          <w:color w:val="auto"/>
        </w:rPr>
      </w:pPr>
      <w:r>
        <w:rPr>
          <w:rFonts w:ascii="Arial" w:cs="Arial" w:eastAsia="Arial" w:hAnsi="Arial"/>
          <w:sz w:val="20"/>
          <w:szCs w:val="20"/>
          <w:color w:val="auto"/>
        </w:rPr>
        <w:t xml:space="preserve">Lucid will host a conference call for analysts and investors at 2:30 P.M. PT / 5:30 P.M. ET on May 5, 2022. The live webcast of the conference call will be available on the Investor Relations website at </w:t>
      </w:r>
      <w:r>
        <w:rPr>
          <w:rFonts w:ascii="Arial" w:cs="Arial" w:eastAsia="Arial" w:hAnsi="Arial"/>
          <w:sz w:val="20"/>
          <w:szCs w:val="20"/>
          <w:color w:val="0000FF"/>
        </w:rPr>
        <w:t>ir.lucidmotors.com</w:t>
      </w:r>
      <w:r>
        <w:rPr>
          <w:rFonts w:ascii="Arial" w:cs="Arial" w:eastAsia="Arial" w:hAnsi="Arial"/>
          <w:sz w:val="20"/>
          <w:szCs w:val="20"/>
          <w:color w:val="auto"/>
        </w:rPr>
        <w:t xml:space="preserve">. Following the completion of the call, a replay will be available on the same website. Lucid uses its </w:t>
      </w:r>
      <w:r>
        <w:rPr>
          <w:rFonts w:ascii="Arial" w:cs="Arial" w:eastAsia="Arial" w:hAnsi="Arial"/>
          <w:sz w:val="20"/>
          <w:szCs w:val="20"/>
          <w:color w:val="0000FF"/>
        </w:rPr>
        <w:t>ir.lucidmotors.com</w:t>
      </w:r>
      <w:r>
        <w:rPr>
          <w:rFonts w:ascii="Arial" w:cs="Arial" w:eastAsia="Arial" w:hAnsi="Arial"/>
          <w:sz w:val="20"/>
          <w:szCs w:val="20"/>
          <w:color w:val="auto"/>
        </w:rPr>
        <w:t xml:space="preserve"> website as a means of disclosing material non-public information and for complying with its disclosure obligations under Regulation FD.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Lucid Group</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Lucid's mission is to inspire the adoption of sustainable energy by creating advanced technologies and the most captivating luxury electric vehicles centered around the human experience. The Company's first car, Lucid Air, is a state-of-the-art luxury sedan with a California-inspired design that features luxurious full-size interior space in a mid-size exterior footprint. Underpinned by race-proven battery technology and proprietary powertrains developed entirely in-house, Lucid Air was named the 2022 MotorTrend Car of the Year®. The Lucid Air Grand Touring features an official EPA estimated 516 miles of range or 1,050 horsepower. Customer deliveries of Lucid Air, which is produced at Lucid's factory in Casa Grande, Arizona, are underway.</w:t>
      </w:r>
    </w:p>
    <w:p>
      <w:pPr>
        <w:spacing w:after="0" w:line="205" w:lineRule="exact"/>
        <w:rPr>
          <w:sz w:val="20"/>
          <w:szCs w:val="20"/>
          <w:color w:val="auto"/>
        </w:rPr>
      </w:pPr>
    </w:p>
    <w:p>
      <w:pPr>
        <w:ind w:firstLine="8"/>
        <w:spacing w:after="0" w:line="217" w:lineRule="auto"/>
        <w:tabs>
          <w:tab w:leader="none" w:pos="114" w:val="left"/>
        </w:tabs>
        <w:numPr>
          <w:ilvl w:val="0"/>
          <w:numId w:val="3"/>
        </w:numPr>
        <w:rPr>
          <w:rFonts w:ascii="Arial" w:cs="Arial" w:eastAsia="Arial" w:hAnsi="Arial"/>
          <w:sz w:val="26"/>
          <w:szCs w:val="26"/>
          <w:color w:val="auto"/>
          <w:vertAlign w:val="superscript"/>
        </w:rPr>
      </w:pPr>
      <w:r>
        <w:rPr>
          <w:rFonts w:ascii="Arial" w:cs="Arial" w:eastAsia="Arial" w:hAnsi="Arial"/>
          <w:sz w:val="20"/>
          <w:szCs w:val="20"/>
          <w:color w:val="auto"/>
        </w:rPr>
        <w:t>516 mile EPA estimated range and 4.6 miles per kWh driving efficiency are for Air Grand Touring equipped with 19” wheels. Actual results will vary.</w:t>
      </w:r>
    </w:p>
    <w:p>
      <w:pPr>
        <w:spacing w:after="0" w:line="197" w:lineRule="exact"/>
        <w:rPr>
          <w:sz w:val="20"/>
          <w:szCs w:val="20"/>
          <w:color w:val="auto"/>
        </w:rPr>
      </w:pPr>
    </w:p>
    <w:p>
      <w:pPr>
        <w:ind w:firstLine="8"/>
        <w:spacing w:after="0" w:line="267" w:lineRule="auto"/>
        <w:tabs>
          <w:tab w:leader="none" w:pos="118" w:val="left"/>
        </w:tabs>
        <w:numPr>
          <w:ilvl w:val="0"/>
          <w:numId w:val="4"/>
        </w:numPr>
        <w:rPr>
          <w:rFonts w:ascii="Arial" w:cs="Arial" w:eastAsia="Arial" w:hAnsi="Arial"/>
          <w:sz w:val="24"/>
          <w:szCs w:val="24"/>
          <w:color w:val="auto"/>
          <w:vertAlign w:val="superscript"/>
        </w:rPr>
      </w:pPr>
      <w:r>
        <w:rPr>
          <w:rFonts w:ascii="Arial" w:cs="Arial" w:eastAsia="Arial" w:hAnsi="Arial"/>
          <w:sz w:val="18"/>
          <w:szCs w:val="18"/>
          <w:color w:val="auto"/>
        </w:rPr>
        <w:t>All existing reservation holders as of May 31, 2022 in the U.S. and Canada will have an opportunity to order under the original pricing and will have at least 30 days from the date they are invited to place their order. Canadian pricing increases not currently available.</w:t>
      </w:r>
    </w:p>
    <w:p>
      <w:pPr>
        <w:spacing w:after="0" w:line="165" w:lineRule="exact"/>
        <w:rPr>
          <w:sz w:val="20"/>
          <w:szCs w:val="20"/>
          <w:color w:val="auto"/>
        </w:rPr>
      </w:pPr>
    </w:p>
    <w:p>
      <w:pPr>
        <w:jc w:val="both"/>
        <w:ind w:firstLine="8"/>
        <w:spacing w:after="0" w:line="224" w:lineRule="auto"/>
        <w:tabs>
          <w:tab w:leader="none" w:pos="128" w:val="left"/>
        </w:tabs>
        <w:numPr>
          <w:ilvl w:val="0"/>
          <w:numId w:val="5"/>
        </w:numPr>
        <w:rPr>
          <w:rFonts w:ascii="Arial" w:cs="Arial" w:eastAsia="Arial" w:hAnsi="Arial"/>
          <w:sz w:val="26"/>
          <w:szCs w:val="26"/>
          <w:color w:val="auto"/>
          <w:vertAlign w:val="superscript"/>
        </w:rPr>
      </w:pPr>
      <w:r>
        <w:rPr>
          <w:rFonts w:ascii="Arial" w:cs="Arial" w:eastAsia="Arial" w:hAnsi="Arial"/>
          <w:sz w:val="20"/>
          <w:szCs w:val="20"/>
          <w:color w:val="auto"/>
        </w:rPr>
        <w:t>Before potential $7,500 U.S. federal tax credit. Excludes tax, title, license, options and destination fees. Pricing is not currently available outside the U.S. and Canada. Additional state and local incentives may also be available. A tax advisor should be consulted regarding individual tax treatment.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u w:val="single" w:color="auto"/>
          <w:color w:val="3051F2"/>
        </w:rPr>
        <w:t>investor@lucidmotors.com</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u w:val="single" w:color="auto"/>
          <w:color w:val="3051F2"/>
        </w:rPr>
        <w:t>media@lucidmotors.com</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1B1B1B"/>
        </w:rPr>
        <w:t>Trademarks</w:t>
      </w:r>
    </w:p>
    <w:p>
      <w:pPr>
        <w:spacing w:after="0" w:line="222"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This communication contains trademarks, service marks, trade names and copyrights of Lucid Group, Inc. and its subsidiaries and other entities, which are the property of their respective owners.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financial and operating guidance, amount of reservations and related potential sales, future capital expenditures and other operating expenses, expectations and timing related to commercial product launches, production and delivery volumes, the range and performance of our vehicles, pricing of our vehicles, our estimate of the length of time our existing cash will be sufficient to fund planned operations, the timing of deliveries, future manufacturing capabilities and facilities, studio and service center openings, providing value to stakeholders, ability to mitigate supply chain risks and logistics, ability to vertically integrate production processes, future sales channels and strategies, future market launches and international expansion, including our planned manufacturing facility in Saudi Arabia and related timing and expected incentives, and the potential success of Lucid’s go-to-market strategy and future vehicle programs. These statements</w:t>
      </w:r>
    </w:p>
    <w:p>
      <w:pPr>
        <w:sectPr>
          <w:pgSz w:w="11900" w:h="16838" w:orient="portrait"/>
          <w:cols w:equalWidth="0" w:num="1">
            <w:col w:w="11240"/>
          </w:cols>
          <w:pgMar w:left="320" w:top="1324"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324" w:right="339" w:bottom="1440" w:gutter="0" w:footer="0" w:header="0"/>
          <w:type w:val="continuous"/>
        </w:sectPr>
      </w:pPr>
    </w:p>
    <w:bookmarkStart w:id="5" w:name="page6"/>
    <w:bookmarkEnd w:id="5"/>
    <w:p>
      <w:pPr>
        <w:jc w:val="both"/>
        <w:spacing w:after="0" w:line="268" w:lineRule="auto"/>
        <w:rPr>
          <w:sz w:val="20"/>
          <w:szCs w:val="20"/>
          <w:color w:val="auto"/>
        </w:rPr>
      </w:pPr>
      <w:r>
        <w:rPr>
          <w:rFonts w:ascii="Arial" w:cs="Arial" w:eastAsia="Arial" w:hAnsi="Arial"/>
          <w:sz w:val="18"/>
          <w:szCs w:val="18"/>
          <w:color w:val="auto"/>
        </w:rPr>
        <w:t>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changes in domestic and foreign business, market, financial, political and legal conditions, including the ongoing conflict between Russia and Ukraine; risks related to commodity, supply chain and logistics; risks related to the expansion of Lucid’s manufacturing facility, the construction of new manufacturing facilities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enter into or maintain partnerships with original equipment manufacturers, vendors and technology providers; Lucid’s ability to effectively manage its growth and recruit and retain key employees, including its chief executive officer and executive team; potential vehicle recalls; Lucid’s ability to establish its brand and capture additional market share, and the risks associated with negative press or reputational harm; future changes to vehicle specifications which may impact performance, pricing and other expectations; Lucid’s ability to manage expenses; the outcome of any potential litigation, government and regulatory proceedings, investigations and inquiries; and the impact of the global COVID-19 pandemic on Lucid's supply chain, including COVID-related manufacturing facility shutdowns in China, projected results of operations, financial performance or other financial metrics, or on any of the foregoing risks; and those factors discussed under the heading “Risk Factors” in Part II, Item 1A of the Company’s Quarterly Report on Form 10-Q for the quarter ended March 31, 2022, as well as other documents Lucid has filed or will file with the Securities and Exchange Commission. If any of these risks materialize or our assumptions prove incorrect, actual results could differ materially from the results implied by these forward-looking statements. There may be additional risks that Lucid presently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 and Key Business Metrics: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Consolidated financial information has been presented in accordance with US GAAP ("GAAP") as well as on a non-GAAP basis to supplement our consolidated financial results. Lucid’s non-GAAP financial measures include Adjusted EBITDA and Free Cash Flow which are discussed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is defined as net loss and comprehensive loss before (1) interest expense, (2) provision for (benefit from) income taxes,</w:t>
      </w:r>
    </w:p>
    <w:p>
      <w:pPr>
        <w:spacing w:after="0" w:line="39" w:lineRule="exact"/>
        <w:rPr>
          <w:sz w:val="20"/>
          <w:szCs w:val="20"/>
          <w:color w:val="auto"/>
        </w:rPr>
      </w:pPr>
    </w:p>
    <w:p>
      <w:pPr>
        <w:jc w:val="both"/>
        <w:ind w:firstLine="8"/>
        <w:spacing w:after="0"/>
        <w:tabs>
          <w:tab w:leader="none" w:pos="313" w:val="left"/>
        </w:tabs>
        <w:numPr>
          <w:ilvl w:val="0"/>
          <w:numId w:val="6"/>
        </w:numPr>
        <w:rPr>
          <w:rFonts w:ascii="Arial" w:cs="Arial" w:eastAsia="Arial" w:hAnsi="Arial"/>
          <w:sz w:val="20"/>
          <w:szCs w:val="20"/>
          <w:color w:val="auto"/>
        </w:rPr>
      </w:pPr>
      <w:r>
        <w:rPr>
          <w:rFonts w:ascii="Arial" w:cs="Arial" w:eastAsia="Arial" w:hAnsi="Arial"/>
          <w:sz w:val="20"/>
          <w:szCs w:val="20"/>
          <w:color w:val="auto"/>
        </w:rPr>
        <w:t>depreciation and amortization, (4) change in fair value of forward contracts, (5) change in fair value of convertible preferred stock warrant liability, (6) change in fair value of common stock warrant liability and (7) stock-based compensation. Adjusted EBITDA is a performance measure that Lucid believes provides useful information to Lucid’s management and investors about Lucid’s profitability. Free Cash Flow is defined as net cash used in operating activities reduced by capital expenditures. Free Cash Flow is a performance measure that Lucid believes provides useful information to Lucid’s management and investors about the amount of cash generated by the business after necessary capital expenditures.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These non-GAAP financial measures facilitate management’s internal comparisons to Lucid’s historical performance. Management believes that it is useful to supplement its GAAP financial statements with this non-GAAP information because management uses such information internally for its operating, budgeting, and financial planning purposes. Management also believes that presentation of the non-GAAP financial measures provides useful information to Lucid’s investors regarding measures of our financial condition and results of operations that Lucid uses to run the business and therefore allows investors to better understand Lucid’s performance. However, these non-GAAP financial and key performance measures have limitations as analytical tools and you should not consider them in isolation or as substitutes for analysis of our results as reported under GAAP.</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324" w:right="339" w:bottom="1440" w:gutter="0" w:footer="0" w:header="0"/>
        </w:sectPr>
      </w:pPr>
    </w:p>
    <w:bookmarkStart w:id="6" w:name="page7"/>
    <w:bookmarkEnd w:id="6"/>
    <w:p>
      <w:pPr>
        <w:jc w:val="both"/>
        <w:spacing w:after="0" w:line="278" w:lineRule="auto"/>
        <w:rPr>
          <w:sz w:val="20"/>
          <w:szCs w:val="20"/>
          <w:color w:val="auto"/>
        </w:rPr>
      </w:pPr>
      <w:r>
        <w:rPr>
          <w:rFonts w:ascii="Arial" w:cs="Arial" w:eastAsia="Arial" w:hAnsi="Arial"/>
          <w:sz w:val="18"/>
          <w:szCs w:val="18"/>
          <w:color w:val="auto"/>
        </w:rPr>
        <w:t>Non-GAAP information is not prepared under a comprehensive set of accounting rules and therefore, should only be read in conjunction with financial information reported under GAAP when understanding Lucid’s operating performance. In addition, other companies, including companies in our industry, may calculate non-GAAP financial measures and key performance measures differently or may use other measures to evaluate their performance, all of which could reduce the usefulness of our non-GAAP financial measures and key performance measures as tools for comparison. A reconciliation between GAAP and non-GAAP financial information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LUCID GROUP, INC.</w:t>
      </w:r>
    </w:p>
    <w:p>
      <w:pPr>
        <w:jc w:val="center"/>
        <w:spacing w:after="0" w:line="204" w:lineRule="auto"/>
        <w:rPr>
          <w:sz w:val="20"/>
          <w:szCs w:val="20"/>
          <w:color w:val="auto"/>
        </w:rPr>
      </w:pPr>
      <w:r>
        <w:rPr>
          <w:rFonts w:ascii="Arial" w:cs="Arial" w:eastAsia="Arial" w:hAnsi="Arial"/>
          <w:sz w:val="18"/>
          <w:szCs w:val="18"/>
          <w:b w:val="1"/>
          <w:bCs w:val="1"/>
          <w:color w:val="auto"/>
        </w:rPr>
        <w:t>CONDENSED CONSOLIDATED BALANCE SHEETS</w:t>
      </w:r>
      <w:r>
        <w:rPr>
          <w:rFonts w:ascii="Arial" w:cs="Arial" w:eastAsia="Arial" w:hAnsi="Arial"/>
          <w:sz w:val="25"/>
          <w:szCs w:val="25"/>
          <w:b w:val="1"/>
          <w:b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7"/>
        </w:trPr>
        <w:tc>
          <w:tcPr>
            <w:tcW w:w="8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5,391,844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6,262,905</w:t>
            </w: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3,148</w:t>
            </w: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333,906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127,250</w:t>
            </w: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70,346</w:t>
            </w: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95,489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43,328</w:t>
            </w:r>
          </w:p>
        </w:tc>
      </w:tr>
      <w:tr>
        <w:trPr>
          <w:trHeight w:val="237"/>
        </w:trPr>
        <w:tc>
          <w:tcPr>
            <w:tcW w:w="8540" w:type="dxa"/>
            <w:vAlign w:val="bottom"/>
            <w:gridSpan w:val="2"/>
          </w:tcPr>
          <w:p>
            <w:pPr>
              <w:ind w:left="6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5,864,431</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6,506,977</w:t>
            </w:r>
          </w:p>
        </w:tc>
      </w:tr>
      <w:tr>
        <w:trPr>
          <w:trHeight w:val="27"/>
        </w:trPr>
        <w:tc>
          <w:tcPr>
            <w:tcW w:w="8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1,327,544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1,182,153</w:t>
            </w: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Right-of-use assets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166,625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161,974</w:t>
            </w: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43,240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30,609</w:t>
            </w:r>
          </w:p>
        </w:tc>
      </w:tr>
      <w:tr>
        <w:trPr>
          <w:trHeight w:val="263"/>
        </w:trPr>
        <w:tc>
          <w:tcPr>
            <w:tcW w:w="85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7,401,840</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7,881,713</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8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66,440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41,342</w:t>
            </w: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32,364</w:t>
            </w: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Finance lease liabilities, current portion</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4,183</w:t>
            </w: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412,258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318,212</w:t>
            </w:r>
          </w:p>
        </w:tc>
      </w:tr>
      <w:tr>
        <w:trPr>
          <w:trHeight w:val="237"/>
        </w:trPr>
        <w:tc>
          <w:tcPr>
            <w:tcW w:w="8540" w:type="dxa"/>
            <w:vAlign w:val="bottom"/>
            <w:gridSpan w:val="2"/>
          </w:tcPr>
          <w:p>
            <w:pPr>
              <w:ind w:left="6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511,940</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396,101</w:t>
            </w: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Finance lease liabilities,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6,083</w:t>
            </w: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Common stock warrant liability</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871,478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1,394,808</w:t>
            </w: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1,988,047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1,986,791</w:t>
            </w: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194,867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188,575</w:t>
            </w:r>
          </w:p>
        </w:tc>
      </w:tr>
      <w:tr>
        <w:trPr>
          <w:trHeight w:val="27"/>
        </w:trPr>
        <w:tc>
          <w:tcPr>
            <w:tcW w:w="8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3,572,371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3,972,358</w:t>
            </w:r>
          </w:p>
        </w:tc>
      </w:tr>
      <w:tr>
        <w:trPr>
          <w:trHeight w:val="256"/>
        </w:trPr>
        <w:tc>
          <w:tcPr>
            <w:tcW w:w="8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9"/>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Preferred stock, par value $0.0001; 10,000,000 shares authorized as of March 31, 2022 and</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540" w:type="dxa"/>
            <w:vAlign w:val="bottom"/>
            <w:gridSpan w:val="2"/>
          </w:tcPr>
          <w:p>
            <w:pPr>
              <w:ind w:left="340"/>
              <w:spacing w:after="0"/>
              <w:rPr>
                <w:sz w:val="20"/>
                <w:szCs w:val="20"/>
                <w:color w:val="auto"/>
              </w:rPr>
            </w:pPr>
            <w:r>
              <w:rPr>
                <w:rFonts w:ascii="Arial" w:cs="Arial" w:eastAsia="Arial" w:hAnsi="Arial"/>
                <w:sz w:val="18"/>
                <w:szCs w:val="18"/>
                <w:color w:val="auto"/>
              </w:rPr>
              <w:t>December 31, 2021; no shares issued and outstanding as of March 31, 2022 and December 31, 2021</w:t>
            </w:r>
          </w:p>
        </w:tc>
        <w:tc>
          <w:tcPr>
            <w:tcW w:w="1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Common stock, par value $0.0001; 15,000,000,000 shares authorized as of March 31, 2022 and December 31, 2021;</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1,667,597,533 and 1,648,413,415 shares issued and 1,666,739,708 and 1,647,555,590 shares outstanding as of</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85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March 31, 2022 and December 31, 2021,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9,997,176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9,995,778</w:t>
            </w: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Treasury stock, at cost, 857,825 shares at March 31, 2022 and December 31, 2021</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(20,716)</w:t>
            </w: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(6,147,158)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(6,065,872)</w:t>
            </w:r>
          </w:p>
        </w:tc>
      </w:tr>
      <w:tr>
        <w:trPr>
          <w:trHeight w:val="27"/>
        </w:trPr>
        <w:tc>
          <w:tcPr>
            <w:tcW w:w="8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5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3,829,469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3,909,355</w:t>
            </w:r>
          </w:p>
        </w:tc>
      </w:tr>
      <w:tr>
        <w:trPr>
          <w:trHeight w:val="264"/>
        </w:trPr>
        <w:tc>
          <w:tcPr>
            <w:tcW w:w="85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7,401,840</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7,881,713</w:t>
            </w:r>
          </w:p>
        </w:tc>
      </w:tr>
      <w:tr>
        <w:trPr>
          <w:trHeight w:val="20"/>
        </w:trPr>
        <w:tc>
          <w:tcPr>
            <w:tcW w:w="8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78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LUCID GROUP, INC.</w:t>
      </w:r>
    </w:p>
    <w:p>
      <w:pPr>
        <w:jc w:val="center"/>
        <w:spacing w:after="0" w:line="209" w:lineRule="auto"/>
        <w:rPr>
          <w:sz w:val="20"/>
          <w:szCs w:val="20"/>
          <w:color w:val="auto"/>
        </w:rPr>
      </w:pPr>
      <w:r>
        <w:rPr>
          <w:rFonts w:ascii="Arial" w:cs="Arial" w:eastAsia="Arial" w:hAnsi="Arial"/>
          <w:sz w:val="20"/>
          <w:szCs w:val="20"/>
          <w:b w:val="1"/>
          <w:bCs w:val="1"/>
          <w:color w:val="auto"/>
        </w:rPr>
        <w:t>CONDENSED CONSOLIDATED STATEMENTS OF OPERATIONS AND COMPREHENSIVE LOSS</w:t>
      </w:r>
      <w:r>
        <w:rPr>
          <w:rFonts w:ascii="Arial" w:cs="Arial" w:eastAsia="Arial" w:hAnsi="Arial"/>
          <w:sz w:val="25"/>
          <w:szCs w:val="25"/>
          <w:b w:val="1"/>
          <w:bCs w:val="1"/>
          <w:color w:val="auto"/>
          <w:vertAlign w:val="superscript"/>
        </w:rPr>
        <w:t>1</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25" w:lineRule="exact"/>
        <w:rPr>
          <w:sz w:val="20"/>
          <w:szCs w:val="20"/>
          <w:color w:val="auto"/>
        </w:rPr>
      </w:pPr>
    </w:p>
    <w:p>
      <w:pPr>
        <w:jc w:val="center"/>
        <w:ind w:left="83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3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5325745</wp:posOffset>
            </wp:positionH>
            <wp:positionV relativeFrom="paragraph">
              <wp:posOffset>22860</wp:posOffset>
            </wp:positionV>
            <wp:extent cx="15855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57,675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57"/>
        </w:trPr>
        <w:tc>
          <w:tcPr>
            <w:tcW w:w="8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245,970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186,076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167,369</w:t>
            </w: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7"/>
                <w:szCs w:val="17"/>
                <w:color w:val="auto"/>
              </w:rPr>
              <w:t>Selling, general and administrative</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223,159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131,652</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3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Total cost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655,205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299,106</w:t>
            </w:r>
          </w:p>
        </w:tc>
        <w:tc>
          <w:tcPr>
            <w:tcW w:w="0" w:type="dxa"/>
            <w:vAlign w:val="bottom"/>
          </w:tcPr>
          <w:p>
            <w:pPr>
              <w:spacing w:after="0"/>
              <w:rPr>
                <w:sz w:val="1"/>
                <w:szCs w:val="1"/>
                <w:color w:val="auto"/>
              </w:rPr>
            </w:pPr>
          </w:p>
        </w:tc>
      </w:tr>
      <w:tr>
        <w:trPr>
          <w:trHeight w:val="237"/>
        </w:trPr>
        <w:tc>
          <w:tcPr>
            <w:tcW w:w="83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(597,530)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(298,793)</w:t>
            </w:r>
          </w:p>
        </w:tc>
        <w:tc>
          <w:tcPr>
            <w:tcW w:w="0" w:type="dxa"/>
            <w:vAlign w:val="bottom"/>
          </w:tcPr>
          <w:p>
            <w:pPr>
              <w:spacing w:after="0"/>
              <w:rPr>
                <w:sz w:val="1"/>
                <w:szCs w:val="1"/>
                <w:color w:val="auto"/>
              </w:rPr>
            </w:pPr>
          </w:p>
        </w:tc>
      </w:tr>
      <w:tr>
        <w:trPr>
          <w:trHeight w:val="257"/>
        </w:trPr>
        <w:tc>
          <w:tcPr>
            <w:tcW w:w="8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 (expense), net: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80" w:type="dxa"/>
            <w:vAlign w:val="bottom"/>
          </w:tcPr>
          <w:p>
            <w:pPr>
              <w:ind w:left="120"/>
              <w:spacing w:after="0"/>
              <w:rPr>
                <w:sz w:val="20"/>
                <w:szCs w:val="20"/>
                <w:color w:val="auto"/>
              </w:rPr>
            </w:pPr>
            <w:r>
              <w:rPr>
                <w:rFonts w:ascii="Arial" w:cs="Arial" w:eastAsia="Arial" w:hAnsi="Arial"/>
                <w:sz w:val="17"/>
                <w:szCs w:val="17"/>
                <w:color w:val="auto"/>
              </w:rPr>
              <w:t>Change in fair value of forward contracts</w:t>
            </w:r>
          </w:p>
        </w:tc>
        <w:tc>
          <w:tcPr>
            <w:tcW w:w="1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(442,164)</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Change in fair value of convertible preferred stock warrant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74"/>
        </w:trPr>
        <w:tc>
          <w:tcPr>
            <w:tcW w:w="8380" w:type="dxa"/>
            <w:vAlign w:val="bottom"/>
          </w:tcPr>
          <w:p>
            <w:pPr>
              <w:ind w:left="120"/>
              <w:spacing w:after="0"/>
              <w:rPr>
                <w:sz w:val="20"/>
                <w:szCs w:val="20"/>
                <w:color w:val="auto"/>
              </w:rPr>
            </w:pPr>
            <w:r>
              <w:rPr>
                <w:rFonts w:ascii="Arial" w:cs="Arial" w:eastAsia="Arial" w:hAnsi="Arial"/>
                <w:sz w:val="17"/>
                <w:szCs w:val="17"/>
                <w:color w:val="auto"/>
              </w:rPr>
              <w:t>Change in fair value of common stock warrant liability</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523,330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8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Interest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8380" w:type="dxa"/>
            <w:vAlign w:val="bottom"/>
          </w:tcPr>
          <w:p>
            <w:pPr>
              <w:ind w:left="120"/>
              <w:spacing w:after="0"/>
              <w:rPr>
                <w:sz w:val="20"/>
                <w:szCs w:val="20"/>
                <w:color w:val="auto"/>
              </w:rPr>
            </w:pPr>
            <w:r>
              <w:rPr>
                <w:rFonts w:ascii="Arial" w:cs="Arial" w:eastAsia="Arial" w:hAnsi="Arial"/>
                <w:sz w:val="17"/>
                <w:szCs w:val="17"/>
                <w:color w:val="auto"/>
              </w:rPr>
              <w:t>Other income (expense), net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other income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516,567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(449,155)</w:t>
            </w:r>
          </w:p>
        </w:tc>
        <w:tc>
          <w:tcPr>
            <w:tcW w:w="0" w:type="dxa"/>
            <w:vAlign w:val="bottom"/>
          </w:tcPr>
          <w:p>
            <w:pPr>
              <w:spacing w:after="0"/>
              <w:rPr>
                <w:sz w:val="1"/>
                <w:szCs w:val="1"/>
                <w:color w:val="auto"/>
              </w:rPr>
            </w:pPr>
          </w:p>
        </w:tc>
      </w:tr>
      <w:tr>
        <w:trPr>
          <w:trHeight w:val="237"/>
        </w:trPr>
        <w:tc>
          <w:tcPr>
            <w:tcW w:w="8380" w:type="dxa"/>
            <w:vAlign w:val="bottom"/>
          </w:tcPr>
          <w:p>
            <w:pPr>
              <w:ind w:left="460"/>
              <w:spacing w:after="0"/>
              <w:rPr>
                <w:sz w:val="20"/>
                <w:szCs w:val="20"/>
                <w:color w:val="auto"/>
              </w:rPr>
            </w:pPr>
            <w:r>
              <w:rPr>
                <w:rFonts w:ascii="Arial" w:cs="Arial" w:eastAsia="Arial" w:hAnsi="Arial"/>
                <w:sz w:val="17"/>
                <w:szCs w:val="17"/>
                <w:color w:val="auto"/>
              </w:rPr>
              <w:t>Loss before provision for income taxes</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(80,963)</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(747,948)</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8380" w:type="dxa"/>
            <w:vAlign w:val="bottom"/>
          </w:tcPr>
          <w:p>
            <w:pPr>
              <w:ind w:left="20"/>
              <w:spacing w:after="0"/>
              <w:rPr>
                <w:sz w:val="20"/>
                <w:szCs w:val="20"/>
                <w:color w:val="auto"/>
              </w:rPr>
            </w:pPr>
            <w:r>
              <w:rPr>
                <w:rFonts w:ascii="Arial" w:cs="Arial" w:eastAsia="Arial" w:hAnsi="Arial"/>
                <w:sz w:val="17"/>
                <w:szCs w:val="17"/>
                <w:b w:val="1"/>
                <w:bCs w:val="1"/>
                <w:color w:val="auto"/>
              </w:rPr>
              <w:t>Net loss and comprehensive loss</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(81,286)</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(747,952)</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Deemed dividend related to the issuance of Series E convertible preferred stock</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(2,167,333)</w:t>
            </w:r>
          </w:p>
        </w:tc>
        <w:tc>
          <w:tcPr>
            <w:tcW w:w="0" w:type="dxa"/>
            <w:vAlign w:val="bottom"/>
          </w:tcPr>
          <w:p>
            <w:pPr>
              <w:spacing w:after="0"/>
              <w:rPr>
                <w:sz w:val="1"/>
                <w:szCs w:val="1"/>
                <w:color w:val="auto"/>
              </w:rPr>
            </w:pPr>
          </w:p>
        </w:tc>
      </w:tr>
      <w:tr>
        <w:trPr>
          <w:trHeight w:val="261"/>
        </w:trPr>
        <w:tc>
          <w:tcPr>
            <w:tcW w:w="8380" w:type="dxa"/>
            <w:vAlign w:val="bottom"/>
          </w:tcPr>
          <w:p>
            <w:pPr>
              <w:ind w:left="20"/>
              <w:spacing w:after="0"/>
              <w:rPr>
                <w:sz w:val="20"/>
                <w:szCs w:val="20"/>
                <w:color w:val="auto"/>
              </w:rPr>
            </w:pPr>
            <w:r>
              <w:rPr>
                <w:rFonts w:ascii="Arial" w:cs="Arial" w:eastAsia="Arial" w:hAnsi="Arial"/>
                <w:sz w:val="17"/>
                <w:szCs w:val="17"/>
                <w:b w:val="1"/>
                <w:bCs w:val="1"/>
                <w:color w:val="auto"/>
              </w:rPr>
              <w:t>Net loss attributable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(81,286)</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(2,915,285)</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38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w w:val="89"/>
              </w:rPr>
              <w:t>Weighted average shares outstanding used in computing net loss per share attributable to common stockholders, basic and</w:t>
            </w: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1,654,322,379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32,650,874</w:t>
            </w:r>
          </w:p>
        </w:tc>
        <w:tc>
          <w:tcPr>
            <w:tcW w:w="0" w:type="dxa"/>
            <w:vAlign w:val="bottom"/>
          </w:tcPr>
          <w:p>
            <w:pPr>
              <w:spacing w:after="0"/>
              <w:rPr>
                <w:sz w:val="1"/>
                <w:szCs w:val="1"/>
                <w:color w:val="auto"/>
              </w:rPr>
            </w:pPr>
          </w:p>
        </w:tc>
      </w:tr>
      <w:tr>
        <w:trPr>
          <w:trHeight w:val="247"/>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380" w:type="dxa"/>
            <w:vAlign w:val="bottom"/>
          </w:tcPr>
          <w:p>
            <w:pPr>
              <w:ind w:left="20"/>
              <w:spacing w:after="0"/>
              <w:rPr>
                <w:sz w:val="20"/>
                <w:szCs w:val="20"/>
                <w:color w:val="auto"/>
              </w:rPr>
            </w:pPr>
            <w:r>
              <w:rPr>
                <w:rFonts w:ascii="Arial" w:cs="Arial" w:eastAsia="Arial" w:hAnsi="Arial"/>
                <w:sz w:val="17"/>
                <w:szCs w:val="17"/>
                <w:color w:val="auto"/>
              </w:rPr>
              <w:t>Net loss per share attributable to common stockholders, basic and diluted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(89.29)</w:t>
            </w:r>
          </w:p>
        </w:tc>
        <w:tc>
          <w:tcPr>
            <w:tcW w:w="0" w:type="dxa"/>
            <w:vAlign w:val="bottom"/>
          </w:tcPr>
          <w:p>
            <w:pPr>
              <w:spacing w:after="0"/>
              <w:rPr>
                <w:sz w:val="1"/>
                <w:szCs w:val="1"/>
                <w:color w:val="auto"/>
              </w:rPr>
            </w:pPr>
          </w:p>
        </w:tc>
      </w:tr>
      <w:tr>
        <w:trPr>
          <w:trHeight w:val="25"/>
        </w:trPr>
        <w:tc>
          <w:tcPr>
            <w:tcW w:w="8380" w:type="dxa"/>
            <w:vAlign w:val="bottom"/>
            <w:vMerge w:val="restart"/>
          </w:tcPr>
          <w:p>
            <w:pPr>
              <w:ind w:left="5400"/>
              <w:spacing w:after="0"/>
              <w:rPr>
                <w:sz w:val="20"/>
                <w:szCs w:val="20"/>
                <w:color w:val="auto"/>
              </w:rPr>
            </w:pPr>
            <w:r>
              <w:rPr>
                <w:rFonts w:ascii="Arial" w:cs="Arial" w:eastAsia="Arial" w:hAnsi="Arial"/>
                <w:sz w:val="20"/>
                <w:szCs w:val="20"/>
                <w:color w:val="auto"/>
              </w:rPr>
              <w:t>6</w:t>
            </w: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4"/>
        </w:trPr>
        <w:tc>
          <w:tcPr>
            <w:tcW w:w="8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500" w:top="778" w:right="5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LUCID GROUP, INC.</w:t>
      </w:r>
    </w:p>
    <w:p>
      <w:pPr>
        <w:jc w:val="center"/>
        <w:spacing w:after="0" w:line="222" w:lineRule="auto"/>
        <w:rPr>
          <w:sz w:val="20"/>
          <w:szCs w:val="20"/>
          <w:color w:val="auto"/>
        </w:rPr>
      </w:pPr>
      <w:r>
        <w:rPr>
          <w:rFonts w:ascii="Arial" w:cs="Arial" w:eastAsia="Arial" w:hAnsi="Arial"/>
          <w:sz w:val="18"/>
          <w:szCs w:val="18"/>
          <w:b w:val="1"/>
          <w:bCs w:val="1"/>
          <w:color w:val="auto"/>
        </w:rPr>
        <w:t>CONDENSED CONSOLIDATED STATEMENTS OF CASH FLOWS</w:t>
      </w:r>
      <w:r>
        <w:rPr>
          <w:rFonts w:ascii="Arial" w:cs="Arial" w:eastAsia="Arial" w:hAnsi="Arial"/>
          <w:sz w:val="23"/>
          <w:szCs w:val="23"/>
          <w:b w:val="1"/>
          <w:bCs w:val="1"/>
          <w:color w:val="auto"/>
          <w:vertAlign w:val="superscript"/>
        </w:rPr>
        <w:t>1</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thousands</w:t>
      </w:r>
      <w:r>
        <w:rPr>
          <w:rFonts w:ascii="Arial" w:cs="Arial" w:eastAsia="Arial" w:hAnsi="Arial"/>
          <w:sz w:val="18"/>
          <w:szCs w:val="18"/>
          <w:color w:val="auto"/>
        </w:rPr>
        <w:t>)</w:t>
      </w:r>
    </w:p>
    <w:p>
      <w:pPr>
        <w:spacing w:after="0" w:line="45" w:lineRule="exact"/>
        <w:rPr>
          <w:sz w:val="20"/>
          <w:szCs w:val="20"/>
          <w:color w:val="auto"/>
        </w:rPr>
      </w:pPr>
    </w:p>
    <w:p>
      <w:pPr>
        <w:jc w:val="center"/>
        <w:ind w:left="82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2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5265420</wp:posOffset>
            </wp:positionH>
            <wp:positionV relativeFrom="paragraph">
              <wp:posOffset>22860</wp:posOffset>
            </wp:positionV>
            <wp:extent cx="16973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7"/>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(81,286)</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(747,952)</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38,242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4,919</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insurance premium</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Non-cash operating lease cost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6,296</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174,551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104,795</w:t>
            </w: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Loss on disposal of property and equipment</w:t>
            </w:r>
          </w:p>
        </w:tc>
        <w:tc>
          <w:tcPr>
            <w:tcW w:w="28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discounts and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Write-down of inventory</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96,366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forward contract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442,164</w:t>
            </w: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Change in fair value of preferred stock warrant liability</w:t>
            </w:r>
          </w:p>
        </w:tc>
        <w:tc>
          <w:tcPr>
            <w:tcW w:w="28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6,976</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common stock warrant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(523,330)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(303,022)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(5,267)</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(3,782)</w:t>
            </w: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(49,625)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 and security deposit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5,713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(14,544)</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3,646</w:t>
            </w: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Operating lease liability</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(4,099)</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 and 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128,060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(11,124)</w:t>
            </w: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3,011</w:t>
            </w:r>
          </w:p>
        </w:tc>
      </w:tr>
      <w:tr>
        <w:trPr>
          <w:trHeight w:val="27"/>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(494,649)</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(218,726)</w:t>
            </w: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equipment, and software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(185,082)</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(94,779)</w:t>
            </w:r>
          </w:p>
        </w:tc>
      </w:tr>
      <w:tr>
        <w:trPr>
          <w:trHeight w:val="237"/>
        </w:trPr>
        <w:tc>
          <w:tcPr>
            <w:tcW w:w="8300" w:type="dxa"/>
            <w:vAlign w:val="bottom"/>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(185,082)</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(94,779)</w:t>
            </w:r>
          </w:p>
        </w:tc>
      </w:tr>
      <w:tr>
        <w:trPr>
          <w:trHeight w:val="27"/>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Payment for short-term insurance financing note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(12,949)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for capital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Payment for finance lease liabilities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Series B convertible preferred stock</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Proceeds from issuance of Series D convertible preferred stock</w:t>
            </w:r>
          </w:p>
        </w:tc>
        <w:tc>
          <w:tcPr>
            <w:tcW w:w="28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Series E convertible preferred stock</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507,080</w:t>
            </w: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9,114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4,316</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repurchases from employees for tax withholdings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(182,265)</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8300" w:type="dxa"/>
            <w:vAlign w:val="bottom"/>
          </w:tcPr>
          <w:p>
            <w:pPr>
              <w:ind w:left="50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(187,301)</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511,098</w:t>
            </w:r>
          </w:p>
        </w:tc>
      </w:tr>
      <w:tr>
        <w:trPr>
          <w:trHeight w:val="27"/>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(867,032)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197,593</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Beginning cash, cash equivalents, and restricted cash</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6,298,020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640,418</w:t>
            </w:r>
          </w:p>
        </w:tc>
      </w:tr>
      <w:tr>
        <w:trPr>
          <w:trHeight w:val="27"/>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cash, cash equivalents, and restricted cash</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5,430,988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838,011</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460" w:top="783" w:right="479" w:bottom="1440" w:gutter="0" w:footer="0" w:header="0"/>
        </w:sectPr>
      </w:pP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60"/>
          </w:cols>
          <w:pgMar w:left="460" w:top="783" w:right="47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LUCID GROUP, INC.</w:t>
      </w:r>
    </w:p>
    <w:p>
      <w:pPr>
        <w:jc w:val="center"/>
        <w:spacing w:after="0" w:line="209" w:lineRule="auto"/>
        <w:rPr>
          <w:sz w:val="20"/>
          <w:szCs w:val="20"/>
          <w:color w:val="auto"/>
        </w:rPr>
      </w:pPr>
      <w:r>
        <w:rPr>
          <w:rFonts w:ascii="Arial" w:cs="Arial" w:eastAsia="Arial" w:hAnsi="Arial"/>
          <w:sz w:val="20"/>
          <w:szCs w:val="20"/>
          <w:b w:val="1"/>
          <w:bCs w:val="1"/>
          <w:color w:val="auto"/>
        </w:rPr>
        <w:t>Reconciliation of GAAP to Non-GAAP Financials Measures</w:t>
      </w:r>
      <w:r>
        <w:rPr>
          <w:rFonts w:ascii="Arial" w:cs="Arial" w:eastAsia="Arial" w:hAnsi="Arial"/>
          <w:sz w:val="25"/>
          <w:szCs w:val="25"/>
          <w:b w:val="1"/>
          <w:bCs w:val="1"/>
          <w:color w:val="auto"/>
          <w:vertAlign w:val="superscript"/>
        </w:rPr>
        <w:t>1</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20" w:type="dxa"/>
            <w:vAlign w:val="bottom"/>
            <w:gridSpan w:val="3"/>
          </w:tcPr>
          <w:p>
            <w:pPr>
              <w:spacing w:after="0"/>
              <w:rPr>
                <w:sz w:val="20"/>
                <w:szCs w:val="20"/>
                <w:color w:val="auto"/>
              </w:rPr>
            </w:pPr>
            <w:r>
              <w:rPr>
                <w:rFonts w:ascii="Arial" w:cs="Arial" w:eastAsia="Arial" w:hAnsi="Arial"/>
                <w:sz w:val="18"/>
                <w:szCs w:val="18"/>
                <w:b w:val="1"/>
                <w:bCs w:val="1"/>
                <w:color w:val="auto"/>
              </w:rPr>
              <w:t>Adjusted EBITDA</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5"/>
          </w:tcPr>
          <w:p>
            <w:pPr>
              <w:jc w:val="right"/>
              <w:ind w:right="270"/>
              <w:spacing w:after="0"/>
              <w:rPr>
                <w:sz w:val="20"/>
                <w:szCs w:val="20"/>
                <w:color w:val="auto"/>
              </w:rPr>
            </w:pPr>
            <w:r>
              <w:rPr>
                <w:rFonts w:ascii="Arial" w:cs="Arial" w:eastAsia="Arial" w:hAnsi="Arial"/>
                <w:sz w:val="18"/>
                <w:szCs w:val="18"/>
                <w:b w:val="1"/>
                <w:bCs w:val="1"/>
                <w:color w:val="auto"/>
                <w:w w:val="96"/>
              </w:rPr>
              <w:t>Three Months Ended</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b w:val="1"/>
                <w:bCs w:val="1"/>
                <w:color w:val="auto"/>
                <w:w w:val="84"/>
              </w:rPr>
              <w:t>2021</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CEEFF"/>
            </w:tcBorders>
          </w:tcPr>
          <w:p>
            <w:pPr>
              <w:spacing w:after="0"/>
              <w:rPr>
                <w:sz w:val="2"/>
                <w:szCs w:val="2"/>
                <w:color w:val="auto"/>
              </w:rPr>
            </w:pPr>
          </w:p>
        </w:tc>
        <w:tc>
          <w:tcPr>
            <w:tcW w:w="730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(81,286)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(747,952)</w:t>
            </w:r>
          </w:p>
        </w:tc>
        <w:tc>
          <w:tcPr>
            <w:tcW w:w="0" w:type="dxa"/>
            <w:vAlign w:val="bottom"/>
          </w:tcPr>
          <w:p>
            <w:pPr>
              <w:spacing w:after="0"/>
              <w:rPr>
                <w:sz w:val="1"/>
                <w:szCs w:val="1"/>
                <w:color w:val="auto"/>
              </w:rPr>
            </w:pPr>
          </w:p>
        </w:tc>
      </w:tr>
      <w:tr>
        <w:trPr>
          <w:trHeight w:val="243"/>
        </w:trPr>
        <w:tc>
          <w:tcPr>
            <w:tcW w:w="852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7,719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3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8520" w:type="dxa"/>
            <w:vAlign w:val="bottom"/>
            <w:gridSpan w:val="3"/>
          </w:tcPr>
          <w:p>
            <w:pPr>
              <w:ind w:left="20"/>
              <w:spacing w:after="0"/>
              <w:rPr>
                <w:sz w:val="20"/>
                <w:szCs w:val="20"/>
                <w:color w:val="auto"/>
              </w:rPr>
            </w:pPr>
            <w:r>
              <w:rPr>
                <w:rFonts w:ascii="Arial" w:cs="Arial" w:eastAsia="Arial" w:hAnsi="Arial"/>
                <w:sz w:val="18"/>
                <w:szCs w:val="18"/>
                <w:color w:val="auto"/>
              </w:rPr>
              <w:t>Depreciation and amortization</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38,242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3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Change in fair value of forward contracts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442,164</w:t>
            </w:r>
          </w:p>
        </w:tc>
        <w:tc>
          <w:tcPr>
            <w:tcW w:w="0" w:type="dxa"/>
            <w:vAlign w:val="bottom"/>
          </w:tcPr>
          <w:p>
            <w:pPr>
              <w:spacing w:after="0"/>
              <w:rPr>
                <w:sz w:val="1"/>
                <w:szCs w:val="1"/>
                <w:color w:val="auto"/>
              </w:rPr>
            </w:pPr>
          </w:p>
        </w:tc>
      </w:tr>
      <w:tr>
        <w:trPr>
          <w:trHeight w:val="243"/>
        </w:trPr>
        <w:tc>
          <w:tcPr>
            <w:tcW w:w="8520" w:type="dxa"/>
            <w:vAlign w:val="bottom"/>
            <w:gridSpan w:val="3"/>
          </w:tcPr>
          <w:p>
            <w:pPr>
              <w:ind w:left="2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3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Change in fair value of common stock warrant liability</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(523,330)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20" w:type="dxa"/>
            <w:vAlign w:val="bottom"/>
            <w:gridSpan w:val="3"/>
          </w:tcPr>
          <w:p>
            <w:pPr>
              <w:ind w:left="20"/>
              <w:spacing w:after="0"/>
              <w:rPr>
                <w:sz w:val="20"/>
                <w:szCs w:val="20"/>
                <w:color w:val="auto"/>
              </w:rPr>
            </w:pPr>
            <w:r>
              <w:rPr>
                <w:rFonts w:ascii="Arial" w:cs="Arial" w:eastAsia="Arial" w:hAnsi="Arial"/>
                <w:sz w:val="18"/>
                <w:szCs w:val="18"/>
                <w:color w:val="auto"/>
              </w:rPr>
              <w:t>Stock-based compensation</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174,551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104,795</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CEEFF"/>
            </w:tcBorders>
          </w:tcPr>
          <w:p>
            <w:pPr>
              <w:spacing w:after="0"/>
              <w:rPr>
                <w:sz w:val="2"/>
                <w:szCs w:val="2"/>
                <w:color w:val="auto"/>
              </w:rPr>
            </w:pPr>
          </w:p>
        </w:tc>
        <w:tc>
          <w:tcPr>
            <w:tcW w:w="730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(383,781)</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(189,089)</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Free Cash Flow</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w w:val="97"/>
              </w:rPr>
              <w:t>Three Months Ended</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b w:val="1"/>
                <w:bCs w:val="1"/>
                <w:color w:val="auto"/>
                <w:w w:val="84"/>
              </w:rPr>
              <w:t>2021</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gridSpan w:val="3"/>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 (GAAP)</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(494,649)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(218,726)</w:t>
            </w:r>
          </w:p>
        </w:tc>
        <w:tc>
          <w:tcPr>
            <w:tcW w:w="0" w:type="dxa"/>
            <w:vAlign w:val="bottom"/>
          </w:tcPr>
          <w:p>
            <w:pPr>
              <w:spacing w:after="0"/>
              <w:rPr>
                <w:sz w:val="1"/>
                <w:szCs w:val="1"/>
                <w:color w:val="auto"/>
              </w:rPr>
            </w:pPr>
          </w:p>
        </w:tc>
      </w:tr>
      <w:tr>
        <w:trPr>
          <w:trHeight w:val="243"/>
        </w:trPr>
        <w:tc>
          <w:tcPr>
            <w:tcW w:w="8520" w:type="dxa"/>
            <w:vAlign w:val="bottom"/>
            <w:gridSpan w:val="3"/>
          </w:tcPr>
          <w:p>
            <w:pPr>
              <w:ind w:left="20"/>
              <w:spacing w:after="0"/>
              <w:rPr>
                <w:sz w:val="20"/>
                <w:szCs w:val="20"/>
                <w:color w:val="auto"/>
              </w:rPr>
            </w:pPr>
            <w:r>
              <w:rPr>
                <w:rFonts w:ascii="Arial" w:cs="Arial" w:eastAsia="Arial" w:hAnsi="Arial"/>
                <w:sz w:val="18"/>
                <w:szCs w:val="18"/>
                <w:color w:val="auto"/>
              </w:rPr>
              <w:t>Capital expenditures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(185,082)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(94,779)</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gridSpan w:val="3"/>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5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 (non-GAAP)</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(679,731)</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(313,505)</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231" w:lineRule="exact"/>
        <w:rPr>
          <w:sz w:val="20"/>
          <w:szCs w:val="20"/>
          <w:color w:val="auto"/>
        </w:rPr>
      </w:pPr>
    </w:p>
    <w:p>
      <w:pPr>
        <w:jc w:val="both"/>
        <w:ind w:firstLine="8"/>
        <w:spacing w:after="0" w:line="257" w:lineRule="auto"/>
        <w:tabs>
          <w:tab w:leader="none" w:pos="103"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The business combination (the “Merger”) between Lucid Group Inc.’s predecessor, Atieva, Inc. (“Legacy Lucid”), and Churchill Capital Corp IV (“CCIV”), which closed on July 23, 2021, is accounted for as a reverse recapitalization under U.S. GAAP. Under this method of accounting, CCIV has been treated as the acquired company for financial reporting purposes. Accordingly, for accounting purposes, the financial statements of Lucid represent a continuation of the financial statements of Legacy Lucid with the Merger being treated as the equivalent of Legacy Lucid issuing shares for the net assets of CCIV, accompanied by a recapitalization. The net assets of CCIV were recognized as of the closing of the Merger at historical cost, with no goodwill or other intangible assets recorded. Operations prior to the Merger are presented as those of Legacy Lucid and the accumulated deficit of Legacy Lucid has been carried forward after the closing of the Merger. All periods prior to the Merger have been retrospectively adjusted using the applicable exchange ratio for the equivalent number of shares outstanding immediately after the closing of the Merger to effect the reverse recapitalization. See our Form 10-Q for the three months ended March 31, 2022 for additional information.</w:t>
      </w:r>
    </w:p>
    <w:p>
      <w:pPr>
        <w:sectPr>
          <w:pgSz w:w="11900" w:h="16838" w:orient="portrait"/>
          <w:cols w:equalWidth="0" w:num="1">
            <w:col w:w="11240"/>
          </w:cols>
          <w:pgMar w:left="320" w:top="778" w:right="339"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sectPr>
      <w:pgSz w:w="11900" w:h="16838" w:orient="portrait"/>
      <w:cols w:equalWidth="0" w:num="1">
        <w:col w:w="11240"/>
      </w:cols>
      <w:pgMar w:left="320" w:top="77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2"/>
      <w:numFmt w:val="bullet"/>
      <w:start w:val="1"/>
    </w:lvl>
  </w:abstractNum>
  <w:abstractNum w:abstractNumId="4">
    <w:nsid w:val="507ED7AB"/>
    <w:multiLevelType w:val="hybridMultilevel"/>
    <w:lvl w:ilvl="0">
      <w:lvlJc w:val="left"/>
      <w:lvlText w:val="3"/>
      <w:numFmt w:val="bullet"/>
      <w:start w:val="1"/>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2022-05-06T12:26:10Z</dcterms:created>
  <dcterms:modified xsi:type="dcterms:W3CDTF">2022-05-06T12:26:10Z</dcterms:modified>
</cp:coreProperties>
</file>