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 Reminds Stockholders to Vote Prior to the Special Meeting of Stockholders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 July 22, 2021 in Favor of Business Combination With Lucid Motors</w:t>
      </w:r>
    </w:p>
    <w:p>
      <w:pPr>
        <w:spacing w:after="0" w:line="211" w:lineRule="exact"/>
        <w:rPr>
          <w:sz w:val="24"/>
          <w:szCs w:val="24"/>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Churchill IV encourages participation of all of its stockholders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Stockholders as of the close of business on June 21, 2021 should vote their shares even if they no longer own them</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Vote today as the deadline to vote by internet is 11:59 PM, Eastern time, on July 21, 2021</w:t>
      </w:r>
    </w:p>
    <w:p>
      <w:pPr>
        <w:spacing w:after="0" w:line="211" w:lineRule="exact"/>
        <w:rPr>
          <w:sz w:val="24"/>
          <w:szCs w:val="24"/>
          <w:color w:val="auto"/>
        </w:rPr>
      </w:pPr>
    </w:p>
    <w:p>
      <w:pPr>
        <w:ind w:right="40"/>
        <w:spacing w:after="0" w:line="279" w:lineRule="auto"/>
        <w:rPr>
          <w:sz w:val="20"/>
          <w:szCs w:val="20"/>
          <w:color w:val="auto"/>
        </w:rPr>
      </w:pPr>
      <w:r>
        <w:rPr>
          <w:rFonts w:ascii="Arial" w:cs="Arial" w:eastAsia="Arial" w:hAnsi="Arial"/>
          <w:sz w:val="17"/>
          <w:szCs w:val="17"/>
          <w:color w:val="auto"/>
        </w:rPr>
        <w:t>NEW YORK, July 20, 2021 -- Churchill Capital Corp IV ("Churchill IV" or "CCIV") (NYSE: CCIV), a publicly traded special purpose acquisition company, reminds stockholders to vote “FOR” the Company's proposed business combination with Lucid Motors ("Lucid"), which is setting new standards for sustainable mobility with its advanced luxury EVs. Proposals related to the combination will be voted upon at the Company's special meeting of stockholders on July 22, 2021, as described in Churchill IV’s proxy statement/prospectus dated June 25, 2021 (the "Proxy Statement").</w:t>
      </w:r>
    </w:p>
    <w:p>
      <w:pPr>
        <w:spacing w:after="0" w:line="171"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Churchill IV encourages all shareholders to vote, regardless of the number of shares the stockholder holds. Accordingly, Churchill IV requests that each stockholder complete, sign, date and return a proxy card, if it has not already done so, to ensure that the stockholder's shares will be represented at the special meeting. Stockholders who hold shares in "street name," meaning that their shares are held of record by a broker, bank or other nominee, should contact their broker, bank or nominee to ensure that their shares are voted.</w:t>
      </w:r>
    </w:p>
    <w:p>
      <w:pPr>
        <w:spacing w:after="0" w:line="187" w:lineRule="exact"/>
        <w:rPr>
          <w:sz w:val="24"/>
          <w:szCs w:val="24"/>
          <w:color w:val="auto"/>
        </w:rPr>
      </w:pPr>
    </w:p>
    <w:p>
      <w:pPr>
        <w:spacing w:after="0"/>
        <w:rPr>
          <w:sz w:val="20"/>
          <w:szCs w:val="20"/>
          <w:color w:val="auto"/>
        </w:rPr>
      </w:pPr>
      <w:r>
        <w:rPr>
          <w:rFonts w:ascii="Arial" w:cs="Arial" w:eastAsia="Arial" w:hAnsi="Arial"/>
          <w:sz w:val="16"/>
          <w:szCs w:val="16"/>
          <w:color w:val="auto"/>
        </w:rPr>
        <w:t>Stockholders as of the close of business on June 21, 2021, the record date for the special meeting, should vote their shares even if they no longer own them.</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If any Churchill IV stockholder has not received the Proxy Statement, such stockholder should confirm the proxy's status with their broker, or contact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MacKenzie Partners, Churchill IV’s proxy solicitor, for help, toll-free at (800) 322-2885.</w:t>
      </w:r>
    </w:p>
    <w:p>
      <w:pPr>
        <w:spacing w:after="0" w:line="21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 xml:space="preserve">The Churchill IV special meeting of stockholders is scheduled to take place on July 22, 2021, at 10:00 a.m. Eastern time, via live webcast. The Proxy Statement is available in the Investor Resources section of Churchill IV's website as well as on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Lucid</w:t>
      </w:r>
    </w:p>
    <w:p>
      <w:pPr>
        <w:spacing w:after="0" w:line="27" w:lineRule="exact"/>
        <w:rPr>
          <w:sz w:val="24"/>
          <w:szCs w:val="24"/>
          <w:color w:val="auto"/>
        </w:rPr>
      </w:pPr>
    </w:p>
    <w:p>
      <w:pPr>
        <w:ind w:right="140"/>
        <w:spacing w:after="0" w:line="253" w:lineRule="auto"/>
        <w:rPr>
          <w:sz w:val="20"/>
          <w:szCs w:val="20"/>
          <w:color w:val="auto"/>
        </w:rPr>
      </w:pPr>
      <w:r>
        <w:rPr>
          <w:rFonts w:ascii="Arial" w:cs="Arial" w:eastAsia="Arial" w:hAnsi="Arial"/>
          <w:sz w:val="18"/>
          <w:szCs w:val="18"/>
          <w:color w:val="auto"/>
        </w:rPr>
        <w:t>Lucid's mission is to inspire the adoption of sustainable energy by creating the most captivating electric vehicles, centered around the human experience. The company's first car, Lucid Air, is a state-of-the-art luxury sedan with a California-inspired design underpinned by race-proven technology. Featuring luxurious interior space in a mid-size exterior footprint, select models of Air are expected to be capable of a projected EPA range of over 500 miles and 0-60 mph in 2.5 seconds. Lucid Air is produced at Lucid's new factory in Casa Grande, Arizona, and customer deliveries are planned to begin in the second half of 2021.</w:t>
      </w:r>
    </w:p>
    <w:p>
      <w:pPr>
        <w:spacing w:after="0" w:line="200" w:lineRule="exact"/>
        <w:rPr>
          <w:sz w:val="24"/>
          <w:szCs w:val="24"/>
          <w:color w:val="auto"/>
        </w:rPr>
      </w:pP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About Churchill Capital Corp IV</w:t>
      </w:r>
    </w:p>
    <w:p>
      <w:pPr>
        <w:spacing w:after="0" w:line="27"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Churchill Capital Corp IV was formed for the purpose of effecting a merger, capital stock exchange, asset acquisition, stock purchase, reorganization or similar business combination with one or more businesses.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 xml:space="preserve">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This communication relates to a proposed business combination between CCIV and Lucid. In connection with the proposed business combination, CCIV filed a registration statement on Form S-4, as amended (the "Form S-4"), with the U.S. Securities and Exchange Commission (the "SEC"). The Form S-4 was declared effective June 25, 2021. The Form S-4 includes a document that serves as a prospectus and proxy statement of CCIV, referred to as a proxy statement/prospectus, that is both the proxy statement/prospectus which has been distributed to CCIV's shareholders in connection with CCIV's solicitation of proxies for the vote by CCIV's shareholders with respect to the proposed transaction as described in the Form S-4 as well as the prospectus relating to the proposed business combination as described in the Form S-4. CCIV also will file other documents regarding the proposed business combination with the SEC. Before making any voting decision, investors and security holders of CCIV are urged to read the Form S-4 and all other relevant documents filed or that will be filed with the SEC in connection with the proposed business combination as they become available because they will contain important information about the proposed transaction. CCIV has mailed a definitive proxy statement/prospectus and other relevant documents to its shareholders of record as of June 21, 2021, the record date established for the special meeting of stockholders relating to the proposed business combination. Investors and security holders may obtain free copies of the Form S-4 and all other relevant documents filed or that will be filed with the SEC by CCIV through the website maintained by the SEC at </w:t>
      </w:r>
      <w:r>
        <w:rPr>
          <w:rFonts w:ascii="Arial" w:cs="Arial" w:eastAsia="Arial" w:hAnsi="Arial"/>
          <w:sz w:val="17"/>
          <w:szCs w:val="17"/>
          <w:u w:val="single" w:color="auto"/>
          <w:color w:val="auto"/>
        </w:rPr>
        <w:t>www.sec.gov</w:t>
      </w:r>
      <w:r>
        <w:rPr>
          <w:rFonts w:ascii="Arial" w:cs="Arial" w:eastAsia="Arial" w:hAnsi="Arial"/>
          <w:sz w:val="17"/>
          <w:szCs w:val="17"/>
          <w:color w:val="auto"/>
        </w:rPr>
        <w:t>. The documents filed by CCIV with the SEC also may be obtained free of charge at CCIV's website at: https://iv.churchillcapitalcorp.com/# or upon written request to 640 Fifth Avenue, 12th Floor New York, NY 10019.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Form S-4. Additional information regarding the participants in the proxy solicitation and a description of their direct and indirect interests is included in the proxy statement/prospectus. 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expectations and timing related to commercial product launches,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factors discussed in CCIV's definitive proxy statement/prospectus, CCIV's Annual Report on Form 10-K/A for the year ended December 31, 2020 and CCIV's Quarterly Report on Form 10-Q for the quarter ended March 31, 2021, in each case, under the heading "Risk Factors,"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currently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Lucid Motors,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Andrew Hussey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media@lucidmotors.com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investors@lucidmotors.com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Brunswick Group: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 Daubenspeck/Stephen Powers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lucid@brunswickgroup.com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Churchill Capital Corp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 Lipin / Lauren Odell / Christina Stenson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Gladstone Place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230-5930</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2021-07-20T06:45:10Z</dcterms:created>
  <dcterms:modified xsi:type="dcterms:W3CDTF">2021-07-20T06:45:10Z</dcterms:modified>
</cp:coreProperties>
</file>