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Calibri" w:cs="Calibri" w:eastAsia="Calibri" w:hAnsi="Calibri"/>
          <w:sz w:val="11"/>
          <w:szCs w:val="11"/>
          <w:color w:val="003366"/>
        </w:rPr>
        <w:t>TABLE OF CONTENTS</w:t>
      </w:r>
    </w:p>
    <w:p>
      <w:pPr>
        <w:spacing w:after="0" w:line="369" w:lineRule="exact"/>
        <w:rPr>
          <w:sz w:val="24"/>
          <w:szCs w:val="24"/>
          <w:color w:val="auto"/>
        </w:rPr>
      </w:pPr>
    </w:p>
    <w:p>
      <w:pPr>
        <w:jc w:val="right"/>
        <w:ind w:right="1279"/>
        <w:spacing w:after="0"/>
        <w:rPr>
          <w:sz w:val="20"/>
          <w:szCs w:val="20"/>
          <w:color w:val="auto"/>
        </w:rPr>
      </w:pPr>
      <w:r>
        <w:rPr>
          <w:rFonts w:ascii="Times New Roman" w:cs="Times New Roman" w:eastAsia="Times New Roman" w:hAnsi="Times New Roman"/>
          <w:sz w:val="14"/>
          <w:szCs w:val="14"/>
          <w:b w:val="1"/>
          <w:bCs w:val="1"/>
          <w:color w:val="auto"/>
        </w:rPr>
        <w:t> Filed pursuant to Rule 424(b)(7)​</w:t>
      </w:r>
    </w:p>
    <w:p>
      <w:pPr>
        <w:jc w:val="right"/>
        <w:ind w:right="1279"/>
        <w:spacing w:after="0"/>
        <w:rPr>
          <w:sz w:val="20"/>
          <w:szCs w:val="20"/>
          <w:color w:val="auto"/>
        </w:rPr>
      </w:pPr>
      <w:r>
        <w:rPr>
          <w:rFonts w:ascii="Times New Roman" w:cs="Times New Roman" w:eastAsia="Times New Roman" w:hAnsi="Times New Roman"/>
          <w:sz w:val="14"/>
          <w:szCs w:val="14"/>
          <w:b w:val="1"/>
          <w:bCs w:val="1"/>
          <w:color w:val="auto"/>
        </w:rPr>
        <w:t> Registration No. 333-282677​</w:t>
      </w:r>
    </w:p>
    <w:p>
      <w:pPr>
        <w:spacing w:after="0" w:line="13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(To Prospectus Dated October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1481455</wp:posOffset>
            </wp:positionH>
            <wp:positionV relativeFrom="paragraph">
              <wp:posOffset>238125</wp:posOffset>
            </wp:positionV>
            <wp:extent cx="275717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57170" cy="180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LUCID GROUP, INC.</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69,108,837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151765</wp:posOffset>
            </wp:positionV>
            <wp:extent cx="9613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383" w:lineRule="exact"/>
        <w:rPr>
          <w:sz w:val="24"/>
          <w:szCs w:val="24"/>
          <w:color w:val="auto"/>
        </w:rPr>
      </w:pPr>
    </w:p>
    <w:p>
      <w:pPr>
        <w:jc w:val="both"/>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This prospectus supplement relates to the possible offer and resale, from time to time, by the selling stockholders identified in this prospectus supplement (the “Selling Stockholders”) of up to 69,108,837 shares of our Class A Common Stock, par value $0.0001 per share (“Common Stock,” and such shares of Common Stock, the “Securities”). 13,715,121 shares of Common Stock being registered hereby were issued to SMB Holding Corporation (“SMB”), a subsidiary of Uber Technologies, Inc. (“Uber”), by us in a private placement pursuant to a subscription agreement, dated July 16, 2025, by and between SMB and us (as amended, the “Uber Subscription Agreement”). 55,393,716 shares of Common Stock being registered hereby are shares that Ayar Third Investment Company (“Ayar”), an affiliate of the Public Investment Fund (“PIF”), will purchase pursuant to the Prepaid Forward Transactions (as defined herein) Ayar entered into with a certain forward counterparty. See “Summary — Uber Private Placement” and “Summary — Ayar Prepaid Forward Transactions.”</w:t>
      </w:r>
    </w:p>
    <w:p>
      <w:pPr>
        <w:spacing w:after="0" w:line="252" w:lineRule="exact"/>
        <w:rPr>
          <w:sz w:val="24"/>
          <w:szCs w:val="24"/>
          <w:color w:val="auto"/>
        </w:rPr>
      </w:pPr>
    </w:p>
    <w:p>
      <w:pPr>
        <w:jc w:val="both"/>
        <w:ind w:left="1300" w:right="1319" w:firstLine="280"/>
        <w:spacing w:after="0" w:line="261" w:lineRule="auto"/>
        <w:rPr>
          <w:sz w:val="20"/>
          <w:szCs w:val="20"/>
          <w:color w:val="auto"/>
        </w:rPr>
      </w:pPr>
      <w:r>
        <w:rPr>
          <w:rFonts w:ascii="Times New Roman" w:cs="Times New Roman" w:eastAsia="Times New Roman" w:hAnsi="Times New Roman"/>
          <w:sz w:val="14"/>
          <w:szCs w:val="14"/>
          <w:color w:val="auto"/>
        </w:rPr>
        <w:t>The Securities are being registered to fulfill our contractual obligations in connection with the Uber Subscription Agreement and Prepaid Forward Transactions. No new shares of Common Stock will be issued or sold by us in connection with the filing of this prospectus supplement. We will not receive any of the proceeds from the sale of the Securities by the Selling Stockholders.</w:t>
      </w:r>
    </w:p>
    <w:p>
      <w:pPr>
        <w:spacing w:after="0" w:line="88" w:lineRule="exact"/>
        <w:rPr>
          <w:sz w:val="24"/>
          <w:szCs w:val="24"/>
          <w:color w:val="auto"/>
        </w:rPr>
      </w:pPr>
    </w:p>
    <w:p>
      <w:pPr>
        <w:jc w:val="both"/>
        <w:ind w:left="1300" w:right="1319" w:firstLine="280"/>
        <w:spacing w:after="0" w:line="258" w:lineRule="auto"/>
        <w:rPr>
          <w:sz w:val="20"/>
          <w:szCs w:val="20"/>
          <w:color w:val="auto"/>
        </w:rPr>
      </w:pPr>
      <w:r>
        <w:rPr>
          <w:rFonts w:ascii="Times New Roman" w:cs="Times New Roman" w:eastAsia="Times New Roman" w:hAnsi="Times New Roman"/>
          <w:sz w:val="14"/>
          <w:szCs w:val="14"/>
          <w:color w:val="auto"/>
        </w:rPr>
        <w:t>The Selling Stockholders identified in this prospectus supplement may offer the Securities from time to time through public or private transactions at prevailing market prices or at privately negotiated prices, through a combination of these methods or any other method as the Selling Stockholders determine from time to time. See “Plan of Distribution.” Our registration of the Securities covered by this prospectus supplement does not mean that the Selling Stockholders will offer or sell any of the Securities.</w:t>
      </w:r>
    </w:p>
    <w:p>
      <w:pPr>
        <w:spacing w:after="0" w:line="81" w:lineRule="exact"/>
        <w:rPr>
          <w:sz w:val="24"/>
          <w:szCs w:val="24"/>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We have agreed to pay all expenses in connection with the registration of the Securities. The Selling Stockholders will pay all selling commissions and stock transfer taxes, if any, in connection with the sale of the Securities.</w:t>
      </w:r>
    </w:p>
    <w:p>
      <w:pPr>
        <w:spacing w:after="0" w:line="83" w:lineRule="exact"/>
        <w:rPr>
          <w:sz w:val="24"/>
          <w:szCs w:val="24"/>
          <w:color w:val="auto"/>
        </w:rPr>
      </w:pPr>
    </w:p>
    <w:p>
      <w:pPr>
        <w:jc w:val="both"/>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(“Nasdaq”) under the symbol “LCID.” On February 23, 2026, the last sale price of our Common Stock as reported on Nasdaq was $9.44.</w:t>
      </w:r>
    </w:p>
    <w:p>
      <w:pPr>
        <w:spacing w:after="0" w:line="70" w:lineRule="exact"/>
        <w:rPr>
          <w:sz w:val="24"/>
          <w:szCs w:val="24"/>
          <w:color w:val="auto"/>
        </w:rPr>
      </w:pPr>
    </w:p>
    <w:p>
      <w:pPr>
        <w:jc w:val="both"/>
        <w:ind w:left="1300" w:right="1319" w:firstLine="280"/>
        <w:spacing w:after="0" w:line="288" w:lineRule="auto"/>
        <w:rPr>
          <w:sz w:val="20"/>
          <w:szCs w:val="20"/>
          <w:color w:val="auto"/>
        </w:rPr>
      </w:pPr>
      <w:r>
        <w:rPr>
          <w:rFonts w:ascii="Times New Roman" w:cs="Times New Roman" w:eastAsia="Times New Roman" w:hAnsi="Times New Roman"/>
          <w:sz w:val="13"/>
          <w:szCs w:val="13"/>
          <w:b w:val="1"/>
          <w:bCs w:val="1"/>
          <w:color w:val="auto"/>
        </w:rPr>
        <w:t>Investing in our Securities involves risks. You should read carefully this prospectus supplement, the accompanying prospectus and the documents incorporated or deemed incorporated by reference into this prospectus supplement and the accompanying prospectus before you invest. See “Risk Factors” beginning on page S</w:t>
      </w:r>
      <w:r>
        <w:rPr>
          <w:rFonts w:ascii="Times New Roman" w:cs="Times New Roman" w:eastAsia="Times New Roman" w:hAnsi="Times New Roman"/>
          <w:sz w:val="13"/>
          <w:szCs w:val="13"/>
          <w:b w:val="1"/>
          <w:bCs w:val="1"/>
          <w:u w:val="single" w:color="auto"/>
          <w:color w:val="0000EE"/>
        </w:rPr>
        <w:t>-6</w:t>
      </w:r>
      <w:r>
        <w:rPr>
          <w:rFonts w:ascii="Times New Roman" w:cs="Times New Roman" w:eastAsia="Times New Roman" w:hAnsi="Times New Roman"/>
          <w:sz w:val="13"/>
          <w:szCs w:val="13"/>
          <w:b w:val="1"/>
          <w:bCs w:val="1"/>
          <w:color w:val="auto"/>
        </w:rPr>
        <w:t xml:space="preserve"> of this prospectus supplement for information on certain risks related to the purchase of our Securities.</w:t>
      </w:r>
    </w:p>
    <w:p>
      <w:pPr>
        <w:spacing w:after="0" w:line="60" w:lineRule="exact"/>
        <w:rPr>
          <w:sz w:val="24"/>
          <w:szCs w:val="24"/>
          <w:color w:val="auto"/>
        </w:rPr>
      </w:pPr>
    </w:p>
    <w:p>
      <w:pPr>
        <w:jc w:val="both"/>
        <w:ind w:left="1300" w:right="1319" w:firstLine="280"/>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Supplement dated February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723265</wp:posOffset>
            </wp:positionV>
            <wp:extent cx="531876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91" w:right="1440" w:bottom="1440" w:gutter="0" w:footer="0" w:header="0"/>
        </w:sectPr>
      </w:pPr>
    </w:p>
    <w:bookmarkStart w:id="1" w:name="page2"/>
    <w:bookmarkEnd w:id="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12065</wp:posOffset>
            </wp:positionV>
            <wp:extent cx="4058920" cy="13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27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58920" cy="127000"/>
                    </a:xfrm>
                    <a:prstGeom prst="rect">
                      <a:avLst/>
                    </a:prstGeom>
                    <a:noFill/>
                  </pic:spPr>
                </pic:pic>
              </a:graphicData>
            </a:graphic>
          </wp:anchor>
        </w:drawing>
      </w:r>
    </w:p>
    <w:p>
      <w:pPr>
        <w:spacing w:after="0" w:line="19" w:lineRule="exact"/>
        <w:rPr>
          <w:sz w:val="20"/>
          <w:szCs w:val="20"/>
          <w:color w:val="auto"/>
        </w:rPr>
      </w:pPr>
    </w:p>
    <w:p>
      <w:pPr>
        <w:ind w:left="1300" w:right="560"/>
        <w:spacing w:after="0" w:line="305" w:lineRule="auto"/>
        <w:rPr>
          <w:sz w:val="20"/>
          <w:szCs w:val="20"/>
          <w:color w:val="auto"/>
        </w:rPr>
      </w:pPr>
      <w:r>
        <w:rPr>
          <w:rFonts w:ascii="Times New Roman" w:cs="Times New Roman" w:eastAsia="Times New Roman" w:hAnsi="Times New Roman"/>
          <w:sz w:val="14"/>
          <w:szCs w:val="14"/>
          <w:u w:val="single" w:color="auto"/>
          <w:color w:val="0000EE"/>
        </w:rPr>
        <w:t>CAUTIONARY NOTE REGARDING FORWARD-LOOKING STATEMENTS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-16510</wp:posOffset>
            </wp:positionV>
            <wp:extent cx="4058920" cy="133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SELLING STOCKHOLDERS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VALIDITY OF THE SECURITIES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8255</wp:posOffset>
            </wp:positionV>
            <wp:extent cx="4062095" cy="127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62095" cy="127000"/>
                    </a:xfrm>
                    <a:prstGeom prst="rect">
                      <a:avLst/>
                    </a:prstGeom>
                    <a:noFill/>
                  </pic:spPr>
                </pic:pic>
              </a:graphicData>
            </a:graphic>
          </wp:anchor>
        </w:drawing>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FREQUENTLY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USED TERMS</w:t>
      </w:r>
    </w:p>
    <w:p>
      <w:pPr>
        <w:spacing w:after="0" w:line="49"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4"/>
          <w:szCs w:val="14"/>
          <w:color w:val="0000EE"/>
        </w:rPr>
        <w:t>CAUTIONARY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THE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COMPANY</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CAPITAL STOCK</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DEBT SECURITIES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SUBSCRIPTION RIGHTS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PURCHASE CONTRACTS AND 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SELLING</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SECURITYHOLDERS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5"/>
        </w:trPr>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140" w:type="dxa"/>
            <w:vAlign w:val="bottom"/>
          </w:tcPr>
          <w:p>
            <w:pPr>
              <w:spacing w:after="0"/>
              <w:rPr>
                <w:sz w:val="24"/>
                <w:szCs w:val="24"/>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86"/>
              </w:rPr>
              <w:t xml:space="preserve">Page </w:t>
            </w:r>
            <w:r>
              <w:rPr>
                <w:rFonts w:ascii="Times New Roman" w:cs="Times New Roman" w:eastAsia="Times New Roman" w:hAnsi="Times New Roman"/>
                <w:sz w:val="22"/>
                <w:szCs w:val="22"/>
                <w:b w:val="1"/>
                <w:bCs w:val="1"/>
                <w:color w:val="auto"/>
                <w:w w:val="86"/>
                <w:vertAlign w:val="subscript"/>
              </w:rPr>
              <w:t>​</w:t>
            </w:r>
          </w:p>
        </w:tc>
      </w:tr>
      <w:tr>
        <w:trPr>
          <w:trHeight w:val="20"/>
        </w:trPr>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07"/>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1"/>
        </w:trPr>
        <w:tc>
          <w:tcPr>
            <w:tcW w:w="1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tcPr>
          <w:p>
            <w:pPr>
              <w:jc w:val="right"/>
              <w:spacing w:after="0" w:line="131" w:lineRule="exact"/>
              <w:rPr>
                <w:sz w:val="20"/>
                <w:szCs w:val="20"/>
                <w:color w:val="auto"/>
              </w:rPr>
            </w:pPr>
            <w:r>
              <w:rPr>
                <w:rFonts w:ascii="Times New Roman" w:cs="Times New Roman" w:eastAsia="Times New Roman" w:hAnsi="Times New Roman"/>
                <w:sz w:val="14"/>
                <w:szCs w:val="14"/>
                <w:color w:val="0000EE"/>
                <w:w w:val="92"/>
              </w:rPr>
              <w:t>S-1</w:t>
            </w: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80"/>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2"/>
              </w:rPr>
              <w:t>S-2</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2"/>
              </w:rPr>
              <w:t>S-4</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92"/>
              </w:rPr>
              <w:t>S-6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auto"/>
                <w:w w:val="73"/>
              </w:rPr>
              <w:t>​</w:t>
            </w:r>
            <w:r>
              <w:rPr>
                <w:rFonts w:ascii="Times New Roman" w:cs="Times New Roman" w:eastAsia="Times New Roman" w:hAnsi="Times New Roman"/>
                <w:sz w:val="13"/>
                <w:szCs w:val="13"/>
                <w:color w:val="0000EE"/>
                <w:w w:val="73"/>
              </w:rPr>
              <w:t>S-10</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auto"/>
                <w:w w:val="73"/>
              </w:rPr>
              <w:t>​</w:t>
            </w:r>
            <w:r>
              <w:rPr>
                <w:rFonts w:ascii="Times New Roman" w:cs="Times New Roman" w:eastAsia="Times New Roman" w:hAnsi="Times New Roman"/>
                <w:sz w:val="13"/>
                <w:szCs w:val="13"/>
                <w:color w:val="0000EE"/>
                <w:w w:val="73"/>
              </w:rPr>
              <w:t>S-11</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auto"/>
                <w:w w:val="73"/>
              </w:rPr>
              <w:t>​</w:t>
            </w:r>
            <w:r>
              <w:rPr>
                <w:rFonts w:ascii="Times New Roman" w:cs="Times New Roman" w:eastAsia="Times New Roman" w:hAnsi="Times New Roman"/>
                <w:sz w:val="13"/>
                <w:szCs w:val="13"/>
                <w:color w:val="0000EE"/>
                <w:w w:val="73"/>
              </w:rPr>
              <w:t>S-13</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auto"/>
                <w:w w:val="73"/>
              </w:rPr>
              <w:t>​</w:t>
            </w:r>
            <w:r>
              <w:rPr>
                <w:rFonts w:ascii="Times New Roman" w:cs="Times New Roman" w:eastAsia="Times New Roman" w:hAnsi="Times New Roman"/>
                <w:sz w:val="13"/>
                <w:szCs w:val="13"/>
                <w:color w:val="0000EE"/>
                <w:w w:val="73"/>
              </w:rPr>
              <w:t>S-15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auto"/>
                <w:w w:val="73"/>
              </w:rPr>
              <w:t>​</w:t>
            </w:r>
            <w:r>
              <w:rPr>
                <w:rFonts w:ascii="Times New Roman" w:cs="Times New Roman" w:eastAsia="Times New Roman" w:hAnsi="Times New Roman"/>
                <w:sz w:val="13"/>
                <w:szCs w:val="13"/>
                <w:color w:val="0000EE"/>
                <w:w w:val="73"/>
              </w:rPr>
              <w:t>S-15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S-16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411"/>
        </w:trPr>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10</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30</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33</w:t>
      </w:r>
      <w:r>
        <w:rPr>
          <w:rFonts w:ascii="Times New Roman" w:cs="Times New Roman" w:eastAsia="Times New Roman" w:hAnsi="Times New Roman"/>
          <w:sz w:val="14"/>
          <w:szCs w:val="14"/>
          <w:color w:val="auto"/>
        </w:rPr>
        <w:t>​</w:t>
      </w:r>
    </w:p>
    <w:p>
      <w:pPr>
        <w:sectPr>
          <w:pgSz w:w="11900" w:h="16838" w:orient="portrait"/>
          <w:cols w:equalWidth="0" w:num="2">
            <w:col w:w="6520" w:space="720"/>
            <w:col w:w="1779"/>
          </w:cols>
          <w:pgMar w:left="1440" w:top="107" w:right="1440" w:bottom="1440" w:gutter="0" w:footer="0" w:header="0"/>
        </w:sectPr>
      </w:pPr>
    </w:p>
    <w:bookmarkStart w:id="2" w:name="page3"/>
    <w:bookmarkEnd w:id="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19" w:firstLine="280"/>
        <w:spacing w:after="0" w:line="253"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 this prospectus supplement, the accompanying prospectus or any applicable free writing prospectus filed by us with the Securities and Exchange Commission (the “SEC”). We and the Selling Stockholders have not authorized anyone to provide you with different information. This prospectus supplement, the accompanying prospectus and any applicable free writing prospectus do not constitute an offer to sell or the solicitation of an offer to buy any securities other than the registered securities to which they relate or an offer to sell or the solicitation of an offer to buy such securities in any circumstances in which such offer or solicitation is unlawful. You should not assume that the information contained in this prospectus supplement, the accompanying prospectus, the documents incorporated herein and therein by reference and any applicable free writing prospectus is accurate as of any date other than the date of the document containing the information. Our business, financial condition, results of operations and prospects may have changed materially since those dates.</w:t>
      </w:r>
    </w:p>
    <w:p>
      <w:pPr>
        <w:spacing w:after="0" w:line="267" w:lineRule="exact"/>
        <w:rPr>
          <w:sz w:val="20"/>
          <w:szCs w:val="20"/>
          <w:color w:val="auto"/>
        </w:rPr>
      </w:pPr>
    </w:p>
    <w:p>
      <w:pPr>
        <w:jc w:val="both"/>
        <w:ind w:left="1300" w:right="1319" w:firstLine="280"/>
        <w:spacing w:after="0" w:line="256"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 w:name="page4"/>
    <w:bookmarkEnd w:id="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25" w:lineRule="exact"/>
        <w:rPr>
          <w:sz w:val="20"/>
          <w:szCs w:val="20"/>
          <w:color w:val="auto"/>
        </w:rPr>
      </w:pPr>
    </w:p>
    <w:p>
      <w:pPr>
        <w:jc w:val="both"/>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part of a registration statement on Form S-3 that we filed with the SEC utilizing an automatic shelf registration process. Under this process, the Selling Stockholders named in this prospectus supplement may sell securities from time to time and in one or more offerings. The exhibits to the registration statement of which this prospectus supplement is a part and documents incorporated by reference herein contain the full text of certain contracts and other important documents that we have summarized in this prospectus supplement and the accompanying prospectus. Since these summaries may not contain all the information that you may find important in deciding whether to acquire or purchase Securities offered by this prospectus supplement, you should review the full text of these documents. The registration statement and the exhibits and other documents can be obtained from the SEC as indicated under the section entitled “Where You Can Find More Information.”</w:t>
      </w:r>
    </w:p>
    <w:p>
      <w:pPr>
        <w:spacing w:after="0" w:line="94"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Generally, when we refer to this “prospectus supplement,” we are referring to both this prospectus supplement and the accompanying prospectus, as well as the documents incorporated by reference herein and therein.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statements made in the accompanying prospectus and documents incorporated by reference therein.</w:t>
      </w:r>
    </w:p>
    <w:p>
      <w:pPr>
        <w:spacing w:after="0" w:line="80" w:lineRule="exact"/>
        <w:rPr>
          <w:sz w:val="20"/>
          <w:szCs w:val="20"/>
          <w:color w:val="auto"/>
        </w:rPr>
      </w:pPr>
    </w:p>
    <w:p>
      <w:pPr>
        <w:jc w:val="both"/>
        <w:ind w:left="1300" w:right="1339" w:firstLine="280"/>
        <w:spacing w:after="0" w:line="283" w:lineRule="auto"/>
        <w:rPr>
          <w:sz w:val="20"/>
          <w:szCs w:val="20"/>
          <w:color w:val="auto"/>
        </w:rPr>
      </w:pPr>
      <w:r>
        <w:rPr>
          <w:rFonts w:ascii="Times New Roman" w:cs="Times New Roman" w:eastAsia="Times New Roman" w:hAnsi="Times New Roman"/>
          <w:sz w:val="14"/>
          <w:szCs w:val="14"/>
          <w:color w:val="auto"/>
        </w:rPr>
        <w:t>The Selling Stockholders may offer the Securities directly or through one or more broker-dealers or agents. See “Plan of Distribution.”</w:t>
      </w:r>
    </w:p>
    <w:p>
      <w:pPr>
        <w:spacing w:after="0" w:line="72" w:lineRule="exact"/>
        <w:rPr>
          <w:sz w:val="20"/>
          <w:szCs w:val="20"/>
          <w:color w:val="auto"/>
        </w:rPr>
      </w:pPr>
    </w:p>
    <w:p>
      <w:pPr>
        <w:jc w:val="both"/>
        <w:ind w:left="1300" w:right="1319" w:firstLine="280"/>
        <w:spacing w:after="0" w:line="255" w:lineRule="auto"/>
        <w:rPr>
          <w:sz w:val="20"/>
          <w:szCs w:val="20"/>
          <w:color w:val="auto"/>
        </w:rPr>
      </w:pPr>
      <w:r>
        <w:rPr>
          <w:rFonts w:ascii="Times New Roman" w:cs="Times New Roman" w:eastAsia="Times New Roman" w:hAnsi="Times New Roman"/>
          <w:sz w:val="14"/>
          <w:szCs w:val="14"/>
          <w:color w:val="auto"/>
        </w:rPr>
        <w:t>The Securities are being offered by the Selling Stockholders only for sale in jurisdictions where it is lawful to make such offers. The distribution of this prospectus supplement and the accompanying prospectus and the offering of the Securities in other jurisdictions may also be restricted by law. Persons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authorized or qualified to do so or to any person to whom it is unlawful to make such offer or solicitation.</w:t>
      </w:r>
    </w:p>
    <w:p>
      <w:pPr>
        <w:spacing w:after="0" w:line="261" w:lineRule="exact"/>
        <w:rPr>
          <w:sz w:val="20"/>
          <w:szCs w:val="20"/>
          <w:color w:val="auto"/>
        </w:rPr>
      </w:pPr>
    </w:p>
    <w:p>
      <w:pPr>
        <w:jc w:val="both"/>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References to “we,” “us,” “our,” the “Company” and “Lucid” are references to Lucid Group, Inc. and its consolidated subsidiaries, unless it is clear from the context that we mean only Lucid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5" w:lineRule="exact"/>
        <w:rPr>
          <w:sz w:val="20"/>
          <w:szCs w:val="20"/>
          <w:color w:val="auto"/>
        </w:rPr>
      </w:pPr>
    </w:p>
    <w:p>
      <w:pPr>
        <w:jc w:val="both"/>
        <w:ind w:left="1300" w:right="1319" w:firstLine="280"/>
        <w:spacing w:after="0" w:line="241"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and the documents incorporated by reference into this prospectus supplement contain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prospectus supplement and the documents incorporated by reference into this prospectus supplement and the accompanying prospectus and include, but are not limited to, statements regarding our intentions, beliefs or current expectations concerning, among other things, results of operations, financial condition, liquidity, capital expenditures, prospects, growth, production volumes, strategies, management,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battery and powertrain systems, software, and strategic partnerships, technology features and capabilities, manufacturing capabilities and facilities, logistics and supply chain, studio openings, sales channels and strategies, future vehicle programs, expansion and the potential success of our distribution strategy, our financial and operating outlook, future market launches and international expansion, including our manufacturing facility in Saudi Arabia and related timing and value to us, our needs for additional financing, our search for a new CEO, and the promise of our technology. Such forward-looking statements are based on available current market material and our current expectations, beliefs and forecasts concerning future developments. Factors that may impact such forward-looking statements include:</w:t>
      </w:r>
    </w:p>
    <w:p>
      <w:pPr>
        <w:spacing w:after="0" w:line="392" w:lineRule="exact"/>
        <w:rPr>
          <w:sz w:val="20"/>
          <w:szCs w:val="20"/>
          <w:color w:val="auto"/>
        </w:rPr>
      </w:pPr>
    </w:p>
    <w:p>
      <w:pPr>
        <w:jc w:val="both"/>
        <w:ind w:left="1720" w:right="1319" w:hanging="131"/>
        <w:spacing w:after="0" w:line="258"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domestic and foreign business, economic, market, financial, political, regulatory and legal conditions, including changes of policies, imposition or proposed imposition of tariffs, export controls, threat of a trade war, the risk of a global economic recession or other downturn, bank closures and liquidity concerns at financial institutions, and global or regional conflicts or other geopolitical events, including recent geopolitical tensions in Venezuela;</w:t>
      </w:r>
    </w:p>
    <w:p>
      <w:pPr>
        <w:spacing w:after="0" w:line="49"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in overall demand for our products and services and cancellation of orders for our vehicles;</w:t>
      </w:r>
    </w:p>
    <w:p>
      <w:pPr>
        <w:spacing w:after="0" w:line="19" w:lineRule="exact"/>
        <w:rPr>
          <w:rFonts w:ascii="Times New Roman" w:cs="Times New Roman" w:eastAsia="Times New Roman" w:hAnsi="Times New Roman"/>
          <w:sz w:val="14"/>
          <w:szCs w:val="14"/>
          <w:color w:val="auto"/>
        </w:rPr>
      </w:pPr>
    </w:p>
    <w:p>
      <w:pPr>
        <w:jc w:val="both"/>
        <w:ind w:left="1720" w:right="1319" w:hanging="131"/>
        <w:spacing w:after="0" w:line="261"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prices and availability of commodities and components, including rare-earth minerals, semiconductors and their related products, and other materials, our supply chain, logistics, inventory management and quality control, and our ability to complete the tooling of our manufacturing facilities over time and scale production of our vehicles;</w:t>
      </w:r>
    </w:p>
    <w:p>
      <w:pPr>
        <w:spacing w:after="0" w:line="46"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uncertainty of our projected financial and operational information;</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timing of expected business milestones and commercial product launches;</w:t>
      </w:r>
    </w:p>
    <w:p>
      <w:pPr>
        <w:spacing w:after="0" w:line="70"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construction and expansion of our manufacturing facilities and the increase of our production capacity;</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expenses and control costs;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future market adoption of our offerings;</w:t>
      </w:r>
    </w:p>
    <w:p>
      <w:pPr>
        <w:spacing w:after="0" w:line="70"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competition and the pace and depth of electric vehicle (“EV”) adoption generally on our business;</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requirements, policies, and governmental incentives;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fuel and energy prices;</w:t>
      </w:r>
    </w:p>
    <w:p>
      <w:pPr>
        <w:spacing w:after="0" w:line="7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rapidly innovate;</w:t>
      </w:r>
    </w:p>
    <w:p>
      <w:pPr>
        <w:spacing w:after="0" w:line="80" w:lineRule="exact"/>
        <w:rPr>
          <w:rFonts w:ascii="Times New Roman" w:cs="Times New Roman" w:eastAsia="Times New Roman" w:hAnsi="Times New Roman"/>
          <w:sz w:val="14"/>
          <w:szCs w:val="14"/>
          <w:color w:val="auto"/>
        </w:rPr>
      </w:pPr>
    </w:p>
    <w:p>
      <w:pPr>
        <w:jc w:val="both"/>
        <w:ind w:left="1720" w:right="1319" w:hanging="131"/>
        <w:spacing w:after="0" w:line="267"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or maintain partnerships with original equipment manufacturers, vendors and technology providers, including our ability to realize the anticipated benefits of our partnerships with Aston Martin, Uber, Nuro, Inc. and NVIDIA Corporation;</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31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 and recruit and retain key employees, including our executive team;</w:t>
      </w:r>
    </w:p>
    <w:p>
      <w:pPr>
        <w:spacing w:after="0" w:line="40" w:lineRule="exact"/>
        <w:rPr>
          <w:rFonts w:ascii="Times New Roman" w:cs="Times New Roman" w:eastAsia="Times New Roman" w:hAnsi="Times New Roman"/>
          <w:sz w:val="14"/>
          <w:szCs w:val="14"/>
          <w:color w:val="auto"/>
        </w:rPr>
      </w:pPr>
    </w:p>
    <w:p>
      <w:pPr>
        <w:jc w:val="both"/>
        <w:ind w:left="1720" w:right="1319" w:hanging="131"/>
        <w:spacing w:after="0" w:line="267"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need to attract, retain, and motivate key employees, including engineering and management employees, as we have undertaken multiple significant management changes in the past, including our CEO;</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potential vehicle recalls;</w:t>
      </w:r>
    </w:p>
    <w:p>
      <w:pPr>
        <w:spacing w:after="0" w:line="91"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expand our brand, and capture additional market share, and the risks associated with negative press or reputational harm;</w:t>
      </w:r>
    </w:p>
    <w:p>
      <w:pPr>
        <w:spacing w:after="0" w:line="40"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outstanding Redeemable Convertible Preferred Stock (as defined below) and Convertible Senior Notes (as defined below);</w:t>
      </w:r>
    </w:p>
    <w:p>
      <w:pPr>
        <w:spacing w:after="0" w:line="40" w:lineRule="exact"/>
        <w:rPr>
          <w:rFonts w:ascii="Times New Roman" w:cs="Times New Roman" w:eastAsia="Times New Roman" w:hAnsi="Times New Roman"/>
          <w:sz w:val="14"/>
          <w:szCs w:val="14"/>
          <w:color w:val="auto"/>
        </w:rPr>
      </w:pPr>
    </w:p>
    <w:p>
      <w:pPr>
        <w:jc w:val="both"/>
        <w:ind w:left="1720" w:right="1319" w:hanging="131"/>
        <w:spacing w:after="0" w:line="276"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reduction or elimination of, and our ability to obtain and effectively utilize, zero emission vehicle credits, tax incentives, and other governmental and regulatory programs and incentives;</w:t>
      </w:r>
    </w:p>
    <w:p>
      <w:pPr>
        <w:spacing w:after="0" w:line="218"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conduct equity, equity-linked, or debt financing in the future;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pay interest and principal on our indebtedness;</w:t>
      </w:r>
    </w:p>
    <w:p>
      <w:pPr>
        <w:spacing w:after="0" w:line="91"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changes to vehicle specifications which may impact performance, features, pricing, and other expectations;</w:t>
      </w:r>
    </w:p>
    <w:p>
      <w:pPr>
        <w:spacing w:after="0" w:line="40"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potential litigation, government and regulatory proceedings, investigations and inquiries; and</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disclosed in this prospectus supplement or our other filings with the SEC.</w:t>
      </w:r>
    </w:p>
    <w:p>
      <w:pPr>
        <w:spacing w:after="0" w:line="123" w:lineRule="exact"/>
        <w:rPr>
          <w:sz w:val="20"/>
          <w:szCs w:val="20"/>
          <w:color w:val="auto"/>
        </w:rPr>
      </w:pPr>
    </w:p>
    <w:p>
      <w:pPr>
        <w:jc w:val="both"/>
        <w:ind w:left="1300" w:right="1319" w:firstLine="280"/>
        <w:spacing w:after="0" w:line="252"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supplement and the documents incorporated by reference into this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supplement and in our Annual Report on Form 10-K for the year ended December 31, 2025 incorporated by reference herein, and as may be updated in this prospectus supplement and in filings we make with the SEC. Should one or more of these risks or uncertainties materialize, or should any of the assumptions prove incorrect, actual results may vary in material respects from those projected in these forward-looking statements. There may be additional risks that we currently do not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supplement.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327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91330" cy="632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9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About Lucid</w:t>
      </w:r>
    </w:p>
    <w:p>
      <w:pPr>
        <w:spacing w:after="0" w:line="125" w:lineRule="exact"/>
        <w:rPr>
          <w:sz w:val="20"/>
          <w:szCs w:val="20"/>
          <w:color w:val="auto"/>
        </w:rPr>
      </w:pPr>
    </w:p>
    <w:p>
      <w:pPr>
        <w:jc w:val="both"/>
        <w:ind w:left="1320" w:right="1319" w:firstLine="280"/>
        <w:spacing w:after="0" w:line="257" w:lineRule="auto"/>
        <w:rPr>
          <w:sz w:val="20"/>
          <w:szCs w:val="20"/>
          <w:color w:val="auto"/>
        </w:rPr>
      </w:pPr>
      <w:r>
        <w:rPr>
          <w:rFonts w:ascii="Times New Roman" w:cs="Times New Roman" w:eastAsia="Times New Roman" w:hAnsi="Times New Roman"/>
          <w:sz w:val="14"/>
          <w:szCs w:val="14"/>
          <w:color w:val="auto"/>
        </w:rPr>
        <w:t>We are a technology company that is shaping the future of mobility through our innovations, advanced technology, and software-defined vehicle platforms. Our award-winning Lucid Air and Lucid Gravity set new standards with their unmatched combination of performance, range, space and efficiency. Our focus on in-house hardware and software innovation, vertical integration, and a “clean sheet” approach to engineering and design led to the development of the award-winning Lucid Air and Lucid Gravity, and upcoming Midsize platform.</w:t>
      </w:r>
    </w:p>
    <w:p>
      <w:pPr>
        <w:spacing w:after="0" w:line="263" w:lineRule="exact"/>
        <w:rPr>
          <w:sz w:val="20"/>
          <w:szCs w:val="20"/>
          <w:color w:val="auto"/>
        </w:rPr>
      </w:pPr>
    </w:p>
    <w:p>
      <w:pPr>
        <w:jc w:val="both"/>
        <w:ind w:left="1320" w:right="1299" w:firstLine="280"/>
        <w:spacing w:after="0" w:line="255" w:lineRule="auto"/>
        <w:rPr>
          <w:sz w:val="20"/>
          <w:szCs w:val="20"/>
          <w:color w:val="auto"/>
        </w:rPr>
      </w:pPr>
      <w:r>
        <w:rPr>
          <w:rFonts w:ascii="Times New Roman" w:cs="Times New Roman" w:eastAsia="Times New Roman" w:hAnsi="Times New Roman"/>
          <w:sz w:val="14"/>
          <w:szCs w:val="14"/>
          <w:color w:val="auto"/>
        </w:rPr>
        <w:t>We sell vehicles directly to consumers through our retail sales network and online channels, including Lucid Financial Services. We believe that owning and operating our sales network provides the best opportunity to closely manage the customer experience, gather direct feedback, and ensure that every interaction is tailored to customer needs. We are also actively exploring alternative importer and agency models to enhance flexibility and optimize our distribution strategy in response to evolving market dynamics. We also own and operate a vehicle service network comprised of service centers in major metropolitan areas and a fleet of mobile service vehicles. In addition to our in-house capabilities, we continue to grow an approved list of specially trained collision repair shops, which in some cases serve as repair hubs for mobile service.</w:t>
      </w:r>
    </w:p>
    <w:p>
      <w:pPr>
        <w:spacing w:after="0" w:line="251" w:lineRule="exact"/>
        <w:rPr>
          <w:sz w:val="20"/>
          <w:szCs w:val="20"/>
          <w:color w:val="auto"/>
        </w:rPr>
      </w:pPr>
    </w:p>
    <w:p>
      <w:pPr>
        <w:jc w:val="both"/>
        <w:ind w:left="1320" w:right="1319" w:firstLine="280"/>
        <w:spacing w:after="0" w:line="261" w:lineRule="auto"/>
        <w:rPr>
          <w:sz w:val="20"/>
          <w:szCs w:val="20"/>
          <w:color w:val="auto"/>
        </w:rPr>
      </w:pPr>
      <w:r>
        <w:rPr>
          <w:rFonts w:ascii="Times New Roman" w:cs="Times New Roman" w:eastAsia="Times New Roman" w:hAnsi="Times New Roman"/>
          <w:sz w:val="14"/>
          <w:szCs w:val="14"/>
          <w:color w:val="auto"/>
        </w:rPr>
        <w:t>We designed, developed, and now manufacture and sell two groundbreaking EVs: The Lucid Air sedan, for which customer deliveries began in late 2021, and the Lucid Gravity SUV, which arrived on the road in late 2024. We plan to expand our vehicle lineup with the upcoming Midsize platform vehicles, which is scheduled to start production in late 2026.</w:t>
      </w:r>
    </w:p>
    <w:p>
      <w:pPr>
        <w:spacing w:after="0" w:line="88" w:lineRule="exact"/>
        <w:rPr>
          <w:sz w:val="20"/>
          <w:szCs w:val="20"/>
          <w:color w:val="auto"/>
        </w:rPr>
      </w:pPr>
    </w:p>
    <w:p>
      <w:pPr>
        <w:jc w:val="both"/>
        <w:ind w:left="1320" w:right="1319" w:firstLine="280"/>
        <w:spacing w:after="0" w:line="258" w:lineRule="auto"/>
        <w:rPr>
          <w:sz w:val="20"/>
          <w:szCs w:val="20"/>
          <w:color w:val="auto"/>
        </w:rPr>
      </w:pPr>
      <w:r>
        <w:rPr>
          <w:rFonts w:ascii="Times New Roman" w:cs="Times New Roman" w:eastAsia="Times New Roman" w:hAnsi="Times New Roman"/>
          <w:sz w:val="14"/>
          <w:szCs w:val="14"/>
          <w:color w:val="auto"/>
        </w:rPr>
        <w:t>Introducing a new vehicle is challenging and complex, particularly at our accelerated pace, and we are leveraging insights gained from our Lucid Air and Lucid Gravity production ramps while planning for our Midsize production. The highly uncertain macroeconomic environment and swift-moving trade policies further complicate these efforts. In response to this uncertainty, we are diligently working to optimize our supply chain and manufacturing plans.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25" w:lineRule="exact"/>
        <w:rPr>
          <w:sz w:val="20"/>
          <w:szCs w:val="20"/>
          <w:color w:val="auto"/>
        </w:rPr>
      </w:pPr>
    </w:p>
    <w:p>
      <w:pPr>
        <w:jc w:val="both"/>
        <w:ind w:left="1320" w:right="1299" w:firstLine="280"/>
        <w:spacing w:after="0" w:line="257" w:lineRule="auto"/>
        <w:rPr>
          <w:sz w:val="20"/>
          <w:szCs w:val="20"/>
          <w:color w:val="auto"/>
        </w:rPr>
      </w:pPr>
      <w:r>
        <w:rPr>
          <w:rFonts w:ascii="Times New Roman" w:cs="Times New Roman" w:eastAsia="Times New Roman" w:hAnsi="Times New Roman"/>
          <w:sz w:val="14"/>
          <w:szCs w:val="14"/>
          <w:color w:val="auto"/>
        </w:rPr>
        <w:t>Lucid Group, Inc. is a Delaware corporation. Our principal executive office is located at 7373 Gateway Boulevard, Newark, CA 94560 and our telephone number is (510) 648-3553. We maintain a website at https://www.lucidmotors.com. The information on, or accessible through, our website is not incorporated by reference in this prospectus supplement or the accompanying prospectus, and you should not consider it a part of this prospectus supplement or the accompanying prospectus. We have included our website address only as an inactive textual reference.</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Controlled Company Exemption</w:t>
      </w:r>
    </w:p>
    <w:p>
      <w:pPr>
        <w:spacing w:after="0" w:line="114" w:lineRule="exact"/>
        <w:rPr>
          <w:sz w:val="20"/>
          <w:szCs w:val="20"/>
          <w:color w:val="auto"/>
        </w:rPr>
      </w:pPr>
    </w:p>
    <w:p>
      <w:pPr>
        <w:jc w:val="both"/>
        <w:ind w:left="1320" w:right="1319" w:firstLine="280"/>
        <w:spacing w:after="0" w:line="257" w:lineRule="auto"/>
        <w:rPr>
          <w:sz w:val="20"/>
          <w:szCs w:val="20"/>
          <w:color w:val="auto"/>
        </w:rPr>
      </w:pPr>
      <w:r>
        <w:rPr>
          <w:rFonts w:ascii="Times New Roman" w:cs="Times New Roman" w:eastAsia="Times New Roman" w:hAnsi="Times New Roman"/>
          <w:sz w:val="14"/>
          <w:szCs w:val="14"/>
          <w:color w:val="auto"/>
        </w:rPr>
        <w:t>As of December 31, 2025, the PIF, both directly and indirectly through Ayar, held over 50% of the voting power for the election of our directors.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eight directors to our Board of Directors (the “Board”).</w:t>
      </w:r>
    </w:p>
    <w:p>
      <w:pPr>
        <w:spacing w:after="0" w:line="3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Uber Private Placement</w:t>
      </w:r>
    </w:p>
    <w:p>
      <w:pPr>
        <w:spacing w:after="0" w:line="125" w:lineRule="exact"/>
        <w:rPr>
          <w:sz w:val="20"/>
          <w:szCs w:val="20"/>
          <w:color w:val="auto"/>
        </w:rPr>
      </w:pPr>
    </w:p>
    <w:p>
      <w:pPr>
        <w:jc w:val="both"/>
        <w:ind w:left="1320" w:right="1299" w:firstLine="280"/>
        <w:spacing w:after="0" w:line="261" w:lineRule="auto"/>
        <w:rPr>
          <w:sz w:val="20"/>
          <w:szCs w:val="20"/>
          <w:color w:val="auto"/>
        </w:rPr>
      </w:pPr>
      <w:r>
        <w:rPr>
          <w:rFonts w:ascii="Times New Roman" w:cs="Times New Roman" w:eastAsia="Times New Roman" w:hAnsi="Times New Roman"/>
          <w:sz w:val="14"/>
          <w:szCs w:val="14"/>
          <w:color w:val="auto"/>
        </w:rPr>
        <w:t>On July 16, 2025, we entered into the Uber Subscription Agreement with SMB, under which we agreed to issue and SMB agreed to purchase, in a private placement, shares of our Common Stock equal to</w:t>
      </w:r>
    </w:p>
    <w:p>
      <w:pPr>
        <w:spacing w:after="0" w:line="1" w:lineRule="exact"/>
        <w:rPr>
          <w:sz w:val="20"/>
          <w:szCs w:val="20"/>
          <w:color w:val="auto"/>
        </w:rPr>
      </w:pPr>
    </w:p>
    <w:p>
      <w:pPr>
        <w:jc w:val="both"/>
        <w:ind w:left="1320" w:right="1319" w:firstLine="2"/>
        <w:spacing w:after="0" w:line="253" w:lineRule="auto"/>
        <w:tabs>
          <w:tab w:leader="none" w:pos="151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$300.0 million in cash divided by (ii) an amount equal to the arithmetic average of the daily volume-weighted average price of the Common Stock over a period of thirty (30) consecutive trading days ending on, and including, July 15, 2025. In September 2025, we consummated the private placement of shares to SMB pursuant to the Uber Subscription Agreement and issued 13,715,121 shares of Common Stock to SMB. Under the Uber Subscription Agreement, we provided certain registration rights to SMB for shares of</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320" w:right="1319"/>
        <w:spacing w:after="0" w:line="283" w:lineRule="auto"/>
        <w:rPr>
          <w:sz w:val="20"/>
          <w:szCs w:val="20"/>
          <w:color w:val="auto"/>
        </w:rPr>
      </w:pPr>
      <w:r>
        <w:rPr>
          <w:rFonts w:ascii="Times New Roman" w:cs="Times New Roman" w:eastAsia="Times New Roman" w:hAnsi="Times New Roman"/>
          <w:sz w:val="14"/>
          <w:szCs w:val="14"/>
          <w:color w:val="auto"/>
        </w:rPr>
        <w:t>Common Stock issued to them thereunder, pursuant to which we are filing this prospectus supplement for such shares, but SMB cannot sell such shares until March 2027. See “Selling Stockholders.”</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Ayar Prepaid Forward Transactions</w:t>
      </w:r>
    </w:p>
    <w:p>
      <w:pPr>
        <w:spacing w:after="0" w:line="125" w:lineRule="exact"/>
        <w:rPr>
          <w:sz w:val="20"/>
          <w:szCs w:val="20"/>
          <w:color w:val="auto"/>
        </w:rPr>
      </w:pPr>
    </w:p>
    <w:p>
      <w:pPr>
        <w:jc w:val="both"/>
        <w:ind w:left="1320" w:right="1319" w:firstLine="280"/>
        <w:spacing w:after="0" w:line="257" w:lineRule="auto"/>
        <w:rPr>
          <w:sz w:val="20"/>
          <w:szCs w:val="20"/>
          <w:color w:val="auto"/>
        </w:rPr>
      </w:pPr>
      <w:r>
        <w:rPr>
          <w:rFonts w:ascii="Times New Roman" w:cs="Times New Roman" w:eastAsia="Times New Roman" w:hAnsi="Times New Roman"/>
          <w:sz w:val="14"/>
          <w:szCs w:val="14"/>
          <w:color w:val="auto"/>
        </w:rPr>
        <w:t>On April 2, 2025, in connection with the offering of our 5.00% Convertible Senior Notes due 2030 (the “2030 Notes”), Ayar entered into a privately negotiated prepaid forward transaction (the “April Prepaid Forward Transaction”) with a forward counterparty that is an affiliate of one of the initial purchasers of such offering, pursuant to which Ayar will purchase 17,916,666 shares of our Common Stock, with delivery of those shares to occur on or about the maturity date for the 2030 Notes, subject to the right of the forward counterparty to elect to settle all or a portion of the April Prepaid Forward Transaction early.</w:t>
      </w:r>
    </w:p>
    <w:p>
      <w:pPr>
        <w:spacing w:after="0" w:line="90" w:lineRule="exact"/>
        <w:rPr>
          <w:sz w:val="20"/>
          <w:szCs w:val="20"/>
          <w:color w:val="auto"/>
        </w:rPr>
      </w:pPr>
    </w:p>
    <w:p>
      <w:pPr>
        <w:jc w:val="both"/>
        <w:ind w:left="1320" w:right="1319" w:firstLine="280"/>
        <w:spacing w:after="0" w:line="255" w:lineRule="auto"/>
        <w:rPr>
          <w:sz w:val="20"/>
          <w:szCs w:val="20"/>
          <w:color w:val="auto"/>
        </w:rPr>
      </w:pPr>
      <w:r>
        <w:rPr>
          <w:rFonts w:ascii="Times New Roman" w:cs="Times New Roman" w:eastAsia="Times New Roman" w:hAnsi="Times New Roman"/>
          <w:sz w:val="14"/>
          <w:szCs w:val="14"/>
          <w:color w:val="auto"/>
        </w:rPr>
        <w:t>On November 11, 2025, in connection with the offering of our 7.00% Convertible Senior Notes due 2031 (the “2031 Notes”), Ayar entered into a privately negotiated prepaid forward transaction (the “November Prepaid Forward Transaction,” and together with the April Prepaid Forward Transaction, the “Prepaid Forward Transactions”) with a forward counterparty that is an affiliate of one of the initial purchasers of such offering, pursuant to which Ayar will purchase 37,477,050 shares of our Common Stock, with delivery of those shares to occur on or about the maturity date for the 2031 Notes, subject to right of the forward counterparty to elect to settle all or a portion of the November Prepaid Forward Transaction early.</w:t>
      </w:r>
    </w:p>
    <w:p>
      <w:pPr>
        <w:spacing w:after="0" w:line="253" w:lineRule="exact"/>
        <w:rPr>
          <w:sz w:val="20"/>
          <w:szCs w:val="20"/>
          <w:color w:val="auto"/>
        </w:rPr>
      </w:pPr>
    </w:p>
    <w:p>
      <w:pPr>
        <w:jc w:val="both"/>
        <w:ind w:left="1320" w:right="1319" w:firstLine="280"/>
        <w:spacing w:after="0" w:line="267" w:lineRule="auto"/>
        <w:rPr>
          <w:sz w:val="20"/>
          <w:szCs w:val="20"/>
          <w:color w:val="auto"/>
        </w:rPr>
      </w:pPr>
      <w:r>
        <w:rPr>
          <w:rFonts w:ascii="Times New Roman" w:cs="Times New Roman" w:eastAsia="Times New Roman" w:hAnsi="Times New Roman"/>
          <w:sz w:val="14"/>
          <w:szCs w:val="14"/>
          <w:color w:val="auto"/>
        </w:rPr>
        <w:t>Subject to the conditions set forth in the respective agreement governing each Prepaid Forward Transaction, the Prepaid Forward Transactions will be physically settled unless Ayar elects to cash settle any portion of the Prepaid Forward Transactions.</w:t>
      </w:r>
    </w:p>
    <w:p>
      <w:pPr>
        <w:spacing w:after="0" w:line="83" w:lineRule="exact"/>
        <w:rPr>
          <w:sz w:val="20"/>
          <w:szCs w:val="20"/>
          <w:color w:val="auto"/>
        </w:rPr>
      </w:pPr>
    </w:p>
    <w:p>
      <w:pPr>
        <w:jc w:val="both"/>
        <w:ind w:left="1320" w:right="1299" w:firstLine="280"/>
        <w:spacing w:after="0" w:line="258" w:lineRule="auto"/>
        <w:rPr>
          <w:sz w:val="20"/>
          <w:szCs w:val="20"/>
          <w:color w:val="auto"/>
        </w:rPr>
      </w:pPr>
      <w:r>
        <w:rPr>
          <w:rFonts w:ascii="Times New Roman" w:cs="Times New Roman" w:eastAsia="Times New Roman" w:hAnsi="Times New Roman"/>
          <w:sz w:val="14"/>
          <w:szCs w:val="14"/>
          <w:color w:val="auto"/>
        </w:rPr>
        <w:t>In connection with the Prepaid Forward Transactions, we entered into an amendment to the investor rights agreement, dated as of February 22, 2021 and as amended from time-to-time, by and among the Company, Ayar and certain other parties thereto (the “Investor Rights Agreement”), pursuant to which we are filing this prospectus supplement with respect to the shares of Common Stock Ayar is entitled to purchase under the Prepaid Forward Transactions. See “Selling Stockholders.”</w:t>
      </w:r>
    </w:p>
    <w:p>
      <w:pPr>
        <w:spacing w:after="0" w:line="9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3" w:lineRule="exact"/>
        <w:rPr>
          <w:sz w:val="20"/>
          <w:szCs w:val="20"/>
          <w:color w:val="auto"/>
        </w:rPr>
      </w:pPr>
    </w:p>
    <w:p>
      <w:pPr>
        <w:jc w:val="both"/>
        <w:ind w:left="1300" w:right="1319" w:firstLine="280"/>
        <w:spacing w:after="0" w:line="244" w:lineRule="auto"/>
        <w:rPr>
          <w:rFonts w:ascii="Times New Roman" w:cs="Times New Roman" w:eastAsia="Times New Roman" w:hAnsi="Times New Roman"/>
          <w:sz w:val="14"/>
          <w:szCs w:val="14"/>
          <w:i w:val="1"/>
          <w:iCs w:val="1"/>
          <w:color w:val="0000EE"/>
        </w:rPr>
      </w:pPr>
      <w:r>
        <w:rPr>
          <w:rFonts w:ascii="Times New Roman" w:cs="Times New Roman" w:eastAsia="Times New Roman" w:hAnsi="Times New Roman"/>
          <w:sz w:val="14"/>
          <w:szCs w:val="14"/>
          <w:i w:val="1"/>
          <w:iCs w:val="1"/>
          <w:color w:val="auto"/>
        </w:rPr>
        <w:t xml:space="preserve">An investment in our Securities involves a high degree of risk. Before you invest in our Securities you should carefully consider the risks and uncertainties described below, as well as those risk factors described </w:t>
      </w:r>
      <w:hyperlink r:id="rId35">
        <w:r>
          <w:rPr>
            <w:rFonts w:ascii="Times New Roman" w:cs="Times New Roman" w:eastAsia="Times New Roman" w:hAnsi="Times New Roman"/>
            <w:sz w:val="14"/>
            <w:szCs w:val="14"/>
            <w:i w:val="1"/>
            <w:iCs w:val="1"/>
            <w:color w:val="auto"/>
          </w:rPr>
          <w:t xml:space="preserve">under, but not limited to, the heading “Risk Factors” in our most recent </w:t>
        </w:r>
        <w:r>
          <w:rPr>
            <w:rFonts w:ascii="Times New Roman" w:cs="Times New Roman" w:eastAsia="Times New Roman" w:hAnsi="Times New Roman"/>
            <w:sz w:val="14"/>
            <w:szCs w:val="14"/>
            <w:i w:val="1"/>
            <w:iCs w:val="1"/>
            <w:u w:val="single" w:color="auto"/>
            <w:color w:val="0000EE"/>
          </w:rPr>
          <w:t>Annual Report on Form 10 -K for</w:t>
        </w:r>
      </w:hyperlink>
      <w:r>
        <w:rPr>
          <w:rFonts w:ascii="Times New Roman" w:cs="Times New Roman" w:eastAsia="Times New Roman" w:hAnsi="Times New Roman"/>
          <w:sz w:val="14"/>
          <w:szCs w:val="14"/>
          <w:i w:val="1"/>
          <w:iCs w:val="1"/>
          <w:color w:val="auto"/>
        </w:rPr>
        <w:t xml:space="preserve"> </w:t>
      </w:r>
      <w:hyperlink r:id="rId35">
        <w:r>
          <w:rPr>
            <w:rFonts w:ascii="Times New Roman" w:cs="Times New Roman" w:eastAsia="Times New Roman" w:hAnsi="Times New Roman"/>
            <w:sz w:val="14"/>
            <w:szCs w:val="14"/>
            <w:i w:val="1"/>
            <w:iCs w:val="1"/>
            <w:u w:val="single" w:color="auto"/>
            <w:color w:val="0000EE"/>
          </w:rPr>
          <w:t>the year ended December 31, 2025,</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which is incorporated by reference herein, as well as the other</w:t>
        </w:r>
      </w:hyperlink>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information contained or incorporated by reference into this prospectus supplement or the accompanying prospectus. If any of these risks were actually to occur, our business, financial condition or results of operations could be materially adversely affected. In that case, the value of our Securities could decline, and you could lose part or all of your investment. Additional risks not presently known to us or that we currently believe are immaterial may also significantly impair our business operations and financial condition. Please read “Cautionary Note Regarding Forward-Looking Statements.”</w:t>
      </w:r>
    </w:p>
    <w:p>
      <w:pPr>
        <w:spacing w:after="0" w:line="140" w:lineRule="exact"/>
        <w:rPr>
          <w:sz w:val="20"/>
          <w:szCs w:val="20"/>
          <w:color w:val="auto"/>
        </w:rPr>
      </w:pPr>
    </w:p>
    <w:p>
      <w:pPr>
        <w:jc w:val="both"/>
        <w:ind w:left="1300" w:right="131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The issuance of additional shares of our Common Stock or other equity or equity-linked securities, including upon conversion, optional redemption or repurchase of convertible securities, or sales of a significant portion of our Common Stock, could depress the market price of our Common Stock.</w:t>
      </w:r>
    </w:p>
    <w:p>
      <w:pPr>
        <w:spacing w:after="0" w:line="78" w:lineRule="exact"/>
        <w:rPr>
          <w:sz w:val="20"/>
          <w:szCs w:val="20"/>
          <w:color w:val="auto"/>
        </w:rPr>
      </w:pPr>
    </w:p>
    <w:p>
      <w:pPr>
        <w:jc w:val="both"/>
        <w:ind w:left="1300" w:right="1319" w:firstLine="280"/>
        <w:spacing w:after="0" w:line="242" w:lineRule="auto"/>
        <w:rPr>
          <w:sz w:val="20"/>
          <w:szCs w:val="20"/>
          <w:color w:val="auto"/>
        </w:rPr>
      </w:pPr>
      <w:r>
        <w:rPr>
          <w:rFonts w:ascii="Times New Roman" w:cs="Times New Roman" w:eastAsia="Times New Roman" w:hAnsi="Times New Roman"/>
          <w:sz w:val="14"/>
          <w:szCs w:val="14"/>
          <w:color w:val="auto"/>
        </w:rPr>
        <w:t>Future issuances of shares of our Common Stock, or of securities convertible into or exercisable for our Common Stock, could depress the market price of our Common Stock and result in significant dilution for holders of our Common Stock. This includes the potential issuance of a substantial number of shares of our Common Stock upon the conversion, optional redemption, or repurchase of our Series A Convertible Preferred Stock, par value $0.0001 per share (“Series A Redeemable Convertible Preferred Stock”) and Series B Convertible Preferred Stock, par value $0.0001 per share (“Series B Redeemable Convertible Preferred Stock,” together with the Series A Redeemable Convertible Preferred Stock, the “Redeemable Convertible Preferred Stock”). The Redeemable Convertible Preferred Stock is convertible into our Common Stock at specified conversion prices, subject to customary anti-dilution adjustments, and the number of shares issuable upon conversion may increase over time due to the compounding of dividends at an initial rate of 9% per annum, which are not subject to any cap or sunset provisions and may accrue in perpetuity. As a result, the number of shares of Common Stock issuable upon conversion of the Redeemable Convertible Preferred Stock may continue to increase, further diluting the ownership interests of existing common stockholders.</w:t>
      </w:r>
    </w:p>
    <w:p>
      <w:pPr>
        <w:spacing w:after="0" w:line="255" w:lineRule="exact"/>
        <w:rPr>
          <w:sz w:val="20"/>
          <w:szCs w:val="20"/>
          <w:color w:val="auto"/>
        </w:rPr>
      </w:pPr>
    </w:p>
    <w:p>
      <w:pPr>
        <w:jc w:val="both"/>
        <w:ind w:left="1300" w:right="1319" w:firstLine="280"/>
        <w:spacing w:after="0" w:line="242" w:lineRule="auto"/>
        <w:rPr>
          <w:sz w:val="20"/>
          <w:szCs w:val="20"/>
          <w:color w:val="auto"/>
        </w:rPr>
      </w:pPr>
      <w:r>
        <w:rPr>
          <w:rFonts w:ascii="Times New Roman" w:cs="Times New Roman" w:eastAsia="Times New Roman" w:hAnsi="Times New Roman"/>
          <w:sz w:val="14"/>
          <w:szCs w:val="14"/>
          <w:color w:val="auto"/>
        </w:rPr>
        <w:t>In addition, in certain circumstances, including in connection with a mandatory conversion, optional redemption, or a fundamental change (as defined in the respective Certificate of Designations of the Redeemable Convertible Preferred Stock), holders of the Redeemable Convertible Preferred Stock may be entitled to receive Minimum Consideration (as defined in the respective Certificate of Designations of the Redeemable Convertible Preferred Stock). If the value of the Minimum Consideration exceeds the Accrued Value (as defined in the respective Certificate of Designations of the Redeemable Convertible Preferred Stock) of the Redeemable Convertible Preferred Stock, we would be required to issue a number of shares of Common Stock that is presently indeterminable and, particularly if our stock price is substantially below the initial conversion price, such issuances could result in significant dilution to the common stockholders which could have a material adverse effect on the market prices of our Common Stock and on our financial condition, liquidity, and ability to obtain additional financing. The exercise of our outstanding warrants and options, the vesting and settlement of our restricted stock units and the conversion of our 1.25% Convertible Senior Notes due 2026 (“2026 Notes”), 2030 Notes and 2031 Notes (collectively, the “Convertible Senior Notes”) may also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spacing w:after="0" w:line="252" w:lineRule="exact"/>
        <w:rPr>
          <w:sz w:val="20"/>
          <w:szCs w:val="20"/>
          <w:color w:val="auto"/>
        </w:rPr>
      </w:pPr>
    </w:p>
    <w:p>
      <w:pPr>
        <w:jc w:val="both"/>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The market price of shares of our Common Stock could decline as a result of substantial sales of Common Stock or securities convertible into shares of Common Stock, particularly by our significant stockholders, a large number of shares of Common Stock becoming available for sale or the perception in the market that holders of a large number of shares intend to sell their shares.</w:t>
      </w:r>
    </w:p>
    <w:p>
      <w:pPr>
        <w:spacing w:after="0" w:line="83" w:lineRule="exact"/>
        <w:rPr>
          <w:sz w:val="20"/>
          <w:szCs w:val="20"/>
          <w:color w:val="auto"/>
        </w:rPr>
      </w:pPr>
    </w:p>
    <w:p>
      <w:pPr>
        <w:jc w:val="both"/>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1300" w:right="131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Securities or industry analysts may or may not publish research or reports about us, our business, our market, or change their recommendations regarding our Common Stock adversely, which could cause the price and trading volume of our Common Stock to decline.</w:t>
      </w:r>
    </w:p>
    <w:p>
      <w:pPr>
        <w:spacing w:after="0" w:line="78" w:lineRule="exact"/>
        <w:rPr>
          <w:sz w:val="20"/>
          <w:szCs w:val="20"/>
          <w:color w:val="auto"/>
        </w:rPr>
      </w:pPr>
    </w:p>
    <w:p>
      <w:pPr>
        <w:jc w:val="both"/>
        <w:ind w:left="1300" w:right="1319" w:firstLine="280"/>
        <w:spacing w:after="0" w:line="245" w:lineRule="auto"/>
        <w:rPr>
          <w:sz w:val="20"/>
          <w:szCs w:val="20"/>
          <w:color w:val="auto"/>
        </w:rPr>
      </w:pPr>
      <w:r>
        <w:rPr>
          <w:rFonts w:ascii="Times New Roman" w:cs="Times New Roman" w:eastAsia="Times New Roman" w:hAnsi="Times New Roman"/>
          <w:sz w:val="14"/>
          <w:szCs w:val="14"/>
          <w:color w:val="auto"/>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305" w:lineRule="exact"/>
        <w:rPr>
          <w:sz w:val="20"/>
          <w:szCs w:val="20"/>
          <w:color w:val="auto"/>
        </w:rPr>
      </w:pPr>
    </w:p>
    <w:p>
      <w:pPr>
        <w:jc w:val="both"/>
        <w:ind w:left="1300" w:right="1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price of our Common Stock has been, and may continue to be, volatile, and this volatility may negatively impact the trading price of our Common Stock.</w:t>
      </w:r>
    </w:p>
    <w:p>
      <w:pPr>
        <w:spacing w:after="0" w:line="60" w:lineRule="exact"/>
        <w:rPr>
          <w:sz w:val="20"/>
          <w:szCs w:val="20"/>
          <w:color w:val="auto"/>
        </w:rPr>
      </w:pPr>
    </w:p>
    <w:p>
      <w:pPr>
        <w:jc w:val="both"/>
        <w:ind w:left="1300" w:right="1319" w:firstLine="280"/>
        <w:spacing w:after="0" w:line="244" w:lineRule="auto"/>
        <w:rPr>
          <w:sz w:val="20"/>
          <w:szCs w:val="20"/>
          <w:color w:val="auto"/>
        </w:rPr>
      </w:pPr>
      <w:r>
        <w:rPr>
          <w:rFonts w:ascii="Times New Roman" w:cs="Times New Roman" w:eastAsia="Times New Roman" w:hAnsi="Times New Roman"/>
          <w:sz w:val="14"/>
          <w:szCs w:val="14"/>
          <w:color w:val="auto"/>
        </w:rPr>
        <w:t>The trading price of our Common Stock has fluctuated substantially. The trading price of our Common Stock depends on many factors, including those described elsewhere in this “Risk Factors” section, many of which are beyond our control and may not be related to our operating performance. These fluctuations could cause investors to lose all or part of the investment in our Common Stock since investors might be unable to sell them at or above the price the investor paid for them. Any of the factors listed below could have a material adverse effect on your investment in our Common Stock and our Common Stock may trade at prices significantly below the price you paid for it. In such circumstances, the trading price of our Common Stock may not recover and may experience a further decline.</w:t>
      </w:r>
    </w:p>
    <w:p>
      <w:pPr>
        <w:spacing w:after="0" w:line="8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Factors affecting the trading price of our Common Stock may include:</w:t>
      </w:r>
    </w:p>
    <w:p>
      <w:pPr>
        <w:spacing w:after="0" w:line="91" w:lineRule="exact"/>
        <w:rPr>
          <w:sz w:val="20"/>
          <w:szCs w:val="20"/>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broader stock market in general, or in our industry in particular;</w:t>
      </w:r>
    </w:p>
    <w:p>
      <w:pPr>
        <w:spacing w:after="0" w:line="80"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or operating results or the quarterly financial or operating results of companies perceived to be similar to ours;</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expectations about our operating results;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80" w:lineRule="exact"/>
        <w:rPr>
          <w:rFonts w:ascii="Times New Roman" w:cs="Times New Roman" w:eastAsia="Times New Roman" w:hAnsi="Times New Roman"/>
          <w:sz w:val="14"/>
          <w:szCs w:val="14"/>
          <w:color w:val="auto"/>
        </w:rPr>
      </w:pPr>
    </w:p>
    <w:p>
      <w:pPr>
        <w:jc w:val="both"/>
        <w:ind w:left="1720" w:right="1319" w:hanging="131"/>
        <w:spacing w:after="0" w:line="276"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financial projections and any other guidance or metrics that we may publicly disclose, including any decision to adjust or withdraw such financial projections, guidance or metrics;</w:t>
      </w:r>
    </w:p>
    <w:p>
      <w:pPr>
        <w:spacing w:after="0" w:line="207"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91"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competitors’ businesses or the competitive landscape generally;</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lower-than-anticipated industry-wide EV adoption rates or perception that EV demand is slowing;</w:t>
      </w:r>
    </w:p>
    <w:p>
      <w:pPr>
        <w:spacing w:after="0" w:line="80"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results failing to meet the expectation of securities analysts or investors in a particular period;</w:t>
      </w:r>
    </w:p>
    <w:p>
      <w:pPr>
        <w:spacing w:after="0" w:line="40"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achievement of objectives under our business plan and the timing and amount of costs we incur in connection therewith;</w:t>
      </w:r>
    </w:p>
    <w:p>
      <w:pPr>
        <w:spacing w:after="0" w:line="30"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and recommendations by securities analysts concerning us or the market in general;</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stock price performance of other companies that investors deem comparable to ours;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reaction to any of our strategic partners;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or investigations involving us;</w:t>
      </w:r>
    </w:p>
    <w:p>
      <w:pPr>
        <w:spacing w:after="0" w:line="91" w:lineRule="exact"/>
        <w:rPr>
          <w:rFonts w:ascii="Times New Roman" w:cs="Times New Roman" w:eastAsia="Times New Roman" w:hAnsi="Times New Roman"/>
          <w:sz w:val="14"/>
          <w:szCs w:val="14"/>
          <w:color w:val="auto"/>
        </w:rPr>
      </w:pPr>
    </w:p>
    <w:p>
      <w:pPr>
        <w:ind w:left="1720" w:right="1319" w:hanging="131"/>
        <w:spacing w:after="0" w:line="261"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additional debt;</w:t>
      </w:r>
    </w:p>
    <w:p>
      <w:pPr>
        <w:spacing w:after="0" w:line="234"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our Common Stock available for public sale, including as a result of conversion of our Convertible Senior Notes or our Redeemable Convertible Preferred Stock;</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0" w:name="page11"/>
    <w:bookmarkEnd w:id="1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 in our Board or management;</w:t>
      </w:r>
    </w:p>
    <w:p>
      <w:pPr>
        <w:spacing w:after="0" w:line="91"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our Common Stock by our directors, officers or significant stockholders or the perception that such sales could occur;</w:t>
      </w:r>
    </w:p>
    <w:p>
      <w:pPr>
        <w:spacing w:after="0" w:line="51" w:lineRule="exact"/>
        <w:rPr>
          <w:rFonts w:ascii="Times New Roman" w:cs="Times New Roman" w:eastAsia="Times New Roman" w:hAnsi="Times New Roman"/>
          <w:sz w:val="14"/>
          <w:szCs w:val="14"/>
          <w:color w:val="auto"/>
        </w:rPr>
      </w:pPr>
    </w:p>
    <w:p>
      <w:pPr>
        <w:jc w:val="both"/>
        <w:ind w:left="1720" w:right="1319" w:hanging="131"/>
        <w:spacing w:after="0" w:line="258"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uncertainties in trade policies, the imposition or proposed imposition of tariffs, export controls, threat of a trade war, recessions, interest rate changes, inflation, bank closures and liquidity concerns at financial institutions, changes in diplomatic and trade relationships, fluctuations in foreign currency exchange rates, acts of war or terrorism, and natural disasters; and</w:t>
      </w:r>
    </w:p>
    <w:p>
      <w:pPr>
        <w:spacing w:after="0" w:line="59"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listed in this section “Risk Factors.”</w:t>
      </w:r>
    </w:p>
    <w:p>
      <w:pPr>
        <w:spacing w:after="0" w:line="112" w:lineRule="exact"/>
        <w:rPr>
          <w:sz w:val="20"/>
          <w:szCs w:val="20"/>
          <w:color w:val="auto"/>
        </w:rPr>
      </w:pPr>
    </w:p>
    <w:p>
      <w:pPr>
        <w:jc w:val="both"/>
        <w:ind w:left="1300" w:right="1319" w:firstLine="280"/>
        <w:spacing w:after="0" w:line="253" w:lineRule="auto"/>
        <w:rPr>
          <w:sz w:val="20"/>
          <w:szCs w:val="20"/>
          <w:color w:val="auto"/>
        </w:rPr>
      </w:pPr>
      <w:r>
        <w:rPr>
          <w:rFonts w:ascii="Times New Roman" w:cs="Times New Roman" w:eastAsia="Times New Roman" w:hAnsi="Times New Roman"/>
          <w:sz w:val="14"/>
          <w:szCs w:val="14"/>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global or regional conflicts and other geopolitical events, natural disasters, and any other global pandemics, as well as general economic, political and market conditions such as recessions, inflation, bank closures and liquidity concerns at financial institutions, 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spacing w:after="0" w:line="96" w:lineRule="exact"/>
        <w:rPr>
          <w:sz w:val="20"/>
          <w:szCs w:val="20"/>
          <w:color w:val="auto"/>
        </w:rPr>
      </w:pPr>
    </w:p>
    <w:p>
      <w:pPr>
        <w:jc w:val="both"/>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Furthermore, the stock markets in general, and the markets for technology and EV stocks in particular, have experienced extreme volatility that has sometimes been unrelated to the operating performance of the companies.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Convertible Senior Notes may impact the market price of our Common Stock, in particular during any redemption conversion period in connection with a redemption of the Convertible Senior Notes or any observation period for a conversion of the Convertible Senior Notes.</w:t>
      </w:r>
    </w:p>
    <w:p>
      <w:pPr>
        <w:spacing w:after="0" w:line="262" w:lineRule="exact"/>
        <w:rPr>
          <w:sz w:val="20"/>
          <w:szCs w:val="20"/>
          <w:color w:val="auto"/>
        </w:rPr>
      </w:pPr>
    </w:p>
    <w:p>
      <w:pPr>
        <w:jc w:val="both"/>
        <w:ind w:left="1300" w:right="1319" w:firstLine="280"/>
        <w:spacing w:after="0" w:line="258" w:lineRule="auto"/>
        <w:rPr>
          <w:sz w:val="20"/>
          <w:szCs w:val="20"/>
          <w:color w:val="auto"/>
        </w:rPr>
      </w:pPr>
      <w:r>
        <w:rPr>
          <w:rFonts w:ascii="Times New Roman" w:cs="Times New Roman" w:eastAsia="Times New Roman" w:hAnsi="Times New Roman"/>
          <w:sz w:val="14"/>
          <w:szCs w:val="14"/>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42" w:lineRule="exact"/>
        <w:rPr>
          <w:sz w:val="20"/>
          <w:szCs w:val="20"/>
          <w:color w:val="auto"/>
        </w:rPr>
      </w:pPr>
    </w:p>
    <w:p>
      <w:pPr>
        <w:jc w:val="both"/>
        <w:ind w:left="1300" w:right="13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72" w:lineRule="exact"/>
        <w:rPr>
          <w:sz w:val="20"/>
          <w:szCs w:val="20"/>
          <w:color w:val="auto"/>
        </w:rPr>
      </w:pPr>
    </w:p>
    <w:p>
      <w:pPr>
        <w:jc w:val="both"/>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As of December 31, 2025, the PIF, both directly and indirectly through Ayar, held over 50% of the voting power for the election of our directors.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19"/>
        <w:spacing w:after="0" w:line="258" w:lineRule="auto"/>
        <w:rPr>
          <w:sz w:val="20"/>
          <w:szCs w:val="20"/>
          <w:color w:val="auto"/>
        </w:rPr>
      </w:pPr>
      <w:r>
        <w:rPr>
          <w:rFonts w:ascii="Times New Roman" w:cs="Times New Roman" w:eastAsia="Times New Roman" w:hAnsi="Times New Roman"/>
          <w:sz w:val="14"/>
          <w:szCs w:val="14"/>
          <w:color w:val="auto"/>
        </w:rPr>
        <w:t>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eight directors to our Board.</w:t>
      </w:r>
    </w:p>
    <w:p>
      <w:pPr>
        <w:spacing w:after="0" w:line="91" w:lineRule="exact"/>
        <w:rPr>
          <w:sz w:val="20"/>
          <w:szCs w:val="20"/>
          <w:color w:val="auto"/>
        </w:rPr>
      </w:pPr>
    </w:p>
    <w:p>
      <w:pPr>
        <w:jc w:val="both"/>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Further, Ayar is entitled to receive additional shares of our Common Stock under the Prepaid Forward Transactions. This concentration of ownership and voting power allows Ayar to exercise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w:t>
      </w:r>
    </w:p>
    <w:p>
      <w:pPr>
        <w:spacing w:after="0" w:line="92"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The interests of Ayar may differ from the interests of our other stockholders and, as such, Ayar’s voting power and influence over us may decrease the relative interests of our other stockholders or of the Company.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jc w:val="both"/>
        <w:ind w:left="1300" w:right="1339" w:firstLine="280"/>
        <w:spacing w:after="0" w:line="283" w:lineRule="auto"/>
        <w:rPr>
          <w:sz w:val="20"/>
          <w:szCs w:val="20"/>
          <w:color w:val="auto"/>
        </w:rPr>
      </w:pPr>
      <w:r>
        <w:rPr>
          <w:rFonts w:ascii="Times New Roman" w:cs="Times New Roman" w:eastAsia="Times New Roman" w:hAnsi="Times New Roman"/>
          <w:sz w:val="14"/>
          <w:szCs w:val="14"/>
          <w:color w:val="auto"/>
        </w:rPr>
        <w:t>We will not receive any of the proceeds from the resale of the Securities offered pursuant to this prospectus supplement from time to time by the Selling Stockholders.</w:t>
      </w:r>
    </w:p>
    <w:p>
      <w:pPr>
        <w:spacing w:after="0" w:line="72" w:lineRule="exact"/>
        <w:rPr>
          <w:sz w:val="20"/>
          <w:szCs w:val="20"/>
          <w:color w:val="auto"/>
        </w:rPr>
      </w:pPr>
    </w:p>
    <w:p>
      <w:pPr>
        <w:jc w:val="both"/>
        <w:ind w:left="1300" w:right="1319" w:firstLine="280"/>
        <w:spacing w:after="0" w:line="261" w:lineRule="auto"/>
        <w:rPr>
          <w:sz w:val="20"/>
          <w:szCs w:val="20"/>
          <w:color w:val="auto"/>
        </w:rPr>
      </w:pPr>
      <w:r>
        <w:rPr>
          <w:rFonts w:ascii="Times New Roman" w:cs="Times New Roman" w:eastAsia="Times New Roman" w:hAnsi="Times New Roman"/>
          <w:sz w:val="14"/>
          <w:szCs w:val="14"/>
          <w:color w:val="auto"/>
        </w:rPr>
        <w:t>The Selling Stockholders will pay any selling commissions and stock transfer taxes applicable to the Securities that they incur in disposing of the Securities offered by this prospectus supplement. We will bear all other costs, fees and expenses incurred in effecting the registration of the Securities covered by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25" w:lineRule="exact"/>
        <w:rPr>
          <w:sz w:val="20"/>
          <w:szCs w:val="20"/>
          <w:color w:val="auto"/>
        </w:rPr>
      </w:pPr>
    </w:p>
    <w:p>
      <w:pPr>
        <w:jc w:val="both"/>
        <w:ind w:left="1300" w:right="1319" w:firstLine="280"/>
        <w:spacing w:after="0" w:line="244" w:lineRule="auto"/>
        <w:rPr>
          <w:sz w:val="20"/>
          <w:szCs w:val="20"/>
          <w:color w:val="auto"/>
        </w:rPr>
      </w:pPr>
      <w:r>
        <w:rPr>
          <w:rFonts w:ascii="Times New Roman" w:cs="Times New Roman" w:eastAsia="Times New Roman" w:hAnsi="Times New Roman"/>
          <w:sz w:val="14"/>
          <w:szCs w:val="14"/>
          <w:color w:val="auto"/>
        </w:rPr>
        <w:t>This prospectus supplement relates to the possible offer and resale, from time to time, by the Selling Stockholders of up to 69,108,837 shares of our Common Stock. 13,715,121 shares of Common Stock being registered were issued to SMB by us in a private placement. 55,393,716 shares of Common Stock being registered are shares that Ayar is entitled to purchase pursuant to the Prepaid Forward Transactions. See “Summary — Uber Private Placement” and “Summary — Ayar Prepaid Forward Transactions.” The Securities are being registered to fulfill our contractual obligations under certain agreements between us and the Selling Stockholders. We will not receive any of the proceeds from the sale of the Securities by the Selling Stockholders.</w:t>
      </w:r>
    </w:p>
    <w:p>
      <w:pPr>
        <w:spacing w:after="0" w:line="252" w:lineRule="exact"/>
        <w:rPr>
          <w:sz w:val="20"/>
          <w:szCs w:val="20"/>
          <w:color w:val="auto"/>
        </w:rPr>
      </w:pPr>
    </w:p>
    <w:p>
      <w:pPr>
        <w:jc w:val="both"/>
        <w:ind w:left="1300" w:right="1319" w:firstLine="280"/>
        <w:spacing w:after="0" w:line="259" w:lineRule="auto"/>
        <w:rPr>
          <w:sz w:val="20"/>
          <w:szCs w:val="20"/>
          <w:color w:val="auto"/>
        </w:rPr>
      </w:pPr>
      <w:r>
        <w:rPr>
          <w:rFonts w:ascii="Times New Roman" w:cs="Times New Roman" w:eastAsia="Times New Roman" w:hAnsi="Times New Roman"/>
          <w:sz w:val="14"/>
          <w:szCs w:val="14"/>
          <w:color w:val="auto"/>
        </w:rPr>
        <w:t>The table below identifies the Selling Stockholders and provides other information regarding the beneficial ownership (as determined under Section 13(d) of the Exchange Act and the rules and regulations thereunder) of shares of Common Stock by the Selling Stockholders.</w:t>
      </w:r>
    </w:p>
    <w:p>
      <w:pPr>
        <w:spacing w:after="0" w:line="78" w:lineRule="exact"/>
        <w:rPr>
          <w:sz w:val="20"/>
          <w:szCs w:val="20"/>
          <w:color w:val="auto"/>
        </w:rPr>
      </w:pPr>
    </w:p>
    <w:p>
      <w:pPr>
        <w:jc w:val="both"/>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The information presented regarding the Selling Stockholders is based, in part, on information the Selling Stockholders provided to us specifically for use herein.</w:t>
      </w:r>
    </w:p>
    <w:p>
      <w:pPr>
        <w:spacing w:after="0" w:line="73" w:lineRule="exact"/>
        <w:rPr>
          <w:sz w:val="20"/>
          <w:szCs w:val="20"/>
          <w:color w:val="auto"/>
        </w:rPr>
      </w:pPr>
    </w:p>
    <w:p>
      <w:pPr>
        <w:jc w:val="both"/>
        <w:ind w:left="1300" w:right="1319" w:firstLine="280"/>
        <w:spacing w:after="0" w:line="246" w:lineRule="auto"/>
        <w:rPr>
          <w:sz w:val="20"/>
          <w:szCs w:val="20"/>
          <w:color w:val="auto"/>
        </w:rPr>
      </w:pPr>
      <w:r>
        <w:rPr>
          <w:rFonts w:ascii="Times New Roman" w:cs="Times New Roman" w:eastAsia="Times New Roman" w:hAnsi="Times New Roman"/>
          <w:sz w:val="14"/>
          <w:szCs w:val="14"/>
          <w:color w:val="auto"/>
        </w:rPr>
        <w:t>The Selling Stockholders may have sold, transferred or otherwise disposed of some or all of the Securities listed below in exempt or registered transactions since the date on which the information below was provided to us and may in the future sell, transfer or otherwise dispose of some or all of the Securities in private placement transactions exempt from, or not subject to the registration requirements of, the Securities Act. We have assumed for purposes of the table below that the Selling Stockholders will sell all of the Securities being offered hereby pursuant to this prospectus supplement. We have based percentage beneficial ownership on 327,366,062 shares of Common Stock outstanding as of December 31, 2025 and beneficial ownership information available as of that date.</w:t>
      </w:r>
    </w:p>
    <w:p>
      <w:pPr>
        <w:spacing w:after="0" w:line="105"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Percentage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 of</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 of</w:t>
            </w:r>
          </w:p>
        </w:tc>
        <w:tc>
          <w:tcPr>
            <w:tcW w:w="1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00" w:type="dxa"/>
            <w:vAlign w:val="bottom"/>
          </w:tcPr>
          <w:p>
            <w:pPr>
              <w:spacing w:after="0"/>
              <w:rPr>
                <w:sz w:val="10"/>
                <w:szCs w:val="10"/>
                <w:color w:val="auto"/>
              </w:rPr>
            </w:pPr>
          </w:p>
        </w:tc>
        <w:tc>
          <w:tcPr>
            <w:tcW w:w="70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00" w:type="dxa"/>
            <w:vAlign w:val="bottom"/>
          </w:tcPr>
          <w:p>
            <w:pPr>
              <w:spacing w:after="0"/>
              <w:rPr>
                <w:sz w:val="10"/>
                <w:szCs w:val="10"/>
                <w:color w:val="auto"/>
              </w:rPr>
            </w:pPr>
          </w:p>
        </w:tc>
        <w:tc>
          <w:tcPr>
            <w:tcW w:w="70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6"/>
              </w:rPr>
              <w:t>Shares of</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to be Sold</w:t>
            </w:r>
          </w:p>
        </w:tc>
        <w:tc>
          <w:tcPr>
            <w:tcW w:w="900" w:type="dxa"/>
            <w:vAlign w:val="bottom"/>
            <w:gridSpan w:val="2"/>
          </w:tcPr>
          <w:p>
            <w:pPr>
              <w:jc w:val="center"/>
              <w:ind w:left="84"/>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Beneficially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Beneficially</w:t>
            </w:r>
          </w:p>
        </w:tc>
        <w:tc>
          <w:tcPr>
            <w:tcW w:w="1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Pursuant</w:t>
            </w:r>
          </w:p>
        </w:tc>
        <w:tc>
          <w:tcPr>
            <w:tcW w:w="200" w:type="dxa"/>
            <w:vAlign w:val="bottom"/>
          </w:tcPr>
          <w:p>
            <w:pPr>
              <w:spacing w:after="0"/>
              <w:rPr>
                <w:sz w:val="10"/>
                <w:szCs w:val="10"/>
                <w:color w:val="auto"/>
              </w:rPr>
            </w:pPr>
          </w:p>
        </w:tc>
        <w:tc>
          <w:tcPr>
            <w:tcW w:w="70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8"/>
              </w:rPr>
              <w:t>Beneficially</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Owned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20" w:type="dxa"/>
            <w:vAlign w:val="bottom"/>
            <w:gridSpan w:val="2"/>
          </w:tcPr>
          <w:p>
            <w:pPr>
              <w:jc w:val="center"/>
              <w:ind w:left="78"/>
              <w:spacing w:after="0"/>
              <w:rPr>
                <w:sz w:val="20"/>
                <w:szCs w:val="20"/>
                <w:color w:val="auto"/>
              </w:rPr>
            </w:pPr>
            <w:r>
              <w:rPr>
                <w:rFonts w:ascii="Times New Roman" w:cs="Times New Roman" w:eastAsia="Times New Roman" w:hAnsi="Times New Roman"/>
                <w:sz w:val="11"/>
                <w:szCs w:val="11"/>
                <w:b w:val="1"/>
                <w:bCs w:val="1"/>
                <w:color w:val="auto"/>
                <w:w w:val="95"/>
              </w:rPr>
              <w:t>Owned Prior to</w:t>
            </w:r>
          </w:p>
        </w:tc>
        <w:tc>
          <w:tcPr>
            <w:tcW w:w="1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to this</w:t>
            </w:r>
          </w:p>
        </w:tc>
        <w:tc>
          <w:tcPr>
            <w:tcW w:w="200" w:type="dxa"/>
            <w:vAlign w:val="bottom"/>
          </w:tcPr>
          <w:p>
            <w:pPr>
              <w:spacing w:after="0"/>
              <w:rPr>
                <w:sz w:val="10"/>
                <w:szCs w:val="10"/>
                <w:color w:val="auto"/>
              </w:rPr>
            </w:pPr>
          </w:p>
        </w:tc>
        <w:tc>
          <w:tcPr>
            <w:tcW w:w="70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w w:val="97"/>
              </w:rPr>
              <w:t>Owned After</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After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 of Selling Stockholders</w:t>
            </w:r>
          </w:p>
        </w:tc>
        <w:tc>
          <w:tcPr>
            <w:tcW w:w="1260" w:type="dxa"/>
            <w:vAlign w:val="bottom"/>
          </w:tcPr>
          <w:p>
            <w:pPr>
              <w:spacing w:after="0"/>
              <w:rPr>
                <w:sz w:val="14"/>
                <w:szCs w:val="14"/>
                <w:color w:val="auto"/>
              </w:rPr>
            </w:pPr>
          </w:p>
        </w:tc>
        <w:tc>
          <w:tcPr>
            <w:tcW w:w="920" w:type="dxa"/>
            <w:vAlign w:val="bottom"/>
            <w:gridSpan w:val="2"/>
          </w:tcPr>
          <w:p>
            <w:pPr>
              <w:ind w:left="4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Offering</w:t>
            </w:r>
            <w:r>
              <w:rPr>
                <w:rFonts w:ascii="Times New Roman" w:cs="Times New Roman" w:eastAsia="Times New Roman" w:hAnsi="Times New Roman"/>
                <w:sz w:val="12"/>
                <w:szCs w:val="12"/>
                <w:b w:val="1"/>
                <w:bCs w:val="1"/>
                <w:color w:val="auto"/>
                <w:vertAlign w:val="superscript"/>
              </w:rPr>
              <w:t>(1)</w:t>
            </w:r>
          </w:p>
        </w:tc>
        <w:tc>
          <w:tcPr>
            <w:tcW w:w="820" w:type="dxa"/>
            <w:vAlign w:val="bottom"/>
            <w:gridSpan w:val="2"/>
          </w:tcPr>
          <w:p>
            <w:pPr>
              <w:ind w:left="4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Prospectus</w:t>
            </w:r>
            <w:r>
              <w:rPr>
                <w:rFonts w:ascii="Times New Roman" w:cs="Times New Roman" w:eastAsia="Times New Roman" w:hAnsi="Times New Roman"/>
                <w:sz w:val="12"/>
                <w:szCs w:val="12"/>
                <w:b w:val="1"/>
                <w:bCs w:val="1"/>
                <w:color w:val="auto"/>
                <w:vertAlign w:val="superscript"/>
              </w:rPr>
              <w:t>(2)</w:t>
            </w: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9"/>
              </w:rPr>
              <w:t>Offering</w:t>
            </w:r>
            <w:r>
              <w:rPr>
                <w:rFonts w:ascii="Times New Roman" w:cs="Times New Roman" w:eastAsia="Times New Roman" w:hAnsi="Times New Roman"/>
                <w:sz w:val="14"/>
                <w:szCs w:val="14"/>
                <w:b w:val="1"/>
                <w:bCs w:val="1"/>
                <w:color w:val="auto"/>
                <w:w w:val="89"/>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Offering</w:t>
            </w:r>
            <w:r>
              <w:rPr>
                <w:rFonts w:ascii="Times New Roman" w:cs="Times New Roman" w:eastAsia="Times New Roman" w:hAnsi="Times New Roman"/>
                <w:sz w:val="14"/>
                <w:szCs w:val="14"/>
                <w:b w:val="1"/>
                <w:bCs w:val="1"/>
                <w:color w:val="auto"/>
                <w:w w:val="93"/>
                <w:vertAlign w:val="superscript"/>
              </w:rPr>
              <w:t>(4)</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Public Investment Fund</w:t>
            </w:r>
          </w:p>
        </w:tc>
        <w:tc>
          <w:tcPr>
            <w:tcW w:w="1260" w:type="dxa"/>
            <w:vAlign w:val="bottom"/>
          </w:tcPr>
          <w:p>
            <w:pPr>
              <w:jc w:val="right"/>
              <w:ind w:right="1114"/>
              <w:spacing w:after="0"/>
              <w:rPr>
                <w:sz w:val="20"/>
                <w:szCs w:val="20"/>
                <w:color w:val="auto"/>
              </w:rPr>
            </w:pPr>
            <w:r>
              <w:rPr>
                <w:rFonts w:ascii="Times New Roman" w:cs="Times New Roman" w:eastAsia="Times New Roman" w:hAnsi="Times New Roman"/>
                <w:sz w:val="9"/>
                <w:szCs w:val="9"/>
                <w:color w:val="auto"/>
                <w:w w:val="75"/>
              </w:rPr>
              <w:t>(5)</w:t>
            </w: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228,974,311</w:t>
            </w:r>
          </w:p>
        </w:tc>
        <w:tc>
          <w:tcPr>
            <w:tcW w:w="17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xml:space="preserve">​​ ​​55,393,716​​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228,974,311</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7"/>
                <w:szCs w:val="7"/>
                <w:color w:val="auto"/>
                <w:w w:val="72"/>
              </w:rPr>
              <w:t>(6)</w:t>
            </w:r>
          </w:p>
        </w:tc>
        <w:tc>
          <w:tcPr>
            <w:tcW w:w="20" w:type="dxa"/>
            <w:vAlign w:val="bottom"/>
          </w:tcPr>
          <w:p>
            <w:pPr>
              <w:spacing w:after="0"/>
              <w:rPr>
                <w:sz w:val="9"/>
                <w:szCs w:val="9"/>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 xml:space="preserve">​60.38%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720" w:type="dxa"/>
            <w:vAlign w:val="bottom"/>
            <w:gridSpan w:val="4"/>
            <w:vMerge w:val="continue"/>
          </w:tcPr>
          <w:p>
            <w:pPr>
              <w:spacing w:after="0"/>
              <w:rPr>
                <w:sz w:val="9"/>
                <w:szCs w:val="9"/>
                <w:color w:val="auto"/>
              </w:rPr>
            </w:pPr>
          </w:p>
        </w:tc>
        <w:tc>
          <w:tcPr>
            <w:tcW w:w="16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SMB Holding Corporation</w:t>
            </w:r>
            <w:r>
              <w:rPr>
                <w:rFonts w:ascii="Times New Roman" w:cs="Times New Roman" w:eastAsia="Times New Roman" w:hAnsi="Times New Roman"/>
                <w:sz w:val="18"/>
                <w:szCs w:val="18"/>
                <w:color w:val="auto"/>
                <w:vertAlign w:val="superscript"/>
              </w:rPr>
              <w:t>(7)</w:t>
            </w:r>
          </w:p>
        </w:tc>
        <w:tc>
          <w:tcPr>
            <w:tcW w:w="19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13,715,121 ​​ ​​13,715,121​​ ​ </w:t>
            </w: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1"/>
                <w:szCs w:val="21"/>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-306705</wp:posOffset>
            </wp:positionV>
            <wp:extent cx="4058920" cy="146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4058920" cy="14668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93345</wp:posOffset>
            </wp:positionV>
            <wp:extent cx="96139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38" w:lineRule="exact"/>
        <w:rPr>
          <w:sz w:val="20"/>
          <w:szCs w:val="20"/>
          <w:color w:val="auto"/>
        </w:rPr>
      </w:pPr>
    </w:p>
    <w:p>
      <w:pPr>
        <w:jc w:val="both"/>
        <w:ind w:left="1580" w:right="1319" w:hanging="272"/>
        <w:spacing w:after="0" w:line="267" w:lineRule="auto"/>
        <w:tabs>
          <w:tab w:leader="none" w:pos="1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shown includes shares of Common Stock beneficially owned by the Selling Stockholders herein as of December 31, 2025, including, in the case of PIF, the shares of Common Stock issuable upon conversion of the outstanding Redeemable Convertible Preferred Stock as of December 31, 2025.</w:t>
      </w:r>
    </w:p>
    <w:p>
      <w:pPr>
        <w:spacing w:after="0" w:line="19" w:lineRule="exact"/>
        <w:rPr>
          <w:rFonts w:ascii="Times New Roman" w:cs="Times New Roman" w:eastAsia="Times New Roman" w:hAnsi="Times New Roman"/>
          <w:sz w:val="14"/>
          <w:szCs w:val="14"/>
          <w:color w:val="auto"/>
        </w:rPr>
      </w:pPr>
    </w:p>
    <w:p>
      <w:pPr>
        <w:jc w:val="both"/>
        <w:ind w:left="1580" w:right="1319" w:hanging="272"/>
        <w:spacing w:after="0" w:line="267" w:lineRule="auto"/>
        <w:tabs>
          <w:tab w:leader="none" w:pos="1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shown includes shares of Common Stock that may be offered for resale from time to time. Represents the maximum number of shares of Common Stock registered under this prospectus supplement. The Selling Stockholders may sell all, some or none of their shares in this offering.</w:t>
      </w:r>
    </w:p>
    <w:p>
      <w:pPr>
        <w:spacing w:after="0" w:line="19" w:lineRule="exact"/>
        <w:rPr>
          <w:rFonts w:ascii="Times New Roman" w:cs="Times New Roman" w:eastAsia="Times New Roman" w:hAnsi="Times New Roman"/>
          <w:sz w:val="14"/>
          <w:szCs w:val="14"/>
          <w:color w:val="auto"/>
        </w:rPr>
      </w:pPr>
    </w:p>
    <w:p>
      <w:pPr>
        <w:ind w:left="1580" w:right="1339" w:hanging="272"/>
        <w:spacing w:after="0" w:line="283" w:lineRule="auto"/>
        <w:tabs>
          <w:tab w:leader="none" w:pos="1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beneficially owned other than shares of Common Stock covered by this prospectus supplement.</w:t>
      </w:r>
    </w:p>
    <w:p>
      <w:pPr>
        <w:spacing w:after="0" w:line="9" w:lineRule="exact"/>
        <w:rPr>
          <w:rFonts w:ascii="Times New Roman" w:cs="Times New Roman" w:eastAsia="Times New Roman" w:hAnsi="Times New Roman"/>
          <w:sz w:val="14"/>
          <w:szCs w:val="14"/>
          <w:color w:val="auto"/>
        </w:rPr>
      </w:pPr>
    </w:p>
    <w:p>
      <w:pPr>
        <w:jc w:val="both"/>
        <w:ind w:left="1580" w:right="1319" w:hanging="272"/>
        <w:spacing w:after="0" w:line="261" w:lineRule="auto"/>
        <w:tabs>
          <w:tab w:leader="none" w:pos="1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percentage beneficial ownership of our Common Stock by the Selling Stockholders after completion of this offering, assuming that the Selling Stockholders sell all of the shares covered by this prospectus supplement, to the extent such percentage will exceed 1% of the total number of shares of Common Stock outstanding.</w:t>
      </w:r>
    </w:p>
    <w:p>
      <w:pPr>
        <w:spacing w:after="0" w:line="35" w:lineRule="exact"/>
        <w:rPr>
          <w:rFonts w:ascii="Times New Roman" w:cs="Times New Roman" w:eastAsia="Times New Roman" w:hAnsi="Times New Roman"/>
          <w:sz w:val="14"/>
          <w:szCs w:val="14"/>
          <w:color w:val="auto"/>
        </w:rPr>
      </w:pPr>
    </w:p>
    <w:p>
      <w:pPr>
        <w:jc w:val="both"/>
        <w:ind w:left="1580" w:right="1319" w:hanging="272"/>
        <w:spacing w:after="0" w:line="257" w:lineRule="auto"/>
        <w:tabs>
          <w:tab w:leader="none" w:pos="1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Ayar is a wholly owned subsidiary of PIF. The Board of Directors of PIF has dispositive power over the shares held by PIF and Ayar. The Board of Directors of PIF, and, as managers of Ayar, each of Turqi Alnowaiser and Yasir Alsalman, have shared voting power over the shares held by Ayar. Neither Mr. Alnowaiser nor Mr. Alsalman has any pecuniary interest in the shares held by Ayar and each of Mr. Alnowaiser and Mr. Alsalman disclaims beneficial ownership of the shares held by Ayar. Securities offered by PIF hereby are shares that Ayar will purchase pursuant to the Prepaid Forward Transactions.</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580" w:right="1319"/>
        <w:spacing w:after="0" w:line="256" w:lineRule="auto"/>
        <w:rPr>
          <w:sz w:val="20"/>
          <w:szCs w:val="20"/>
          <w:color w:val="auto"/>
        </w:rPr>
      </w:pPr>
      <w:r>
        <w:rPr>
          <w:rFonts w:ascii="Times New Roman" w:cs="Times New Roman" w:eastAsia="Times New Roman" w:hAnsi="Times New Roman"/>
          <w:sz w:val="14"/>
          <w:szCs w:val="14"/>
          <w:color w:val="auto"/>
        </w:rPr>
        <w:t>See “Summary — Ayar Prepaid Forward Transactions.” The number of shares of Common Stock beneficially owned by PIF includes 32,526,595 shares of Common Stock issuable upon conversion of our Series A Redeemable Convertible Preferred Stock held by Ayar and 19,358,849 shares of Common Stock issuable upon conversion of our Series B Redeemable Convertible Preferred Stock held by Ayar as of December 31, 2025. The business address for PIF is The Public Investment Fund Tower, King Abdullah Financial District (KAFD), 1.16 Al Aqiq District, Riyadh, TO 13519, The Kingdom of Saudi Arabia.</w:t>
      </w:r>
    </w:p>
    <w:p>
      <w:pPr>
        <w:spacing w:after="0" w:line="210" w:lineRule="exact"/>
        <w:rPr>
          <w:sz w:val="20"/>
          <w:szCs w:val="20"/>
          <w:color w:val="auto"/>
        </w:rPr>
      </w:pPr>
    </w:p>
    <w:p>
      <w:pPr>
        <w:jc w:val="both"/>
        <w:ind w:left="1580" w:right="1319" w:hanging="272"/>
        <w:spacing w:after="0" w:line="267" w:lineRule="auto"/>
        <w:tabs>
          <w:tab w:leader="none" w:pos="1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Ayar elects cash settlement pursuant to all or a portion of the Prepaid Forward Transactions, the number of shares of Common Stock offered by Ayar would be fewer than the number reflected.</w:t>
      </w:r>
    </w:p>
    <w:p>
      <w:pPr>
        <w:spacing w:after="0" w:line="19" w:lineRule="exact"/>
        <w:rPr>
          <w:rFonts w:ascii="Times New Roman" w:cs="Times New Roman" w:eastAsia="Times New Roman" w:hAnsi="Times New Roman"/>
          <w:sz w:val="14"/>
          <w:szCs w:val="14"/>
          <w:color w:val="auto"/>
        </w:rPr>
      </w:pPr>
    </w:p>
    <w:p>
      <w:pPr>
        <w:jc w:val="both"/>
        <w:ind w:left="1580" w:right="1319" w:hanging="272"/>
        <w:spacing w:after="0" w:line="267" w:lineRule="auto"/>
        <w:tabs>
          <w:tab w:leader="none" w:pos="1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SMB is a wholly owned subsidiary of Uber. Uber has sole voting and investment power with respect to the Company’s securities held by SMB. The business address for Uber is 1725 3rd Street, San Francisco, California 94158.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jc w:val="both"/>
        <w:ind w:left="1300" w:right="1319" w:firstLine="280"/>
        <w:spacing w:after="0" w:line="247" w:lineRule="auto"/>
        <w:rPr>
          <w:sz w:val="20"/>
          <w:szCs w:val="20"/>
          <w:color w:val="auto"/>
        </w:rPr>
      </w:pPr>
      <w:r>
        <w:rPr>
          <w:rFonts w:ascii="Times New Roman" w:cs="Times New Roman" w:eastAsia="Times New Roman" w:hAnsi="Times New Roman"/>
          <w:sz w:val="14"/>
          <w:szCs w:val="14"/>
          <w:color w:val="auto"/>
        </w:rPr>
        <w:t>The Selling Stockholders may sell, transfer or otherwise dispose of any or all of their Securities or interests in such Securities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Securities may be distributed from time to time in one or more transactions:</w:t>
      </w:r>
    </w:p>
    <w:p>
      <w:pPr>
        <w:spacing w:after="0" w:line="55" w:lineRule="exact"/>
        <w:rPr>
          <w:sz w:val="20"/>
          <w:szCs w:val="20"/>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91"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brokers or dealers that may act solely as agents;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91" w:lineRule="exact"/>
        <w:rPr>
          <w:rFonts w:ascii="Times New Roman" w:cs="Times New Roman" w:eastAsia="Times New Roman" w:hAnsi="Times New Roman"/>
          <w:sz w:val="14"/>
          <w:szCs w:val="14"/>
          <w:color w:val="auto"/>
        </w:rPr>
      </w:pPr>
    </w:p>
    <w:p>
      <w:pPr>
        <w:jc w:val="both"/>
        <w:ind w:left="1720" w:right="1319" w:hanging="131"/>
        <w:spacing w:after="0" w:line="267"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entered into after the effective date of the registration statement of which this prospectus supplement is a part, whether through an options exchange or otherwise;</w:t>
      </w:r>
    </w:p>
    <w:p>
      <w:pPr>
        <w:spacing w:after="0" w:line="40"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Stockholders to sell a specified number of such shares at a stipulated price per share;</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disposition; and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12" w:lineRule="exact"/>
        <w:rPr>
          <w:sz w:val="20"/>
          <w:szCs w:val="20"/>
          <w:color w:val="auto"/>
        </w:rPr>
      </w:pPr>
    </w:p>
    <w:p>
      <w:pPr>
        <w:jc w:val="both"/>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The Selling Stockholders may also sell shares under Rule 144 under the Securities Act, if available, rather than under this prospectus supplement.</w:t>
      </w:r>
    </w:p>
    <w:p>
      <w:pPr>
        <w:spacing w:after="0" w:line="62" w:lineRule="exact"/>
        <w:rPr>
          <w:sz w:val="20"/>
          <w:szCs w:val="20"/>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The Securities may also be exchanged for satisfaction of any Selling Stockholder’s obligations or other liabilities to its creditors. Such transactions may or may not involve brokers or dealers.</w:t>
      </w:r>
    </w:p>
    <w:p>
      <w:pPr>
        <w:spacing w:after="0" w:line="73" w:lineRule="exact"/>
        <w:rPr>
          <w:sz w:val="20"/>
          <w:szCs w:val="20"/>
          <w:color w:val="auto"/>
        </w:rPr>
      </w:pPr>
    </w:p>
    <w:p>
      <w:pPr>
        <w:jc w:val="both"/>
        <w:ind w:left="1300" w:right="1319" w:firstLine="280"/>
        <w:spacing w:after="0" w:line="244" w:lineRule="auto"/>
        <w:rPr>
          <w:sz w:val="20"/>
          <w:szCs w:val="20"/>
          <w:color w:val="auto"/>
        </w:rPr>
      </w:pPr>
      <w:r>
        <w:rPr>
          <w:rFonts w:ascii="Times New Roman" w:cs="Times New Roman" w:eastAsia="Times New Roman" w:hAnsi="Times New Roman"/>
          <w:sz w:val="14"/>
          <w:szCs w:val="14"/>
          <w:color w:val="auto"/>
        </w:rPr>
        <w:t>In addition, a Selling Stockholder that is an entity may elect to make a pro rata in -kind distribution of Securities to its members, partners or stockholders or purchase or redeem interests held in such entity by its members, partners or stockholders in exchange for Securities, in each case pursuant to the registration statement of which this prospectus supplement is a part by delivering a prospectus with a plan of distribution. Such members, partners or stockholders (unless our affiliate) would thereby receive freely tradeable Securities pursuant to the distribution. To the extent a distributee is an affiliate of ours (or to the extent otherwise required by law), we may file a supplement to this prospectus supplement in order to permit the distributees to use this prospectus supplement to resell the Securities acquired in the distribution.</w:t>
      </w:r>
    </w:p>
    <w:p>
      <w:pPr>
        <w:spacing w:after="0" w:line="89" w:lineRule="exact"/>
        <w:rPr>
          <w:sz w:val="20"/>
          <w:szCs w:val="20"/>
          <w:color w:val="auto"/>
        </w:rPr>
      </w:pPr>
    </w:p>
    <w:p>
      <w:pPr>
        <w:jc w:val="both"/>
        <w:ind w:left="1300" w:right="1319" w:firstLine="280"/>
        <w:spacing w:after="0" w:line="245" w:lineRule="auto"/>
        <w:rPr>
          <w:sz w:val="20"/>
          <w:szCs w:val="20"/>
          <w:color w:val="auto"/>
        </w:rPr>
      </w:pPr>
      <w:r>
        <w:rPr>
          <w:rFonts w:ascii="Times New Roman" w:cs="Times New Roman" w:eastAsia="Times New Roman" w:hAnsi="Times New Roman"/>
          <w:sz w:val="14"/>
          <w:szCs w:val="14"/>
          <w:color w:val="auto"/>
        </w:rPr>
        <w:t>Upon our being notified in writing by the Selling Stockholders that any material arrangement has been entered into with a broker-dealer for the sale of the shares through a block trade, special offering exchange distribution or secondary distribution or a purchase by a broker or dealer, we will file a supplement to this prospectus supplement, if required, pursuant to Rule 424(b) under the Securities Act, disclosing the method of distribution, the terms and conditions of the offering of such Securities, including the offering price of the Securities and the proceeds to the Selling Stockholders, if applicable, and any other required information.</w:t>
      </w:r>
    </w:p>
    <w:p>
      <w:pPr>
        <w:spacing w:after="0" w:line="254" w:lineRule="exact"/>
        <w:rPr>
          <w:sz w:val="20"/>
          <w:szCs w:val="20"/>
          <w:color w:val="auto"/>
        </w:rPr>
      </w:pPr>
    </w:p>
    <w:p>
      <w:pPr>
        <w:jc w:val="both"/>
        <w:ind w:left="1300" w:right="1319" w:firstLine="280"/>
        <w:spacing w:after="0" w:line="259" w:lineRule="auto"/>
        <w:rPr>
          <w:sz w:val="20"/>
          <w:szCs w:val="20"/>
          <w:color w:val="auto"/>
        </w:rPr>
      </w:pPr>
      <w:r>
        <w:rPr>
          <w:rFonts w:ascii="Times New Roman" w:cs="Times New Roman" w:eastAsia="Times New Roman" w:hAnsi="Times New Roman"/>
          <w:sz w:val="14"/>
          <w:szCs w:val="14"/>
          <w:color w:val="auto"/>
        </w:rPr>
        <w:t>The Selling Stockholders also may transfer the shares in other circumstances, in which case the transferees, pledgees or other successors in interest will be the selling beneficial owners for purposes of this prospectus supplement.</w:t>
      </w:r>
    </w:p>
    <w:p>
      <w:pPr>
        <w:spacing w:after="0" w:line="7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Offers to purchase the Securities being offered by this prospectus supplement may be solicited directly.</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Agents may also be designated to solicit offers to purchase the Securities from time to time.</w:t>
      </w:r>
    </w:p>
    <w:p>
      <w:pPr>
        <w:spacing w:after="0" w:line="96" w:lineRule="exact"/>
        <w:rPr>
          <w:sz w:val="20"/>
          <w:szCs w:val="20"/>
          <w:color w:val="auto"/>
        </w:rPr>
      </w:pPr>
    </w:p>
    <w:p>
      <w:pPr>
        <w:jc w:val="both"/>
        <w:ind w:left="1300" w:right="1319" w:firstLine="280"/>
        <w:spacing w:after="0" w:line="259" w:lineRule="auto"/>
        <w:rPr>
          <w:sz w:val="20"/>
          <w:szCs w:val="20"/>
          <w:color w:val="auto"/>
        </w:rPr>
      </w:pPr>
      <w:r>
        <w:rPr>
          <w:rFonts w:ascii="Times New Roman" w:cs="Times New Roman" w:eastAsia="Times New Roman" w:hAnsi="Times New Roman"/>
          <w:sz w:val="14"/>
          <w:szCs w:val="14"/>
          <w:color w:val="auto"/>
        </w:rPr>
        <w:t>If a dealer is utilized in the sale of the Securities being offered by this prospectus supplement, the Securities will be sold to the dealer, as principal. The dealer may then resell the Securities to the public at varying prices to be determined by the dealer at the time of resale.</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The Selling Stockholders,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The Selling Stockholders may enter into agreements to indemnify dealers and agents against civil liabilities, including liabilities under the Securities Act, or to contribute to payments they may be required to make in respect thereof and to reimburse those persons for certain expenses.</w:t>
      </w:r>
    </w:p>
    <w:p>
      <w:pPr>
        <w:spacing w:after="0" w:line="263" w:lineRule="exact"/>
        <w:rPr>
          <w:sz w:val="20"/>
          <w:szCs w:val="20"/>
          <w:color w:val="auto"/>
        </w:rPr>
      </w:pPr>
    </w:p>
    <w:p>
      <w:pPr>
        <w:jc w:val="both"/>
        <w:ind w:left="1300" w:right="1319" w:firstLine="280"/>
        <w:spacing w:after="0" w:line="253" w:lineRule="auto"/>
        <w:rPr>
          <w:sz w:val="20"/>
          <w:szCs w:val="20"/>
          <w:color w:val="auto"/>
        </w:rPr>
      </w:pPr>
      <w:r>
        <w:rPr>
          <w:rFonts w:ascii="Times New Roman" w:cs="Times New Roman" w:eastAsia="Times New Roman" w:hAnsi="Times New Roman"/>
          <w:sz w:val="14"/>
          <w:szCs w:val="14"/>
          <w:color w:val="auto"/>
        </w:rPr>
        <w:t>Any shares of Common Stock being offered by this prospectus supplement will be listed on the Nasdaq.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67" w:lineRule="exact"/>
        <w:rPr>
          <w:sz w:val="20"/>
          <w:szCs w:val="20"/>
          <w:color w:val="auto"/>
        </w:rPr>
      </w:pPr>
    </w:p>
    <w:p>
      <w:pPr>
        <w:jc w:val="both"/>
        <w:ind w:left="1300" w:right="1319" w:firstLine="280"/>
        <w:spacing w:after="0" w:line="253" w:lineRule="auto"/>
        <w:rPr>
          <w:sz w:val="20"/>
          <w:szCs w:val="20"/>
          <w:color w:val="auto"/>
        </w:rPr>
      </w:pPr>
      <w:r>
        <w:rPr>
          <w:rFonts w:ascii="Times New Roman" w:cs="Times New Roman" w:eastAsia="Times New Roman" w:hAnsi="Times New Roman"/>
          <w:sz w:val="14"/>
          <w:szCs w:val="14"/>
          <w:color w:val="auto"/>
        </w:rPr>
        <w:t>The Selling Stockholders may engage in at the market offerings into an existing trading market in accordance with Rule 415(a)(4) under the Securities Act. In addition, the Selling Stockholders may enter into derivative transactions with third parties, or sell securities not covered by this prospectus supplement to third parties in privately negotiated transactions. In connection with those derivatives, the third parties may sell securities covered by this prospectus supplement, including in short sale transactions. If so, the third party may use securities pledged by the Selling Stockholders or borrowed from the Selling Stockholders or others to settle those sales or to close out any related open borrowings of stock, and may use securities received from the Selling Stockholders in settlement of those derivatives to close out any related open borrowings of stock. In addition, the Selling Stockholders may otherwise loan or pledge securities to a financial institution or other third party that in turn may sell the securities short using this prospectus supplement. Such financial institution or other third party may transfer its economic short position to investors in our securities or in connection with a concurrent offering of other securities.</w:t>
      </w:r>
    </w:p>
    <w:p>
      <w:pPr>
        <w:spacing w:after="0" w:line="87" w:lineRule="exact"/>
        <w:rPr>
          <w:sz w:val="20"/>
          <w:szCs w:val="20"/>
          <w:color w:val="auto"/>
        </w:rPr>
      </w:pPr>
    </w:p>
    <w:p>
      <w:pPr>
        <w:jc w:val="both"/>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The specific terms of any lock-up provisions in respect of any given offering will be described in the applicable prospectus supplement.</w:t>
      </w:r>
    </w:p>
    <w:p>
      <w:pPr>
        <w:spacing w:after="0" w:line="72" w:lineRule="exact"/>
        <w:rPr>
          <w:sz w:val="20"/>
          <w:szCs w:val="20"/>
          <w:color w:val="auto"/>
        </w:rPr>
      </w:pPr>
    </w:p>
    <w:p>
      <w:pPr>
        <w:jc w:val="both"/>
        <w:ind w:left="1300" w:right="1339" w:firstLine="280"/>
        <w:spacing w:after="0" w:line="283" w:lineRule="auto"/>
        <w:rPr>
          <w:sz w:val="20"/>
          <w:szCs w:val="20"/>
          <w:color w:val="auto"/>
        </w:rPr>
      </w:pPr>
      <w:r>
        <w:rPr>
          <w:rFonts w:ascii="Times New Roman" w:cs="Times New Roman" w:eastAsia="Times New Roman" w:hAnsi="Times New Roman"/>
          <w:sz w:val="14"/>
          <w:szCs w:val="14"/>
          <w:color w:val="auto"/>
        </w:rPr>
        <w:t>The dealers and agents may engage in transactions with the Selling Stockholders, or perform services for the Selling Stockholders, in the ordinary course of business for which they receive compensation.</w:t>
      </w:r>
    </w:p>
    <w:p>
      <w:pPr>
        <w:spacing w:after="0" w:line="72" w:lineRule="exact"/>
        <w:rPr>
          <w:sz w:val="20"/>
          <w:szCs w:val="20"/>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We have advised the Selling Stockholders that they are required to comply with Regulation M promulgated under the Exchange Act during such time as they may be engaged in a distribution of the shares. The foregoing may affect the marketability of the Common Stock.</w:t>
      </w:r>
    </w:p>
    <w:p>
      <w:pPr>
        <w:spacing w:after="0" w:line="72" w:lineRule="exact"/>
        <w:rPr>
          <w:sz w:val="20"/>
          <w:szCs w:val="20"/>
          <w:color w:val="auto"/>
        </w:rPr>
      </w:pPr>
    </w:p>
    <w:p>
      <w:pPr>
        <w:jc w:val="both"/>
        <w:ind w:left="1300" w:right="1319" w:firstLine="280"/>
        <w:spacing w:after="0" w:line="261" w:lineRule="auto"/>
        <w:rPr>
          <w:sz w:val="20"/>
          <w:szCs w:val="20"/>
          <w:color w:val="auto"/>
        </w:rPr>
      </w:pPr>
      <w:r>
        <w:rPr>
          <w:rFonts w:ascii="Times New Roman" w:cs="Times New Roman" w:eastAsia="Times New Roman" w:hAnsi="Times New Roman"/>
          <w:sz w:val="14"/>
          <w:szCs w:val="14"/>
          <w:color w:val="auto"/>
        </w:rPr>
        <w:t>We are required to pay all fees and expenses in connection with the registration of the Securities. We have agreed to indemnify the Selling Stockholders against certain losses, claims, damages and liabilities, including liabilities under the Securities Act or otherwise, relating to the registration of the Securities offered by this prospectus supplement.</w:t>
      </w:r>
    </w:p>
    <w:p>
      <w:pPr>
        <w:spacing w:after="0" w:line="88" w:lineRule="exact"/>
        <w:rPr>
          <w:sz w:val="20"/>
          <w:szCs w:val="20"/>
          <w:color w:val="auto"/>
        </w:rPr>
      </w:pPr>
    </w:p>
    <w:p>
      <w:pPr>
        <w:jc w:val="both"/>
        <w:ind w:left="1300" w:right="1319" w:firstLine="280"/>
        <w:spacing w:after="0" w:line="261" w:lineRule="auto"/>
        <w:rPr>
          <w:sz w:val="20"/>
          <w:szCs w:val="20"/>
          <w:color w:val="auto"/>
        </w:rPr>
      </w:pPr>
      <w:r>
        <w:rPr>
          <w:rFonts w:ascii="Times New Roman" w:cs="Times New Roman" w:eastAsia="Times New Roman" w:hAnsi="Times New Roman"/>
          <w:sz w:val="14"/>
          <w:szCs w:val="14"/>
          <w:color w:val="auto"/>
        </w:rPr>
        <w:t>We have agreed with the Selling Stockholders to keep the registration statement of which this prospectus supplement constitutes a part effective until such time as of which all Securities registered by such registration statement have been sold or cease to be Registrable Securities (as defined in the Investor Rights Agreement) or Registrable Shares (as defined in the Uber Subscription Agreement), as applicable.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VALIDITY OF THE SECURITIES</w:t>
      </w:r>
    </w:p>
    <w:p>
      <w:pPr>
        <w:spacing w:after="0" w:line="125" w:lineRule="exact"/>
        <w:rPr>
          <w:sz w:val="20"/>
          <w:szCs w:val="20"/>
          <w:color w:val="auto"/>
        </w:rPr>
      </w:pPr>
    </w:p>
    <w:p>
      <w:pPr>
        <w:jc w:val="both"/>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The validity of the securities described in this prospectus supplement will be passed upon for us by Skadden, Arps, Slate, Meagher &amp; Flom LLP. Additional legal matters may be passed on for us, or any underwriters, dealers or agents, by counsel we will name in the applicable prospectus supplement.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of Lucid Group, Inc. as of December 31, 2025 and 2024, and for each of the years in the three-year period ended December 31, 2025, and management’s assessment of the effectiveness of internal control over financial reporting as of December 31, 2025 have been incorporated by reference herein and in the registration statement in reliance upon the reports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5"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over the Internet at the SEC’s website at http://www.sec.gov. Please note that the SEC’s website is included in this prospectus supplement and the accompanying prospectus as an inactive textual reference only. The information contained on the SEC’s website is not incorporated by reference into this prospectus supplement and should not be considered to be part of this prospectus supplement, except as described in the following paragraph.</w:t>
      </w:r>
    </w:p>
    <w:p>
      <w:pPr>
        <w:spacing w:after="0" w:line="90" w:lineRule="exact"/>
        <w:rPr>
          <w:sz w:val="20"/>
          <w:szCs w:val="20"/>
          <w:color w:val="auto"/>
        </w:rPr>
      </w:pPr>
    </w:p>
    <w:p>
      <w:pPr>
        <w:jc w:val="both"/>
        <w:ind w:left="1300" w:right="1319" w:firstLine="280"/>
        <w:spacing w:after="0" w:line="253" w:lineRule="auto"/>
        <w:rPr>
          <w:sz w:val="20"/>
          <w:szCs w:val="20"/>
          <w:color w:val="auto"/>
        </w:rPr>
      </w:pPr>
      <w:r>
        <w:rPr>
          <w:rFonts w:ascii="Times New Roman" w:cs="Times New Roman" w:eastAsia="Times New Roman" w:hAnsi="Times New Roman"/>
          <w:sz w:val="14"/>
          <w:szCs w:val="14"/>
          <w:color w:val="auto"/>
        </w:rPr>
        <w:t>We “incorporate by reference” into this prospectus supplement and the accompanying prospectus certain information we file with the SEC, which means that we can disclose important information to you by referring you to those documents. The information incorporated by reference is an important part of this prospectus supplement. Certain information that we subsequently file with the SEC will automatically update and supersede information in this prospectus supplement and in our other filings with the SEC. We incorporate by reference the documents listed below, which we have already filed with the SEC, and any future filings we make with the SEC under Sections 13(a), 13(c), 14 or 15(d) of the Exchange Act, until all the Securities offered by this prospectus supplement have been sold and all conditions to the consummation of such sales have been satisfied, except that we are not incorporating any information included in a Current Report on Form 8-K that has been or will be furnished (and not filed) with the SEC, unless such information is expressly incorporated herein by a reference in a furnished Current Report on Form 8-K or other furnished document:</w:t>
      </w:r>
    </w:p>
    <w:p>
      <w:pPr>
        <w:spacing w:after="0" w:line="236" w:lineRule="exact"/>
        <w:rPr>
          <w:sz w:val="20"/>
          <w:szCs w:val="20"/>
          <w:color w:val="auto"/>
        </w:rPr>
      </w:pPr>
    </w:p>
    <w:p>
      <w:pPr>
        <w:ind w:left="1720" w:right="1319" w:hanging="131"/>
        <w:spacing w:after="0" w:line="283" w:lineRule="auto"/>
        <w:tabs>
          <w:tab w:leader="none" w:pos="1720" w:val="left"/>
        </w:tabs>
        <w:numPr>
          <w:ilvl w:val="0"/>
          <w:numId w:val="9"/>
        </w:numPr>
        <w:rPr>
          <w:rFonts w:ascii="Times New Roman" w:cs="Times New Roman" w:eastAsia="Times New Roman" w:hAnsi="Times New Roman"/>
          <w:sz w:val="14"/>
          <w:szCs w:val="14"/>
          <w:u w:val="single" w:color="auto"/>
          <w:color w:val="0000EE"/>
        </w:rPr>
      </w:pPr>
      <w:hyperlink r:id="rId35">
        <w:r>
          <w:rPr>
            <w:rFonts w:ascii="Times New Roman" w:cs="Times New Roman" w:eastAsia="Times New Roman" w:hAnsi="Times New Roman"/>
            <w:sz w:val="14"/>
            <w:szCs w:val="14"/>
            <w:u w:val="single" w:color="auto"/>
            <w:color w:val="0000EE"/>
          </w:rPr>
          <w:t>our Annual Report on Form 10-K for the fiscal year ended December 31, 2025, filed with the SEC on</w:t>
        </w:r>
      </w:hyperlink>
      <w:r>
        <w:rPr>
          <w:rFonts w:ascii="Times New Roman" w:cs="Times New Roman" w:eastAsia="Times New Roman" w:hAnsi="Times New Roman"/>
          <w:sz w:val="14"/>
          <w:szCs w:val="14"/>
          <w:u w:val="single" w:color="auto"/>
          <w:color w:val="0000EE"/>
        </w:rPr>
        <w:t xml:space="preserve"> </w:t>
      </w:r>
      <w:hyperlink r:id="rId35">
        <w:r>
          <w:rPr>
            <w:rFonts w:ascii="Times New Roman" w:cs="Times New Roman" w:eastAsia="Times New Roman" w:hAnsi="Times New Roman"/>
            <w:sz w:val="14"/>
            <w:szCs w:val="14"/>
            <w:u w:val="single" w:color="auto"/>
            <w:color w:val="0000EE"/>
          </w:rPr>
          <w:t>February 24, 2026;</w:t>
        </w:r>
      </w:hyperlink>
    </w:p>
    <w:p>
      <w:pPr>
        <w:spacing w:after="0" w:line="40" w:lineRule="exact"/>
        <w:rPr>
          <w:rFonts w:ascii="Times New Roman" w:cs="Times New Roman" w:eastAsia="Times New Roman" w:hAnsi="Times New Roman"/>
          <w:sz w:val="14"/>
          <w:szCs w:val="14"/>
          <w:u w:val="single" w:color="auto"/>
          <w:color w:val="0000EE"/>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Form 8-K, filed with the SEC on </w:t>
      </w:r>
      <w:hyperlink r:id="rId48">
        <w:r>
          <w:rPr>
            <w:rFonts w:ascii="Times New Roman" w:cs="Times New Roman" w:eastAsia="Times New Roman" w:hAnsi="Times New Roman"/>
            <w:sz w:val="14"/>
            <w:szCs w:val="14"/>
            <w:u w:val="single" w:color="auto"/>
            <w:color w:val="0000EE"/>
          </w:rPr>
          <w:t>January 23, 2026</w:t>
        </w:r>
      </w:hyperlink>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jc w:val="both"/>
        <w:ind w:left="1720" w:right="1319" w:hanging="131"/>
        <w:spacing w:after="0" w:line="267" w:lineRule="auto"/>
        <w:tabs>
          <w:tab w:leader="none" w:pos="1720" w:val="left"/>
        </w:tabs>
        <w:numPr>
          <w:ilvl w:val="0"/>
          <w:numId w:val="9"/>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information specifically incorporated by reference into our Annual Report on Form 10-K for the </w:t>
      </w:r>
      <w:hyperlink r:id="rId49">
        <w:r>
          <w:rPr>
            <w:rFonts w:ascii="Times New Roman" w:cs="Times New Roman" w:eastAsia="Times New Roman" w:hAnsi="Times New Roman"/>
            <w:sz w:val="14"/>
            <w:szCs w:val="14"/>
            <w:color w:val="auto"/>
          </w:rPr>
          <w:t xml:space="preserve">fiscal year ended December 31, 2024 from our </w:t>
        </w:r>
        <w:r>
          <w:rPr>
            <w:rFonts w:ascii="Times New Roman" w:cs="Times New Roman" w:eastAsia="Times New Roman" w:hAnsi="Times New Roman"/>
            <w:sz w:val="14"/>
            <w:szCs w:val="14"/>
            <w:u w:val="single" w:color="auto"/>
            <w:color w:val="0000EE"/>
          </w:rPr>
          <w:t>Definitive Proxy Statement on Schedule 14A filed</w:t>
        </w:r>
      </w:hyperlink>
      <w:r>
        <w:rPr>
          <w:rFonts w:ascii="Times New Roman" w:cs="Times New Roman" w:eastAsia="Times New Roman" w:hAnsi="Times New Roman"/>
          <w:sz w:val="14"/>
          <w:szCs w:val="14"/>
          <w:color w:val="auto"/>
        </w:rPr>
        <w:t xml:space="preserve"> </w:t>
      </w:r>
      <w:hyperlink r:id="rId49">
        <w:r>
          <w:rPr>
            <w:rFonts w:ascii="Times New Roman" w:cs="Times New Roman" w:eastAsia="Times New Roman" w:hAnsi="Times New Roman"/>
            <w:sz w:val="14"/>
            <w:szCs w:val="14"/>
            <w:u w:val="single" w:color="auto"/>
            <w:color w:val="0000EE"/>
          </w:rPr>
          <w:t>with the SEC on April 24, 2025</w:t>
        </w:r>
        <w:r>
          <w:rPr>
            <w:rFonts w:ascii="Times New Roman" w:cs="Times New Roman" w:eastAsia="Times New Roman" w:hAnsi="Times New Roman"/>
            <w:sz w:val="14"/>
            <w:szCs w:val="14"/>
            <w:color w:val="000000"/>
          </w:rPr>
          <w:t>; and</w:t>
        </w:r>
      </w:hyperlink>
    </w:p>
    <w:p>
      <w:pPr>
        <w:spacing w:after="0" w:line="51" w:lineRule="exact"/>
        <w:rPr>
          <w:rFonts w:ascii="Times New Roman" w:cs="Times New Roman" w:eastAsia="Times New Roman" w:hAnsi="Times New Roman"/>
          <w:sz w:val="14"/>
          <w:szCs w:val="14"/>
          <w:color w:val="0000EE"/>
        </w:rPr>
      </w:pPr>
    </w:p>
    <w:p>
      <w:pPr>
        <w:jc w:val="both"/>
        <w:ind w:left="1720" w:right="1319" w:hanging="131"/>
        <w:spacing w:after="0" w:line="261" w:lineRule="auto"/>
        <w:tabs>
          <w:tab w:leader="none" w:pos="1720" w:val="left"/>
        </w:tabs>
        <w:numPr>
          <w:ilvl w:val="0"/>
          <w:numId w:val="9"/>
        </w:numPr>
        <w:rPr>
          <w:rFonts w:ascii="Times New Roman" w:cs="Times New Roman" w:eastAsia="Times New Roman" w:hAnsi="Times New Roman"/>
          <w:sz w:val="14"/>
          <w:szCs w:val="14"/>
          <w:color w:val="000000"/>
        </w:rPr>
      </w:pPr>
      <w:hyperlink r:id="rId50">
        <w:r>
          <w:rPr>
            <w:rFonts w:ascii="Times New Roman" w:cs="Times New Roman" w:eastAsia="Times New Roman" w:hAnsi="Times New Roman"/>
            <w:sz w:val="14"/>
            <w:szCs w:val="14"/>
            <w:color w:val="auto"/>
          </w:rPr>
          <w:t xml:space="preserve">the description of our securities contained in our Registration Statement on </w:t>
        </w:r>
        <w:r>
          <w:rPr>
            <w:rFonts w:ascii="Times New Roman" w:cs="Times New Roman" w:eastAsia="Times New Roman" w:hAnsi="Times New Roman"/>
            <w:sz w:val="14"/>
            <w:szCs w:val="14"/>
            <w:u w:val="single" w:color="auto"/>
            <w:color w:val="0000EE"/>
          </w:rPr>
          <w:t>Form 8-A (File No. 001-</w:t>
        </w:r>
      </w:hyperlink>
      <w:hyperlink r:id="rId50">
        <w:r>
          <w:rPr>
            <w:rFonts w:ascii="Times New Roman" w:cs="Times New Roman" w:eastAsia="Times New Roman" w:hAnsi="Times New Roman"/>
            <w:sz w:val="14"/>
            <w:szCs w:val="14"/>
            <w:u w:val="single" w:color="auto"/>
            <w:color w:val="0000EE"/>
          </w:rPr>
          <w:t>39408), filed with the SEC on July 23, 2021</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any amendments or reports filed for the purpose of</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updating such description, including </w:t>
      </w:r>
      <w:hyperlink r:id="rId51">
        <w:r>
          <w:rPr>
            <w:rFonts w:ascii="Times New Roman" w:cs="Times New Roman" w:eastAsia="Times New Roman" w:hAnsi="Times New Roman"/>
            <w:sz w:val="14"/>
            <w:szCs w:val="14"/>
            <w:u w:val="single" w:color="auto"/>
            <w:color w:val="0000EE"/>
          </w:rPr>
          <w:t>Exhibit 4.10</w:t>
        </w:r>
        <w:r>
          <w:rPr>
            <w:rFonts w:ascii="Times New Roman" w:cs="Times New Roman" w:eastAsia="Times New Roman" w:hAnsi="Times New Roman"/>
            <w:sz w:val="14"/>
            <w:szCs w:val="14"/>
            <w:u w:val="single" w:color="auto"/>
            <w:color w:val="000000"/>
          </w:rPr>
          <w:t xml:space="preserve"> </w:t>
        </w:r>
      </w:hyperlink>
      <w:r>
        <w:rPr>
          <w:rFonts w:ascii="Times New Roman" w:cs="Times New Roman" w:eastAsia="Times New Roman" w:hAnsi="Times New Roman"/>
          <w:sz w:val="14"/>
          <w:szCs w:val="14"/>
          <w:color w:val="000000"/>
        </w:rPr>
        <w:t>of our Annual Report on Form 10-K for the fiscal year ended December 31, 2025, filed with the SEC on February 24, 2026.</w:t>
      </w:r>
    </w:p>
    <w:p>
      <w:pPr>
        <w:spacing w:after="0" w:line="78" w:lineRule="exact"/>
        <w:rPr>
          <w:rFonts w:ascii="Times New Roman" w:cs="Times New Roman" w:eastAsia="Times New Roman" w:hAnsi="Times New Roman"/>
          <w:sz w:val="14"/>
          <w:szCs w:val="14"/>
          <w:color w:val="auto"/>
        </w:rPr>
      </w:pPr>
    </w:p>
    <w:p>
      <w:pPr>
        <w:ind w:left="1580"/>
        <w:spacing w:after="0"/>
        <w:rPr>
          <w:sz w:val="20"/>
          <w:szCs w:val="20"/>
          <w:color w:val="auto"/>
        </w:rPr>
      </w:pPr>
      <w:r>
        <w:rPr>
          <w:rFonts w:ascii="Times New Roman" w:cs="Times New Roman" w:eastAsia="Times New Roman" w:hAnsi="Times New Roman"/>
          <w:sz w:val="14"/>
          <w:szCs w:val="14"/>
          <w:color w:val="auto"/>
        </w:rPr>
        <w:t>You may request a copy of these filings, at no cost to you, by contacting us by mail: 7373 Gateway</w:t>
      </w:r>
    </w:p>
    <w:p>
      <w:pPr>
        <w:spacing w:after="0" w:line="22" w:lineRule="exact"/>
        <w:rPr>
          <w:rFonts w:ascii="Times New Roman" w:cs="Times New Roman" w:eastAsia="Times New Roman" w:hAnsi="Times New Roman"/>
          <w:sz w:val="14"/>
          <w:szCs w:val="14"/>
          <w:color w:val="auto"/>
        </w:rPr>
      </w:pPr>
    </w:p>
    <w:p>
      <w:pPr>
        <w:ind w:left="1300"/>
        <w:spacing w:after="0"/>
        <w:rPr>
          <w:sz w:val="20"/>
          <w:szCs w:val="20"/>
          <w:color w:val="auto"/>
        </w:rPr>
      </w:pPr>
      <w:r>
        <w:rPr>
          <w:rFonts w:ascii="Times New Roman" w:cs="Times New Roman" w:eastAsia="Times New Roman" w:hAnsi="Times New Roman"/>
          <w:sz w:val="14"/>
          <w:szCs w:val="14"/>
          <w:color w:val="auto"/>
        </w:rPr>
        <w:t>Boulevard, Newark, CA 94560, Attention: Investor Relations, by email: investor@lucidmotors.com or by</w:t>
      </w:r>
    </w:p>
    <w:p>
      <w:pPr>
        <w:spacing w:after="0" w:line="7" w:lineRule="exact"/>
        <w:rPr>
          <w:rFonts w:ascii="Times New Roman" w:cs="Times New Roman" w:eastAsia="Times New Roman" w:hAnsi="Times New Roman"/>
          <w:sz w:val="14"/>
          <w:szCs w:val="14"/>
          <w:color w:val="auto"/>
        </w:rPr>
      </w:pPr>
    </w:p>
    <w:p>
      <w:pPr>
        <w:ind w:left="1300"/>
        <w:spacing w:after="0"/>
        <w:rPr>
          <w:sz w:val="20"/>
          <w:szCs w:val="20"/>
          <w:color w:val="auto"/>
        </w:rPr>
      </w:pPr>
      <w:r>
        <w:rPr>
          <w:rFonts w:ascii="Times New Roman" w:cs="Times New Roman" w:eastAsia="Times New Roman" w:hAnsi="Times New Roman"/>
          <w:sz w:val="14"/>
          <w:szCs w:val="14"/>
          <w:color w:val="auto"/>
        </w:rPr>
        <w:t>telephone: (510) 648-3553.</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46"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40"/>
        <w:spacing w:after="0"/>
        <w:rPr>
          <w:sz w:val="20"/>
          <w:szCs w:val="20"/>
          <w:color w:val="auto"/>
        </w:rPr>
      </w:pPr>
      <w:r>
        <w:rPr>
          <w:rFonts w:ascii="Calibri" w:cs="Calibri" w:eastAsia="Calibri" w:hAnsi="Calibri"/>
          <w:sz w:val="11"/>
          <w:szCs w:val="11"/>
          <w:color w:val="003366"/>
        </w:rPr>
        <w:t>TABLE OF CONTENTS</w:t>
      </w:r>
    </w:p>
    <w:p>
      <w:pPr>
        <w:spacing w:after="0" w:line="3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LUCID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1481455</wp:posOffset>
            </wp:positionH>
            <wp:positionV relativeFrom="paragraph">
              <wp:posOffset>85090</wp:posOffset>
            </wp:positionV>
            <wp:extent cx="275717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7571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Depositary Shares</w:t>
      </w:r>
    </w:p>
    <w:p>
      <w:pPr>
        <w:ind w:left="3960"/>
        <w:spacing w:after="0" w:line="237" w:lineRule="auto"/>
        <w:rPr>
          <w:sz w:val="20"/>
          <w:szCs w:val="20"/>
          <w:color w:val="auto"/>
        </w:rPr>
      </w:pPr>
      <w:r>
        <w:rPr>
          <w:rFonts w:ascii="Times New Roman" w:cs="Times New Roman" w:eastAsia="Times New Roman" w:hAnsi="Times New Roman"/>
          <w:sz w:val="17"/>
          <w:szCs w:val="17"/>
          <w:b w:val="1"/>
          <w:bCs w:val="1"/>
          <w:color w:val="auto"/>
        </w:rPr>
        <w:t>Debt Securities</w:t>
      </w:r>
    </w:p>
    <w:p>
      <w:pPr>
        <w:ind w:left="416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Subscription Rights</w:t>
      </w:r>
    </w:p>
    <w:p>
      <w:pPr>
        <w:ind w:left="3800"/>
        <w:spacing w:after="0" w:line="237" w:lineRule="auto"/>
        <w:rPr>
          <w:sz w:val="20"/>
          <w:szCs w:val="20"/>
          <w:color w:val="auto"/>
        </w:rPr>
      </w:pPr>
      <w:r>
        <w:rPr>
          <w:rFonts w:ascii="Times New Roman" w:cs="Times New Roman" w:eastAsia="Times New Roman" w:hAnsi="Times New Roman"/>
          <w:sz w:val="17"/>
          <w:szCs w:val="17"/>
          <w:b w:val="1"/>
          <w:bCs w:val="1"/>
          <w:color w:val="auto"/>
        </w:rPr>
        <w:t>Purchase Contracts</w:t>
      </w: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71120</wp:posOffset>
            </wp:positionV>
            <wp:extent cx="96139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0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We may offer, issue and sell, together or separately:</w:t>
      </w:r>
    </w:p>
    <w:p>
      <w:pPr>
        <w:spacing w:after="0" w:line="81" w:lineRule="exact"/>
        <w:rPr>
          <w:sz w:val="20"/>
          <w:szCs w:val="20"/>
          <w:color w:val="auto"/>
        </w:rPr>
      </w:pPr>
    </w:p>
    <w:p>
      <w:pPr>
        <w:ind w:left="1140" w:hanging="149"/>
        <w:spacing w:after="0"/>
        <w:tabs>
          <w:tab w:leader="none" w:pos="1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common stock;</w:t>
      </w:r>
    </w:p>
    <w:p>
      <w:pPr>
        <w:spacing w:after="0" w:line="80" w:lineRule="exact"/>
        <w:rPr>
          <w:rFonts w:ascii="Times New Roman" w:cs="Times New Roman" w:eastAsia="Times New Roman" w:hAnsi="Times New Roman"/>
          <w:sz w:val="14"/>
          <w:szCs w:val="14"/>
          <w:color w:val="auto"/>
        </w:rPr>
      </w:pPr>
    </w:p>
    <w:p>
      <w:pPr>
        <w:ind w:left="1140" w:hanging="149"/>
        <w:spacing w:after="0"/>
        <w:tabs>
          <w:tab w:leader="none" w:pos="1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preferred stock, which may be issued in one or more series;</w:t>
      </w:r>
    </w:p>
    <w:p>
      <w:pPr>
        <w:spacing w:after="0" w:line="70" w:lineRule="exact"/>
        <w:rPr>
          <w:rFonts w:ascii="Times New Roman" w:cs="Times New Roman" w:eastAsia="Times New Roman" w:hAnsi="Times New Roman"/>
          <w:sz w:val="14"/>
          <w:szCs w:val="14"/>
          <w:color w:val="auto"/>
        </w:rPr>
      </w:pPr>
    </w:p>
    <w:p>
      <w:pPr>
        <w:ind w:left="1140" w:hanging="149"/>
        <w:spacing w:after="0"/>
        <w:tabs>
          <w:tab w:leader="none" w:pos="1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depositary receipts, representing fractional shares of our preferred stock, which are called depositary shares;</w:t>
      </w:r>
    </w:p>
    <w:p>
      <w:pPr>
        <w:spacing w:after="0" w:line="80" w:lineRule="exact"/>
        <w:rPr>
          <w:rFonts w:ascii="Times New Roman" w:cs="Times New Roman" w:eastAsia="Times New Roman" w:hAnsi="Times New Roman"/>
          <w:sz w:val="14"/>
          <w:szCs w:val="14"/>
          <w:color w:val="auto"/>
        </w:rPr>
      </w:pPr>
    </w:p>
    <w:p>
      <w:pPr>
        <w:ind w:left="1140" w:right="739" w:hanging="149"/>
        <w:spacing w:after="0" w:line="267" w:lineRule="auto"/>
        <w:tabs>
          <w:tab w:leader="none" w:pos="1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which may be issued in one or more series and which may be senior debt securities or subordinated debt securities;</w:t>
      </w:r>
    </w:p>
    <w:p>
      <w:pPr>
        <w:spacing w:after="0" w:line="30" w:lineRule="exact"/>
        <w:rPr>
          <w:rFonts w:ascii="Times New Roman" w:cs="Times New Roman" w:eastAsia="Times New Roman" w:hAnsi="Times New Roman"/>
          <w:sz w:val="14"/>
          <w:szCs w:val="14"/>
          <w:color w:val="auto"/>
        </w:rPr>
      </w:pPr>
    </w:p>
    <w:p>
      <w:pPr>
        <w:ind w:left="1140" w:hanging="149"/>
        <w:spacing w:after="0"/>
        <w:tabs>
          <w:tab w:leader="none" w:pos="1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shares of our common stock, shares of our preferred stock or our debt securities;</w:t>
      </w:r>
    </w:p>
    <w:p>
      <w:pPr>
        <w:spacing w:after="0" w:line="80" w:lineRule="exact"/>
        <w:rPr>
          <w:rFonts w:ascii="Times New Roman" w:cs="Times New Roman" w:eastAsia="Times New Roman" w:hAnsi="Times New Roman"/>
          <w:sz w:val="14"/>
          <w:szCs w:val="14"/>
          <w:color w:val="auto"/>
        </w:rPr>
      </w:pPr>
    </w:p>
    <w:p>
      <w:pPr>
        <w:ind w:left="1140" w:hanging="149"/>
        <w:spacing w:after="0"/>
        <w:tabs>
          <w:tab w:leader="none" w:pos="1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rights to purchase shares of our common stock, shares of our preferred stock or our debt securities;</w:t>
      </w:r>
    </w:p>
    <w:p>
      <w:pPr>
        <w:spacing w:after="0" w:line="80" w:lineRule="exact"/>
        <w:rPr>
          <w:rFonts w:ascii="Times New Roman" w:cs="Times New Roman" w:eastAsia="Times New Roman" w:hAnsi="Times New Roman"/>
          <w:sz w:val="14"/>
          <w:szCs w:val="14"/>
          <w:color w:val="auto"/>
        </w:rPr>
      </w:pPr>
    </w:p>
    <w:p>
      <w:pPr>
        <w:ind w:left="1140" w:hanging="149"/>
        <w:spacing w:after="0"/>
        <w:tabs>
          <w:tab w:leader="none" w:pos="1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contracts to purchase shares of our common stock, shares of our preferred stock or our debt securities; and</w:t>
      </w:r>
    </w:p>
    <w:p>
      <w:pPr>
        <w:spacing w:after="0" w:line="70" w:lineRule="exact"/>
        <w:rPr>
          <w:rFonts w:ascii="Times New Roman" w:cs="Times New Roman" w:eastAsia="Times New Roman" w:hAnsi="Times New Roman"/>
          <w:sz w:val="14"/>
          <w:szCs w:val="14"/>
          <w:color w:val="auto"/>
        </w:rPr>
      </w:pPr>
    </w:p>
    <w:p>
      <w:pPr>
        <w:jc w:val="both"/>
        <w:ind w:left="1140" w:right="719" w:hanging="149"/>
        <w:spacing w:after="0" w:line="251" w:lineRule="auto"/>
        <w:tabs>
          <w:tab w:leader="none" w:pos="1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units, each representing ownership of a purchase contract and debt securities, preferred securities or debt obligations of third-parties, including U.S. treasury securities, or any combination of the foregoing, securing the holder’s obligation to purchase our common stock or other securities under the purchase contracts.</w:t>
      </w:r>
    </w:p>
    <w:p>
      <w:pPr>
        <w:spacing w:after="0" w:line="42" w:lineRule="exact"/>
        <w:rPr>
          <w:sz w:val="20"/>
          <w:szCs w:val="20"/>
          <w:color w:val="auto"/>
        </w:rPr>
      </w:pPr>
    </w:p>
    <w:p>
      <w:pPr>
        <w:jc w:val="both"/>
        <w:ind w:left="720" w:right="719" w:firstLine="280"/>
        <w:spacing w:after="0" w:line="267" w:lineRule="auto"/>
        <w:rPr>
          <w:sz w:val="20"/>
          <w:szCs w:val="20"/>
          <w:color w:val="auto"/>
        </w:rPr>
      </w:pPr>
      <w:r>
        <w:rPr>
          <w:rFonts w:ascii="Times New Roman" w:cs="Times New Roman" w:eastAsia="Times New Roman" w:hAnsi="Times New Roman"/>
          <w:sz w:val="14"/>
          <w:szCs w:val="14"/>
          <w:color w:val="auto"/>
        </w:rPr>
        <w:t>In addition, selling securityholders may offer and sell, from time to time, these securities on terms described in a prospectus supplement.</w:t>
      </w:r>
    </w:p>
    <w:p>
      <w:pPr>
        <w:spacing w:after="0" w:line="41" w:lineRule="exact"/>
        <w:rPr>
          <w:sz w:val="20"/>
          <w:szCs w:val="20"/>
          <w:color w:val="auto"/>
        </w:rPr>
      </w:pPr>
    </w:p>
    <w:p>
      <w:pPr>
        <w:jc w:val="both"/>
        <w:ind w:left="720" w:right="739" w:firstLine="280"/>
        <w:spacing w:after="0"/>
        <w:rPr>
          <w:sz w:val="20"/>
          <w:szCs w:val="20"/>
          <w:color w:val="auto"/>
        </w:rPr>
      </w:pPr>
      <w:r>
        <w:rPr>
          <w:rFonts w:ascii="Times New Roman" w:cs="Times New Roman" w:eastAsia="Times New Roman" w:hAnsi="Times New Roman"/>
          <w:sz w:val="14"/>
          <w:szCs w:val="14"/>
          <w:color w:val="auto"/>
        </w:rPr>
        <w:t>This prospectus describes some of the general terms that may apply to these securities. The specific terms of any securities to be offered will be described in a prospectus supplement. The prospectus supplement may also add, update or change information contained in this prospectus. You should read this prospectus and the applicable prospectus supplement carefully before you make your investment decision.</w:t>
      </w:r>
    </w:p>
    <w:p>
      <w:pPr>
        <w:spacing w:after="0" w:line="50" w:lineRule="exact"/>
        <w:rPr>
          <w:sz w:val="20"/>
          <w:szCs w:val="20"/>
          <w:color w:val="auto"/>
        </w:rPr>
      </w:pPr>
    </w:p>
    <w:p>
      <w:pPr>
        <w:jc w:val="both"/>
        <w:ind w:left="720" w:right="719" w:firstLine="280"/>
        <w:spacing w:after="0" w:line="267" w:lineRule="auto"/>
        <w:rPr>
          <w:sz w:val="20"/>
          <w:szCs w:val="20"/>
          <w:color w:val="auto"/>
        </w:rPr>
      </w:pPr>
      <w:r>
        <w:rPr>
          <w:rFonts w:ascii="Times New Roman" w:cs="Times New Roman" w:eastAsia="Times New Roman" w:hAnsi="Times New Roman"/>
          <w:sz w:val="14"/>
          <w:szCs w:val="14"/>
          <w:color w:val="auto"/>
        </w:rPr>
        <w:t>We and/or the selling securityholders may offer and sell these securities to or through one or more underwriters, dealers and agents, or directly to purchasers, on a continuous or delayed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48895</wp:posOffset>
            </wp:positionV>
            <wp:extent cx="96139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68580</wp:posOffset>
            </wp:positionV>
            <wp:extent cx="96139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19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color w:val="auto"/>
        </w:rPr>
        <w:t xml:space="preserve">Investing in our securities involves a number of risks. See “Risk Factors” on page </w:t>
      </w:r>
      <w:r>
        <w:rPr>
          <w:rFonts w:ascii="Times New Roman" w:cs="Times New Roman" w:eastAsia="Times New Roman" w:hAnsi="Times New Roman"/>
          <w:sz w:val="13"/>
          <w:szCs w:val="13"/>
          <w:b w:val="1"/>
          <w:bCs w:val="1"/>
          <w:u w:val="single" w:color="auto"/>
          <w:color w:val="0000EE"/>
        </w:rPr>
        <w:t>8</w:t>
      </w:r>
      <w:r>
        <w:rPr>
          <w:rFonts w:ascii="Times New Roman" w:cs="Times New Roman" w:eastAsia="Times New Roman" w:hAnsi="Times New Roman"/>
          <w:sz w:val="13"/>
          <w:szCs w:val="13"/>
          <w:b w:val="1"/>
          <w:bCs w:val="1"/>
          <w:color w:val="auto"/>
        </w:rPr>
        <w:t xml:space="preserve"> before you make your investment decision.</w:t>
      </w:r>
    </w:p>
    <w:p>
      <w:pPr>
        <w:spacing w:after="0" w:line="94" w:lineRule="exact"/>
        <w:rPr>
          <w:sz w:val="20"/>
          <w:szCs w:val="20"/>
          <w:color w:val="auto"/>
        </w:rPr>
      </w:pPr>
    </w:p>
    <w:p>
      <w:pPr>
        <w:jc w:val="both"/>
        <w:ind w:left="720" w:right="719" w:firstLine="280"/>
        <w:spacing w:after="0"/>
        <w:rPr>
          <w:sz w:val="20"/>
          <w:szCs w:val="20"/>
          <w:color w:val="auto"/>
        </w:rPr>
      </w:pPr>
      <w:r>
        <w:rPr>
          <w:rFonts w:ascii="Times New Roman" w:cs="Times New Roman" w:eastAsia="Times New Roman" w:hAnsi="Times New Roman"/>
          <w:sz w:val="14"/>
          <w:szCs w:val="14"/>
          <w:color w:val="auto"/>
        </w:rPr>
        <w:t>We may offer securities through underwriting syndicates managed or co-managed by one or more underwriters or dealers, through agents or directly to purchasers. These securities also may be resold by selling securityholders.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50" w:lineRule="exact"/>
        <w:rPr>
          <w:sz w:val="20"/>
          <w:szCs w:val="20"/>
          <w:color w:val="auto"/>
        </w:rPr>
      </w:pPr>
    </w:p>
    <w:p>
      <w:pPr>
        <w:jc w:val="both"/>
        <w:ind w:left="720" w:right="739" w:firstLine="280"/>
        <w:spacing w:after="0" w:line="267" w:lineRule="auto"/>
        <w:rPr>
          <w:sz w:val="20"/>
          <w:szCs w:val="20"/>
          <w:color w:val="auto"/>
        </w:rPr>
      </w:pPr>
      <w:r>
        <w:rPr>
          <w:rFonts w:ascii="Times New Roman" w:cs="Times New Roman" w:eastAsia="Times New Roman" w:hAnsi="Times New Roman"/>
          <w:sz w:val="14"/>
          <w:szCs w:val="14"/>
          <w:color w:val="auto"/>
        </w:rPr>
        <w:t>Our common stock is listed on The Nasdaq Stock Market LLC (“Nasdaq”) under the trading symbol “LCID.” Each prospectus supplement will indicate whether the securities offered thereby will be listed on any securities exchange.</w:t>
      </w:r>
    </w:p>
    <w:p>
      <w:pPr>
        <w:spacing w:after="0" w:line="39" w:lineRule="exact"/>
        <w:rPr>
          <w:sz w:val="20"/>
          <w:szCs w:val="20"/>
          <w:color w:val="auto"/>
        </w:rPr>
      </w:pPr>
    </w:p>
    <w:p>
      <w:pPr>
        <w:jc w:val="both"/>
        <w:ind w:left="720" w:right="719" w:firstLine="280"/>
        <w:spacing w:after="0" w:line="245"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57785</wp:posOffset>
            </wp:positionV>
            <wp:extent cx="96139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date of this prospectus is October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194310</wp:posOffset>
            </wp:positionV>
            <wp:extent cx="531876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12065</wp:posOffset>
            </wp:positionV>
            <wp:extent cx="4058920" cy="133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27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4058920"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FREQUENTLY USED TERMS</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THE COMPANY</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CAPITAL STOCK</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DEBT SECURITIES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SUBSCRIPTION RIGHTS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PURCHASE CONTRACTS AND 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SELLING SECURITYHOLDERS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ectPr>
          <w:pgSz w:w="11900" w:h="16838" w:orient="portrait"/>
          <w:cols w:equalWidth="0" w:num="2">
            <w:col w:w="6560" w:space="720"/>
            <w:col w:w="1739"/>
          </w:cols>
          <w:pgMar w:left="1440" w:top="107" w:right="1440" w:bottom="1440" w:gutter="0" w:footer="0" w:header="0"/>
        </w:sectPr>
      </w:pPr>
    </w:p>
    <w:bookmarkStart w:id="21" w:name="page22"/>
    <w:bookmarkEnd w:id="2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jc w:val="both"/>
        <w:ind w:left="1300" w:right="1319" w:firstLine="280"/>
        <w:spacing w:after="0" w:line="243"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and/or the selling securityholders may sell from time to time any combination of the securities described in this prospectus. This prospectus only provides you with a general description of the securities that we and/or the selling securityholders may offer. Each time we and/or the selling securityholders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94" w:lineRule="exact"/>
        <w:rPr>
          <w:sz w:val="20"/>
          <w:szCs w:val="20"/>
          <w:color w:val="auto"/>
        </w:rPr>
      </w:pPr>
    </w:p>
    <w:p>
      <w:pPr>
        <w:jc w:val="both"/>
        <w:ind w:left="1300" w:right="1319" w:firstLine="280"/>
        <w:spacing w:after="0" w:line="245"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254" w:lineRule="exact"/>
        <w:rPr>
          <w:sz w:val="20"/>
          <w:szCs w:val="20"/>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The information in this prospectus is accurate as of the date on the front cover. You should not assume that the information contained in this prospectus is accurate as of any other date.</w:t>
      </w:r>
    </w:p>
    <w:p>
      <w:pPr>
        <w:spacing w:after="0" w:line="73" w:lineRule="exact"/>
        <w:rPr>
          <w:sz w:val="20"/>
          <w:szCs w:val="20"/>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When used in this prospectus, the terms “Lucid,” the “Company,” “we,” “our” and “us” refer to Lucid Group, Inc. and its consolidated subsidiaries, unless otherwise specified or the context otherwise requires.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5" w:lineRule="exact"/>
        <w:rPr>
          <w:sz w:val="20"/>
          <w:szCs w:val="20"/>
          <w:color w:val="auto"/>
        </w:rPr>
      </w:pPr>
    </w:p>
    <w:p>
      <w:pPr>
        <w:jc w:val="both"/>
        <w:ind w:left="1300" w:right="1339" w:firstLine="280"/>
        <w:spacing w:after="0" w:line="259"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78" w:lineRule="exact"/>
        <w:rPr>
          <w:sz w:val="20"/>
          <w:szCs w:val="20"/>
          <w:color w:val="auto"/>
        </w:rPr>
      </w:pPr>
    </w:p>
    <w:p>
      <w:pPr>
        <w:jc w:val="both"/>
        <w:ind w:left="1300" w:right="1319" w:firstLine="280"/>
        <w:spacing w:after="0" w:line="243"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226" w:lineRule="exact"/>
        <w:rPr>
          <w:sz w:val="20"/>
          <w:szCs w:val="20"/>
          <w:color w:val="auto"/>
        </w:rPr>
      </w:pPr>
    </w:p>
    <w:p>
      <w:pPr>
        <w:ind w:left="1720" w:right="1319" w:hanging="131"/>
        <w:spacing w:after="0" w:line="283" w:lineRule="auto"/>
        <w:tabs>
          <w:tab w:leader="none" w:pos="1720" w:val="left"/>
        </w:tabs>
        <w:numPr>
          <w:ilvl w:val="0"/>
          <w:numId w:val="11"/>
        </w:numPr>
        <w:rPr>
          <w:rFonts w:ascii="Times New Roman" w:cs="Times New Roman" w:eastAsia="Times New Roman" w:hAnsi="Times New Roman"/>
          <w:sz w:val="14"/>
          <w:szCs w:val="14"/>
          <w:u w:val="single" w:color="auto"/>
          <w:color w:val="0000EE"/>
        </w:rPr>
      </w:pPr>
      <w:hyperlink r:id="rId69">
        <w:r>
          <w:rPr>
            <w:rFonts w:ascii="Times New Roman" w:cs="Times New Roman" w:eastAsia="Times New Roman" w:hAnsi="Times New Roman"/>
            <w:sz w:val="14"/>
            <w:szCs w:val="14"/>
            <w:u w:val="single" w:color="auto"/>
            <w:color w:val="0000EE"/>
          </w:rPr>
          <w:t>our Annual Report on Form 10-K for the year ended December 31, 2023, filed with the SEC on</w:t>
        </w:r>
      </w:hyperlink>
      <w:r>
        <w:rPr>
          <w:rFonts w:ascii="Times New Roman" w:cs="Times New Roman" w:eastAsia="Times New Roman" w:hAnsi="Times New Roman"/>
          <w:sz w:val="14"/>
          <w:szCs w:val="14"/>
          <w:u w:val="single" w:color="auto"/>
          <w:color w:val="0000EE"/>
        </w:rPr>
        <w:t xml:space="preserve"> </w:t>
      </w:r>
      <w:hyperlink r:id="rId69">
        <w:r>
          <w:rPr>
            <w:rFonts w:ascii="Times New Roman" w:cs="Times New Roman" w:eastAsia="Times New Roman" w:hAnsi="Times New Roman"/>
            <w:sz w:val="14"/>
            <w:szCs w:val="14"/>
            <w:u w:val="single" w:color="auto"/>
            <w:color w:val="0000EE"/>
          </w:rPr>
          <w:t>February 27, 2024 (the “Annual Report”);</w:t>
        </w:r>
      </w:hyperlink>
    </w:p>
    <w:p>
      <w:pPr>
        <w:spacing w:after="0" w:line="30" w:lineRule="exact"/>
        <w:rPr>
          <w:rFonts w:ascii="Times New Roman" w:cs="Times New Roman" w:eastAsia="Times New Roman" w:hAnsi="Times New Roman"/>
          <w:sz w:val="14"/>
          <w:szCs w:val="14"/>
          <w:u w:val="single" w:color="auto"/>
          <w:color w:val="0000EE"/>
        </w:rPr>
      </w:pPr>
    </w:p>
    <w:p>
      <w:pPr>
        <w:jc w:val="both"/>
        <w:ind w:left="1720" w:right="1339" w:hanging="131"/>
        <w:spacing w:after="0" w:line="267" w:lineRule="auto"/>
        <w:tabs>
          <w:tab w:leader="none" w:pos="1720" w:val="left"/>
        </w:tabs>
        <w:numPr>
          <w:ilvl w:val="0"/>
          <w:numId w:val="1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information specifically incorporated by reference into our Annual Report on Form 10-K for the </w:t>
      </w:r>
      <w:hyperlink r:id="rId70">
        <w:r>
          <w:rPr>
            <w:rFonts w:ascii="Times New Roman" w:cs="Times New Roman" w:eastAsia="Times New Roman" w:hAnsi="Times New Roman"/>
            <w:sz w:val="14"/>
            <w:szCs w:val="14"/>
            <w:color w:val="auto"/>
          </w:rPr>
          <w:t xml:space="preserve">fiscal year ended December 31, 2023 from our </w:t>
        </w:r>
        <w:r>
          <w:rPr>
            <w:rFonts w:ascii="Times New Roman" w:cs="Times New Roman" w:eastAsia="Times New Roman" w:hAnsi="Times New Roman"/>
            <w:sz w:val="14"/>
            <w:szCs w:val="14"/>
            <w:u w:val="single" w:color="auto"/>
            <w:color w:val="0000EE"/>
          </w:rPr>
          <w:t>definitive proxy statement on Schedule 14A, filed</w:t>
        </w:r>
      </w:hyperlink>
      <w:r>
        <w:rPr>
          <w:rFonts w:ascii="Times New Roman" w:cs="Times New Roman" w:eastAsia="Times New Roman" w:hAnsi="Times New Roman"/>
          <w:sz w:val="14"/>
          <w:szCs w:val="14"/>
          <w:color w:val="auto"/>
        </w:rPr>
        <w:t xml:space="preserve"> </w:t>
      </w:r>
      <w:hyperlink r:id="rId70">
        <w:r>
          <w:rPr>
            <w:rFonts w:ascii="Times New Roman" w:cs="Times New Roman" w:eastAsia="Times New Roman" w:hAnsi="Times New Roman"/>
            <w:sz w:val="14"/>
            <w:szCs w:val="14"/>
            <w:u w:val="single" w:color="auto"/>
            <w:color w:val="0000EE"/>
          </w:rPr>
          <w:t>with the SEC on April 25, 2024</w:t>
        </w:r>
        <w:r>
          <w:rPr>
            <w:rFonts w:ascii="Times New Roman" w:cs="Times New Roman" w:eastAsia="Times New Roman" w:hAnsi="Times New Roman"/>
            <w:sz w:val="14"/>
            <w:szCs w:val="14"/>
            <w:color w:val="000000"/>
          </w:rPr>
          <w:t>;</w:t>
        </w:r>
      </w:hyperlink>
    </w:p>
    <w:p>
      <w:pPr>
        <w:spacing w:after="0" w:line="51" w:lineRule="exact"/>
        <w:rPr>
          <w:rFonts w:ascii="Times New Roman" w:cs="Times New Roman" w:eastAsia="Times New Roman" w:hAnsi="Times New Roman"/>
          <w:sz w:val="14"/>
          <w:szCs w:val="14"/>
          <w:color w:val="0000EE"/>
        </w:rPr>
      </w:pPr>
    </w:p>
    <w:p>
      <w:pPr>
        <w:ind w:left="1720" w:right="1319" w:hanging="131"/>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March 31, 2024 and June 30, 2024, filed with the SEC on </w:t>
      </w:r>
      <w:hyperlink r:id="rId71">
        <w:r>
          <w:rPr>
            <w:rFonts w:ascii="Times New Roman" w:cs="Times New Roman" w:eastAsia="Times New Roman" w:hAnsi="Times New Roman"/>
            <w:sz w:val="14"/>
            <w:szCs w:val="14"/>
            <w:u w:val="single" w:color="auto"/>
            <w:color w:val="0000EE"/>
          </w:rPr>
          <w:t>May 6,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72">
        <w:r>
          <w:rPr>
            <w:rFonts w:ascii="Times New Roman" w:cs="Times New Roman" w:eastAsia="Times New Roman" w:hAnsi="Times New Roman"/>
            <w:sz w:val="14"/>
            <w:szCs w:val="14"/>
            <w:u w:val="single" w:color="auto"/>
            <w:color w:val="0000EE"/>
          </w:rPr>
          <w:t>August 5, 2024</w:t>
        </w:r>
      </w:hyperlink>
      <w:r>
        <w:rPr>
          <w:rFonts w:ascii="Times New Roman" w:cs="Times New Roman" w:eastAsia="Times New Roman" w:hAnsi="Times New Roman"/>
          <w:sz w:val="14"/>
          <w:szCs w:val="14"/>
          <w:color w:val="auto"/>
        </w:rPr>
        <w:t>, respectively;</w:t>
      </w:r>
    </w:p>
    <w:p>
      <w:pPr>
        <w:spacing w:after="0" w:line="40" w:lineRule="exact"/>
        <w:rPr>
          <w:rFonts w:ascii="Times New Roman" w:cs="Times New Roman" w:eastAsia="Times New Roman" w:hAnsi="Times New Roman"/>
          <w:sz w:val="14"/>
          <w:szCs w:val="14"/>
          <w:color w:val="auto"/>
        </w:rPr>
      </w:pPr>
    </w:p>
    <w:p>
      <w:pPr>
        <w:jc w:val="both"/>
        <w:ind w:left="1720" w:right="1319" w:hanging="131"/>
        <w:spacing w:after="0" w:line="264" w:lineRule="auto"/>
        <w:tabs>
          <w:tab w:leader="none" w:pos="1720" w:val="left"/>
        </w:tabs>
        <w:numPr>
          <w:ilvl w:val="0"/>
          <w:numId w:val="1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73">
        <w:r>
          <w:rPr>
            <w:rFonts w:ascii="Times New Roman" w:cs="Times New Roman" w:eastAsia="Times New Roman" w:hAnsi="Times New Roman"/>
            <w:sz w:val="14"/>
            <w:szCs w:val="14"/>
            <w:u w:val="single" w:color="auto"/>
            <w:color w:val="0000EE"/>
          </w:rPr>
          <w:t>January 26, 2024</w:t>
        </w:r>
      </w:hyperlink>
      <w:r>
        <w:rPr>
          <w:rFonts w:ascii="Times New Roman" w:cs="Times New Roman" w:eastAsia="Times New Roman" w:hAnsi="Times New Roman"/>
          <w:sz w:val="14"/>
          <w:szCs w:val="14"/>
          <w:color w:val="auto"/>
        </w:rPr>
        <w:t xml:space="preserve">, </w:t>
      </w:r>
      <w:hyperlink r:id="rId74">
        <w:r>
          <w:rPr>
            <w:rFonts w:ascii="Times New Roman" w:cs="Times New Roman" w:eastAsia="Times New Roman" w:hAnsi="Times New Roman"/>
            <w:sz w:val="14"/>
            <w:szCs w:val="14"/>
            <w:u w:val="single" w:color="auto"/>
            <w:color w:val="0000EE"/>
          </w:rPr>
          <w:t>February 15, 2024</w:t>
        </w:r>
      </w:hyperlink>
      <w:r>
        <w:rPr>
          <w:rFonts w:ascii="Times New Roman" w:cs="Times New Roman" w:eastAsia="Times New Roman" w:hAnsi="Times New Roman"/>
          <w:sz w:val="14"/>
          <w:szCs w:val="14"/>
          <w:color w:val="auto"/>
        </w:rPr>
        <w:t xml:space="preserve">, </w:t>
      </w:r>
      <w:hyperlink r:id="rId75">
        <w:r>
          <w:rPr>
            <w:rFonts w:ascii="Times New Roman" w:cs="Times New Roman" w:eastAsia="Times New Roman" w:hAnsi="Times New Roman"/>
            <w:sz w:val="14"/>
            <w:szCs w:val="14"/>
            <w:u w:val="single" w:color="auto"/>
            <w:color w:val="0000EE"/>
          </w:rPr>
          <w:t>March 25, 2024</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March 29, 2024</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May 6, 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(only with respect to Item 5.02 therein),</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May 24,</w:t>
        </w:r>
      </w:hyperlink>
      <w:r>
        <w:rPr>
          <w:rFonts w:ascii="Times New Roman" w:cs="Times New Roman" w:eastAsia="Times New Roman" w:hAnsi="Times New Roman"/>
          <w:sz w:val="14"/>
          <w:szCs w:val="14"/>
          <w:color w:val="0000EE"/>
        </w:rPr>
        <w:t xml:space="preserve"> </w:t>
      </w:r>
      <w:hyperlink r:id="rId75">
        <w:r>
          <w:rPr>
            <w:rFonts w:ascii="Times New Roman" w:cs="Times New Roman" w:eastAsia="Times New Roman" w:hAnsi="Times New Roman"/>
            <w:sz w:val="14"/>
            <w:szCs w:val="14"/>
            <w:u w:val="single" w:color="auto"/>
            <w:color w:val="0000EE"/>
          </w:rPr>
          <w:t>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(only with respect to Item 2.05 therein),</w:t>
        </w:r>
        <w:r>
          <w:rPr>
            <w:rFonts w:ascii="Times New Roman" w:cs="Times New Roman" w:eastAsia="Times New Roman" w:hAnsi="Times New Roman"/>
            <w:sz w:val="14"/>
            <w:szCs w:val="14"/>
            <w:color w:val="0000EE"/>
          </w:rPr>
          <w:t xml:space="preserve"> </w:t>
        </w:r>
      </w:hyperlink>
      <w:hyperlink r:id="rId76">
        <w:r>
          <w:rPr>
            <w:rFonts w:ascii="Times New Roman" w:cs="Times New Roman" w:eastAsia="Times New Roman" w:hAnsi="Times New Roman"/>
            <w:sz w:val="14"/>
            <w:szCs w:val="14"/>
            <w:u w:val="single" w:color="auto"/>
            <w:color w:val="0000EE"/>
          </w:rPr>
          <w:t>June 6, 2024</w:t>
        </w:r>
      </w:hyperlink>
      <w:hyperlink r:id="rId75">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77">
        <w:r>
          <w:rPr>
            <w:rFonts w:ascii="Times New Roman" w:cs="Times New Roman" w:eastAsia="Times New Roman" w:hAnsi="Times New Roman"/>
            <w:sz w:val="14"/>
            <w:szCs w:val="14"/>
            <w:u w:val="single" w:color="auto"/>
            <w:color w:val="0000EE"/>
          </w:rPr>
          <w:t xml:space="preserve">August 5, 2024 </w:t>
        </w:r>
      </w:hyperlink>
      <w:hyperlink r:id="rId75">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78">
        <w:r>
          <w:rPr>
            <w:rFonts w:ascii="Times New Roman" w:cs="Times New Roman" w:eastAsia="Times New Roman" w:hAnsi="Times New Roman"/>
            <w:sz w:val="14"/>
            <w:szCs w:val="14"/>
            <w:u w:val="single" w:color="auto"/>
            <w:color w:val="0000EE"/>
          </w:rPr>
          <w:t>August 19, 2024</w:t>
        </w:r>
      </w:hyperlink>
      <w:hyperlink r:id="rId75">
        <w:r>
          <w:rPr>
            <w:rFonts w:ascii="Times New Roman" w:cs="Times New Roman" w:eastAsia="Times New Roman" w:hAnsi="Times New Roman"/>
            <w:sz w:val="14"/>
            <w:szCs w:val="14"/>
            <w:color w:val="000000"/>
          </w:rPr>
          <w:t>;</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215" w:lineRule="exact"/>
        <w:rPr>
          <w:rFonts w:ascii="Times New Roman" w:cs="Times New Roman" w:eastAsia="Times New Roman" w:hAnsi="Times New Roman"/>
          <w:sz w:val="14"/>
          <w:szCs w:val="14"/>
          <w:color w:val="0000EE"/>
        </w:rPr>
      </w:pPr>
    </w:p>
    <w:p>
      <w:pPr>
        <w:jc w:val="both"/>
        <w:ind w:left="1720" w:right="1319" w:hanging="131"/>
        <w:spacing w:after="0" w:line="267"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capital stock contained in </w:t>
      </w:r>
      <w:hyperlink r:id="rId79">
        <w:r>
          <w:rPr>
            <w:rFonts w:ascii="Times New Roman" w:cs="Times New Roman" w:eastAsia="Times New Roman" w:hAnsi="Times New Roman"/>
            <w:sz w:val="14"/>
            <w:szCs w:val="14"/>
            <w:u w:val="single" w:color="auto"/>
            <w:color w:val="0000EE"/>
          </w:rPr>
          <w:t>Exhibit 4.6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our Annual Report on Form 10-K for the year ended December 31, 2021, filed with the SEC on February 28, 2022, and any amendment or report filed for the purpose of updating such description.</w:t>
      </w:r>
    </w:p>
    <w:p>
      <w:pPr>
        <w:spacing w:after="0" w:line="283"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19" w:firstLine="280"/>
        <w:spacing w:after="0" w:line="260" w:lineRule="auto"/>
        <w:rPr>
          <w:sz w:val="20"/>
          <w:szCs w:val="20"/>
          <w:color w:val="auto"/>
        </w:rPr>
      </w:pPr>
      <w:r>
        <w:rPr>
          <w:rFonts w:ascii="Times New Roman" w:cs="Times New Roman" w:eastAsia="Times New Roman" w:hAnsi="Times New Roman"/>
          <w:sz w:val="14"/>
          <w:szCs w:val="14"/>
          <w:color w:val="auto"/>
        </w:rPr>
        <w:t>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259"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contact us at Investor Relations at 7373 Gateway Boulevard, Newark, CA 94560, by email: investor@lucidmotors.com, or by telephone: (510) 648-3553.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3" w:name="page24"/>
    <w:bookmarkEnd w:id="2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FREQUENTLY USED TERMS</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Unless otherwise stated in this prospectus or the context otherwise requires, references to:</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“AMP-1” are to our Advanced Manufacturing Plant-1 in Casa Grande, Arizona;</w:t>
      </w:r>
    </w:p>
    <w:p>
      <w:pPr>
        <w:spacing w:after="0" w:line="112" w:lineRule="exact"/>
        <w:rPr>
          <w:sz w:val="20"/>
          <w:szCs w:val="20"/>
          <w:color w:val="auto"/>
        </w:rPr>
      </w:pPr>
    </w:p>
    <w:p>
      <w:pPr>
        <w:jc w:val="both"/>
        <w:ind w:left="1300" w:right="1319" w:firstLine="280"/>
        <w:spacing w:after="0" w:line="265" w:lineRule="auto"/>
        <w:rPr>
          <w:sz w:val="20"/>
          <w:szCs w:val="20"/>
          <w:color w:val="auto"/>
        </w:rPr>
      </w:pPr>
      <w:r>
        <w:rPr>
          <w:rFonts w:ascii="Times New Roman" w:cs="Times New Roman" w:eastAsia="Times New Roman" w:hAnsi="Times New Roman"/>
          <w:sz w:val="14"/>
          <w:szCs w:val="14"/>
          <w:color w:val="auto"/>
        </w:rPr>
        <w:t>“AMP-2” are to our planned Advanced Manufacturing Plant-2 in Saudi Arabia, which consists of a semi knocked-down portion that has been completed and a completely-built-up portion that will be constructed;</w:t>
      </w:r>
    </w:p>
    <w:p>
      <w:pPr>
        <w:spacing w:after="0" w:line="244" w:lineRule="exact"/>
        <w:rPr>
          <w:sz w:val="20"/>
          <w:szCs w:val="20"/>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“Ayar” are to Ayar Third Investment Company, an affiliate of PIF and the controlling stockholder of the Company;</w:t>
      </w:r>
    </w:p>
    <w:p>
      <w:pPr>
        <w:spacing w:after="0" w:line="73" w:lineRule="exact"/>
        <w:rPr>
          <w:sz w:val="20"/>
          <w:szCs w:val="20"/>
          <w:color w:val="auto"/>
        </w:rPr>
      </w:pPr>
    </w:p>
    <w:p>
      <w:pPr>
        <w:jc w:val="both"/>
        <w:ind w:left="1300" w:right="1339" w:firstLine="280"/>
        <w:spacing w:after="0" w:line="261" w:lineRule="auto"/>
        <w:rPr>
          <w:sz w:val="20"/>
          <w:szCs w:val="20"/>
          <w:color w:val="auto"/>
        </w:rPr>
      </w:pPr>
      <w:r>
        <w:rPr>
          <w:rFonts w:ascii="Times New Roman" w:cs="Times New Roman" w:eastAsia="Times New Roman" w:hAnsi="Times New Roman"/>
          <w:sz w:val="14"/>
          <w:szCs w:val="14"/>
          <w:color w:val="auto"/>
        </w:rPr>
        <w:t>“Board” or “Board of Directors” are to the board of directors of Lucid Group Inc., a Delaware corporation;</w:t>
      </w:r>
    </w:p>
    <w:p>
      <w:pPr>
        <w:spacing w:after="0" w:line="266" w:lineRule="exact"/>
        <w:rPr>
          <w:sz w:val="20"/>
          <w:szCs w:val="20"/>
          <w:color w:val="auto"/>
        </w:rPr>
      </w:pPr>
    </w:p>
    <w:p>
      <w:pPr>
        <w:jc w:val="both"/>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84" w:lineRule="exact"/>
        <w:rPr>
          <w:sz w:val="20"/>
          <w:szCs w:val="20"/>
          <w:color w:val="auto"/>
        </w:rPr>
      </w:pPr>
    </w:p>
    <w:p>
      <w:pPr>
        <w:ind w:left="1580" w:right="1479"/>
        <w:spacing w:after="0" w:line="423" w:lineRule="auto"/>
        <w:rPr>
          <w:sz w:val="20"/>
          <w:szCs w:val="20"/>
          <w:color w:val="auto"/>
        </w:rPr>
      </w:pPr>
      <w:r>
        <w:rPr>
          <w:rFonts w:ascii="Times New Roman" w:cs="Times New Roman" w:eastAsia="Times New Roman" w:hAnsi="Times New Roman"/>
          <w:sz w:val="14"/>
          <w:szCs w:val="14"/>
          <w:color w:val="auto"/>
        </w:rPr>
        <w:t>“Churchill IPO” are to the initial public offering by Churchill which closed on August 3, 2020; “common stock” are to the Class A common stock of Lucid Group, Inc., par value $0.0001 per share;</w:t>
      </w:r>
    </w:p>
    <w:p>
      <w:pPr>
        <w:jc w:val="both"/>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“current bylaws” are to the Company’s Second Amended and Restated Bylaws in effect as of the date of this prospectus;</w:t>
      </w:r>
    </w:p>
    <w:p>
      <w:pPr>
        <w:spacing w:after="0" w:line="73" w:lineRule="exact"/>
        <w:rPr>
          <w:sz w:val="20"/>
          <w:szCs w:val="20"/>
          <w:color w:val="auto"/>
        </w:rPr>
      </w:pPr>
    </w:p>
    <w:p>
      <w:pPr>
        <w:jc w:val="both"/>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“current certificate of incorporation” are to the Company’s Third Amended and Restated Certificate of Incorporation in effect as of the date of this prospectus;</w:t>
      </w:r>
    </w:p>
    <w:p>
      <w:pPr>
        <w:spacing w:after="0" w:line="7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“DGCL” are to the Delaware General Corporation Law, as amended;</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“EV” are to electric vehicle;</w:t>
      </w:r>
    </w:p>
    <w:p>
      <w:pPr>
        <w:spacing w:after="0" w:line="112" w:lineRule="exact"/>
        <w:rPr>
          <w:sz w:val="20"/>
          <w:szCs w:val="20"/>
          <w:color w:val="auto"/>
        </w:rPr>
      </w:pPr>
    </w:p>
    <w:p>
      <w:pPr>
        <w:jc w:val="both"/>
        <w:ind w:left="1300" w:right="1319" w:firstLine="280"/>
        <w:spacing w:after="0" w:line="259" w:lineRule="auto"/>
        <w:rPr>
          <w:sz w:val="20"/>
          <w:szCs w:val="20"/>
          <w:color w:val="auto"/>
        </w:rPr>
      </w:pPr>
      <w:r>
        <w:rPr>
          <w:rFonts w:ascii="Times New Roman" w:cs="Times New Roman" w:eastAsia="Times New Roman" w:hAnsi="Times New Roman"/>
          <w:sz w:val="14"/>
          <w:szCs w:val="14"/>
          <w:color w:val="auto"/>
        </w:rPr>
        <w:t>“Investor Rights Agreement” are to the Investor Rights Agreement, dated as of February 22, 2021 and as may be amended from time to time, by and among the Company, the Sponsor, Ayar and certain other parties thereto;</w:t>
      </w:r>
    </w:p>
    <w:p>
      <w:pPr>
        <w:spacing w:after="0" w:line="78" w:lineRule="exact"/>
        <w:rPr>
          <w:sz w:val="20"/>
          <w:szCs w:val="20"/>
          <w:color w:val="auto"/>
        </w:rPr>
      </w:pPr>
    </w:p>
    <w:p>
      <w:pPr>
        <w:jc w:val="both"/>
        <w:ind w:left="1300" w:right="1319" w:firstLine="280"/>
        <w:spacing w:after="0" w:line="265" w:lineRule="auto"/>
        <w:rPr>
          <w:sz w:val="20"/>
          <w:szCs w:val="20"/>
          <w:color w:val="auto"/>
        </w:rPr>
      </w:pPr>
      <w:r>
        <w:rPr>
          <w:rFonts w:ascii="Times New Roman" w:cs="Times New Roman" w:eastAsia="Times New Roman" w:hAnsi="Times New Roman"/>
          <w:sz w:val="14"/>
          <w:szCs w:val="14"/>
          <w:color w:val="auto"/>
        </w:rPr>
        <w:t>“Legacy Lucid” are to Atieva, Inc., d/b/a Lucid Motors, an exempted company incorporated with limited liability under the laws of the Cayman Islands, and its consolidated subsidiaries before the Closing Date;</w:t>
      </w:r>
    </w:p>
    <w:p>
      <w:pPr>
        <w:spacing w:after="0" w:line="244" w:lineRule="exact"/>
        <w:rPr>
          <w:sz w:val="20"/>
          <w:szCs w:val="20"/>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“Merger” are to the merger of a merger subsidiary of Churchill and Atieva, Inc., with Atieva, Inc. surviving such merger as a wholly owned subsidiary of Churchill;</w:t>
      </w:r>
    </w:p>
    <w:p>
      <w:pPr>
        <w:spacing w:after="0" w:line="73" w:lineRule="exact"/>
        <w:rPr>
          <w:sz w:val="20"/>
          <w:szCs w:val="20"/>
          <w:color w:val="auto"/>
        </w:rPr>
      </w:pPr>
    </w:p>
    <w:p>
      <w:pPr>
        <w:jc w:val="both"/>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“Merger Agreement” are to that certain Agreement and Plan of Merger, dated as of February 22, 2021, by and among Churchill, Legacy Lucid and Air Merger Sub, Inc., a Delaware corporation and a direct, wholly- owned subsidiary of Churchill, as the same has been or may be amended, modified, supplemented or waived from time-to-time;</w:t>
      </w:r>
    </w:p>
    <w:p>
      <w:pPr>
        <w:spacing w:after="0" w:line="8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“Nasdaq” are to The Nasdaq Stock Market LLC;</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“PIF” are to the Public Investment Fund, the sovereign wealth fund of Saudi Arabia;</w:t>
      </w:r>
    </w:p>
    <w:p>
      <w:pPr>
        <w:spacing w:after="0" w:line="112" w:lineRule="exact"/>
        <w:rPr>
          <w:sz w:val="20"/>
          <w:szCs w:val="20"/>
          <w:color w:val="auto"/>
        </w:rPr>
      </w:pPr>
    </w:p>
    <w:p>
      <w:pPr>
        <w:jc w:val="both"/>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“Redeemable Convertible Preferred Stock” are to the Series A and Series B Convertible Preferred Stock of Lucid Group, Inc., par value $0.0001 per share;</w:t>
      </w:r>
    </w:p>
    <w:p>
      <w:pPr>
        <w:spacing w:after="0" w:line="72" w:lineRule="exact"/>
        <w:rPr>
          <w:sz w:val="20"/>
          <w:szCs w:val="20"/>
          <w:color w:val="auto"/>
        </w:rPr>
      </w:pPr>
    </w:p>
    <w:p>
      <w:pPr>
        <w:jc w:val="both"/>
        <w:ind w:left="1300" w:right="1319" w:firstLine="280"/>
        <w:spacing w:after="0" w:line="276" w:lineRule="auto"/>
        <w:rPr>
          <w:sz w:val="20"/>
          <w:szCs w:val="20"/>
          <w:color w:val="auto"/>
        </w:rPr>
      </w:pPr>
      <w:r>
        <w:rPr>
          <w:rFonts w:ascii="Times New Roman" w:cs="Times New Roman" w:eastAsia="Times New Roman" w:hAnsi="Times New Roman"/>
          <w:sz w:val="14"/>
          <w:szCs w:val="14"/>
          <w:color w:val="auto"/>
        </w:rPr>
        <w:t>“Sponsor” are to Churchill Sponsor IV LLC, a Delaware limited liability company and an affiliate of M. Klein and Company, LLC in which certain of Churchill’s directors and officers hold membership interests;</w:t>
      </w:r>
    </w:p>
    <w:p>
      <w:pPr>
        <w:spacing w:after="0" w:line="250" w:lineRule="exact"/>
        <w:rPr>
          <w:sz w:val="20"/>
          <w:szCs w:val="20"/>
          <w:color w:val="auto"/>
        </w:rPr>
      </w:pPr>
    </w:p>
    <w:p>
      <w:pPr>
        <w:jc w:val="both"/>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“Transactions” are to the Merger, together with the other transactions consummated under the Merger Agreement and the related agreements; and</w:t>
      </w:r>
    </w:p>
    <w:p>
      <w:pPr>
        <w:spacing w:after="0" w:line="62" w:lineRule="exact"/>
        <w:rPr>
          <w:sz w:val="20"/>
          <w:szCs w:val="20"/>
          <w:color w:val="auto"/>
        </w:rPr>
      </w:pPr>
    </w:p>
    <w:p>
      <w:pPr>
        <w:jc w:val="both"/>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“Private Placement Warrants” are to Churchill’s warrants issued to the Sponsor in a private placement simultaneously with the closing of the Churchill IPO;</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“Promissory Note” are to the unsecured promissory note issued by Churchill to the Sponsor in an aggregate principal amount of $1,500,000. The Sponsor has elected to exercise its option to convert the unpaid balance of the Note of $1,500,000 into Working Capital Warrants;</w:t>
      </w:r>
    </w:p>
    <w:p>
      <w:pPr>
        <w:spacing w:after="0" w:line="83" w:lineRule="exact"/>
        <w:rPr>
          <w:sz w:val="20"/>
          <w:szCs w:val="20"/>
          <w:color w:val="auto"/>
        </w:rPr>
      </w:pPr>
    </w:p>
    <w:p>
      <w:pPr>
        <w:jc w:val="both"/>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“Warrant Agreement” are to the Warrant Agreement, dated July 29, 2020, entered into in connection with the Churchill IPO by and between Continental Stock Transfer &amp; Trust Company and Churchill; and</w:t>
      </w:r>
    </w:p>
    <w:p>
      <w:pPr>
        <w:spacing w:after="0" w:line="72" w:lineRule="exact"/>
        <w:rPr>
          <w:sz w:val="20"/>
          <w:szCs w:val="20"/>
          <w:color w:val="auto"/>
        </w:rPr>
      </w:pPr>
    </w:p>
    <w:p>
      <w:pPr>
        <w:jc w:val="both"/>
        <w:ind w:left="1300" w:right="1339" w:firstLine="280"/>
        <w:spacing w:after="0" w:line="283" w:lineRule="auto"/>
        <w:rPr>
          <w:sz w:val="20"/>
          <w:szCs w:val="20"/>
          <w:color w:val="auto"/>
        </w:rPr>
      </w:pPr>
      <w:r>
        <w:rPr>
          <w:rFonts w:ascii="Times New Roman" w:cs="Times New Roman" w:eastAsia="Times New Roman" w:hAnsi="Times New Roman"/>
          <w:sz w:val="14"/>
          <w:szCs w:val="14"/>
          <w:color w:val="auto"/>
        </w:rPr>
        <w:t>“Working Capital Warrants” are to the Company’s warrants to purchase common stock pursuant to the terms of the Promissory Note, on terms identical to the terms of the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5" w:lineRule="exact"/>
        <w:rPr>
          <w:sz w:val="20"/>
          <w:szCs w:val="20"/>
          <w:color w:val="auto"/>
        </w:rPr>
      </w:pPr>
    </w:p>
    <w:p>
      <w:pPr>
        <w:jc w:val="both"/>
        <w:ind w:left="1300" w:right="1319" w:firstLine="280"/>
        <w:spacing w:after="0" w:line="247"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and any documents incorporated by reference contain statements that express our opinions, expectations, beliefs, plans, objectives, assumptions or projections regarding future events or future results and therefore are, or may be deemed to be, “forward-looking statements” within the meaning of Section 27A of the Securities Act and Section 21E of the Exchange Act.</w:t>
      </w:r>
    </w:p>
    <w:p>
      <w:pPr>
        <w:spacing w:after="0" w:line="252" w:lineRule="exact"/>
        <w:rPr>
          <w:sz w:val="20"/>
          <w:szCs w:val="20"/>
          <w:color w:val="auto"/>
        </w:rPr>
      </w:pPr>
    </w:p>
    <w:p>
      <w:pPr>
        <w:jc w:val="both"/>
        <w:ind w:left="1300" w:right="1319" w:firstLine="280"/>
        <w:spacing w:after="0" w:line="242" w:lineRule="auto"/>
        <w:rPr>
          <w:sz w:val="20"/>
          <w:szCs w:val="20"/>
          <w:color w:val="auto"/>
        </w:rPr>
      </w:pPr>
      <w:r>
        <w:rPr>
          <w:rFonts w:ascii="Times New Roman" w:cs="Times New Roman" w:eastAsia="Times New Roman" w:hAnsi="Times New Roman"/>
          <w:sz w:val="14"/>
          <w:szCs w:val="14"/>
          <w:color w:val="auto"/>
        </w:rPr>
        <w:t>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prospectus and the documents incorporated by reference into this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226" w:lineRule="exact"/>
        <w:rPr>
          <w:sz w:val="20"/>
          <w:szCs w:val="20"/>
          <w:color w:val="auto"/>
        </w:rPr>
      </w:pPr>
    </w:p>
    <w:p>
      <w:pPr>
        <w:jc w:val="both"/>
        <w:ind w:left="1720" w:right="1339" w:hanging="131"/>
        <w:spacing w:after="0" w:line="267" w:lineRule="auto"/>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w:t>
      </w:r>
    </w:p>
    <w:p>
      <w:pPr>
        <w:spacing w:after="0" w:line="51"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in overall demand for our products and services and cancellation of orders for our vehicles;</w:t>
      </w:r>
    </w:p>
    <w:p>
      <w:pPr>
        <w:spacing w:after="0" w:line="40" w:lineRule="exact"/>
        <w:rPr>
          <w:rFonts w:ascii="Times New Roman" w:cs="Times New Roman" w:eastAsia="Times New Roman" w:hAnsi="Times New Roman"/>
          <w:sz w:val="14"/>
          <w:szCs w:val="14"/>
          <w:color w:val="auto"/>
        </w:rPr>
      </w:pPr>
    </w:p>
    <w:p>
      <w:pPr>
        <w:jc w:val="both"/>
        <w:ind w:left="1720" w:right="1319" w:hanging="131"/>
        <w:spacing w:after="0" w:line="267" w:lineRule="auto"/>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uncertainty of our projected financial information;</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timing of expected business milestones and commercial product launches;</w:t>
      </w:r>
    </w:p>
    <w:p>
      <w:pPr>
        <w:spacing w:after="0" w:line="91"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expansion of our manufacturing facility, the construction of new manufacturing facilities and the increase of our production capacity;</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issuance and sale of shares of our Redeemable Convertible Preferred Stock;</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expenses and control costs;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future market adoption of our offerings;</w:t>
      </w:r>
    </w:p>
    <w:p>
      <w:pPr>
        <w:spacing w:after="0" w:line="91" w:lineRule="exact"/>
        <w:rPr>
          <w:rFonts w:ascii="Times New Roman" w:cs="Times New Roman" w:eastAsia="Times New Roman" w:hAnsi="Times New Roman"/>
          <w:sz w:val="14"/>
          <w:szCs w:val="14"/>
          <w:color w:val="auto"/>
        </w:rPr>
      </w:pPr>
    </w:p>
    <w:p>
      <w:pPr>
        <w:ind w:left="1720" w:right="1319" w:hanging="131"/>
        <w:spacing w:after="0" w:line="261" w:lineRule="auto"/>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competition and the pace and depth of electric vehicle adoption generally on our business;</w:t>
      </w:r>
    </w:p>
    <w:p>
      <w:pPr>
        <w:spacing w:after="0" w:line="245"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requirements, governmental incentives and fuel and energy prices;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rapidly innovate;</w:t>
      </w:r>
    </w:p>
    <w:p>
      <w:pPr>
        <w:spacing w:after="0" w:line="80" w:lineRule="exact"/>
        <w:rPr>
          <w:rFonts w:ascii="Times New Roman" w:cs="Times New Roman" w:eastAsia="Times New Roman" w:hAnsi="Times New Roman"/>
          <w:sz w:val="14"/>
          <w:szCs w:val="14"/>
          <w:color w:val="auto"/>
        </w:rPr>
      </w:pPr>
    </w:p>
    <w:p>
      <w:pPr>
        <w:jc w:val="both"/>
        <w:ind w:left="1720" w:right="1319" w:hanging="131"/>
        <w:spacing w:after="0" w:line="267" w:lineRule="auto"/>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or maintain partnerships with original equipment manufacturers, vendors and technology providers, including our ability to realize the anticipated benefits of our transaction with Aston Martin;</w:t>
      </w:r>
    </w:p>
    <w:p>
      <w:pPr>
        <w:spacing w:after="0" w:line="51"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 and recruit and retain key employees, including our chief executive officer and executive team;</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potential vehicle recalls;</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319" w:hanging="131"/>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expand our brand, and capture additional market share, and the risks associated with negative press or reputational harm;</w:t>
      </w:r>
    </w:p>
    <w:p>
      <w:pPr>
        <w:spacing w:after="0" w:line="40"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utilize zero emission vehicle credits and obtain and utilize certain tax and other incentives;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conduct equity, equity-linked, or debt financing in the future;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pay interest and principal on our indebtedness;</w:t>
      </w:r>
    </w:p>
    <w:p>
      <w:pPr>
        <w:spacing w:after="0" w:line="91" w:lineRule="exact"/>
        <w:rPr>
          <w:rFonts w:ascii="Times New Roman" w:cs="Times New Roman" w:eastAsia="Times New Roman" w:hAnsi="Times New Roman"/>
          <w:sz w:val="14"/>
          <w:szCs w:val="14"/>
          <w:color w:val="auto"/>
        </w:rPr>
      </w:pPr>
    </w:p>
    <w:p>
      <w:pPr>
        <w:ind w:left="1720" w:right="1319" w:hanging="131"/>
        <w:spacing w:after="0" w:line="261"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changes to vehicle specifications which may impact performance, pricing, and other expectations;</w:t>
      </w:r>
    </w:p>
    <w:p>
      <w:pPr>
        <w:spacing w:after="0" w:line="245"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potential litigation, government and regulatory proceedings, investigations and inquiries; and</w:t>
      </w:r>
    </w:p>
    <w:p>
      <w:pPr>
        <w:spacing w:after="0" w:line="40"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disclosed in this prospectus or our other filings with the SEC, including any accompanying prospectus supplement.</w:t>
      </w:r>
    </w:p>
    <w:p>
      <w:pPr>
        <w:spacing w:after="0" w:line="72" w:lineRule="exact"/>
        <w:rPr>
          <w:sz w:val="20"/>
          <w:szCs w:val="20"/>
          <w:color w:val="auto"/>
        </w:rPr>
      </w:pPr>
    </w:p>
    <w:p>
      <w:pPr>
        <w:jc w:val="both"/>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and the documents incorporated by reference into this prospectus or any prospectus supplement are based on our current expectations and beliefs concerning future developments and their potential effects on our business. There can be no assurance that future developments affecting our business will be those that we have anticipated.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w:t>
      </w:r>
    </w:p>
    <w:p>
      <w:pPr>
        <w:spacing w:after="0" w:line="94" w:lineRule="exact"/>
        <w:rPr>
          <w:sz w:val="20"/>
          <w:szCs w:val="20"/>
          <w:color w:val="auto"/>
        </w:rPr>
      </w:pPr>
    </w:p>
    <w:p>
      <w:pPr>
        <w:jc w:val="both"/>
        <w:ind w:left="1300" w:right="1319" w:firstLine="280"/>
        <w:spacing w:after="0" w:line="256" w:lineRule="auto"/>
        <w:rPr>
          <w:sz w:val="20"/>
          <w:szCs w:val="20"/>
          <w:color w:val="auto"/>
        </w:rPr>
      </w:pPr>
      <w:r>
        <w:rPr>
          <w:rFonts w:ascii="Times New Roman" w:cs="Times New Roman" w:eastAsia="Times New Roman" w:hAnsi="Times New Roman"/>
          <w:sz w:val="14"/>
          <w:szCs w:val="14"/>
          <w:color w:val="auto"/>
        </w:rPr>
        <w:t>There can be no assurance that other factors not currently anticipated by us will not materially and adversely affect our business, financial condition and results of operations. You are cautioned not to place undue reliance on any forward-looking statements made by us or on our behalf. Please take into account that forward-looking statements speak only as of the date of this prospectus or, in the case of any accompanying prospectus supplement or documents incorporated by reference, the date of any such document. Except as required by applicable law, we do not undertake any obligation to publicly correct or update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23" w:lineRule="exact"/>
        <w:rPr>
          <w:sz w:val="20"/>
          <w:szCs w:val="20"/>
          <w:color w:val="auto"/>
        </w:rPr>
      </w:pPr>
    </w:p>
    <w:p>
      <w:pPr>
        <w:jc w:val="both"/>
        <w:ind w:left="1300" w:right="1319" w:firstLine="280"/>
        <w:spacing w:after="0" w:line="259"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and does not contain all of the information that is 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About Lucid</w:t>
      </w:r>
    </w:p>
    <w:p>
      <w:pPr>
        <w:spacing w:after="0" w:line="125" w:lineRule="exact"/>
        <w:rPr>
          <w:sz w:val="20"/>
          <w:szCs w:val="20"/>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We are a technology company with a mission to create exceptional experiences to drive the world forward. Our focus on in-house hardware and software innovation, vertical integration, and a “clean sheet” approach to engineering and design led to the development of the award-winning Lucid Air.</w:t>
      </w:r>
    </w:p>
    <w:p>
      <w:pPr>
        <w:spacing w:after="0" w:line="72" w:lineRule="exact"/>
        <w:rPr>
          <w:sz w:val="20"/>
          <w:szCs w:val="20"/>
          <w:color w:val="auto"/>
        </w:rPr>
      </w:pPr>
    </w:p>
    <w:p>
      <w:pPr>
        <w:jc w:val="both"/>
        <w:ind w:left="1300" w:right="1319" w:firstLine="280"/>
        <w:spacing w:after="0" w:line="256" w:lineRule="auto"/>
        <w:rPr>
          <w:sz w:val="20"/>
          <w:szCs w:val="20"/>
          <w:color w:val="auto"/>
        </w:rPr>
      </w:pPr>
      <w:r>
        <w:rPr>
          <w:rFonts w:ascii="Times New Roman" w:cs="Times New Roman" w:eastAsia="Times New Roman" w:hAnsi="Times New Roman"/>
          <w:sz w:val="14"/>
          <w:szCs w:val="14"/>
          <w:color w:val="auto"/>
        </w:rPr>
        <w:t>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w:t>
      </w:r>
    </w:p>
    <w:p>
      <w:pPr>
        <w:spacing w:after="0" w:line="91" w:lineRule="exact"/>
        <w:rPr>
          <w:sz w:val="20"/>
          <w:szCs w:val="20"/>
          <w:color w:val="auto"/>
        </w:rPr>
      </w:pPr>
    </w:p>
    <w:p>
      <w:pPr>
        <w:jc w:val="both"/>
        <w:ind w:left="1300" w:right="1319" w:firstLine="280"/>
        <w:spacing w:after="0" w:line="258" w:lineRule="auto"/>
        <w:rPr>
          <w:sz w:val="20"/>
          <w:szCs w:val="20"/>
          <w:color w:val="auto"/>
        </w:rPr>
      </w:pPr>
      <w:r>
        <w:rPr>
          <w:rFonts w:ascii="Times New Roman" w:cs="Times New Roman" w:eastAsia="Times New Roman" w:hAnsi="Times New Roman"/>
          <w:sz w:val="14"/>
          <w:szCs w:val="14"/>
          <w:color w:val="auto"/>
        </w:rPr>
        <w:t>We began delivering the Lucid Air to customers in October 2021 and we expect to launch additional vehicles over the coming decade. We have leveraged and expanded the technological advancements from the Lucid Air to the Lucid Gravity sport utility vehicle (“SUV”), which is scheduled for start of production in late 2024. After the Lucid Air and the Lucid Gravity SUV, start of production of our Midsize platform is scheduled for late 2026.</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25" w:lineRule="exact"/>
        <w:rPr>
          <w:sz w:val="20"/>
          <w:szCs w:val="20"/>
          <w:color w:val="auto"/>
        </w:rPr>
      </w:pPr>
    </w:p>
    <w:p>
      <w:pPr>
        <w:jc w:val="both"/>
        <w:ind w:left="1300" w:right="1319" w:firstLine="280"/>
        <w:spacing w:after="0" w:line="258" w:lineRule="auto"/>
        <w:rPr>
          <w:sz w:val="20"/>
          <w:szCs w:val="20"/>
          <w:color w:val="auto"/>
        </w:rPr>
      </w:pPr>
      <w:r>
        <w:rPr>
          <w:rFonts w:ascii="Times New Roman" w:cs="Times New Roman" w:eastAsia="Times New Roman" w:hAnsi="Times New Roman"/>
          <w:sz w:val="14"/>
          <w:szCs w:val="14"/>
          <w:color w:val="auto"/>
        </w:rPr>
        <w:t>Lucid Group, Inc. is a Delaware corporation. Our principal executive office is located at 7373 Gateway Boulevard, Newark, CA 94560 and our telephone number is (510) 648-3553. We maintain a website at https://www.lucidmotors.com. The information on our website is not incorporated by reference in this prospectus or any accompanying prospectus supplement, and you should not consider it a part of this prospectus or any accompanying prospectus supplement.</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Controlled Company Exemption</w:t>
      </w:r>
    </w:p>
    <w:p>
      <w:pPr>
        <w:spacing w:after="0" w:line="114"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As of September 30, 2024, PIF, both directly and indirectly through Ayar, held over 50% of the voting power for the election of our directors.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 Ayar is an affiliate of PIF.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5" w:lineRule="exact"/>
        <w:rPr>
          <w:sz w:val="20"/>
          <w:szCs w:val="20"/>
          <w:color w:val="auto"/>
        </w:rPr>
      </w:pPr>
    </w:p>
    <w:p>
      <w:pPr>
        <w:jc w:val="both"/>
        <w:ind w:left="1300" w:right="1319" w:firstLine="280"/>
        <w:spacing w:after="0" w:line="255" w:lineRule="auto"/>
        <w:rPr>
          <w:sz w:val="20"/>
          <w:szCs w:val="20"/>
          <w:color w:val="auto"/>
        </w:rPr>
      </w:pPr>
      <w:r>
        <w:rPr>
          <w:rFonts w:ascii="Times New Roman" w:cs="Times New Roman" w:eastAsia="Times New Roman" w:hAnsi="Times New Roman"/>
          <w:sz w:val="14"/>
          <w:szCs w:val="14"/>
          <w:color w:val="auto"/>
        </w:rPr>
        <w:t>Investing in our securities involves risk. See the risk factors described in our most recent Annual Report on Form 10-K (together with any material changes thereto contained in subsequently filed Quarterly Reports on Form 10-Q)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263" w:lineRule="exact"/>
        <w:rPr>
          <w:sz w:val="20"/>
          <w:szCs w:val="20"/>
          <w:color w:val="auto"/>
        </w:rPr>
      </w:pPr>
    </w:p>
    <w:p>
      <w:pPr>
        <w:jc w:val="both"/>
        <w:ind w:left="1300" w:right="1339" w:firstLine="280"/>
        <w:spacing w:after="0" w:line="283" w:lineRule="auto"/>
        <w:rPr>
          <w:sz w:val="20"/>
          <w:szCs w:val="20"/>
          <w:color w:val="auto"/>
        </w:rPr>
      </w:pPr>
      <w:r>
        <w:rPr>
          <w:rFonts w:ascii="Times New Roman" w:cs="Times New Roman" w:eastAsia="Times New Roman" w:hAnsi="Times New Roman"/>
          <w:sz w:val="14"/>
          <w:szCs w:val="14"/>
          <w:color w:val="auto"/>
        </w:rPr>
        <w:t>Unless set forth in an accompanying prospectus supplement, we will not receive any proceeds in the event that securities are sold by a selling securityholder.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25" w:lineRule="exact"/>
        <w:rPr>
          <w:sz w:val="20"/>
          <w:szCs w:val="20"/>
          <w:color w:val="auto"/>
        </w:rPr>
      </w:pPr>
    </w:p>
    <w:p>
      <w:pPr>
        <w:jc w:val="both"/>
        <w:ind w:left="1300" w:right="1319" w:firstLine="280"/>
        <w:spacing w:after="0" w:line="258" w:lineRule="auto"/>
        <w:rPr>
          <w:sz w:val="20"/>
          <w:szCs w:val="20"/>
          <w:color w:val="auto"/>
        </w:rPr>
      </w:pPr>
      <w:r>
        <w:rPr>
          <w:rFonts w:ascii="Times New Roman" w:cs="Times New Roman" w:eastAsia="Times New Roman" w:hAnsi="Times New Roman"/>
          <w:sz w:val="14"/>
          <w:szCs w:val="14"/>
          <w:color w:val="auto"/>
        </w:rPr>
        <w:t>This prospectus contains summary descriptions of the common stock, preferred stock, depositary shares, debt securities, warrants, subscription rights, purchase contracts and purchase units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5" w:lineRule="exact"/>
        <w:rPr>
          <w:sz w:val="20"/>
          <w:szCs w:val="20"/>
          <w:color w:val="auto"/>
        </w:rPr>
      </w:pPr>
    </w:p>
    <w:p>
      <w:pPr>
        <w:jc w:val="both"/>
        <w:ind w:left="1300" w:right="1319" w:firstLine="280"/>
        <w:spacing w:after="0" w:line="255" w:lineRule="auto"/>
        <w:rPr>
          <w:sz w:val="20"/>
          <w:szCs w:val="20"/>
          <w:color w:val="auto"/>
        </w:rPr>
      </w:pPr>
      <w:r>
        <w:rPr>
          <w:rFonts w:ascii="Times New Roman" w:cs="Times New Roman" w:eastAsia="Times New Roman" w:hAnsi="Times New Roman"/>
          <w:sz w:val="14"/>
          <w:szCs w:val="14"/>
          <w:color w:val="auto"/>
        </w:rPr>
        <w:t>The following summary description of our capital stock is based on the provisions of the Delaware General Corporation Law (the “DGCL”), our current certificate of incorporation and our current bylaws. This description does not purport to be complete and is qualified in its entirety by reference to the full text of the DGCL, as it may be amended from time to time, and to the terms of our current certificate of incorporation and our current bylaws, as each may be amended from time to time, which are incorporated by reference as exhibits to the registration statement of which this prospectus is a part. See “Where You Can Find More Information.” As used in this “Description of Capital Stock,” the terms “Lucid,” the “Company”, “we,” “our” and “us” refer to Lucid Group, Inc., a Delaware corporation, and do not, unless otherwise specified, include our subsidiaries.</w:t>
      </w:r>
    </w:p>
    <w:p>
      <w:pPr>
        <w:spacing w:after="0" w:line="261"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Our authorized capital stock consists of 15,000,000,000 shares of common stock, par value $0.0001 per share, and 10,000,000 shares of preferred stock, par value $0.0001 per share (the “Preferred Stock”). The outstanding shares of common stock are duly authorized, validly issued, fully paid and non-assessable. The number of authorized shares of any class may be increased or decreased by an amendment to our current certificate of incorporation proposed by our Board and approved by a majority of voting shares voted on the issue at a meeting at which a quorum exists.</w:t>
      </w:r>
    </w:p>
    <w:p>
      <w:pPr>
        <w:spacing w:after="0" w:line="80" w:lineRule="exact"/>
        <w:rPr>
          <w:sz w:val="20"/>
          <w:szCs w:val="20"/>
          <w:color w:val="auto"/>
        </w:rPr>
      </w:pPr>
    </w:p>
    <w:p>
      <w:pPr>
        <w:jc w:val="both"/>
        <w:ind w:left="1300" w:right="1319" w:firstLine="280"/>
        <w:spacing w:after="0" w:line="276" w:lineRule="auto"/>
        <w:rPr>
          <w:sz w:val="20"/>
          <w:szCs w:val="20"/>
          <w:color w:val="auto"/>
        </w:rPr>
      </w:pPr>
      <w:r>
        <w:rPr>
          <w:rFonts w:ascii="Times New Roman" w:cs="Times New Roman" w:eastAsia="Times New Roman" w:hAnsi="Times New Roman"/>
          <w:sz w:val="14"/>
          <w:szCs w:val="14"/>
          <w:color w:val="auto"/>
        </w:rPr>
        <w:t>Of the Preferred Stock, we designated 100,000 shares as Series A Convertible Preferred Stock and 75,000 shares as Series B Convertible Preferred Stock (together, the “Redeemable Convertible Preferred Stock”).</w:t>
      </w:r>
    </w:p>
    <w:p>
      <w:pPr>
        <w:spacing w:after="0" w:line="25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As of September 30, 2024, there were (i) 2,337,518,542 shares of our common stock outstanding,</w:t>
      </w:r>
    </w:p>
    <w:p>
      <w:pPr>
        <w:spacing w:after="0" w:line="22" w:lineRule="exact"/>
        <w:rPr>
          <w:sz w:val="20"/>
          <w:szCs w:val="20"/>
          <w:color w:val="auto"/>
        </w:rPr>
      </w:pPr>
    </w:p>
    <w:p>
      <w:pPr>
        <w:jc w:val="both"/>
        <w:ind w:left="1300" w:right="1339" w:firstLine="8"/>
        <w:spacing w:after="0" w:line="256" w:lineRule="auto"/>
        <w:tabs>
          <w:tab w:leader="none" w:pos="154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 shares of Series A Convertible Preferred Stock outstanding, (iii) 75,000 shares of Series B Convertible Preferred Stock outstanding, and (iv) 44,350,000 shares of common stock issuable upon the exercise of Private Placement Warrants (including the Working Capital Warrants).</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Voting Power</w:t>
      </w:r>
    </w:p>
    <w:p>
      <w:pPr>
        <w:spacing w:after="0" w:line="125"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14" w:lineRule="exact"/>
        <w:rPr>
          <w:sz w:val="20"/>
          <w:szCs w:val="20"/>
          <w:color w:val="auto"/>
        </w:rPr>
      </w:pPr>
    </w:p>
    <w:p>
      <w:pPr>
        <w:jc w:val="both"/>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Subject to limitations contained in the DGCL and our current certificate of incorporation, under our current bylaws, the Board may declare and pay dividends upon the shares of our common stock, which dividends may be paid either in cash, in property or in shares of our common stock. 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3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Liquidation, Dissolution and Winding Up</w:t>
      </w:r>
    </w:p>
    <w:p>
      <w:pPr>
        <w:spacing w:after="0" w:line="125" w:lineRule="exact"/>
        <w:rPr>
          <w:sz w:val="20"/>
          <w:szCs w:val="20"/>
          <w:color w:val="auto"/>
        </w:rPr>
      </w:pPr>
    </w:p>
    <w:p>
      <w:pPr>
        <w:jc w:val="both"/>
        <w:ind w:left="1300" w:right="1319" w:firstLine="280"/>
        <w:spacing w:after="0" w:line="276" w:lineRule="auto"/>
        <w:rPr>
          <w:sz w:val="20"/>
          <w:szCs w:val="20"/>
          <w:color w:val="auto"/>
        </w:rPr>
      </w:pPr>
      <w:r>
        <w:rPr>
          <w:rFonts w:ascii="Times New Roman" w:cs="Times New Roman" w:eastAsia="Times New Roman" w:hAnsi="Times New Roman"/>
          <w:sz w:val="14"/>
          <w:szCs w:val="14"/>
          <w:color w:val="auto"/>
        </w:rPr>
        <w:t>In the event of the voluntary or involuntary liquidation, dissolution, or winding-up of the Company, the holders of our common stock will be entitled to receive all the remaining assets of the Company available for</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19"/>
        <w:spacing w:after="0" w:line="259" w:lineRule="auto"/>
        <w:rPr>
          <w:sz w:val="20"/>
          <w:szCs w:val="20"/>
          <w:color w:val="auto"/>
        </w:rPr>
      </w:pPr>
      <w:r>
        <w:rPr>
          <w:rFonts w:ascii="Times New Roman" w:cs="Times New Roman" w:eastAsia="Times New Roman" w:hAnsi="Times New Roman"/>
          <w:sz w:val="14"/>
          <w:szCs w:val="14"/>
          <w:color w:val="auto"/>
        </w:rPr>
        <w:t>distribution to stockholders, ratably in proportion to the number of shares of common stock held by them, after the rights of creditors of the Company and the holders of any outstanding shares of preferred stock have been satisfied.</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Preemptive or Other Rights</w:t>
      </w:r>
    </w:p>
    <w:p>
      <w:pPr>
        <w:spacing w:after="0" w:line="125" w:lineRule="exact"/>
        <w:rPr>
          <w:sz w:val="20"/>
          <w:szCs w:val="20"/>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The holders of our common stock do not have preemptive or other subscription rights and there is no sinking fund or redemption provisions applicable to our common stock.</w:t>
      </w:r>
    </w:p>
    <w:p>
      <w:pPr>
        <w:spacing w:after="0" w:line="73" w:lineRule="exact"/>
        <w:rPr>
          <w:sz w:val="20"/>
          <w:szCs w:val="20"/>
          <w:color w:val="auto"/>
        </w:rPr>
      </w:pPr>
    </w:p>
    <w:p>
      <w:pPr>
        <w:jc w:val="both"/>
        <w:ind w:left="1300" w:right="1319" w:firstLine="280"/>
        <w:spacing w:after="0" w:line="259" w:lineRule="auto"/>
        <w:rPr>
          <w:sz w:val="20"/>
          <w:szCs w:val="20"/>
          <w:color w:val="auto"/>
        </w:rPr>
      </w:pPr>
      <w:r>
        <w:rPr>
          <w:rFonts w:ascii="Times New Roman" w:cs="Times New Roman" w:eastAsia="Times New Roman" w:hAnsi="Times New Roman"/>
          <w:sz w:val="14"/>
          <w:szCs w:val="14"/>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25" w:lineRule="exact"/>
        <w:rPr>
          <w:sz w:val="20"/>
          <w:szCs w:val="20"/>
          <w:color w:val="auto"/>
        </w:rPr>
      </w:pPr>
    </w:p>
    <w:p>
      <w:pPr>
        <w:jc w:val="both"/>
        <w:ind w:left="1300" w:right="1319" w:firstLine="280"/>
        <w:spacing w:after="0" w:line="243" w:lineRule="auto"/>
        <w:rPr>
          <w:sz w:val="20"/>
          <w:szCs w:val="20"/>
          <w:color w:val="auto"/>
        </w:rPr>
      </w:pPr>
      <w:r>
        <w:rPr>
          <w:rFonts w:ascii="Times New Roman" w:cs="Times New Roman" w:eastAsia="Times New Roman" w:hAnsi="Times New Roman"/>
          <w:sz w:val="14"/>
          <w:szCs w:val="14"/>
          <w:color w:val="auto"/>
        </w:rPr>
        <w:t>This section describes the general terms and provisions of preferred stock that we are authorized to issue. An accompanying prospectus supplement will describe the specific terms of the shares of preferred stock offered through that prospectus supplement, as well as any general terms described in this section that will not apply to those shares of preferred stock. If there are differences between the prospectus supplement relating to a particular series of preferred stock and this prospectus, the prospectus supplement will control. We will file a copy of the certificate of amendment to our current certificate of incorporation that contains the terms of each new series of preferred stock with the Secretary of the State of Delaware and with the SEC each time we issue a new series of preferred stock. Each such certificate of amendment will establish the number of shares included in a designated series and fix the designation, powers, privileges, preferences and rights of the shares of each series as well as any applicable qualifications, limitations or restrictions. You should refer to the applicable certificate of amendment as well as our current certificate of incorporation before deciding to buy shares of our preferred stock as described in any accompanying prospectus supplement.</w:t>
      </w:r>
    </w:p>
    <w:p>
      <w:pPr>
        <w:spacing w:after="0" w:line="252" w:lineRule="exact"/>
        <w:rPr>
          <w:sz w:val="20"/>
          <w:szCs w:val="20"/>
          <w:color w:val="auto"/>
        </w:rPr>
      </w:pPr>
    </w:p>
    <w:p>
      <w:pPr>
        <w:jc w:val="both"/>
        <w:ind w:left="1300" w:right="1319" w:firstLine="280"/>
        <w:spacing w:after="0" w:line="243" w:lineRule="auto"/>
        <w:rPr>
          <w:sz w:val="20"/>
          <w:szCs w:val="20"/>
          <w:color w:val="auto"/>
        </w:rPr>
      </w:pPr>
      <w:r>
        <w:rPr>
          <w:rFonts w:ascii="Times New Roman" w:cs="Times New Roman" w:eastAsia="Times New Roman" w:hAnsi="Times New Roman"/>
          <w:sz w:val="14"/>
          <w:szCs w:val="14"/>
          <w:color w:val="auto"/>
        </w:rPr>
        <w:t>Our current certificate of incorporation provides that shares of preferred stock may be issued from time to time in one or more series. With respect to each series of our preferred stock, our Board has the authority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w:t>
      </w:r>
    </w:p>
    <w:p>
      <w:pPr>
        <w:spacing w:after="0" w:line="3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Redeemable Convertible Preferred Stock</w:t>
      </w:r>
    </w:p>
    <w:p>
      <w:pPr>
        <w:spacing w:after="0" w:line="112" w:lineRule="exact"/>
        <w:rPr>
          <w:sz w:val="20"/>
          <w:szCs w:val="20"/>
          <w:color w:val="auto"/>
        </w:rPr>
      </w:pPr>
    </w:p>
    <w:p>
      <w:pPr>
        <w:jc w:val="both"/>
        <w:ind w:left="1300" w:right="1319" w:firstLine="280"/>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Ranking and Dividend. </w:t>
      </w:r>
      <w:r>
        <w:rPr>
          <w:rFonts w:ascii="Times New Roman" w:cs="Times New Roman" w:eastAsia="Times New Roman" w:hAnsi="Times New Roman"/>
          <w:sz w:val="14"/>
          <w:szCs w:val="14"/>
          <w:color w:val="auto"/>
        </w:rPr>
        <w:t>The Redeemable Convertible Preferred Stock ranks senior to our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with respect to dividends and distributions of assets upon the Company’s liquidation, dissolution or winding up. Each share of the Redeemable Convertible Preferred Stock has an initial value of $10,000 (the “Initial Value”). Dividends on the Redeemable Convertible Preferred Stock is payable in the form of compounded dividends upon each share of Redeemable Convertible Preferred Stock (such payment in kind, “Compounded Returns”). Dividends accrue on the Initial Value (as increased for any Compounded Dividends previously compounded thereon) of each share of Redeemable Convertible Preferred Stock at a rate of 9% per annum and is compound on the basis of quarterly dividend payment dates on each March 31, June 30, September 30 and December 31 of each year, which commenced on June 30, 2024 for the Series A Convertible Preferred Stock and September 30, 2024 for the Series B Convertible Preferred Stock.</w:t>
      </w:r>
    </w:p>
    <w:p>
      <w:pPr>
        <w:spacing w:after="0" w:line="87" w:lineRule="exact"/>
        <w:rPr>
          <w:sz w:val="20"/>
          <w:szCs w:val="20"/>
          <w:color w:val="auto"/>
        </w:rPr>
      </w:pPr>
    </w:p>
    <w:p>
      <w:pPr>
        <w:jc w:val="both"/>
        <w:ind w:left="1300" w:right="1319" w:firstLine="280"/>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Liquidation Preference. </w:t>
      </w:r>
      <w:r>
        <w:rPr>
          <w:rFonts w:ascii="Times New Roman" w:cs="Times New Roman" w:eastAsia="Times New Roman" w:hAnsi="Times New Roman"/>
          <w:sz w:val="14"/>
          <w:szCs w:val="14"/>
          <w:color w:val="auto"/>
        </w:rPr>
        <w:t>Upon a liquidation, dissolution or winding up of the Company, each holder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of Redeemable Convertible Preferred Stock (“Holder”) is entitled to receive, with respect to each share of then-outstanding Redeemable Convertible Preferred Stock, out of the assets of the Company available for distribution to its stockholders (pari passu with the holders of any liquidation parity securities) an amount in cash equal to the greater of (a) an amount per share of Redeemable Convertible Preferred Stock as of the date</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19"/>
        <w:spacing w:after="0" w:line="243" w:lineRule="auto"/>
        <w:rPr>
          <w:sz w:val="20"/>
          <w:szCs w:val="20"/>
          <w:color w:val="auto"/>
        </w:rPr>
      </w:pPr>
      <w:r>
        <w:rPr>
          <w:rFonts w:ascii="Times New Roman" w:cs="Times New Roman" w:eastAsia="Times New Roman" w:hAnsi="Times New Roman"/>
          <w:sz w:val="14"/>
          <w:szCs w:val="14"/>
          <w:color w:val="auto"/>
        </w:rPr>
        <w:t>of such liquidation, dissolution or winding up equal to (i) the per share accrued value (as used herein, representing the Initial Value, plus any Compounded Returns, plus accrued dividends from the last dividend payment date to, and including, the relevant date of determination) (the “Accrued Value”) as of the relevant date (as defined in the respective certificate of designations) multiplied by (ii) the relevant percentage (as defined in the respective certificate of designations) (the product of (i) and (ii), the “Minimum Consideration”); and (b) the amount that such Holder would have received with respect to such share of Redeemable Convertible Preferred Stock based on its Accrued Value if all shares of Redeemable Convertible Preferred Stock had been converted at their Accrued Value (regardless of whether they were actually converted and without regard to any limitations on convertibility or to whether sufficient shares of common stock are available out of the Company’s authorized but unissued stock for the purpose of effecting such conversion) into shares of common stock on the business day immediately prior to the date of such liquidation, dissolution or winding up.</w:t>
      </w:r>
    </w:p>
    <w:p>
      <w:pPr>
        <w:spacing w:after="0" w:line="255" w:lineRule="exact"/>
        <w:rPr>
          <w:sz w:val="20"/>
          <w:szCs w:val="20"/>
          <w:color w:val="auto"/>
        </w:rPr>
      </w:pPr>
    </w:p>
    <w:p>
      <w:pPr>
        <w:jc w:val="both"/>
        <w:ind w:left="1300" w:right="1319" w:firstLine="280"/>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Conversion. </w:t>
      </w:r>
      <w:r>
        <w:rPr>
          <w:rFonts w:ascii="Times New Roman" w:cs="Times New Roman" w:eastAsia="Times New Roman" w:hAnsi="Times New Roman"/>
          <w:sz w:val="14"/>
          <w:szCs w:val="14"/>
          <w:color w:val="auto"/>
        </w:rPr>
        <w:t>Each share of Redeemable Convertible Preferred Stock is convertible, at the option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 Holder, from time to time after the initial issue date (the “Initial Issue Date”), and without the payment of additional consideration by the Holder, (a) at any time that the closing price per share of our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respective conversion price (as defined in the respective certificate of designations) in effect as of such conversion date.</w:t>
      </w:r>
    </w:p>
    <w:p>
      <w:pPr>
        <w:spacing w:after="0" w:line="251" w:lineRule="exact"/>
        <w:rPr>
          <w:sz w:val="20"/>
          <w:szCs w:val="20"/>
          <w:color w:val="auto"/>
        </w:rPr>
      </w:pPr>
    </w:p>
    <w:p>
      <w:pPr>
        <w:jc w:val="both"/>
        <w:ind w:left="1300" w:right="1319" w:firstLine="280"/>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Voting. </w:t>
      </w:r>
      <w:r>
        <w:rPr>
          <w:rFonts w:ascii="Times New Roman" w:cs="Times New Roman" w:eastAsia="Times New Roman" w:hAnsi="Times New Roman"/>
          <w:sz w:val="14"/>
          <w:szCs w:val="14"/>
          <w:color w:val="auto"/>
        </w:rPr>
        <w:t>Except as otherwise provided in the respective certificate of designations or by applicable law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the rules of any stock exchange on which the Company’s securities are listed, on any matter presented to the stockholders of the Company for their action or consideration at any meeting of stockholders and on which matter holders of our common stock shall be entitled to vote, each Holder is entitled to the number of votes equal to the number of whole shares of common stock into which the aggregate shares of Redeemable Convertible Preferred Stock held by such Holder are convertible on the record date for determining stockholders entitled to vote on such matter (subject to certain adjustments, but without regard to any limitations on convertibility or to whether sufficient shares of common stock are available out of the Company’s authorized but unissued stock for the purpose of effecting the conversion). Holders are entitled to notice of any meeting of stockholders and, except as otherwise provided in the respective certificate of designations or otherwise required by law, to vote together as a single class with the holders of common stock and any other class or series of stock entitled to vote thereon. The voting power of Holders is subject to a voting cap per share equal to the quotient of the $10,000 Initial Value and $2.77 for the Series A Convertible Preferred Stock and the quotient of the $10,000 Initial Value and $3.120 for the Series B Convertible Preferred Stock.</w:t>
      </w:r>
    </w:p>
    <w:p>
      <w:pPr>
        <w:spacing w:after="0" w:line="265" w:lineRule="exact"/>
        <w:rPr>
          <w:sz w:val="20"/>
          <w:szCs w:val="20"/>
          <w:color w:val="auto"/>
        </w:rPr>
      </w:pPr>
    </w:p>
    <w:p>
      <w:pPr>
        <w:jc w:val="both"/>
        <w:ind w:left="1300" w:right="1319" w:firstLine="280"/>
        <w:spacing w:after="0" w:line="255" w:lineRule="auto"/>
        <w:rPr>
          <w:sz w:val="20"/>
          <w:szCs w:val="20"/>
          <w:color w:val="auto"/>
        </w:rPr>
      </w:pPr>
      <w:r>
        <w:rPr>
          <w:rFonts w:ascii="Times New Roman" w:cs="Times New Roman" w:eastAsia="Times New Roman" w:hAnsi="Times New Roman"/>
          <w:sz w:val="14"/>
          <w:szCs w:val="14"/>
          <w:color w:val="auto"/>
        </w:rPr>
        <w:t>For each series of the Redeemable Convertible Preferred Stock, as long as at least 10% of the aggregate number of shares of such series issued on the Initial Issue Date remain outstanding, and subject to certain other conditions, Holders of such series are entitled to a separate class vote with respect to, among other things, amendments to the Company’s organizational documents that have an adverse effect on such series, authorizations or issuances by the Company of capital stock of the Company that ranks senior or equal to such series with respect to dividends or distributions on liquidation or the terms of which provide for cash dividends (other than our common stock), winding-up and dissolution, and decreases in the number of authorized shares of such series.</w:t>
      </w:r>
    </w:p>
    <w:p>
      <w:pPr>
        <w:spacing w:after="0" w:line="80" w:lineRule="exact"/>
        <w:rPr>
          <w:sz w:val="20"/>
          <w:szCs w:val="20"/>
          <w:color w:val="auto"/>
        </w:rPr>
      </w:pPr>
    </w:p>
    <w:p>
      <w:pPr>
        <w:jc w:val="both"/>
        <w:ind w:left="1300" w:right="1319" w:firstLine="280"/>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Junior and Parity Securities. </w:t>
      </w:r>
      <w:r>
        <w:rPr>
          <w:rFonts w:ascii="Times New Roman" w:cs="Times New Roman" w:eastAsia="Times New Roman" w:hAnsi="Times New Roman"/>
          <w:sz w:val="14"/>
          <w:szCs w:val="14"/>
          <w:color w:val="auto"/>
        </w:rPr>
        <w:t>Subject to certain exceptions, unless all accumulated and unpaid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on the Redeemable Convertible Preferred Stock for all preceding quarterly dividend payment periods have been declared upon all outstanding shares of Redeemable Convertible Preferred Stock through the most recently completed dividend period, the Company (1) may not repurchase, redeem or otherwise acquire shares of any parity stock or any junior stock (which includes our common stock), (2) may not declare or pay dividends on any junior stock (which includes our common stock) and (3) may not declare or pay dividends on any parity stock, unless the respective amounts of dividends declared on the Redeemable Convertible Preferred Stock and each such other class or series of dividend parity stock bear the same ratio to each other</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4" w:name="page35"/>
    <w:bookmarkEnd w:id="3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19"/>
        <w:spacing w:after="0" w:line="259" w:lineRule="auto"/>
        <w:rPr>
          <w:sz w:val="20"/>
          <w:szCs w:val="20"/>
          <w:color w:val="auto"/>
        </w:rPr>
      </w:pPr>
      <w:r>
        <w:rPr>
          <w:rFonts w:ascii="Times New Roman" w:cs="Times New Roman" w:eastAsia="Times New Roman" w:hAnsi="Times New Roman"/>
          <w:sz w:val="14"/>
          <w:szCs w:val="14"/>
          <w:color w:val="auto"/>
        </w:rPr>
        <w:t>as all accumulated and unpaid dividends per share of the Redeemable Convertible Preferred Stock and such class or series of parity stock (subject to their having been declared by the Board out of legally available funds) bear to each other, in proportion to their respective liquidation preferences at the time of declaration.</w:t>
      </w:r>
    </w:p>
    <w:p>
      <w:pPr>
        <w:spacing w:after="0" w:line="66" w:lineRule="exact"/>
        <w:rPr>
          <w:sz w:val="20"/>
          <w:szCs w:val="20"/>
          <w:color w:val="auto"/>
        </w:rPr>
      </w:pPr>
    </w:p>
    <w:p>
      <w:pPr>
        <w:jc w:val="both"/>
        <w:ind w:left="1300" w:right="1319" w:firstLine="280"/>
        <w:spacing w:after="0" w:line="243" w:lineRule="auto"/>
        <w:rPr>
          <w:sz w:val="20"/>
          <w:szCs w:val="20"/>
          <w:color w:val="auto"/>
        </w:rPr>
      </w:pPr>
      <w:r>
        <w:rPr>
          <w:rFonts w:ascii="Times New Roman" w:cs="Times New Roman" w:eastAsia="Times New Roman" w:hAnsi="Times New Roman"/>
          <w:sz w:val="14"/>
          <w:szCs w:val="14"/>
          <w:i w:val="1"/>
          <w:iCs w:val="1"/>
          <w:color w:val="auto"/>
        </w:rPr>
        <w:t xml:space="preserve">Mandatory Conversion. </w:t>
      </w:r>
      <w:r>
        <w:rPr>
          <w:rFonts w:ascii="Times New Roman" w:cs="Times New Roman" w:eastAsia="Times New Roman" w:hAnsi="Times New Roman"/>
          <w:sz w:val="14"/>
          <w:szCs w:val="14"/>
          <w:color w:val="auto"/>
        </w:rPr>
        <w:t>On or after the third anniversary of the respective Initial Issue Date, if at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time (i) the daily VWAP (as defined in the respective certificate of designations) of our common stock has been at least 200% of the respective conversion price (as defined in the respective certificate of designations) for at least twenty (20) trading days (whether or not consecutive) during any thirty (30) consecutive trading days (including the last day of such period) and (ii) certain common stock liquidity conditions (as defined in the respective certificate of designations) are satisfied, the Company has the right, exercisable at its election within fifteen (15) business days following completion of the applicable thirty</w:t>
      </w:r>
    </w:p>
    <w:p>
      <w:pPr>
        <w:spacing w:after="0" w:line="2" w:lineRule="exact"/>
        <w:rPr>
          <w:sz w:val="20"/>
          <w:szCs w:val="20"/>
          <w:color w:val="auto"/>
        </w:rPr>
      </w:pPr>
    </w:p>
    <w:p>
      <w:pPr>
        <w:jc w:val="both"/>
        <w:ind w:left="1300" w:right="1319" w:firstLine="8"/>
        <w:spacing w:after="0" w:line="241" w:lineRule="auto"/>
        <w:tabs>
          <w:tab w:leader="none" w:pos="161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day period, to cause all or any portion of the Redeemable Convertible Preferred Stock to convert into common stock. The Company is required to pay an additional amount per share of Redeemable Convertible Preferred Stock payable in cash, shares of common stock valued based on a five-day average daily VWAP (with the number of shares of common stock rounded up to the nearest whole share) or a combination thereof in respect of such conversion equal to the greater of (x) the difference between (i) the Minimum Consideration and (ii) the value of the shares of common stock delivered upon mandatory conversion thereof and (y) zero.</w:t>
      </w:r>
    </w:p>
    <w:p>
      <w:pPr>
        <w:spacing w:after="0" w:line="242" w:lineRule="exact"/>
        <w:rPr>
          <w:sz w:val="20"/>
          <w:szCs w:val="20"/>
          <w:color w:val="auto"/>
        </w:rPr>
      </w:pPr>
    </w:p>
    <w:p>
      <w:pPr>
        <w:jc w:val="both"/>
        <w:ind w:left="1300" w:right="1319" w:firstLine="280"/>
        <w:spacing w:after="0" w:line="243" w:lineRule="auto"/>
        <w:rPr>
          <w:sz w:val="20"/>
          <w:szCs w:val="20"/>
          <w:color w:val="auto"/>
        </w:rPr>
      </w:pPr>
      <w:r>
        <w:rPr>
          <w:rFonts w:ascii="Times New Roman" w:cs="Times New Roman" w:eastAsia="Times New Roman" w:hAnsi="Times New Roman"/>
          <w:sz w:val="14"/>
          <w:szCs w:val="14"/>
          <w:i w:val="1"/>
          <w:iCs w:val="1"/>
          <w:color w:val="auto"/>
        </w:rPr>
        <w:t xml:space="preserve">Fundamental Change. </w:t>
      </w:r>
      <w:r>
        <w:rPr>
          <w:rFonts w:ascii="Times New Roman" w:cs="Times New Roman" w:eastAsia="Times New Roman" w:hAnsi="Times New Roman"/>
          <w:sz w:val="14"/>
          <w:szCs w:val="14"/>
          <w:color w:val="auto"/>
        </w:rPr>
        <w:t>Upon a “fundamental change” (as​ defined in the respective certificate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designations), the Holders are entitled, on the fundamental change repurchase date specified by the Company, to receive an amount equal to the greater of (a) the Minimum Consideration and (b) an amount equal to the value that such Holder would have received if it had converted its shares of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(as defined in the respective certificate of designations) are not satisfied.</w:t>
      </w:r>
    </w:p>
    <w:p>
      <w:pPr>
        <w:spacing w:after="0" w:line="241" w:lineRule="exact"/>
        <w:rPr>
          <w:sz w:val="20"/>
          <w:szCs w:val="20"/>
          <w:color w:val="auto"/>
        </w:rPr>
      </w:pPr>
    </w:p>
    <w:p>
      <w:pPr>
        <w:jc w:val="both"/>
        <w:ind w:left="1300" w:right="1319" w:firstLine="280"/>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Optional Redemption. </w:t>
      </w:r>
      <w:r>
        <w:rPr>
          <w:rFonts w:ascii="Times New Roman" w:cs="Times New Roman" w:eastAsia="Times New Roman" w:hAnsi="Times New Roman"/>
          <w:sz w:val="14"/>
          <w:szCs w:val="14"/>
          <w:color w:val="auto"/>
        </w:rPr>
        <w:t>On or after the fifth anniversary of the respective Initial Issue Date,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may redeem all or any portion of the respective series of the Redeemable Convertible Preferred Stock at a redemption price per share equal to the greater of (a) the Minimum Consideration and (b) an amount equal to the value (calculated based on a twenty (20)-day average daily VWAP) of the number of shares of common stock issuable upon conversion at the Conversion Price on such redemption date. Such redemption price may be paid in cash, shares of common stock valued based on a twenty (20)-day average daily VWAP (with the number of shares of common stock rounded up to the nearest whole share), or a combination thereof, at the Company’s election. The Company may not pay any portion of such redemption price in shares of common stock if the common stock liquidity conditions (as defined in the respective certificate of designations) are not satisfied.</w:t>
      </w:r>
    </w:p>
    <w:p>
      <w:pPr>
        <w:spacing w:after="0" w:line="230" w:lineRule="exact"/>
        <w:rPr>
          <w:sz w:val="20"/>
          <w:szCs w:val="20"/>
          <w:color w:val="auto"/>
        </w:rPr>
      </w:pPr>
    </w:p>
    <w:p>
      <w:pPr>
        <w:jc w:val="both"/>
        <w:ind w:left="1300" w:right="1319" w:firstLine="280"/>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Nasdaq Rules. </w:t>
      </w:r>
      <w:r>
        <w:rPr>
          <w:rFonts w:ascii="Times New Roman" w:cs="Times New Roman" w:eastAsia="Times New Roman" w:hAnsi="Times New Roman"/>
          <w:sz w:val="14"/>
          <w:szCs w:val="14"/>
          <w:color w:val="auto"/>
        </w:rPr>
        <w:t>The number of shares of common stock deliverable upon conversion, redemption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repurchase of the Redeemable Convertible Preferred Stock is limited as required by applicable Nasdaq listing rules, unless the Company shall have obtained any required stockholder approval. Lucid and Ayar have agreed to cooperate reasonably to obtain, and Ayar has agreed to consent in respect of such stockholder approval no later than 18 months following the respective closing of the private placement of each series of the Redeemable Convertible Preferred Stock. The Series A Convertible Preferred Stock is initially convertible into approximately 278.15 million shares of common stock and the Series B Convertible Preferred Stock is initially convertible into approximately 171.24 million shares of common stock.</w:t>
      </w:r>
    </w:p>
    <w:p>
      <w:pPr>
        <w:spacing w:after="0" w:line="68" w:lineRule="exact"/>
        <w:rPr>
          <w:sz w:val="20"/>
          <w:szCs w:val="20"/>
          <w:color w:val="auto"/>
        </w:rPr>
      </w:pPr>
    </w:p>
    <w:p>
      <w:pPr>
        <w:jc w:val="both"/>
        <w:ind w:left="1300" w:right="1319" w:firstLine="28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Remedies for Nonpayment. </w:t>
      </w:r>
      <w:r>
        <w:rPr>
          <w:rFonts w:ascii="Times New Roman" w:cs="Times New Roman" w:eastAsia="Times New Roman" w:hAnsi="Times New Roman"/>
          <w:sz w:val="14"/>
          <w:szCs w:val="14"/>
          <w:color w:val="auto"/>
        </w:rPr>
        <w:t>The dividend rate described above will be increased to a rate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exceeding 15% per annum upon certain events of noncompliance relating to a failure by the Company to deliver consideration due in connection with a fundamental change or optional redemption.</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 Warrants and Working Capital Warrants</w:t>
      </w:r>
    </w:p>
    <w:p>
      <w:pPr>
        <w:spacing w:after="0" w:line="125" w:lineRule="exact"/>
        <w:rPr>
          <w:sz w:val="20"/>
          <w:szCs w:val="20"/>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The Private Placement Warrants (including the common stock issuable upon exercise of the Private Placement Warrants) are, pursuant to the Investor Rights Agreement, not redeemable by us so long as they</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5" w:name="page36"/>
    <w:bookmarkEnd w:id="3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19"/>
        <w:spacing w:after="0" w:line="267" w:lineRule="auto"/>
        <w:rPr>
          <w:sz w:val="20"/>
          <w:szCs w:val="20"/>
          <w:color w:val="auto"/>
        </w:rPr>
      </w:pPr>
      <w:r>
        <w:rPr>
          <w:rFonts w:ascii="Times New Roman" w:cs="Times New Roman" w:eastAsia="Times New Roman" w:hAnsi="Times New Roman"/>
          <w:sz w:val="14"/>
          <w:szCs w:val="14"/>
          <w:color w:val="auto"/>
        </w:rPr>
        <w:t>are held by the Sponsor or its permitted transferees. The Sponsor, or its permitted transferees, has the option to exercise the Private Placement Warrants on a cashless basis and will be entitled to certain registration rights. The Private Placement Warrants have terms and provisions outlined below.</w:t>
      </w:r>
    </w:p>
    <w:p>
      <w:pPr>
        <w:spacing w:after="0" w:line="83" w:lineRule="exact"/>
        <w:rPr>
          <w:sz w:val="20"/>
          <w:szCs w:val="20"/>
          <w:color w:val="auto"/>
        </w:rPr>
      </w:pPr>
    </w:p>
    <w:p>
      <w:pPr>
        <w:jc w:val="both"/>
        <w:ind w:left="1300" w:right="1319" w:firstLine="280"/>
        <w:spacing w:after="0" w:line="256" w:lineRule="auto"/>
        <w:rPr>
          <w:sz w:val="20"/>
          <w:szCs w:val="20"/>
          <w:color w:val="auto"/>
        </w:rPr>
      </w:pPr>
      <w:r>
        <w:rPr>
          <w:rFonts w:ascii="Times New Roman" w:cs="Times New Roman" w:eastAsia="Times New Roman" w:hAnsi="Times New Roman"/>
          <w:sz w:val="14"/>
          <w:szCs w:val="14"/>
          <w:color w:val="auto"/>
        </w:rPr>
        <w:t>If holders of the Private Placement Warrants elect to exercise them on a cashless basis, they would pay the exercise price by surrendering their warrants for that number of shares of our common stock equal to the quotient obtained by dividing (x) the product of the number of shares of common stock underlying the warrants, multiplied by the excess of the “fair market value” ​(defined below) over the exercise price per share of the warrants by (y) the fair market value. The “fair market value” shall mean the average closing price per share of our common stock for the ten (10) trading days ending on the third trading day prior to the date on which the notice of redemption is sent to the holders of warrants.</w:t>
      </w:r>
    </w:p>
    <w:p>
      <w:pPr>
        <w:spacing w:after="0" w:line="91" w:lineRule="exact"/>
        <w:rPr>
          <w:sz w:val="20"/>
          <w:szCs w:val="20"/>
          <w:color w:val="auto"/>
        </w:rPr>
      </w:pPr>
    </w:p>
    <w:p>
      <w:pPr>
        <w:jc w:val="both"/>
        <w:ind w:left="1300" w:right="1319" w:firstLine="280"/>
        <w:spacing w:after="0" w:line="261" w:lineRule="auto"/>
        <w:rPr>
          <w:sz w:val="20"/>
          <w:szCs w:val="20"/>
          <w:color w:val="auto"/>
        </w:rPr>
      </w:pPr>
      <w:r>
        <w:rPr>
          <w:rFonts w:ascii="Times New Roman" w:cs="Times New Roman" w:eastAsia="Times New Roman" w:hAnsi="Times New Roman"/>
          <w:sz w:val="14"/>
          <w:szCs w:val="14"/>
          <w:color w:val="auto"/>
        </w:rPr>
        <w:t>In order to finance transaction costs in connection with an intended initial business combination, the Sponsor loaned us $1,500,000 funds pursuant to the Promissory Note. The principal amount of such Promissory Note was converted into Working Capital Warrants by the Sponsor. The Working Capital Warrants are identical to the Private Placement Warrants issued to the Sponsor.</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Anti-Dilution Adjustments</w:t>
      </w:r>
    </w:p>
    <w:p>
      <w:pPr>
        <w:spacing w:after="0" w:line="114" w:lineRule="exact"/>
        <w:rPr>
          <w:sz w:val="20"/>
          <w:szCs w:val="20"/>
          <w:color w:val="auto"/>
        </w:rPr>
      </w:pPr>
    </w:p>
    <w:p>
      <w:pPr>
        <w:jc w:val="both"/>
        <w:ind w:left="1300" w:right="1319" w:firstLine="280"/>
        <w:spacing w:after="0" w:line="252" w:lineRule="auto"/>
        <w:rPr>
          <w:sz w:val="20"/>
          <w:szCs w:val="20"/>
          <w:color w:val="auto"/>
        </w:rPr>
      </w:pPr>
      <w:r>
        <w:rPr>
          <w:rFonts w:ascii="Times New Roman" w:cs="Times New Roman" w:eastAsia="Times New Roman" w:hAnsi="Times New Roman"/>
          <w:sz w:val="14"/>
          <w:szCs w:val="14"/>
          <w:color w:val="auto"/>
        </w:rPr>
        <w:t>If the number of outstanding shares of our common stock is increased by a stock dividend payable in shares of our common stock, or by a split-up of shares of our common stock or other similar event, then, on the effective date of such stock dividend, split-up or similar event, the number of shares of our common stock issuable on exercise of each Private Placement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(1) the number of shares of our common stock actually sold in such rights offering (or issuable under any other equity securities sold in such rights offering that are convertible into or exercisable for our common stock) multiplied by (2) one minus the quotient of (x) the price per share of our common stock paid in such rights offering divided by (y) the fair market value. For these purposes (1) if the rights offering is for securities convertible into or exercisable for our common stock, in determining the price payable for our common stock, there will be taken into account any consideration received for such rights, as well as any additional amount payable upon exercise or conversion and (2) fair market value means the volume weighted average price per share of our common stock as reported during the ten trading day period ending on the trading day prior to the first date on which the shares of our common stock trade on the applicable exchange or in the applicable market, regular way, without the right to receive such rights.</w:t>
      </w:r>
    </w:p>
    <w:p>
      <w:pPr>
        <w:spacing w:after="0" w:line="270" w:lineRule="exact"/>
        <w:rPr>
          <w:sz w:val="20"/>
          <w:szCs w:val="20"/>
          <w:color w:val="auto"/>
        </w:rPr>
      </w:pPr>
    </w:p>
    <w:p>
      <w:pPr>
        <w:jc w:val="both"/>
        <w:ind w:left="1300" w:right="1319" w:firstLine="280"/>
        <w:spacing w:after="0" w:line="256" w:lineRule="auto"/>
        <w:rPr>
          <w:sz w:val="20"/>
          <w:szCs w:val="20"/>
          <w:color w:val="auto"/>
        </w:rPr>
      </w:pPr>
      <w:r>
        <w:rPr>
          <w:rFonts w:ascii="Times New Roman" w:cs="Times New Roman" w:eastAsia="Times New Roman" w:hAnsi="Times New Roman"/>
          <w:sz w:val="14"/>
          <w:szCs w:val="14"/>
          <w:color w:val="auto"/>
        </w:rPr>
        <w:t>In addition, if we, at any time while the Private Placement Warrants are outstanding and unexpired, pay a dividend or make a distribution in cash, securities or other assets to the holders of our common stock on account of such shares of common stock (or other shares of our capital stock into which the warrants are convertible), other than (a) as described above and (b) certain ordinary cash dividends, then the Private Placement Warrant exercise price will be decreased, effective immediately after the effective date of such event, by the amount of cash and /or the fair market value of any securities or other assets paid on each share of our common stock in respect of such event.</w:t>
      </w:r>
    </w:p>
    <w:p>
      <w:pPr>
        <w:spacing w:after="0" w:line="91" w:lineRule="exact"/>
        <w:rPr>
          <w:sz w:val="20"/>
          <w:szCs w:val="20"/>
          <w:color w:val="auto"/>
        </w:rPr>
      </w:pPr>
    </w:p>
    <w:p>
      <w:pPr>
        <w:jc w:val="both"/>
        <w:ind w:left="1300" w:right="1319" w:firstLine="280"/>
        <w:spacing w:after="0" w:line="258" w:lineRule="auto"/>
        <w:rPr>
          <w:sz w:val="20"/>
          <w:szCs w:val="20"/>
          <w:color w:val="auto"/>
        </w:rPr>
      </w:pPr>
      <w:r>
        <w:rPr>
          <w:rFonts w:ascii="Times New Roman" w:cs="Times New Roman" w:eastAsia="Times New Roman" w:hAnsi="Times New Roman"/>
          <w:sz w:val="14"/>
          <w:szCs w:val="14"/>
          <w:color w:val="auto"/>
        </w:rPr>
        <w:t>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our common stock issuable on exercise of each Private Placement Warrant will be decreased in proportion to such decrease in outstanding shares of our common stock.</w:t>
      </w:r>
    </w:p>
    <w:p>
      <w:pPr>
        <w:spacing w:after="0" w:line="81"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Whenever the number of shares of our common stock purchasable upon the exercise of the Private Placement Warrants is adjusted, as described above, the warrant exercise price will be adjusted by multiplying the warrant exercise price immediately prior to such adjustment by a fraction (x) the numerator of which will be the number of shares of our common stock purchasable upon the exercise of the Private Placement Warrants immediately prior to such adjustment, and (y) the denominator of which will be the number of shares of our common stock so purchasable immediately thereafter.</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6" w:name="page37"/>
    <w:bookmarkEnd w:id="3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19" w:firstLine="280"/>
        <w:spacing w:after="0" w:line="261" w:lineRule="auto"/>
        <w:rPr>
          <w:sz w:val="20"/>
          <w:szCs w:val="20"/>
          <w:color w:val="auto"/>
        </w:rPr>
      </w:pPr>
      <w:r>
        <w:rPr>
          <w:rFonts w:ascii="Times New Roman" w:cs="Times New Roman" w:eastAsia="Times New Roman" w:hAnsi="Times New Roman"/>
          <w:sz w:val="14"/>
          <w:szCs w:val="14"/>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Private Placement Warrants will thereafter have the right to purchase and receive, upon the basis and upon the terms and conditions specified in the Private Placement Warrants and in lieu of the shares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Private Placement Warrants would have received if such holder had exercised their Private Placement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Private Placement Warrants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13d-5(b)(l)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our common stock, the holder of a Private Placement Warrants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our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Private Placement Warrants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Private Placement Warrants when an extraordinary transaction occurs during the exercise period of the warrants pursuant to which the holders of the warrants otherwise do not receive the full potential value of the warrants in order to determine and realize the option value component of the Private Placement Warrant. This formula is to compensate the warrant holder for the loss of the option value portion of the Private Placement Warrant due to the requirement that the warrant holder exercise the warrant within thirty (30) days of the event. The Black-Scholes model is an accepted pricing model for estimating fair market value where no quoted market price for an instrument is available.</w:t>
      </w:r>
    </w:p>
    <w:p>
      <w:pPr>
        <w:spacing w:after="0" w:line="200" w:lineRule="exact"/>
        <w:rPr>
          <w:sz w:val="20"/>
          <w:szCs w:val="20"/>
          <w:color w:val="auto"/>
        </w:rPr>
      </w:pPr>
    </w:p>
    <w:p>
      <w:pPr>
        <w:spacing w:after="0" w:line="272" w:lineRule="exact"/>
        <w:rPr>
          <w:sz w:val="20"/>
          <w:szCs w:val="20"/>
          <w:color w:val="auto"/>
        </w:rPr>
      </w:pPr>
    </w:p>
    <w:p>
      <w:pPr>
        <w:jc w:val="both"/>
        <w:ind w:left="1300" w:right="1319" w:firstLine="280"/>
        <w:spacing w:after="0" w:line="264" w:lineRule="auto"/>
        <w:rPr>
          <w:sz w:val="20"/>
          <w:szCs w:val="20"/>
          <w:color w:val="auto"/>
        </w:rPr>
      </w:pPr>
      <w:r>
        <w:rPr>
          <w:rFonts w:ascii="Times New Roman" w:cs="Times New Roman" w:eastAsia="Times New Roman" w:hAnsi="Times New Roman"/>
          <w:sz w:val="14"/>
          <w:szCs w:val="14"/>
          <w:color w:val="auto"/>
        </w:rPr>
        <w:t>The Private Placement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by certified or official bank check payable to us, for the number of warrants being exercised. The warrant holders do not have the rights or privileges of holders of common stock and any voting rights until they exercise their warrants and receive shares of our common stock. After the issuance of shares of our common stock upon exercise of the Private Placement Warrants, each holder will be entitled to one vote for each share held of record on all matters to be voted on by stockholders.</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7" w:name="page38"/>
    <w:bookmarkEnd w:id="3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Annual Stockholder Meetings</w:t>
      </w:r>
    </w:p>
    <w:p>
      <w:pPr>
        <w:spacing w:after="0" w:line="125" w:lineRule="exact"/>
        <w:rPr>
          <w:sz w:val="20"/>
          <w:szCs w:val="20"/>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spacing w:after="0" w:line="134" w:lineRule="exact"/>
        <w:rPr>
          <w:sz w:val="20"/>
          <w:szCs w:val="20"/>
          <w:color w:val="auto"/>
        </w:rPr>
      </w:pPr>
    </w:p>
    <w:p>
      <w:pPr>
        <w:jc w:val="both"/>
        <w:ind w:left="1300" w:right="1319"/>
        <w:spacing w:after="0" w:line="286" w:lineRule="auto"/>
        <w:rPr>
          <w:sz w:val="20"/>
          <w:szCs w:val="20"/>
          <w:color w:val="auto"/>
        </w:rPr>
      </w:pPr>
      <w:r>
        <w:rPr>
          <w:rFonts w:ascii="Times New Roman" w:cs="Times New Roman" w:eastAsia="Times New Roman" w:hAnsi="Times New Roman"/>
          <w:sz w:val="14"/>
          <w:szCs w:val="14"/>
          <w:b w:val="1"/>
          <w:bCs w:val="1"/>
          <w:color w:val="auto"/>
        </w:rPr>
        <w:t>Effects of Our Current Certificate of Incorporation, Our Current Bylaws and Certain Provisions of Delaware Law</w:t>
      </w:r>
    </w:p>
    <w:p>
      <w:pPr>
        <w:spacing w:after="0" w:line="70" w:lineRule="exact"/>
        <w:rPr>
          <w:sz w:val="20"/>
          <w:szCs w:val="20"/>
          <w:color w:val="auto"/>
        </w:rPr>
      </w:pPr>
    </w:p>
    <w:p>
      <w:pPr>
        <w:jc w:val="both"/>
        <w:ind w:left="1300" w:right="1319" w:firstLine="280"/>
        <w:spacing w:after="0" w:line="255" w:lineRule="auto"/>
        <w:rPr>
          <w:sz w:val="20"/>
          <w:szCs w:val="20"/>
          <w:color w:val="auto"/>
        </w:rPr>
      </w:pPr>
      <w:r>
        <w:rPr>
          <w:rFonts w:ascii="Times New Roman" w:cs="Times New Roman" w:eastAsia="Times New Roman" w:hAnsi="Times New Roman"/>
          <w:sz w:val="14"/>
          <w:szCs w:val="14"/>
          <w:color w:val="auto"/>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w:t>
      </w:r>
    </w:p>
    <w:p>
      <w:pPr>
        <w:spacing w:after="0" w:line="3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114"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w:t>
      </w:r>
    </w:p>
    <w:p>
      <w:pPr>
        <w:spacing w:after="0" w:line="90" w:lineRule="exact"/>
        <w:rPr>
          <w:sz w:val="20"/>
          <w:szCs w:val="20"/>
          <w:color w:val="auto"/>
        </w:rPr>
      </w:pPr>
    </w:p>
    <w:p>
      <w:pPr>
        <w:jc w:val="both"/>
        <w:ind w:left="1300" w:right="1319" w:firstLine="280"/>
        <w:spacing w:after="0" w:line="258" w:lineRule="auto"/>
        <w:rPr>
          <w:sz w:val="20"/>
          <w:szCs w:val="20"/>
          <w:color w:val="auto"/>
        </w:rPr>
      </w:pPr>
      <w:r>
        <w:rPr>
          <w:rFonts w:ascii="Times New Roman" w:cs="Times New Roman" w:eastAsia="Times New Roman" w:hAnsi="Times New Roman"/>
          <w:sz w:val="14"/>
          <w:szCs w:val="14"/>
          <w:color w:val="auto"/>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91"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3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14" w:lineRule="exact"/>
        <w:rPr>
          <w:sz w:val="20"/>
          <w:szCs w:val="20"/>
          <w:color w:val="auto"/>
        </w:rPr>
      </w:pPr>
    </w:p>
    <w:p>
      <w:pPr>
        <w:jc w:val="both"/>
        <w:ind w:left="1300" w:right="1319" w:firstLine="280"/>
        <w:spacing w:after="0" w:line="261" w:lineRule="auto"/>
        <w:rPr>
          <w:sz w:val="20"/>
          <w:szCs w:val="20"/>
          <w:color w:val="auto"/>
        </w:rPr>
      </w:pPr>
      <w:r>
        <w:rPr>
          <w:rFonts w:ascii="Times New Roman" w:cs="Times New Roman" w:eastAsia="Times New Roman" w:hAnsi="Times New Roman"/>
          <w:sz w:val="14"/>
          <w:szCs w:val="14"/>
          <w:color w:val="auto"/>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67" w:lineRule="exact"/>
        <w:rPr>
          <w:sz w:val="20"/>
          <w:szCs w:val="20"/>
          <w:color w:val="auto"/>
        </w:rPr>
      </w:pPr>
    </w:p>
    <w:p>
      <w:pPr>
        <w:ind w:left="1720" w:right="1339" w:hanging="131"/>
        <w:spacing w:after="0" w:line="283"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Board approved either the business combination or the transaction that resulted in the stockholder becoming an interested stockholder;</w:t>
      </w:r>
    </w:p>
    <w:p>
      <w:pPr>
        <w:spacing w:after="0" w:line="40" w:lineRule="exact"/>
        <w:rPr>
          <w:rFonts w:ascii="Times New Roman" w:cs="Times New Roman" w:eastAsia="Times New Roman" w:hAnsi="Times New Roman"/>
          <w:sz w:val="14"/>
          <w:szCs w:val="14"/>
          <w:color w:val="auto"/>
        </w:rPr>
      </w:pPr>
    </w:p>
    <w:p>
      <w:pPr>
        <w:jc w:val="both"/>
        <w:ind w:left="1720" w:right="1319" w:hanging="131"/>
        <w:spacing w:after="0" w:line="267"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51" w:lineRule="exact"/>
        <w:rPr>
          <w:rFonts w:ascii="Times New Roman" w:cs="Times New Roman" w:eastAsia="Times New Roman" w:hAnsi="Times New Roman"/>
          <w:sz w:val="14"/>
          <w:szCs w:val="14"/>
          <w:color w:val="auto"/>
        </w:rPr>
      </w:pPr>
    </w:p>
    <w:p>
      <w:pPr>
        <w:jc w:val="both"/>
        <w:ind w:left="1720" w:right="1319" w:hanging="131"/>
        <w:spacing w:after="0" w:line="267"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8" w:name="page39"/>
    <w:bookmarkEnd w:id="3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83" w:lineRule="exact"/>
        <w:rPr>
          <w:sz w:val="20"/>
          <w:szCs w:val="20"/>
          <w:color w:val="auto"/>
        </w:rPr>
      </w:pPr>
    </w:p>
    <w:p>
      <w:pPr>
        <w:jc w:val="both"/>
        <w:ind w:left="1300" w:right="1319" w:firstLine="280"/>
        <w:spacing w:after="0" w:line="245" w:lineRule="auto"/>
        <w:rPr>
          <w:sz w:val="20"/>
          <w:szCs w:val="20"/>
          <w:color w:val="auto"/>
        </w:rPr>
      </w:pPr>
      <w:r>
        <w:rPr>
          <w:rFonts w:ascii="Times New Roman" w:cs="Times New Roman" w:eastAsia="Times New Roman" w:hAnsi="Times New Roman"/>
          <w:sz w:val="14"/>
          <w:szCs w:val="14"/>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 Vacancies</w:t>
      </w:r>
    </w:p>
    <w:p>
      <w:pPr>
        <w:spacing w:after="0" w:line="125" w:lineRule="exact"/>
        <w:rPr>
          <w:sz w:val="20"/>
          <w:szCs w:val="20"/>
          <w:color w:val="auto"/>
        </w:rPr>
      </w:pPr>
    </w:p>
    <w:p>
      <w:pPr>
        <w:jc w:val="both"/>
        <w:ind w:left="1300" w:right="1319" w:firstLine="280"/>
        <w:spacing w:after="0" w:line="241" w:lineRule="auto"/>
        <w:rPr>
          <w:sz w:val="20"/>
          <w:szCs w:val="20"/>
          <w:color w:val="auto"/>
        </w:rPr>
      </w:pPr>
      <w:r>
        <w:rPr>
          <w:rFonts w:ascii="Times New Roman" w:cs="Times New Roman" w:eastAsia="Times New Roman" w:hAnsi="Times New Roman"/>
          <w:sz w:val="14"/>
          <w:szCs w:val="14"/>
          <w:color w:val="auto"/>
        </w:rPr>
        <w:t>Under the DGCL, unless otherwise provided in our current certificate of incorporation, directors serving on a board may be removed by the stockholders with or without cause. Our current certificate of incorporation provides that any director may be removed from office by the stockholders, with or without cause, by the affirmative vote of the holders of a majority of the total voting power of all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spacing w:after="0" w:line="200" w:lineRule="exact"/>
        <w:rPr>
          <w:sz w:val="20"/>
          <w:szCs w:val="20"/>
          <w:color w:val="auto"/>
        </w:rPr>
      </w:pPr>
    </w:p>
    <w:p>
      <w:pPr>
        <w:spacing w:after="0" w:line="2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114" w:lineRule="exact"/>
        <w:rPr>
          <w:sz w:val="20"/>
          <w:szCs w:val="20"/>
          <w:color w:val="auto"/>
        </w:rPr>
      </w:pPr>
    </w:p>
    <w:p>
      <w:pPr>
        <w:jc w:val="both"/>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114" w:lineRule="exact"/>
        <w:rPr>
          <w:sz w:val="20"/>
          <w:szCs w:val="20"/>
          <w:color w:val="auto"/>
        </w:rPr>
      </w:pPr>
    </w:p>
    <w:p>
      <w:pPr>
        <w:jc w:val="both"/>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Our current certificate of incorporation provides that special meetings of the stockholders may be called only by the Board acting pursuant to a resolution adopted by a majority of the Board. Our current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Advance Notification of Director Nominations and Stockholder Proposals</w:t>
      </w:r>
    </w:p>
    <w:p>
      <w:pPr>
        <w:spacing w:after="0" w:line="125" w:lineRule="exact"/>
        <w:rPr>
          <w:sz w:val="20"/>
          <w:szCs w:val="20"/>
          <w:color w:val="auto"/>
        </w:rPr>
      </w:pPr>
    </w:p>
    <w:p>
      <w:pPr>
        <w:jc w:val="both"/>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9" w:name="page40"/>
    <w:bookmarkEnd w:id="3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19"/>
        <w:spacing w:after="0" w:line="243" w:lineRule="auto"/>
        <w:rPr>
          <w:sz w:val="20"/>
          <w:szCs w:val="20"/>
          <w:color w:val="auto"/>
        </w:rPr>
      </w:pPr>
      <w:r>
        <w:rPr>
          <w:rFonts w:ascii="Times New Roman" w:cs="Times New Roman" w:eastAsia="Times New Roman" w:hAnsi="Times New Roman"/>
          <w:sz w:val="14"/>
          <w:szCs w:val="14"/>
          <w:color w:val="auto"/>
        </w:rPr>
        <w:t>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114" w:lineRule="exact"/>
        <w:rPr>
          <w:sz w:val="20"/>
          <w:szCs w:val="20"/>
          <w:color w:val="auto"/>
        </w:rPr>
      </w:pPr>
    </w:p>
    <w:p>
      <w:pPr>
        <w:jc w:val="both"/>
        <w:ind w:left="1300" w:right="1319" w:firstLine="280"/>
        <w:spacing w:after="0" w:line="243" w:lineRule="auto"/>
        <w:rPr>
          <w:sz w:val="20"/>
          <w:szCs w:val="20"/>
          <w:color w:val="auto"/>
        </w:rPr>
      </w:pPr>
      <w:r>
        <w:rPr>
          <w:rFonts w:ascii="Times New Roman" w:cs="Times New Roman" w:eastAsia="Times New Roman" w:hAnsi="Times New Roman"/>
          <w:sz w:val="14"/>
          <w:szCs w:val="14"/>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Dissenters’ Rights of Appraisal and Payment</w:t>
      </w:r>
    </w:p>
    <w:p>
      <w:pPr>
        <w:spacing w:after="0" w:line="114" w:lineRule="exact"/>
        <w:rPr>
          <w:sz w:val="20"/>
          <w:szCs w:val="20"/>
          <w:color w:val="auto"/>
        </w:rPr>
      </w:pPr>
    </w:p>
    <w:p>
      <w:pPr>
        <w:jc w:val="both"/>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Stockholders’ Derivative Actions</w:t>
      </w:r>
    </w:p>
    <w:p>
      <w:pPr>
        <w:spacing w:after="0" w:line="114" w:lineRule="exact"/>
        <w:rPr>
          <w:sz w:val="20"/>
          <w:szCs w:val="20"/>
          <w:color w:val="auto"/>
        </w:rPr>
      </w:pPr>
    </w:p>
    <w:p>
      <w:pPr>
        <w:jc w:val="both"/>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Exclusive Forum</w:t>
      </w:r>
    </w:p>
    <w:p>
      <w:pPr>
        <w:spacing w:after="0" w:line="125" w:lineRule="exact"/>
        <w:rPr>
          <w:sz w:val="20"/>
          <w:szCs w:val="20"/>
          <w:color w:val="auto"/>
        </w:rPr>
      </w:pPr>
    </w:p>
    <w:p>
      <w:pPr>
        <w:jc w:val="both"/>
        <w:ind w:left="1300" w:right="1319" w:firstLine="280"/>
        <w:spacing w:after="0" w:line="242" w:lineRule="auto"/>
        <w:rPr>
          <w:sz w:val="20"/>
          <w:szCs w:val="20"/>
          <w:color w:val="auto"/>
        </w:rPr>
      </w:pPr>
      <w:r>
        <w:rPr>
          <w:rFonts w:ascii="Times New Roman" w:cs="Times New Roman" w:eastAsia="Times New Roman" w:hAnsi="Times New Roman"/>
          <w:sz w:val="14"/>
          <w:szCs w:val="14"/>
          <w:color w:val="auto"/>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0" w:name="page41"/>
    <w:bookmarkEnd w:id="4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Liability and Indemnification of Directors and Officers</w:t>
      </w:r>
    </w:p>
    <w:p>
      <w:pPr>
        <w:spacing w:after="0" w:line="125" w:lineRule="exact"/>
        <w:rPr>
          <w:sz w:val="20"/>
          <w:szCs w:val="20"/>
          <w:color w:val="auto"/>
        </w:rPr>
      </w:pPr>
    </w:p>
    <w:p>
      <w:pPr>
        <w:jc w:val="both"/>
        <w:ind w:left="1300" w:right="1319" w:firstLine="280"/>
        <w:spacing w:after="0" w:line="245" w:lineRule="auto"/>
        <w:rPr>
          <w:sz w:val="20"/>
          <w:szCs w:val="20"/>
          <w:color w:val="auto"/>
        </w:rPr>
      </w:pPr>
      <w:r>
        <w:rPr>
          <w:rFonts w:ascii="Times New Roman" w:cs="Times New Roman" w:eastAsia="Times New Roman" w:hAnsi="Times New Roman"/>
          <w:sz w:val="14"/>
          <w:szCs w:val="14"/>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254" w:lineRule="exact"/>
        <w:rPr>
          <w:sz w:val="20"/>
          <w:szCs w:val="20"/>
          <w:color w:val="auto"/>
        </w:rPr>
      </w:pPr>
    </w:p>
    <w:p>
      <w:pPr>
        <w:jc w:val="both"/>
        <w:ind w:left="1300" w:right="1319" w:firstLine="280"/>
        <w:spacing w:after="0" w:line="241" w:lineRule="auto"/>
        <w:rPr>
          <w:sz w:val="20"/>
          <w:szCs w:val="20"/>
          <w:color w:val="auto"/>
        </w:rPr>
      </w:pPr>
      <w:r>
        <w:rPr>
          <w:rFonts w:ascii="Times New Roman" w:cs="Times New Roman" w:eastAsia="Times New Roman" w:hAnsi="Times New Roman"/>
          <w:sz w:val="14"/>
          <w:szCs w:val="14"/>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 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257"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90" w:lineRule="exact"/>
        <w:rPr>
          <w:sz w:val="20"/>
          <w:szCs w:val="20"/>
          <w:color w:val="auto"/>
        </w:rPr>
      </w:pPr>
    </w:p>
    <w:p>
      <w:pPr>
        <w:jc w:val="both"/>
        <w:ind w:left="1300" w:right="1339" w:firstLine="280"/>
        <w:spacing w:after="0" w:line="283" w:lineRule="auto"/>
        <w:rPr>
          <w:sz w:val="20"/>
          <w:szCs w:val="20"/>
          <w:color w:val="auto"/>
        </w:rPr>
      </w:pPr>
      <w:r>
        <w:rPr>
          <w:rFonts w:ascii="Times New Roman" w:cs="Times New Roman" w:eastAsia="Times New Roman" w:hAnsi="Times New Roman"/>
          <w:sz w:val="14"/>
          <w:szCs w:val="14"/>
          <w:color w:val="auto"/>
        </w:rPr>
        <w:t>The Company’s current certificate of incorporation provides that we must indemnify and advance expenses to our directors and officers to the full extent authorized by the DGCL.</w:t>
      </w:r>
    </w:p>
    <w:p>
      <w:pPr>
        <w:spacing w:after="0" w:line="72"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252" w:lineRule="exact"/>
        <w:rPr>
          <w:sz w:val="20"/>
          <w:szCs w:val="20"/>
          <w:color w:val="auto"/>
        </w:rPr>
      </w:pPr>
    </w:p>
    <w:p>
      <w:pPr>
        <w:jc w:val="both"/>
        <w:ind w:left="1300" w:right="1319" w:firstLine="280"/>
        <w:spacing w:after="0" w:line="256" w:lineRule="auto"/>
        <w:rPr>
          <w:sz w:val="20"/>
          <w:szCs w:val="20"/>
          <w:color w:val="auto"/>
        </w:rPr>
      </w:pPr>
      <w:r>
        <w:rPr>
          <w:rFonts w:ascii="Times New Roman" w:cs="Times New Roman" w:eastAsia="Times New Roman" w:hAnsi="Times New Roman"/>
          <w:sz w:val="14"/>
          <w:szCs w:val="14"/>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91" w:lineRule="exact"/>
        <w:rPr>
          <w:sz w:val="20"/>
          <w:szCs w:val="20"/>
          <w:color w:val="auto"/>
        </w:rPr>
      </w:pPr>
    </w:p>
    <w:p>
      <w:pPr>
        <w:jc w:val="both"/>
        <w:ind w:left="1300" w:right="1319" w:firstLine="280"/>
        <w:spacing w:after="0" w:line="264" w:lineRule="auto"/>
        <w:rPr>
          <w:sz w:val="20"/>
          <w:szCs w:val="20"/>
          <w:color w:val="auto"/>
        </w:rPr>
      </w:pPr>
      <w:r>
        <w:rPr>
          <w:rFonts w:ascii="Times New Roman" w:cs="Times New Roman" w:eastAsia="Times New Roman" w:hAnsi="Times New Roman"/>
          <w:sz w:val="14"/>
          <w:szCs w:val="14"/>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1" w:name="page42"/>
    <w:bookmarkEnd w:id="4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19"/>
        <w:spacing w:after="0" w:line="267" w:lineRule="auto"/>
        <w:rPr>
          <w:sz w:val="20"/>
          <w:szCs w:val="20"/>
          <w:color w:val="auto"/>
        </w:rPr>
      </w:pPr>
      <w:r>
        <w:rPr>
          <w:rFonts w:ascii="Times New Roman" w:cs="Times New Roman" w:eastAsia="Times New Roman" w:hAnsi="Times New Roman"/>
          <w:sz w:val="14"/>
          <w:szCs w:val="14"/>
          <w:color w:val="auto"/>
        </w:rPr>
        <w:t>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8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Company maintains and expect to maintain standard policies of insurance that provide coverage</w:t>
      </w:r>
    </w:p>
    <w:p>
      <w:pPr>
        <w:spacing w:after="0" w:line="22" w:lineRule="exact"/>
        <w:rPr>
          <w:sz w:val="20"/>
          <w:szCs w:val="20"/>
          <w:color w:val="auto"/>
        </w:rPr>
      </w:pPr>
    </w:p>
    <w:p>
      <w:pPr>
        <w:jc w:val="both"/>
        <w:ind w:left="1300" w:right="1319" w:firstLine="8"/>
        <w:spacing w:after="0" w:line="256" w:lineRule="auto"/>
        <w:tabs>
          <w:tab w:leader="none" w:pos="1523"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90"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252" w:lineRule="exact"/>
        <w:rPr>
          <w:sz w:val="20"/>
          <w:szCs w:val="20"/>
          <w:color w:val="auto"/>
        </w:rPr>
      </w:pPr>
    </w:p>
    <w:p>
      <w:pPr>
        <w:jc w:val="both"/>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The Company believes that these provisions, the insurance and the indemnity agreements are necessary to attract and retain talented and experienced officers and directors.</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common stock is listed on The Nasdaq Stock Market LLC under the symbol “LCID.”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w:t>
      </w:r>
    </w:p>
    <w:p>
      <w:pPr>
        <w:spacing w:after="0" w:line="112" w:lineRule="exact"/>
        <w:rPr>
          <w:sz w:val="20"/>
          <w:szCs w:val="20"/>
          <w:color w:val="auto"/>
        </w:rPr>
      </w:pPr>
    </w:p>
    <w:p>
      <w:pPr>
        <w:jc w:val="both"/>
        <w:ind w:left="1300" w:right="1319" w:firstLine="280"/>
        <w:spacing w:after="0" w:line="260" w:lineRule="auto"/>
        <w:rPr>
          <w:sz w:val="20"/>
          <w:szCs w:val="20"/>
          <w:color w:val="auto"/>
        </w:rPr>
      </w:pPr>
      <w:r>
        <w:rPr>
          <w:rFonts w:ascii="Times New Roman" w:cs="Times New Roman" w:eastAsia="Times New Roman" w:hAnsi="Times New Roman"/>
          <w:sz w:val="14"/>
          <w:szCs w:val="14"/>
          <w:color w:val="auto"/>
        </w:rPr>
        <w:t>We have agreed to indemnify Equiniti Trust Company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2" w:name="page43"/>
    <w:bookmarkEnd w:id="4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25" w:lineRule="exact"/>
        <w:rPr>
          <w:sz w:val="20"/>
          <w:szCs w:val="20"/>
          <w:color w:val="auto"/>
        </w:rPr>
      </w:pPr>
    </w:p>
    <w:p>
      <w:pPr>
        <w:jc w:val="both"/>
        <w:ind w:left="1300" w:right="1319" w:firstLine="280"/>
        <w:spacing w:after="0" w:line="247" w:lineRule="auto"/>
        <w:rPr>
          <w:sz w:val="20"/>
          <w:szCs w:val="20"/>
          <w:color w:val="auto"/>
        </w:rPr>
      </w:pPr>
      <w:r>
        <w:rPr>
          <w:rFonts w:ascii="Times New Roman" w:cs="Times New Roman" w:eastAsia="Times New Roman" w:hAnsi="Times New Roman"/>
          <w:sz w:val="14"/>
          <w:szCs w:val="14"/>
          <w:color w:val="auto"/>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w:t>
      </w:r>
    </w:p>
    <w:p>
      <w:pPr>
        <w:spacing w:after="0" w:line="86" w:lineRule="exact"/>
        <w:rPr>
          <w:sz w:val="20"/>
          <w:szCs w:val="20"/>
          <w:color w:val="auto"/>
        </w:rPr>
      </w:pPr>
    </w:p>
    <w:p>
      <w:pPr>
        <w:jc w:val="both"/>
        <w:ind w:left="1300" w:right="1319" w:firstLine="280"/>
        <w:spacing w:after="0" w:line="247"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125" w:lineRule="exact"/>
        <w:rPr>
          <w:sz w:val="20"/>
          <w:szCs w:val="20"/>
          <w:color w:val="auto"/>
        </w:rPr>
      </w:pPr>
    </w:p>
    <w:p>
      <w:pPr>
        <w:jc w:val="both"/>
        <w:ind w:left="1300" w:right="1319" w:firstLine="280"/>
        <w:spacing w:after="0" w:line="247" w:lineRule="auto"/>
        <w:rPr>
          <w:sz w:val="20"/>
          <w:szCs w:val="20"/>
          <w:color w:val="auto"/>
        </w:rPr>
      </w:pPr>
      <w:r>
        <w:rPr>
          <w:rFonts w:ascii="Times New Roman" w:cs="Times New Roman" w:eastAsia="Times New Roman" w:hAnsi="Times New Roman"/>
          <w:sz w:val="14"/>
          <w:szCs w:val="14"/>
          <w:color w:val="auto"/>
        </w:rPr>
        <w:t>If we pay a cash distribution or dividend on a series of preferred stock represented by depositary shares, the Bank Depositary will distribute such dividends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Redemption of Depositary Shares</w:t>
      </w:r>
    </w:p>
    <w:p>
      <w:pPr>
        <w:spacing w:after="0" w:line="125" w:lineRule="exact"/>
        <w:rPr>
          <w:sz w:val="20"/>
          <w:szCs w:val="20"/>
          <w:color w:val="auto"/>
        </w:rPr>
      </w:pPr>
    </w:p>
    <w:p>
      <w:pPr>
        <w:jc w:val="both"/>
        <w:ind w:left="1300" w:right="1319" w:firstLine="280"/>
        <w:spacing w:after="0" w:line="247" w:lineRule="auto"/>
        <w:rPr>
          <w:sz w:val="20"/>
          <w:szCs w:val="20"/>
          <w:color w:val="auto"/>
        </w:rPr>
      </w:pPr>
      <w:r>
        <w:rPr>
          <w:rFonts w:ascii="Times New Roman" w:cs="Times New Roman" w:eastAsia="Times New Roman" w:hAnsi="Times New Roman"/>
          <w:sz w:val="14"/>
          <w:szCs w:val="14"/>
          <w:color w:val="auto"/>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Voting the Preferred Stock</w:t>
      </w:r>
    </w:p>
    <w:p>
      <w:pPr>
        <w:spacing w:after="0" w:line="125" w:lineRule="exact"/>
        <w:rPr>
          <w:sz w:val="20"/>
          <w:szCs w:val="20"/>
          <w:color w:val="auto"/>
        </w:rPr>
      </w:pPr>
    </w:p>
    <w:p>
      <w:pPr>
        <w:jc w:val="both"/>
        <w:ind w:left="1300" w:right="1319" w:firstLine="280"/>
        <w:spacing w:after="0" w:line="243" w:lineRule="auto"/>
        <w:rPr>
          <w:sz w:val="20"/>
          <w:szCs w:val="20"/>
          <w:color w:val="auto"/>
        </w:rPr>
      </w:pPr>
      <w:r>
        <w:rPr>
          <w:rFonts w:ascii="Times New Roman" w:cs="Times New Roman" w:eastAsia="Times New Roman" w:hAnsi="Times New Roman"/>
          <w:sz w:val="14"/>
          <w:szCs w:val="14"/>
          <w:color w:val="auto"/>
        </w:rPr>
        <w:t>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Amendment and Termination of the Depositary Agreement</w:t>
      </w:r>
    </w:p>
    <w:p>
      <w:pPr>
        <w:spacing w:after="0" w:line="125" w:lineRule="exact"/>
        <w:rPr>
          <w:sz w:val="20"/>
          <w:szCs w:val="20"/>
          <w:color w:val="auto"/>
        </w:rPr>
      </w:pPr>
    </w:p>
    <w:p>
      <w:pPr>
        <w:jc w:val="both"/>
        <w:ind w:left="1300" w:right="1319" w:firstLine="280"/>
        <w:spacing w:after="0" w:line="244" w:lineRule="auto"/>
        <w:rPr>
          <w:sz w:val="20"/>
          <w:szCs w:val="20"/>
          <w:color w:val="auto"/>
        </w:rPr>
      </w:pPr>
      <w:r>
        <w:rPr>
          <w:rFonts w:ascii="Times New Roman" w:cs="Times New Roman" w:eastAsia="Times New Roman" w:hAnsi="Times New Roman"/>
          <w:sz w:val="14"/>
          <w:szCs w:val="14"/>
          <w:color w:val="auto"/>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 shares have been redeemed or (2) there has been a final distribution in respect of the preferred stock in connection with any liquidation, dissolution or winding up of our company and such distribution has been distributed to the holders of depositary receipts.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Withdrawal of Preferred Stock</w:t>
      </w:r>
    </w:p>
    <w:p>
      <w:pPr>
        <w:spacing w:after="0" w:line="125" w:lineRule="exact"/>
        <w:rPr>
          <w:sz w:val="20"/>
          <w:szCs w:val="20"/>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Except as may be provided otherwise in an accompanying prospectus supplement, upon surrender of depositary receipts at the principal office of the Bank Depositary, subject to the terms of the depositary</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3" w:name="page44"/>
    <w:bookmarkEnd w:id="4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319"/>
        <w:spacing w:after="0" w:line="255" w:lineRule="auto"/>
        <w:rPr>
          <w:sz w:val="20"/>
          <w:szCs w:val="20"/>
          <w:color w:val="auto"/>
        </w:rPr>
      </w:pPr>
      <w:r>
        <w:rPr>
          <w:rFonts w:ascii="Times New Roman" w:cs="Times New Roman" w:eastAsia="Times New Roman" w:hAnsi="Times New Roman"/>
          <w:sz w:val="14"/>
          <w:szCs w:val="14"/>
          <w:color w:val="auto"/>
        </w:rPr>
        <w:t>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4" w:name="page45"/>
    <w:bookmarkEnd w:id="4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25" w:lineRule="exact"/>
        <w:rPr>
          <w:sz w:val="20"/>
          <w:szCs w:val="20"/>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We may offer debt securities in one or more series, which may be senior debt securities or subordinated debt securities and which may be convertible into another security.</w:t>
      </w:r>
    </w:p>
    <w:p>
      <w:pPr>
        <w:spacing w:after="0" w:line="73" w:lineRule="exact"/>
        <w:rPr>
          <w:sz w:val="20"/>
          <w:szCs w:val="20"/>
          <w:color w:val="auto"/>
        </w:rPr>
      </w:pPr>
    </w:p>
    <w:p>
      <w:pPr>
        <w:jc w:val="both"/>
        <w:ind w:left="1300" w:right="1319" w:firstLine="280"/>
        <w:spacing w:after="0" w:line="244" w:lineRule="auto"/>
        <w:rPr>
          <w:sz w:val="20"/>
          <w:szCs w:val="20"/>
          <w:color w:val="auto"/>
        </w:rPr>
      </w:pPr>
      <w:r>
        <w:rPr>
          <w:rFonts w:ascii="Times New Roman" w:cs="Times New Roman" w:eastAsia="Times New Roman" w:hAnsi="Times New Roman"/>
          <w:sz w:val="14"/>
          <w:szCs w:val="14"/>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Trust Company,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 You should read the summary below, any accompanying prospectus supplement and the provisions of the indenture in their entirety before investing in our debt securities.</w:t>
      </w:r>
    </w:p>
    <w:p>
      <w:pPr>
        <w:spacing w:after="0" w:line="256" w:lineRule="exact"/>
        <w:rPr>
          <w:sz w:val="20"/>
          <w:szCs w:val="20"/>
          <w:color w:val="auto"/>
        </w:rPr>
      </w:pPr>
    </w:p>
    <w:p>
      <w:pPr>
        <w:jc w:val="both"/>
        <w:ind w:left="1300" w:right="1339" w:firstLine="280"/>
        <w:spacing w:after="0" w:line="251" w:lineRule="auto"/>
        <w:rPr>
          <w:sz w:val="20"/>
          <w:szCs w:val="20"/>
          <w:color w:val="auto"/>
        </w:rPr>
      </w:pPr>
      <w:r>
        <w:rPr>
          <w:rFonts w:ascii="Times New Roman" w:cs="Times New Roman" w:eastAsia="Times New Roman" w:hAnsi="Times New Roman"/>
          <w:sz w:val="14"/>
          <w:szCs w:val="14"/>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52" w:lineRule="exact"/>
        <w:rPr>
          <w:sz w:val="20"/>
          <w:szCs w:val="20"/>
          <w:color w:val="auto"/>
        </w:rPr>
      </w:pPr>
    </w:p>
    <w:p>
      <w:pPr>
        <w:ind w:left="1720" w:right="1339" w:hanging="131"/>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aggregate principal amount of the debt securities and any limit on the aggregate principal amount of such series;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subordination provisions for any subordinated debt securities;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date(s) or method for determining same;</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or the method for determining same;</w:t>
      </w:r>
    </w:p>
    <w:p>
      <w:pPr>
        <w:spacing w:after="0" w:line="91" w:lineRule="exact"/>
        <w:rPr>
          <w:rFonts w:ascii="Times New Roman" w:cs="Times New Roman" w:eastAsia="Times New Roman" w:hAnsi="Times New Roman"/>
          <w:sz w:val="14"/>
          <w:szCs w:val="14"/>
          <w:color w:val="auto"/>
        </w:rPr>
      </w:pPr>
    </w:p>
    <w:p>
      <w:pPr>
        <w:jc w:val="both"/>
        <w:ind w:left="1720" w:right="1319" w:hanging="131"/>
        <w:spacing w:after="0" w:line="267"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51"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convertible or exchangeable into other securities and any related terms and conditions;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early repayment provisions;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denominations;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 principal amount of debt securities payable upon acceleration;</w:t>
      </w:r>
    </w:p>
    <w:p>
      <w:pPr>
        <w:spacing w:after="0" w:line="91"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place(s) where payment of principal and interest may be made, where debt securities may be presented and where notices or demands upon the company may be made;</w:t>
      </w:r>
    </w:p>
    <w:p>
      <w:pPr>
        <w:spacing w:after="0" w:line="40"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or forms of the debt securities of the series including such legends as may be required by applicable law;</w:t>
      </w:r>
    </w:p>
    <w:p>
      <w:pPr>
        <w:spacing w:after="0" w:line="40"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whole or in part in the form of one or more global securities and the date as of which the securities are dated if other than the date of original issuance;</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secured and the terms of such security;</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discount or premium, if any, with which the debt securities will be issued;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covenants applicable to the particular debt securities being issued;</w:t>
      </w:r>
    </w:p>
    <w:p>
      <w:pPr>
        <w:spacing w:after="0" w:line="91"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in the defaults and events of default applicable to the particular debt securities being issued;</w:t>
      </w:r>
    </w:p>
    <w:p>
      <w:pPr>
        <w:spacing w:after="0" w:line="40"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guarantors of each series, if any, and the extent of the guarantees (including provisions relating to seniority, subordination and release of the guarantees), if any;</w:t>
      </w:r>
    </w:p>
    <w:p>
      <w:pPr>
        <w:spacing w:after="0" w:line="40"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the purchase price for, the principal of and any premium and any interest on, the debt securities will be payable;</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5" w:name="page46"/>
    <w:bookmarkEnd w:id="4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319" w:hanging="131"/>
        <w:spacing w:after="0" w:line="283"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period within which, the manner in which and the terms and conditions upon which we or the holders of the debt securities can select the payment currency;</w:t>
      </w:r>
    </w:p>
    <w:p>
      <w:pPr>
        <w:spacing w:after="0" w:line="51"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or right to redeem, purchase or repay debt securities under a sinking fund, amortization or analogous provision;</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conditions on the transferability of the debt securities;</w:t>
      </w:r>
    </w:p>
    <w:p>
      <w:pPr>
        <w:spacing w:after="0" w:line="91" w:lineRule="exact"/>
        <w:rPr>
          <w:rFonts w:ascii="Times New Roman" w:cs="Times New Roman" w:eastAsia="Times New Roman" w:hAnsi="Times New Roman"/>
          <w:sz w:val="14"/>
          <w:szCs w:val="14"/>
          <w:color w:val="auto"/>
        </w:rPr>
      </w:pPr>
    </w:p>
    <w:p>
      <w:pPr>
        <w:ind w:left="1720" w:right="1339" w:hanging="131"/>
        <w:spacing w:after="0" w:line="261"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granting special rights to holders of the debt securities upon occurrence of specified events;</w:t>
      </w:r>
    </w:p>
    <w:p>
      <w:pPr>
        <w:spacing w:after="0" w:line="255"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changes relating to compensation or reimbursement of the trustee of the series of debt securities;</w:t>
      </w:r>
    </w:p>
    <w:p>
      <w:pPr>
        <w:spacing w:after="0" w:line="40" w:lineRule="exact"/>
        <w:rPr>
          <w:rFonts w:ascii="Times New Roman" w:cs="Times New Roman" w:eastAsia="Times New Roman" w:hAnsi="Times New Roman"/>
          <w:sz w:val="14"/>
          <w:szCs w:val="14"/>
          <w:color w:val="auto"/>
        </w:rPr>
      </w:pPr>
    </w:p>
    <w:p>
      <w:pPr>
        <w:jc w:val="both"/>
        <w:ind w:left="1720" w:right="1319" w:hanging="131"/>
        <w:spacing w:after="0" w:line="267"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the modification of the indenture both with and without the consent of holders of debt securities issued under the indenture and the execution of supplemental indentures for such series; and</w:t>
      </w:r>
    </w:p>
    <w:p>
      <w:pPr>
        <w:spacing w:after="0" w:line="61" w:lineRule="exact"/>
        <w:rPr>
          <w:rFonts w:ascii="Times New Roman" w:cs="Times New Roman" w:eastAsia="Times New Roman" w:hAnsi="Times New Roman"/>
          <w:sz w:val="14"/>
          <w:szCs w:val="14"/>
          <w:color w:val="auto"/>
        </w:rPr>
      </w:pPr>
    </w:p>
    <w:p>
      <w:pPr>
        <w:jc w:val="both"/>
        <w:ind w:left="1720" w:right="1319" w:hanging="131"/>
        <w:spacing w:after="0" w:line="267"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14"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263" w:lineRule="exact"/>
        <w:rPr>
          <w:sz w:val="20"/>
          <w:szCs w:val="20"/>
          <w:color w:val="auto"/>
        </w:rPr>
      </w:pPr>
    </w:p>
    <w:p>
      <w:pPr>
        <w:jc w:val="both"/>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264" w:lineRule="exact"/>
        <w:rPr>
          <w:sz w:val="20"/>
          <w:szCs w:val="20"/>
          <w:color w:val="auto"/>
        </w:rPr>
      </w:pPr>
    </w:p>
    <w:p>
      <w:pPr>
        <w:jc w:val="both"/>
        <w:ind w:left="1300" w:right="1339" w:firstLine="280"/>
        <w:spacing w:after="0" w:line="283" w:lineRule="auto"/>
        <w:rPr>
          <w:sz w:val="20"/>
          <w:szCs w:val="20"/>
          <w:color w:val="auto"/>
        </w:rPr>
      </w:pPr>
      <w:r>
        <w:rPr>
          <w:rFonts w:ascii="Times New Roman" w:cs="Times New Roman" w:eastAsia="Times New Roman" w:hAnsi="Times New Roman"/>
          <w:sz w:val="14"/>
          <w:szCs w:val="14"/>
          <w:color w:val="auto"/>
        </w:rPr>
        <w:t>United States federal income tax consequences and special considerations, if any, applicable to any such series will be described in an accompanying prospectus supplement.</w:t>
      </w:r>
    </w:p>
    <w:p>
      <w:pPr>
        <w:spacing w:after="0" w:line="62"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3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25" w:lineRule="exact"/>
        <w:rPr>
          <w:sz w:val="20"/>
          <w:szCs w:val="20"/>
          <w:color w:val="auto"/>
        </w:rPr>
      </w:pPr>
    </w:p>
    <w:p>
      <w:pPr>
        <w:jc w:val="both"/>
        <w:ind w:left="1300" w:right="1319" w:firstLine="280"/>
        <w:spacing w:after="0" w:line="256" w:lineRule="auto"/>
        <w:rPr>
          <w:sz w:val="20"/>
          <w:szCs w:val="20"/>
          <w:color w:val="auto"/>
        </w:rPr>
      </w:pPr>
      <w:r>
        <w:rPr>
          <w:rFonts w:ascii="Times New Roman" w:cs="Times New Roman" w:eastAsia="Times New Roman" w:hAnsi="Times New Roman"/>
          <w:sz w:val="14"/>
          <w:szCs w:val="14"/>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6" w:name="page47"/>
    <w:bookmarkEnd w:id="4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5" w:lineRule="exact"/>
        <w:rPr>
          <w:sz w:val="20"/>
          <w:szCs w:val="20"/>
          <w:color w:val="auto"/>
        </w:rPr>
      </w:pPr>
    </w:p>
    <w:p>
      <w:pPr>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The indenture and the debt securities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7" w:name="page48"/>
    <w:bookmarkEnd w:id="4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For a description of our outstanding warrants, see “Description of Capital Stock — Warrants.”</w:t>
      </w:r>
    </w:p>
    <w:p>
      <w:pPr>
        <w:spacing w:after="0" w:line="123"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We may issue warrants for the purchase of shares of our common stock, shares of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80" w:lineRule="exact"/>
        <w:rPr>
          <w:sz w:val="20"/>
          <w:szCs w:val="20"/>
          <w:color w:val="auto"/>
        </w:rPr>
      </w:pPr>
    </w:p>
    <w:p>
      <w:pPr>
        <w:jc w:val="both"/>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The prospectus supplement relating to a particular issue of warrants will describe the terms of those warrants, including, when applicable:</w:t>
      </w:r>
    </w:p>
    <w:p>
      <w:pPr>
        <w:spacing w:after="0" w:line="41" w:lineRule="exact"/>
        <w:rPr>
          <w:sz w:val="20"/>
          <w:szCs w:val="20"/>
          <w:color w:val="auto"/>
        </w:rPr>
      </w:pPr>
    </w:p>
    <w:p>
      <w:pPr>
        <w:ind w:left="1720" w:hanging="131"/>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w:t>
      </w:r>
    </w:p>
    <w:p>
      <w:pPr>
        <w:spacing w:after="0" w:line="91"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the purchase price and/or exercise price of the warrants may be payable;</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warrants offered;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and the amount of securities you will receive upon exercise;</w:t>
      </w:r>
    </w:p>
    <w:p>
      <w:pPr>
        <w:spacing w:after="0" w:line="91"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 for exercise of the warrants and the circumstances, if any, that will cause the warrants to be automatically exercised;</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if any, we have to redeem the warrants;</w:t>
      </w:r>
    </w:p>
    <w:p>
      <w:pPr>
        <w:spacing w:after="0" w:line="91"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commence and the date on which the warrants will expire;</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warrant agent; and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of the warrants.</w:t>
      </w:r>
    </w:p>
    <w:p>
      <w:pPr>
        <w:spacing w:after="0" w:line="123" w:lineRule="exact"/>
        <w:rPr>
          <w:sz w:val="20"/>
          <w:szCs w:val="20"/>
          <w:color w:val="auto"/>
        </w:rPr>
      </w:pPr>
    </w:p>
    <w:p>
      <w:pPr>
        <w:jc w:val="both"/>
        <w:ind w:left="1300" w:right="1339" w:firstLine="280"/>
        <w:spacing w:after="0" w:line="283" w:lineRule="auto"/>
        <w:rPr>
          <w:sz w:val="20"/>
          <w:szCs w:val="20"/>
          <w:color w:val="auto"/>
        </w:rPr>
      </w:pPr>
      <w:r>
        <w:rPr>
          <w:rFonts w:ascii="Times New Roman" w:cs="Times New Roman" w:eastAsia="Times New Roman" w:hAnsi="Times New Roman"/>
          <w:sz w:val="14"/>
          <w:szCs w:val="14"/>
          <w:color w:val="auto"/>
        </w:rPr>
        <w:t>After warrants expire they will become void. The prospectus supplement may provide for the adjustment of the exercise price of the warrants.</w:t>
      </w:r>
    </w:p>
    <w:p>
      <w:pPr>
        <w:spacing w:after="0" w:line="72" w:lineRule="exact"/>
        <w:rPr>
          <w:sz w:val="20"/>
          <w:szCs w:val="20"/>
          <w:color w:val="auto"/>
        </w:rPr>
      </w:pPr>
    </w:p>
    <w:p>
      <w:pPr>
        <w:jc w:val="both"/>
        <w:ind w:left="1300" w:right="1319" w:firstLine="280"/>
        <w:spacing w:after="0" w:line="261" w:lineRule="auto"/>
        <w:rPr>
          <w:sz w:val="20"/>
          <w:szCs w:val="20"/>
          <w:color w:val="auto"/>
        </w:rPr>
      </w:pPr>
      <w:r>
        <w:rPr>
          <w:rFonts w:ascii="Times New Roman" w:cs="Times New Roman" w:eastAsia="Times New Roman" w:hAnsi="Times New Roman"/>
          <w:sz w:val="14"/>
          <w:szCs w:val="14"/>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78"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8" w:name="page49"/>
    <w:bookmarkEnd w:id="4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SUBSCRIPTION RIGHTS</w:t>
      </w:r>
    </w:p>
    <w:p>
      <w:pPr>
        <w:spacing w:after="0" w:line="125" w:lineRule="exact"/>
        <w:rPr>
          <w:sz w:val="20"/>
          <w:szCs w:val="20"/>
          <w:color w:val="auto"/>
        </w:rPr>
      </w:pPr>
    </w:p>
    <w:p>
      <w:pPr>
        <w:jc w:val="both"/>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We may issue subscription rights to purchase shares of our common stock, shares of our preferred stock or our debt securities. We may issue subscription rights independently or together with any other offered security, which may or may not be transferable by the stockholder.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90" w:lineRule="exact"/>
        <w:rPr>
          <w:sz w:val="20"/>
          <w:szCs w:val="20"/>
          <w:color w:val="auto"/>
        </w:rPr>
      </w:pPr>
    </w:p>
    <w:p>
      <w:pPr>
        <w:jc w:val="both"/>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The prospectus supplement relating to any subscription rights we may offer will contain the specific terms of the subscription rights. These terms may include the following:</w:t>
      </w:r>
    </w:p>
    <w:p>
      <w:pPr>
        <w:spacing w:after="0" w:line="41" w:lineRule="exact"/>
        <w:rPr>
          <w:sz w:val="20"/>
          <w:szCs w:val="20"/>
          <w:color w:val="auto"/>
        </w:rPr>
      </w:pPr>
    </w:p>
    <w:p>
      <w:pPr>
        <w:ind w:left="1720" w:hanging="131"/>
        <w:spacing w:after="0"/>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if any, for the subscription rights;</w:t>
      </w:r>
    </w:p>
    <w:p>
      <w:pPr>
        <w:spacing w:after="0" w:line="91"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terms of each share of common stock or preferred stock or debt securities which may be purchased per each subscription right;</w:t>
      </w:r>
    </w:p>
    <w:p>
      <w:pPr>
        <w:spacing w:after="0" w:line="40"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payable for each share of common stock or preferred stock or debt securities upon the exercise of the subscription rights;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are transferable;</w:t>
      </w:r>
    </w:p>
    <w:p>
      <w:pPr>
        <w:spacing w:after="0" w:line="91"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adjustment of the number or amount of securities receivable upon exercise of the subscription rights or the exercise price of the subscription rights;</w:t>
      </w:r>
    </w:p>
    <w:p>
      <w:pPr>
        <w:spacing w:after="0" w:line="40"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subscription rights, including the terms, procedures and limitations relating to the exchange and exercise of the subscription rights;</w:t>
      </w:r>
    </w:p>
    <w:p>
      <w:pPr>
        <w:spacing w:after="0" w:line="40"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subscription rights shall commence, and the date on which the subscription rights shall expire;</w:t>
      </w:r>
    </w:p>
    <w:p>
      <w:pPr>
        <w:spacing w:after="0" w:line="40"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may include an over-subscription privilege with respect to unsubscribed securities; and</w:t>
      </w:r>
    </w:p>
    <w:p>
      <w:pPr>
        <w:spacing w:after="0" w:line="40"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purchase arrangement entered into by us in connection with the offering of subscription rights.</w:t>
      </w:r>
    </w:p>
    <w:p>
      <w:pPr>
        <w:spacing w:after="0" w:line="62" w:lineRule="exact"/>
        <w:rPr>
          <w:sz w:val="20"/>
          <w:szCs w:val="20"/>
          <w:color w:val="auto"/>
        </w:rPr>
      </w:pPr>
    </w:p>
    <w:p>
      <w:pPr>
        <w:jc w:val="both"/>
        <w:ind w:left="1300" w:right="1319" w:firstLine="280"/>
        <w:spacing w:after="0" w:line="256"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9" w:name="page50"/>
    <w:bookmarkEnd w:id="4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PURCHASE CONTRACTS AND PURCHASE UNITS</w:t>
      </w:r>
    </w:p>
    <w:p>
      <w:pPr>
        <w:spacing w:after="0" w:line="125" w:lineRule="exact"/>
        <w:rPr>
          <w:sz w:val="20"/>
          <w:szCs w:val="20"/>
          <w:color w:val="auto"/>
        </w:rPr>
      </w:pPr>
    </w:p>
    <w:p>
      <w:pPr>
        <w:jc w:val="both"/>
        <w:ind w:left="1300" w:right="1319" w:firstLine="280"/>
        <w:spacing w:after="0" w:line="253" w:lineRule="auto"/>
        <w:rPr>
          <w:sz w:val="20"/>
          <w:szCs w:val="20"/>
          <w:color w:val="auto"/>
        </w:rPr>
      </w:pPr>
      <w:r>
        <w:rPr>
          <w:rFonts w:ascii="Times New Roman" w:cs="Times New Roman" w:eastAsia="Times New Roman" w:hAnsi="Times New Roman"/>
          <w:sz w:val="14"/>
          <w:szCs w:val="14"/>
          <w:color w:val="auto"/>
        </w:rPr>
        <w:t>We may issue purchase contracts, including contracts obligating holders to purchase from us, and obligating us to sell to the holders, a specified number of shares of our common stock, shares of our preferred stock or our debt securities at a future date or dates, which we refer to in this prospectus as purchase contracts. The price of the securities and the number of securities may be fixed at the time the purchase contracts are issued or may be determined by reference to a specific formula set forth in the purchase contracts, and may be subject to adjustment under anti-dilution formulas. The purchase contracts may be issued separately or as part of units consisting of a stock purchase contract and our debt securities or preferred securities or debt obligations of third parties, including U.S. treasury securities,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in whole or in part.</w:t>
      </w:r>
    </w:p>
    <w:p>
      <w:pPr>
        <w:spacing w:after="0" w:line="96" w:lineRule="exact"/>
        <w:rPr>
          <w:sz w:val="20"/>
          <w:szCs w:val="20"/>
          <w:color w:val="auto"/>
        </w:rPr>
      </w:pPr>
    </w:p>
    <w:p>
      <w:pPr>
        <w:jc w:val="both"/>
        <w:ind w:left="1300" w:right="1319" w:firstLine="280"/>
        <w:spacing w:after="0" w:line="256"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purchase contract or purchase unit we offer will not necessarily be complete and will be qualified in its entirety by reference to the applicable purchase contract or purchase unit, which will be filed with the SEC if we offer purchase contracts or purchase units. For more information on how you can obtain copies of any purchase contract or purchase unit we may offer, see “Where You Can Find More Information.” We urge you to read the applicable purchase contract or applicable purchase unit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0" w:name="page51"/>
    <w:bookmarkEnd w:id="5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25" w:lineRule="exact"/>
        <w:rPr>
          <w:sz w:val="20"/>
          <w:szCs w:val="20"/>
          <w:color w:val="auto"/>
        </w:rPr>
      </w:pPr>
    </w:p>
    <w:p>
      <w:pPr>
        <w:jc w:val="both"/>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Information about selling securityholders, where applicable, will be set forth in a prospectus supplement, in a post-effective amendment or in filings we make with the SEC under the Exchange Act which are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1" w:name="page52"/>
    <w:bookmarkEnd w:id="5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We or the selling securityholders may sell the securities being offered hereby in one or more of the following ways from time to time:</w:t>
      </w:r>
    </w:p>
    <w:p>
      <w:pPr>
        <w:spacing w:after="0" w:line="41" w:lineRule="exact"/>
        <w:rPr>
          <w:sz w:val="20"/>
          <w:szCs w:val="20"/>
          <w:color w:val="auto"/>
        </w:rPr>
      </w:pPr>
    </w:p>
    <w:p>
      <w:pPr>
        <w:ind w:left="1720" w:hanging="131"/>
        <w:spacing w:after="0"/>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underwriters for resale to purchasers;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 dealers to purchasers; or</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w:t>
      </w:r>
    </w:p>
    <w:p>
      <w:pPr>
        <w:spacing w:after="0" w:line="123" w:lineRule="exact"/>
        <w:rPr>
          <w:sz w:val="20"/>
          <w:szCs w:val="20"/>
          <w:color w:val="auto"/>
        </w:rPr>
      </w:pPr>
    </w:p>
    <w:p>
      <w:pPr>
        <w:jc w:val="both"/>
        <w:ind w:left="1300" w:right="1319" w:firstLine="280"/>
        <w:spacing w:after="0" w:line="255" w:lineRule="auto"/>
        <w:rPr>
          <w:sz w:val="20"/>
          <w:szCs w:val="20"/>
          <w:color w:val="auto"/>
        </w:rPr>
      </w:pPr>
      <w:r>
        <w:rPr>
          <w:rFonts w:ascii="Times New Roman" w:cs="Times New Roman" w:eastAsia="Times New Roman" w:hAnsi="Times New Roman"/>
          <w:sz w:val="14"/>
          <w:szCs w:val="14"/>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82" w:lineRule="exact"/>
        <w:rPr>
          <w:sz w:val="20"/>
          <w:szCs w:val="20"/>
          <w:color w:val="auto"/>
        </w:rPr>
      </w:pPr>
    </w:p>
    <w:p>
      <w:pPr>
        <w:jc w:val="both"/>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compensation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2" w:name="page53"/>
    <w:bookmarkEnd w:id="5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jc w:val="both"/>
        <w:ind w:left="1300" w:right="1319" w:firstLine="280"/>
        <w:spacing w:after="0" w:line="258" w:lineRule="auto"/>
        <w:rPr>
          <w:sz w:val="20"/>
          <w:szCs w:val="20"/>
          <w:color w:val="auto"/>
        </w:rPr>
      </w:pPr>
      <w:r>
        <w:rPr>
          <w:rFonts w:ascii="Times New Roman" w:cs="Times New Roman" w:eastAsia="Times New Roman" w:hAnsi="Times New Roman"/>
          <w:sz w:val="14"/>
          <w:szCs w:val="14"/>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3" w:name="page54"/>
    <w:bookmarkEnd w:id="5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jc w:val="both"/>
        <w:ind w:left="1300" w:right="1319" w:firstLine="280"/>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of Lucid Group, Inc. as of and for the period ended December 31, 2023, and management’s assessment of the effectiveness of internal control over financial reporting as of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91" w:lineRule="exact"/>
        <w:rPr>
          <w:sz w:val="20"/>
          <w:szCs w:val="20"/>
          <w:color w:val="auto"/>
        </w:rPr>
      </w:pPr>
    </w:p>
    <w:p>
      <w:pPr>
        <w:jc w:val="both"/>
        <w:ind w:left="1300" w:right="1319" w:firstLine="280"/>
        <w:spacing w:after="0" w:line="261" w:lineRule="auto"/>
        <w:rPr>
          <w:sz w:val="20"/>
          <w:szCs w:val="20"/>
          <w:color w:val="auto"/>
        </w:rPr>
      </w:pPr>
      <w:r>
        <w:rPr>
          <w:rFonts w:ascii="Times New Roman" w:cs="Times New Roman" w:eastAsia="Times New Roman" w:hAnsi="Times New Roman"/>
          <w:sz w:val="14"/>
          <w:szCs w:val="14"/>
          <w:color w:val="auto"/>
        </w:rPr>
        <w:t>The audited financial statements of Lucid Group, Inc. as of and for the two years in the period ended December 31, 2022 incorporated by reference in this prospectus and elsewhere in the registration statement have been so incorporated by reference in reliance upon the report of Grant Thornton LLP, an independent registered public accounting firm,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4" w:name="page55"/>
    <w:bookmarkEnd w:id="54"/>
    <w:p>
      <w:pPr>
        <w:spacing w:after="0" w:line="62" w:lineRule="exact"/>
        <w:rPr>
          <w:sz w:val="20"/>
          <w:szCs w:val="20"/>
          <w:color w:val="auto"/>
        </w:rPr>
      </w:pPr>
    </w:p>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Lucid Group,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5"/>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19"/>
              <w:spacing w:after="0"/>
              <w:rPr>
                <w:sz w:val="20"/>
                <w:szCs w:val="20"/>
                <w:color w:val="auto"/>
              </w:rPr>
            </w:pPr>
            <w:r>
              <w:rPr>
                <w:rFonts w:ascii="Arial" w:cs="Arial" w:eastAsia="Arial" w:hAnsi="Arial"/>
                <w:sz w:val="17"/>
                <w:szCs w:val="17"/>
                <w:b w:val="1"/>
                <w:bCs w:val="1"/>
                <w:color w:val="auto"/>
                <w:w w:val="95"/>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0"/>
                <w:szCs w:val="10"/>
                <w:color w:val="auto"/>
              </w:rPr>
            </w:pPr>
          </w:p>
        </w:tc>
        <w:tc>
          <w:tcPr>
            <w:tcW w:w="7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right"/>
              <w:ind w:right="36"/>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10"/>
                <w:szCs w:val="10"/>
                <w:color w:val="auto"/>
              </w:rPr>
            </w:pPr>
          </w:p>
        </w:tc>
        <w:tc>
          <w:tcPr>
            <w:tcW w:w="12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40" w:type="dxa"/>
            <w:vAlign w:val="bottom"/>
          </w:tcPr>
          <w:p>
            <w:pPr>
              <w:spacing w:after="0"/>
              <w:rPr>
                <w:sz w:val="10"/>
                <w:szCs w:val="10"/>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40"/>
              <w:spacing w:after="0" w:line="168"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4"/>
                <w:szCs w:val="14"/>
                <w:color w:val="auto"/>
              </w:rPr>
            </w:pPr>
          </w:p>
        </w:tc>
        <w:tc>
          <w:tcPr>
            <w:tcW w:w="820" w:type="dxa"/>
            <w:vAlign w:val="bottom"/>
            <w:shd w:val="clear" w:color="auto" w:fill="9ADAF6"/>
          </w:tcPr>
          <w:p>
            <w:pPr>
              <w:jc w:val="center"/>
              <w:ind w:left="19"/>
              <w:spacing w:after="0" w:line="168" w:lineRule="exact"/>
              <w:rPr>
                <w:sz w:val="20"/>
                <w:szCs w:val="20"/>
                <w:color w:val="auto"/>
              </w:rPr>
            </w:pPr>
            <w:r>
              <w:rPr>
                <w:rFonts w:ascii="Arial" w:cs="Arial" w:eastAsia="Arial" w:hAnsi="Arial"/>
                <w:sz w:val="17"/>
                <w:szCs w:val="17"/>
                <w:b w:val="1"/>
                <w:bCs w:val="1"/>
                <w:color w:val="auto"/>
                <w:w w:val="96"/>
              </w:rPr>
              <w:t>or Carry</w:t>
            </w: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19"/>
              <w:spacing w:after="0" w:line="189" w:lineRule="exact"/>
              <w:rPr>
                <w:sz w:val="20"/>
                <w:szCs w:val="20"/>
                <w:color w:val="auto"/>
              </w:rPr>
            </w:pPr>
            <w:r>
              <w:rPr>
                <w:rFonts w:ascii="Arial" w:cs="Arial" w:eastAsia="Arial" w:hAnsi="Arial"/>
                <w:sz w:val="17"/>
                <w:szCs w:val="17"/>
                <w:b w:val="1"/>
                <w:bCs w:val="1"/>
                <w:color w:val="auto"/>
              </w:rPr>
              <w:t>Forward</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ind w:left="19"/>
              <w:spacing w:after="0"/>
              <w:rPr>
                <w:sz w:val="20"/>
                <w:szCs w:val="20"/>
                <w:color w:val="auto"/>
              </w:rPr>
            </w:pPr>
            <w:r>
              <w:rPr>
                <w:rFonts w:ascii="Arial" w:cs="Arial" w:eastAsia="Arial" w:hAnsi="Arial"/>
                <w:sz w:val="17"/>
                <w:szCs w:val="17"/>
                <w:b w:val="1"/>
                <w:bCs w:val="1"/>
                <w:color w:val="auto"/>
                <w:w w:val="97"/>
              </w:rPr>
              <w:t>Rule</w:t>
            </w: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0"/>
                <w:szCs w:val="10"/>
                <w:color w:val="auto"/>
              </w:rPr>
            </w:pPr>
          </w:p>
        </w:tc>
        <w:tc>
          <w:tcPr>
            <w:tcW w:w="12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ind w:left="19"/>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69,108,837</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$ 9.44</w:t>
            </w: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$ 90,094.70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9"/>
              </w:rPr>
              <w:t>652,387,421.28</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$ 90,094.70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652,387,421.28</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8"/>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$ 90,094.70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280"/>
        <w:spacing w:after="0" w:line="243" w:lineRule="auto"/>
        <w:rPr>
          <w:sz w:val="20"/>
          <w:szCs w:val="20"/>
          <w:color w:val="auto"/>
        </w:rPr>
      </w:pPr>
      <w:r>
        <w:rPr>
          <w:rFonts w:ascii="Arial" w:cs="Arial" w:eastAsia="Arial" w:hAnsi="Arial"/>
          <w:sz w:val="17"/>
          <w:szCs w:val="17"/>
          <w:color w:val="auto"/>
        </w:rPr>
        <w:t>1.a. All securities offered hereby are for the account of the selling stockholders named in the prospectus supplement to the Registration Statement No. 333-282677 on Form S-3. In accordance with Rule 416 under the Securities Act of 1933, as amended (the "Securities Act"), this Registration Statement shall be deemed to cover any additional shares to be offered or issued from stock splits, stock dividends or similar transactions with respect to the shares being registered.</w:t>
      </w:r>
    </w:p>
    <w:p>
      <w:pPr>
        <w:spacing w:after="0" w:line="154" w:lineRule="exact"/>
        <w:rPr>
          <w:sz w:val="20"/>
          <w:szCs w:val="20"/>
          <w:color w:val="auto"/>
        </w:rPr>
      </w:pPr>
    </w:p>
    <w:p>
      <w:pPr>
        <w:ind w:left="220" w:right="180"/>
        <w:spacing w:after="0" w:line="248" w:lineRule="auto"/>
        <w:rPr>
          <w:sz w:val="20"/>
          <w:szCs w:val="20"/>
          <w:color w:val="auto"/>
        </w:rPr>
      </w:pPr>
      <w:r>
        <w:rPr>
          <w:rFonts w:ascii="Arial" w:cs="Arial" w:eastAsia="Arial" w:hAnsi="Arial"/>
          <w:sz w:val="17"/>
          <w:szCs w:val="17"/>
          <w:color w:val="auto"/>
        </w:rPr>
        <w:t>1.b. Calculated solely for the purpose of calculating the registration fee pursuant to Rule 457(c) under the Securities Act, the Proposed Maximum Offering Price Per Share is based on the average of the high and low prices of the common stock, as reported on The Nasdaq Stock Market LLC as of February 23, 2026.</w:t>
      </w:r>
    </w:p>
    <w:p>
      <w:pPr>
        <w:spacing w:after="0" w:line="151" w:lineRule="exact"/>
        <w:rPr>
          <w:sz w:val="20"/>
          <w:szCs w:val="20"/>
          <w:color w:val="auto"/>
        </w:rPr>
      </w:pPr>
    </w:p>
    <w:p>
      <w:pPr>
        <w:ind w:left="220" w:right="460"/>
        <w:spacing w:after="0" w:line="265" w:lineRule="auto"/>
        <w:rPr>
          <w:sz w:val="20"/>
          <w:szCs w:val="20"/>
          <w:color w:val="auto"/>
        </w:rPr>
      </w:pPr>
      <w:r>
        <w:rPr>
          <w:rFonts w:ascii="Arial" w:cs="Arial" w:eastAsia="Arial" w:hAnsi="Arial"/>
          <w:sz w:val="17"/>
          <w:szCs w:val="17"/>
          <w:color w:val="auto"/>
        </w:rPr>
        <w:t>1.c. The Maximum Aggregate Offering Price is calculated as the product of (i) 69,108,837 (the amount of common stock being registered on this Form S-3), multiplied by (ii) the Proposed Maximum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46990</wp:posOffset>
            </wp:positionV>
            <wp:extent cx="714819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4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4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right"/>
              <w:ind w:right="16"/>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jc w:val="center"/>
              <w:ind w:right="17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40" w:type="dxa"/>
            <w:vAlign w:val="bottom"/>
          </w:tcPr>
          <w:p>
            <w:pPr>
              <w:spacing w:after="0"/>
              <w:rPr>
                <w:sz w:val="10"/>
                <w:szCs w:val="10"/>
                <w:color w:val="auto"/>
              </w:rPr>
            </w:pPr>
          </w:p>
        </w:tc>
        <w:tc>
          <w:tcPr>
            <w:tcW w:w="6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2"/>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198"/>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80" w:type="dxa"/>
            <w:vAlign w:val="bottom"/>
            <w:tcBorders>
              <w:right w:val="single" w:sz="8" w:color="auto"/>
            </w:tcBorders>
            <w:gridSpan w:val="2"/>
            <w:vMerge w:val="restart"/>
            <w:shd w:val="clear" w:color="auto" w:fill="9ADAF6"/>
          </w:tcPr>
          <w:p>
            <w:pPr>
              <w:jc w:val="center"/>
              <w:ind w:right="28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198"/>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8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2" w:right="239" w:bottom="0" w:gutter="0" w:footer="0" w:header="0"/>
        </w:sectPr>
      </w:pPr>
    </w:p>
    <w:bookmarkStart w:id="55" w:name="page56"/>
    <w:bookmarkEnd w:id="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7"/>
                <w:szCs w:val="17"/>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7"/>
                <w:szCs w:val="17"/>
                <w:color w:val="auto"/>
              </w:rPr>
            </w:pPr>
          </w:p>
        </w:tc>
        <w:tc>
          <w:tcPr>
            <w:tcW w:w="280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7"/>
                <w:szCs w:val="17"/>
                <w:color w:val="auto"/>
              </w:rPr>
            </w:pPr>
          </w:p>
        </w:tc>
        <w:tc>
          <w:tcPr>
            <w:tcW w:w="1560" w:type="dxa"/>
            <w:vAlign w:val="bottom"/>
            <w:shd w:val="clear" w:color="auto" w:fill="E7E7E2"/>
          </w:tcPr>
          <w:p>
            <w:pPr>
              <w:ind w:left="12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7"/>
                <w:szCs w:val="17"/>
                <w:color w:val="auto"/>
              </w:rPr>
            </w:pPr>
          </w:p>
        </w:tc>
        <w:tc>
          <w:tcPr>
            <w:tcW w:w="2020" w:type="dxa"/>
            <w:vAlign w:val="bottom"/>
            <w:shd w:val="clear" w:color="auto" w:fill="E7E7E2"/>
          </w:tcPr>
          <w:p>
            <w:pPr>
              <w:ind w:left="17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7"/>
                <w:szCs w:val="17"/>
                <w:color w:val="auto"/>
              </w:rPr>
            </w:pPr>
          </w:p>
        </w:tc>
        <w:tc>
          <w:tcPr>
            <w:tcW w:w="680" w:type="dxa"/>
            <w:vAlign w:val="bottom"/>
            <w:shd w:val="clear" w:color="auto" w:fill="E7E7E2"/>
          </w:tcPr>
          <w:p>
            <w:pPr>
              <w:ind w:left="20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7"/>
                <w:szCs w:val="17"/>
                <w:color w:val="auto"/>
              </w:rPr>
            </w:pPr>
          </w:p>
        </w:tc>
        <w:tc>
          <w:tcPr>
            <w:tcW w:w="1100" w:type="dxa"/>
            <w:vAlign w:val="bottom"/>
            <w:shd w:val="clear" w:color="auto" w:fill="E7E7E2"/>
          </w:tcPr>
          <w:p>
            <w:pPr>
              <w:ind w:left="40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ind w:left="320"/>
              <w:spacing w:after="0"/>
              <w:rPr>
                <w:sz w:val="20"/>
                <w:szCs w:val="20"/>
                <w:color w:val="auto"/>
              </w:rPr>
            </w:pPr>
            <w:r>
              <w:rPr>
                <w:rFonts w:ascii="Arial" w:cs="Arial" w:eastAsia="Arial" w:hAnsi="Arial"/>
                <w:sz w:val="17"/>
                <w:szCs w:val="17"/>
                <w:color w:val="auto"/>
              </w:rPr>
              <w:t>N/A</w:t>
            </w: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Roman"/>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lowerRoman"/>
      <w:start w:val="2"/>
    </w:lvl>
  </w:abstractNum>
  <w:abstractNum w:abstractNumId="14">
    <w:nsid w:val="3F2DBA31"/>
    <w:multiLevelType w:val="hybridMultilevel"/>
    <w:lvl w:ilvl="0">
      <w:lvlJc w:val="left"/>
      <w:lvlText w:val="(%1)"/>
      <w:numFmt w:val="decimal"/>
      <w:start w:val="30"/>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jpe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35" Type="http://schemas.openxmlformats.org/officeDocument/2006/relationships/hyperlink" Target="https://www.sec.gov/ix?doc=/Archives/edgar/data/1811210/000162828026011053/lcid-20251231.htm" TargetMode="External"/><Relationship Id="rId48" Type="http://schemas.openxmlformats.org/officeDocument/2006/relationships/hyperlink" Target="http://www.sec.gov/ix?doc=/Archives/edgar/data/1811210/000162828026003278/lcid-20260120.htm" TargetMode="External"/><Relationship Id="rId49" Type="http://schemas.openxmlformats.org/officeDocument/2006/relationships/hyperlink" Target="https://www.sec.gov/ix?doc=/Archives/edgar/data/1811210/000110465925038701/tm2431387-2_def14a.htm" TargetMode="External"/><Relationship Id="rId50" Type="http://schemas.openxmlformats.org/officeDocument/2006/relationships/hyperlink" Target="https://www.sec.gov/Archives/edgar/data/1811210/000110465921095277/tm2120294d8_8a12b.htm" TargetMode="External"/><Relationship Id="rId51" Type="http://schemas.openxmlformats.org/officeDocument/2006/relationships/hyperlink" Target="https://www.sec.gov/Archives/edgar/data/1811210/000162828026011053/fy25form10-kxex410.htm" TargetMode="External"/><Relationship Id="rId69" Type="http://schemas.openxmlformats.org/officeDocument/2006/relationships/hyperlink" Target="http://www.sec.gov/ix?doc=/Archives/edgar/data/1811210/000162828024007209/lcid-20231231.htm" TargetMode="External"/><Relationship Id="rId70" Type="http://schemas.openxmlformats.org/officeDocument/2006/relationships/hyperlink" Target="http://www.sec.gov/ix?doc=/Archives/edgar/data/1811210/000110465924051463/tm2333393d2_def14a.htm" TargetMode="External"/><Relationship Id="rId71" Type="http://schemas.openxmlformats.org/officeDocument/2006/relationships/hyperlink" Target="http://www.sec.gov/ix?doc=/Archives/edgar/data/1811210/000162828024020633/lcid-20240331.htm" TargetMode="External"/><Relationship Id="rId72" Type="http://schemas.openxmlformats.org/officeDocument/2006/relationships/hyperlink" Target="http://www.sec.gov/ix?doc=/Archives/edgar/data/1811210/000162828024034730/lcid-20240630.htm" TargetMode="External"/><Relationship Id="rId73" Type="http://schemas.openxmlformats.org/officeDocument/2006/relationships/hyperlink" Target="http://www.sec.gov/ix?doc=/Archives/edgar/data/1811210/000110465924007267/tm244182d1_8k.htm" TargetMode="External"/><Relationship Id="rId74" Type="http://schemas.openxmlformats.org/officeDocument/2006/relationships/hyperlink" Target="http://www.sec.gov/ix?doc=/Archives/edgar/data/1811210/000110465924024581/tm246312d1_8k.htm" TargetMode="External"/><Relationship Id="rId75" Type="http://schemas.openxmlformats.org/officeDocument/2006/relationships/hyperlink" Target="http://www.sec.gov/ix?doc=/Archives/edgar/data/1811210/000110465924064914/tm2415482d1_8k.htm" TargetMode="External"/><Relationship Id="rId76" Type="http://schemas.openxmlformats.org/officeDocument/2006/relationships/hyperlink" Target="http://www.sec.gov/ix?doc=/Archives/edgar/data/1811210/000110465924069080/tm2416547d1_8k.htm" TargetMode="External"/><Relationship Id="rId77" Type="http://schemas.openxmlformats.org/officeDocument/2006/relationships/hyperlink" Target="https://www.sec.gov/ix?doc=/Archives/edgar/data/1811210/000162828024034724/lcid-20240804.htm" TargetMode="External"/><Relationship Id="rId78" Type="http://schemas.openxmlformats.org/officeDocument/2006/relationships/hyperlink" Target="https://www.sec.gov/ix?doc=/Archives/edgar/data/1811210/000162828024037638/lcid-20240816.htm" TargetMode="External"/><Relationship Id="rId79" Type="http://schemas.openxmlformats.org/officeDocument/2006/relationships/hyperlink" Target="http://www.sec.gov/Archives/edgar/data/1811210/000162828022004253/exhibit46descriptionofsec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2026-02-24T15:34:45Z</dcterms:created>
  <dcterms:modified xsi:type="dcterms:W3CDTF">2026-02-24T15:34:45Z</dcterms:modified>
</cp:coreProperties>
</file>