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8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493331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9333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Nouri Chabi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LUCID GROUP, INC.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7373 GATEWAY BOULEVARD</w:t>
      </w:r>
    </w:p>
    <w:p>
      <w:pPr>
        <w:spacing w:after="0" w:line="29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0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NEWARK</w:t>
            </w:r>
          </w:p>
        </w:tc>
        <w:tc>
          <w:tcPr>
            <w:tcW w:w="10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94560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7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Lucid Group, Inc.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LCID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16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04/24/2024</w:t>
            </w:r>
          </w:p>
        </w:tc>
        <w:tc>
          <w:tcPr>
            <w:tcW w:w="2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100"/>
        <w:spacing w:after="0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4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45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Rule 10b5-1(c) Transaction Indication</w:t>
      </w:r>
    </w:p>
    <w:p>
      <w:pPr>
        <w:spacing w:after="0" w:line="224" w:lineRule="exact"/>
        <w:rPr>
          <w:sz w:val="24"/>
          <w:szCs w:val="24"/>
          <w:color w:val="auto"/>
        </w:rPr>
      </w:pPr>
    </w:p>
    <w:p>
      <w:pPr>
        <w:ind w:left="340" w:right="420"/>
        <w:spacing w:after="0" w:line="26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6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04/24/2024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2,344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7"/>
                <w:vertAlign w:val="superscript"/>
              </w:rPr>
              <w:t>(1)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2.52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46,043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 w:right="400" w:firstLine="7"/>
        <w:spacing w:after="0" w:line="272" w:lineRule="auto"/>
        <w:tabs>
          <w:tab w:leader="none" w:pos="173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shares that have been withheld by the Issuer to satisfy tax withholding and remittance obligations in connection with the time-based vesting of restricted stock units reported on a Form 4 filed on April 26, 2023.</w:t>
      </w:r>
    </w:p>
    <w:p>
      <w:pPr>
        <w:spacing w:after="0" w:line="5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5"/>
        </w:trPr>
        <w:tc>
          <w:tcPr>
            <w:tcW w:w="204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Benjamin Uy, as attorney-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04/26/2024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620" w:type="dxa"/>
            <w:vAlign w:val="bottom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in-fact for Chabi Nouri</w:t>
            </w:r>
          </w:p>
        </w:tc>
        <w:tc>
          <w:tcPr>
            <w:tcW w:w="5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162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1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974666" TargetMode="External"/><Relationship Id="rId13" Type="http://schemas.openxmlformats.org/officeDocument/2006/relationships/hyperlink" Target="http://www.sec.gov/cgi-bin/browse-edgar?action=getcompany&amp;CIK=000181121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2024-05-10T04:38:01Z</dcterms:created>
  <dcterms:modified xsi:type="dcterms:W3CDTF">2024-05-10T04:38:01Z</dcterms:modified>
</cp:coreProperties>
</file>