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May 6,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67"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750570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May 6, 2025, Lucid Group, Inc. (“Lucid” or the “Company”) issued a press release announcing its results for the first quarter ended March 31, 2025. A copy of the press release is attached as Exhibit 99.1 to this Current Report on Form 8-K and is incorporated by reference herein.</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Lucid uses its </w:t>
      </w:r>
      <w:r>
        <w:rPr>
          <w:rFonts w:ascii="Times New Roman" w:cs="Times New Roman" w:eastAsia="Times New Roman" w:hAnsi="Times New Roman"/>
          <w:sz w:val="18"/>
          <w:szCs w:val="18"/>
          <w:u w:val="single" w:color="auto"/>
          <w:color w:val="auto"/>
        </w:rPr>
        <w:t>ir.lucidmotors.com</w:t>
      </w:r>
      <w:r>
        <w:rPr>
          <w:rFonts w:ascii="Times New Roman" w:cs="Times New Roman" w:eastAsia="Times New Roman" w:hAnsi="Times New Roman"/>
          <w:sz w:val="18"/>
          <w:szCs w:val="18"/>
          <w:color w:val="auto"/>
        </w:rPr>
        <w:t xml:space="preserve"> website as a means of disclosing material non-public information and for complying with its disclosure obligations under Regulation FD.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880" w:type="dxa"/>
            <w:vAlign w:val="bottom"/>
          </w:tcPr>
          <w:p>
            <w:pPr>
              <w:spacing w:after="0"/>
              <w:rPr>
                <w:sz w:val="20"/>
                <w:szCs w:val="20"/>
                <w:color w:val="auto"/>
              </w:rPr>
            </w:pPr>
          </w:p>
        </w:tc>
        <w:tc>
          <w:tcPr>
            <w:tcW w:w="7120" w:type="dxa"/>
            <w:vAlign w:val="bottom"/>
          </w:tcPr>
          <w:p>
            <w:pPr>
              <w:spacing w:after="0"/>
              <w:rPr>
                <w:sz w:val="20"/>
                <w:szCs w:val="20"/>
                <w:color w:val="auto"/>
              </w:rPr>
            </w:pPr>
          </w:p>
        </w:tc>
      </w:tr>
      <w:tr>
        <w:trPr>
          <w:trHeight w:val="437"/>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880" w:type="dxa"/>
            <w:vAlign w:val="bottom"/>
          </w:tcPr>
          <w:p>
            <w:pPr>
              <w:spacing w:after="0"/>
              <w:rPr>
                <w:sz w:val="24"/>
                <w:szCs w:val="24"/>
                <w:color w:val="auto"/>
              </w:rPr>
            </w:pPr>
          </w:p>
        </w:tc>
        <w:tc>
          <w:tcPr>
            <w:tcW w:w="7120" w:type="dxa"/>
            <w:vAlign w:val="bottom"/>
          </w:tcPr>
          <w:p>
            <w:pPr>
              <w:spacing w:after="0"/>
              <w:rPr>
                <w:sz w:val="24"/>
                <w:szCs w:val="24"/>
                <w:color w:val="auto"/>
              </w:rPr>
            </w:pPr>
          </w:p>
        </w:tc>
      </w:tr>
      <w:tr>
        <w:trPr>
          <w:trHeight w:val="238"/>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43"/>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Lucid Press Release Dated May 6, 2025</w:t>
            </w:r>
          </w:p>
        </w:tc>
      </w:tr>
      <w:tr>
        <w:trPr>
          <w:trHeight w:val="20"/>
        </w:trPr>
        <w:tc>
          <w:tcPr>
            <w:tcW w:w="1240" w:type="dxa"/>
            <w:vAlign w:val="bottom"/>
          </w:tcPr>
          <w:p>
            <w:pPr>
              <w:spacing w:after="0" w:line="20" w:lineRule="exact"/>
              <w:rPr>
                <w:sz w:val="1"/>
                <w:szCs w:val="1"/>
                <w:color w:val="auto"/>
              </w:rPr>
            </w:pPr>
          </w:p>
        </w:tc>
        <w:tc>
          <w:tcPr>
            <w:tcW w:w="2880" w:type="dxa"/>
            <w:vAlign w:val="bottom"/>
            <w:shd w:val="clear" w:color="auto" w:fill="0000FF"/>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r>
      <w:tr>
        <w:trPr>
          <w:trHeight w:val="304"/>
        </w:trPr>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124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May 6,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Taoufiq Boussaid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Taoufiq Boussaid</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0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216535</wp:posOffset>
            </wp:positionH>
            <wp:positionV relativeFrom="page">
              <wp:posOffset>106045</wp:posOffset>
            </wp:positionV>
            <wp:extent cx="1525905"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25905" cy="214630"/>
                    </a:xfrm>
                    <a:prstGeom prst="rect">
                      <a:avLst/>
                    </a:prstGeom>
                    <a:noFill/>
                  </pic:spPr>
                </pic:pic>
              </a:graphicData>
            </a:graphic>
          </wp:anchor>
        </w:drawing>
        <w:t>Exhibit 99.1</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Lucid Announces First Quarter 2025 Financial Results</w:t>
      </w:r>
    </w:p>
    <w:p>
      <w:pPr>
        <w:spacing w:after="0" w:line="301" w:lineRule="exact"/>
        <w:rPr>
          <w:sz w:val="20"/>
          <w:szCs w:val="20"/>
          <w:color w:val="auto"/>
        </w:rPr>
      </w:pPr>
    </w:p>
    <w:p>
      <w:pPr>
        <w:ind w:left="660" w:hanging="328"/>
        <w:spacing w:after="0"/>
        <w:tabs>
          <w:tab w:leader="none" w:pos="660" w:val="left"/>
        </w:tabs>
        <w:numPr>
          <w:ilvl w:val="0"/>
          <w:numId w:val="2"/>
        </w:numPr>
        <w:rPr>
          <w:rFonts w:ascii="Arial" w:cs="Arial" w:eastAsia="Arial" w:hAnsi="Arial"/>
          <w:sz w:val="22"/>
          <w:szCs w:val="22"/>
          <w:color w:val="auto"/>
        </w:rPr>
      </w:pPr>
      <w:r>
        <w:rPr>
          <w:rFonts w:ascii="Times New Roman" w:cs="Times New Roman" w:eastAsia="Times New Roman" w:hAnsi="Times New Roman"/>
          <w:sz w:val="20"/>
          <w:szCs w:val="20"/>
          <w:color w:val="auto"/>
        </w:rPr>
        <w:t>Produced 2,212 vehicles in Q1, excluding over 600 vehicles in transit to Saudi Arabia for factory gating</w:t>
      </w: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3,109 vehicles in Q1; up 58.1% compared to Q1 2024</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Q1 revenue of $235.0 million</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GAAP net loss per share of $(0.24); non-GAAP net loss per share of $(0.20)</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Ended the quarter with approximately $5.76 billion in total liquidity</w:t>
      </w:r>
    </w:p>
    <w:p>
      <w:pPr>
        <w:spacing w:after="0" w:line="23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0"/>
          <w:szCs w:val="20"/>
          <w:color w:val="auto"/>
        </w:rPr>
        <w:t>NEWARK, Calif. — May 6, 2025 — Lucid Group, Inc. (NASDAQ: LCID), maker of the world’s most advanced electric vehicles, today announced financial results for its first quarter ended March 31, 2025. The earnings presentation is available on its investor relations website (https://ir.lucidmotors.com).</w:t>
      </w:r>
    </w:p>
    <w:p>
      <w:pPr>
        <w:spacing w:after="0" w:line="167" w:lineRule="exact"/>
        <w:rPr>
          <w:sz w:val="20"/>
          <w:szCs w:val="20"/>
          <w:color w:val="auto"/>
        </w:rPr>
      </w:pPr>
    </w:p>
    <w:p>
      <w:pPr>
        <w:ind w:right="480"/>
        <w:spacing w:after="0" w:line="283" w:lineRule="auto"/>
        <w:rPr>
          <w:sz w:val="20"/>
          <w:szCs w:val="20"/>
          <w:color w:val="auto"/>
        </w:rPr>
      </w:pPr>
      <w:r>
        <w:rPr>
          <w:rFonts w:ascii="Times New Roman" w:cs="Times New Roman" w:eastAsia="Times New Roman" w:hAnsi="Times New Roman"/>
          <w:sz w:val="20"/>
          <w:szCs w:val="20"/>
          <w:color w:val="auto"/>
        </w:rPr>
        <w:t>Lucid reported first quarter revenue of $235.0 million on deliveries of 3,109 vehicles and expects to manufacture approximately 20,000 vehicles in 2025. Lucid ended the first quarter with approximately $5.76 billion in total liquidity.</w:t>
      </w:r>
    </w:p>
    <w:p>
      <w:pPr>
        <w:spacing w:after="0" w:line="14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“We continued to build momentum in the first quarter as we achieved yet another delivery record, further strengthened our market position, and executed against operational priorities,” said Marc Winterhoff, Interim CEO at Lucid. “Lucid Gravity is beginning to arrive in more customers’ driveways and at our studios, and combined with our progress toward future initiatives, our company is well positioned for future success.”</w:t>
      </w:r>
    </w:p>
    <w:p>
      <w:pPr>
        <w:spacing w:after="0" w:line="186" w:lineRule="exact"/>
        <w:rPr>
          <w:sz w:val="20"/>
          <w:szCs w:val="20"/>
          <w:color w:val="auto"/>
        </w:rPr>
      </w:pPr>
    </w:p>
    <w:p>
      <w:pPr>
        <w:jc w:val="both"/>
        <w:ind w:right="60"/>
        <w:spacing w:after="0" w:line="261" w:lineRule="auto"/>
        <w:rPr>
          <w:sz w:val="20"/>
          <w:szCs w:val="20"/>
          <w:color w:val="auto"/>
        </w:rPr>
      </w:pPr>
      <w:r>
        <w:rPr>
          <w:rFonts w:ascii="Times New Roman" w:cs="Times New Roman" w:eastAsia="Times New Roman" w:hAnsi="Times New Roman"/>
          <w:sz w:val="20"/>
          <w:szCs w:val="20"/>
          <w:color w:val="auto"/>
        </w:rPr>
        <w:t>“We’re executing against our near-term goals — driving volume, improving margins, and operating with rigor,” said Taoufiq Boussaid, CFO at Lucid. “And we’re positioning ourselves for long-term value creation — with clear strategic priorities, strong liquidity, and breakthrough products that redefine their categories.”</w:t>
      </w:r>
    </w:p>
    <w:p>
      <w:pPr>
        <w:spacing w:after="0" w:line="1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Lucid will host a conference call for analysts and investors at 2:30 P.M. PT / 5:30 P.M. ET on May 6, 2025. The live webcast of the conference call will be available on the Investor Relations website at ir.lucidmotors.com. Following the completion of the call, a replay will be available on the same website. Lucid uses its ir.lucidmotors.com website as a means of disclosing material non-public information and for complying with its disclosure obligations under Regulation FD.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Lucid Group</w:t>
      </w:r>
    </w:p>
    <w:p>
      <w:pPr>
        <w:spacing w:after="0" w:line="216"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9"/>
          <w:szCs w:val="19"/>
          <w:color w:val="auto"/>
        </w:rPr>
        <w:t xml:space="preserve">Lucid (NASDAQ: </w:t>
      </w:r>
      <w:r>
        <w:rPr>
          <w:rFonts w:ascii="Times New Roman" w:cs="Times New Roman" w:eastAsia="Times New Roman" w:hAnsi="Times New Roman"/>
          <w:sz w:val="19"/>
          <w:szCs w:val="19"/>
          <w:b w:val="1"/>
          <w:bCs w:val="1"/>
          <w:color w:val="auto"/>
        </w:rPr>
        <w:t>LCID</w:t>
      </w:r>
      <w:r>
        <w:rPr>
          <w:rFonts w:ascii="Times New Roman" w:cs="Times New Roman" w:eastAsia="Times New Roman" w:hAnsi="Times New Roman"/>
          <w:sz w:val="19"/>
          <w:szCs w:val="19"/>
          <w:color w:val="auto"/>
        </w:rPr>
        <w:t>) is a Silicon Valley-based technology company focused on creating the most advanced EVs in the world. The award-winning Lucid Air and new Lucid Gravity deliver best-in-class performance, sophisticated design, expansive interior space and unrivaled energy efficiency. Lucid assembles both vehicles in its state-of-the-art, vertically integrated factory in Arizona. Through its industry-leading technology and innovations, Lucid is advancing the state-of-the-art of EV technology for the benefit of 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investor@lucidmotors.com</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3051F2"/>
        </w:rPr>
        <w:t>media@lucidmotors.com</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1B1B1B"/>
        </w:rPr>
        <w:t>Trademarks</w:t>
      </w:r>
    </w:p>
    <w:p>
      <w:pPr>
        <w:spacing w:after="0" w:line="233" w:lineRule="exact"/>
        <w:rPr>
          <w:sz w:val="20"/>
          <w:szCs w:val="20"/>
          <w:color w:val="auto"/>
        </w:rPr>
      </w:pPr>
    </w:p>
    <w:p>
      <w:pPr>
        <w:ind w:right="460"/>
        <w:spacing w:after="0" w:line="269" w:lineRule="auto"/>
        <w:rPr>
          <w:sz w:val="20"/>
          <w:szCs w:val="20"/>
          <w:color w:val="auto"/>
        </w:rPr>
      </w:pPr>
      <w:r>
        <w:rPr>
          <w:rFonts w:ascii="Times New Roman" w:cs="Times New Roman" w:eastAsia="Times New Roman" w:hAnsi="Times New Roman"/>
          <w:sz w:val="20"/>
          <w:szCs w:val="20"/>
          <w:color w:val="auto"/>
        </w:rPr>
        <w:t>This communication contains trademarks, service marks, trade names and copyrights of Lucid Group, Inc. and its subsidiaries and other companies, which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20"/>
          </w:cols>
          <w:pgMar w:left="320" w:top="315"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233"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results of operations, financial outlook and condition, guidance, liquidity, capital expenditures, prospects, growth, strategies, management, and the markets in which we operate, including expectations of financial and operational metrics, projections of market opportunity, market share and product sales, plans and expectations related to commercial product launches and future programs, initiatives and products, including the Midsize program, plans and expectations on vehicle production and delivery timing and volumes, expectations regarding market opportunities and demand for Lucid’s products, the range, features, specifications, performance, production and delivery of Lucid’s vehicles and potential impact on markets, plans and expectations regarding further monetization opportunities, plans and expectations regarding Lucid’s software, technology features and capabilities, including with respect to battery and powertrain systems, plans and expectations regarding Lucid’s systems approach to the design of the vehicles, estimate of Lucid’s technology lead over competitors, estimate of the length of time Lucid’s existing cash, cash equivalents and investments will be sufficient to fund planned operations, plans and expectations regarding Lucid’s liquidity runway, future capital raises and funding strategy, plans and expectations regarding future manufacturing capabilities and facilities, studio and service center openings, sales channels and strategies, test drive, ability to mitigate supply chain and logistics risks, plans and expectations regarding expansion and construction of Lucid’s AMP-1 and AMP-2 manufacturing facilities and capabilities, including potential benefits, ability to vertically integrate production processes, future sales channels and strategies, future market launches and international expansion, Lucid’s ability to grow its brand awareness, plans and expectations regarding management transitions, the potential success of Lucid’s direct-to-consumer sales strategy and future vehicle programs, potential automotive and strategic partnerships, expectations on the technology licensing landscape, expectations on the regulatory and political environment, and the promise of Lucid’s technology.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changes in domestic and foreign business, economic, market, financial, political, economic and legal conditions, including changes of policies, government closures of banks and liquidity concerns at other financial institutions, imposition of tariffs and threat of a trade war, a potential global economic recession or other downturn and global conflicts or other geopolitical events; risks related to changes in overall demand for Lucid’s products and services and cancellation of orders for Lucid’s vehicles; risks related to prices and availability of commodities and materials, Lucid’s supply chain, logistics, inventory management and quality control, and Lucid’s ability to complete the tooling of its manufacturing facilities over time and ramping production of Lucid’s vehicles, including new vehicles, at scale; risks related to the uncertainty of Lucid’s projected financial information; risks related to the timing of expected business milestones and commercial product launches; risks related to the construction and expansion of Lucid’s manufacturing facilities and the increase of Lucid’s production capacity; Lucid’s ability to manage expenses and control costs; risks related to future market adoption of Lucid’s offerings; the effects of competition and the pace and depth of electric vehicle adoption generally on Lucid’s future business; changes in regulatory requirements, policies, and governmental incentives; changes in fuel and energy prices; Lucid’s ability to rapidly innovate; Lucid’s ability to enter into or maintain partnerships with original equipment manufacturers, vendors and technology providers, including our ability to realize the anticipated benefits of our transaction with Aston Martin; risks related to potential vehicle recalls and buybacks; Lucid’s ability to establish and expand its brand, and capture additional market share, and the risks associated with negative press or reputational harm; Lucid’s ability to effectively manage its growth and its ongoing need to attract, retain, and motivate key employees, including engineering and management employees, as we have undertaken multiple significant management changes in the past, including our CEO; risks related to Lucid’s outstanding Convertible Preferred Stock; availability of, and Lucid’s ability to obtain and effectively utilize or obtain certain credits and other incentives; Lucid’s ability to conduct equity, equity-linked or debt financings in the future; Lucid’s ability to pay interest and principal on its indebtedness; future changes to vehicle specifications which may impact performance, features, pricing and other expectations; the outcome of any potential litigation, government and regulatory proceedings, investigations and inquiries; and those factors discussed under the</w:t>
      </w:r>
    </w:p>
    <w:p>
      <w:pPr>
        <w:sectPr>
          <w:pgSz w:w="11900" w:h="16838" w:orient="portrait"/>
          <w:cols w:equalWidth="0" w:num="1">
            <w:col w:w="11240"/>
          </w:cols>
          <w:pgMar w:left="320" w:top="13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11240"/>
          </w:cols>
          <w:pgMar w:left="320" w:top="1314" w:right="339" w:bottom="1440" w:gutter="0" w:footer="0" w:header="0"/>
          <w:type w:val="continuous"/>
        </w:sectPr>
      </w:pPr>
    </w:p>
    <w:bookmarkStart w:id="5" w:name="page6"/>
    <w:bookmarkEnd w:id="5"/>
    <w:p>
      <w:pPr>
        <w:spacing w:after="0" w:line="252" w:lineRule="auto"/>
        <w:rPr>
          <w:sz w:val="20"/>
          <w:szCs w:val="20"/>
          <w:color w:val="auto"/>
        </w:rPr>
      </w:pPr>
      <w:r>
        <w:rPr>
          <w:rFonts w:ascii="Times New Roman" w:cs="Times New Roman" w:eastAsia="Times New Roman" w:hAnsi="Times New Roman"/>
          <w:sz w:val="20"/>
          <w:szCs w:val="20"/>
          <w:color w:val="auto"/>
        </w:rPr>
        <w:t>heading “Risk Factors” in Part II, Item 1A of Lucid’s Quarterly Report on Form 10-Q for the quarter ended March 31, 2025, as well as in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1240"/>
          </w:cols>
          <w:pgMar w:left="320" w:top="1318"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color w:val="auto"/>
        </w:rPr>
        <w:t>Non-GAAP Financial Measures and Key Business Metrics</w:t>
      </w:r>
    </w:p>
    <w:p>
      <w:pPr>
        <w:spacing w:after="0" w:line="233" w:lineRule="exact"/>
        <w:rPr>
          <w:sz w:val="20"/>
          <w:szCs w:val="20"/>
          <w:color w:val="auto"/>
        </w:rPr>
      </w:pPr>
    </w:p>
    <w:p>
      <w:pPr>
        <w:jc w:val="both"/>
        <w:ind w:right="40"/>
        <w:spacing w:after="0" w:line="258" w:lineRule="auto"/>
        <w:rPr>
          <w:sz w:val="20"/>
          <w:szCs w:val="20"/>
          <w:color w:val="auto"/>
        </w:rPr>
      </w:pPr>
      <w:r>
        <w:rPr>
          <w:rFonts w:ascii="Times New Roman" w:cs="Times New Roman" w:eastAsia="Times New Roman" w:hAnsi="Times New Roman"/>
          <w:sz w:val="20"/>
          <w:szCs w:val="20"/>
          <w:color w:val="auto"/>
        </w:rPr>
        <w:t>Condensed consolidated financial information has been presented in accordance with US GAAP (“GAAP”) as well as on a non-GAAP basis to supplement our condensed consolidated financial results. Lucid’s non-GAAP financial measures include Adjusted EBITDA, Adjusted Net Loss Attributable to Common Stockholders, Adjusted Net Loss Per Share Attributable to Common Stockholders, and Free Cash Flow, which are discussed below.</w:t>
      </w:r>
    </w:p>
    <w:p>
      <w:pPr>
        <w:spacing w:after="0" w:line="17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Adjusted EBITDA is defined as net loss attributable to common stockholders before (1) interest expense, (2) interest income, (3) provision for (benefit from) income taxes, (4) depreciation and amortization, (5) stock-based compensation, (6) change in fair value of common stock warrant liability, (7) change in fair value of equity securities of a related party, (8) change in fair value of derivative liabilities associated with redeemable convertible preferred stock (related party), and (9) accretion of redeemable convertible preferred stock (related party). Lucid believes that Adjusted EBITDA provides useful information to Lucid’s management and investors about Lucid’s financial performance.</w:t>
      </w:r>
    </w:p>
    <w:p>
      <w:pPr>
        <w:spacing w:after="0" w:line="15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Adjusted Net Loss Attributable to Common Stockholders is defined as net loss attributable to common stockholders excluding (1) stock-based compensation, (2) change in fair value of common stock warrant liability, (3) change in fair value of equity securities of a related party,</w:t>
      </w:r>
    </w:p>
    <w:p>
      <w:pPr>
        <w:spacing w:after="0" w:line="1" w:lineRule="exact"/>
        <w:rPr>
          <w:sz w:val="20"/>
          <w:szCs w:val="20"/>
          <w:color w:val="auto"/>
        </w:rPr>
      </w:pPr>
    </w:p>
    <w:p>
      <w:pPr>
        <w:ind w:right="300" w:firstLine="8"/>
        <w:spacing w:after="0" w:line="260" w:lineRule="auto"/>
        <w:tabs>
          <w:tab w:leader="none" w:pos="28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 in fair value of derivative liabilities associated with redeemable convertible preferred stock (related party), and (5) accretion of redeemable convertible preferred stock (related party).</w:t>
      </w:r>
    </w:p>
    <w:p>
      <w:pPr>
        <w:spacing w:after="0" w:line="182" w:lineRule="exact"/>
        <w:rPr>
          <w:sz w:val="20"/>
          <w:szCs w:val="20"/>
          <w:color w:val="auto"/>
        </w:rPr>
      </w:pPr>
    </w:p>
    <w:p>
      <w:pPr>
        <w:ind w:right="600"/>
        <w:spacing w:after="0" w:line="269" w:lineRule="auto"/>
        <w:rPr>
          <w:sz w:val="20"/>
          <w:szCs w:val="20"/>
          <w:color w:val="auto"/>
        </w:rPr>
      </w:pPr>
      <w:r>
        <w:rPr>
          <w:rFonts w:ascii="Times New Roman" w:cs="Times New Roman" w:eastAsia="Times New Roman" w:hAnsi="Times New Roman"/>
          <w:sz w:val="20"/>
          <w:szCs w:val="20"/>
          <w:color w:val="auto"/>
        </w:rPr>
        <w:t>Lucid defines and calculates Adjusted Net Loss Per Share Attributable to Common Stockholders as Adjusted Net Loss Attributable to Common Stockholders divided by weighted-average shares outstanding attributable to common stockholders.</w:t>
      </w:r>
    </w:p>
    <w:p>
      <w:pPr>
        <w:spacing w:after="0" w:line="173"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Lucid believes that Adjusted Net Loss Attributable to Common Stockholders and Adjusted Net Loss Per Share Attributable to Common Stockholders financial measures provide investors with useful information to evaluate performance of its business excluding items not reflecting ongoing operating activities.</w:t>
      </w:r>
    </w:p>
    <w:p>
      <w:pPr>
        <w:spacing w:after="0" w:line="181" w:lineRule="exact"/>
        <w:rPr>
          <w:sz w:val="20"/>
          <w:szCs w:val="20"/>
          <w:color w:val="auto"/>
        </w:rPr>
      </w:pPr>
    </w:p>
    <w:p>
      <w:pPr>
        <w:ind w:right="440"/>
        <w:spacing w:after="0" w:line="261" w:lineRule="auto"/>
        <w:rPr>
          <w:sz w:val="20"/>
          <w:szCs w:val="20"/>
          <w:color w:val="auto"/>
        </w:rPr>
      </w:pPr>
      <w:r>
        <w:rPr>
          <w:rFonts w:ascii="Times New Roman" w:cs="Times New Roman" w:eastAsia="Times New Roman" w:hAnsi="Times New Roman"/>
          <w:sz w:val="20"/>
          <w:szCs w:val="20"/>
          <w:color w:val="auto"/>
        </w:rPr>
        <w:t>Free Cash Flow is defined as net cash used in operating activities less capital expenditures. Lucid believes that Free Cash Flow provides useful information to Lucid’s management and investors about the amount of cash generated by the business after necessary capital expenditures.</w:t>
      </w:r>
    </w:p>
    <w:p>
      <w:pPr>
        <w:spacing w:after="0" w:line="168"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These non-GAAP financial measures facilitate management’s internal comparisons to Lucid’s historical performance. Management believes that it is useful to supplement its GAAP financial statements with this non-GAAP information because management uses such information internally for its operating, budgeting, and financial planning purposes. Management also believes that presentation of the non-GAAP financial measures provides useful information to Lucid’s investors regarding measures of our financial condition and results of operations that Lucid uses to run the business and therefore allows investors to better understand Lucid’s performance. However, these non-GAAP financial and key performance measures have limitations as analytical tools and you should not consider them in isolation or as substitutes for analysis of our results as reported under GAAP.</w:t>
      </w:r>
    </w:p>
    <w:p>
      <w:pPr>
        <w:spacing w:after="0" w:line="19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Non-GAAP information is not prepared under a comprehensive set of accounting rules and therefore, should only be read in conjunction with financial information reported under GAAP when understanding Lucid’s operating performance. In addition, other companies, including companies in Lucid’s industry, may calculate non-GAAP financial measures and key performance measures differently or may use other measures to evaluate their performance, all of which could reduce the usefulness of Lucid’s non-GAAP financial measures and key performance measures as tools for comparison. A reconciliation between GAAP and non-GAAP financial information is presented below.</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ectPr>
          <w:pgSz w:w="11900" w:h="16838" w:orient="portrait"/>
          <w:cols w:equalWidth="0" w:num="1">
            <w:col w:w="11220"/>
          </w:cols>
          <w:pgMar w:left="320" w:top="1314" w:right="359" w:bottom="1440" w:gutter="0" w:footer="0" w:header="0"/>
        </w:sectPr>
      </w:pPr>
    </w:p>
    <w:bookmarkStart w:id="7" w:name="page8"/>
    <w:bookmarkEnd w:id="7"/>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5"/>
                <w:szCs w:val="15"/>
                <w:color w:val="auto"/>
              </w:rPr>
            </w:pPr>
          </w:p>
        </w:tc>
        <w:tc>
          <w:tcPr>
            <w:tcW w:w="11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37"/>
        </w:trPr>
        <w:tc>
          <w:tcPr>
            <w:tcW w:w="85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5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1,854,879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1,606,865</w:t>
            </w:r>
          </w:p>
        </w:tc>
        <w:tc>
          <w:tcPr>
            <w:tcW w:w="0" w:type="dxa"/>
            <w:vAlign w:val="bottom"/>
          </w:tcPr>
          <w:p>
            <w:pPr>
              <w:spacing w:after="0"/>
              <w:rPr>
                <w:sz w:val="1"/>
                <w:szCs w:val="1"/>
                <w:color w:val="auto"/>
              </w:rPr>
            </w:pPr>
          </w:p>
        </w:tc>
      </w:tr>
      <w:tr>
        <w:trPr>
          <w:trHeight w:val="228"/>
        </w:trPr>
        <w:tc>
          <w:tcPr>
            <w:tcW w:w="86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Short-term investments (including $15,000 associated with a related party as of March 31, 2025 and December 31, 2024)</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1,756,026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2,424,103</w:t>
            </w:r>
          </w:p>
        </w:tc>
        <w:tc>
          <w:tcPr>
            <w:tcW w:w="0" w:type="dxa"/>
            <w:vAlign w:val="bottom"/>
          </w:tcPr>
          <w:p>
            <w:pPr>
              <w:spacing w:after="0"/>
              <w:rPr>
                <w:sz w:val="1"/>
                <w:szCs w:val="1"/>
                <w:color w:val="auto"/>
              </w:rPr>
            </w:pPr>
          </w:p>
        </w:tc>
      </w:tr>
      <w:tr>
        <w:trPr>
          <w:trHeight w:val="43"/>
        </w:trPr>
        <w:tc>
          <w:tcPr>
            <w:tcW w:w="8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 (including $53,793 and $57,909 from a related party as of March 31, 2025 and December 31, 2024,</w:t>
            </w:r>
          </w:p>
        </w:tc>
        <w:tc>
          <w:tcPr>
            <w:tcW w:w="220" w:type="dxa"/>
            <w:vAlign w:val="bottom"/>
            <w:shd w:val="clear" w:color="auto" w:fill="CCEEFF"/>
          </w:tcPr>
          <w:p>
            <w:pPr>
              <w:spacing w:after="0"/>
              <w:rPr>
                <w:sz w:val="18"/>
                <w:szCs w:val="18"/>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90,328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112,025</w:t>
            </w:r>
          </w:p>
        </w:tc>
        <w:tc>
          <w:tcPr>
            <w:tcW w:w="0" w:type="dxa"/>
            <w:vAlign w:val="bottom"/>
          </w:tcPr>
          <w:p>
            <w:pPr>
              <w:spacing w:after="0"/>
              <w:rPr>
                <w:sz w:val="1"/>
                <w:szCs w:val="1"/>
                <w:color w:val="auto"/>
              </w:rPr>
            </w:pPr>
          </w:p>
        </w:tc>
      </w:tr>
      <w:tr>
        <w:trPr>
          <w:trHeight w:val="106"/>
        </w:trPr>
        <w:tc>
          <w:tcPr>
            <w:tcW w:w="8620" w:type="dxa"/>
            <w:vAlign w:val="bottom"/>
            <w:gridSpan w:val="2"/>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respectively)</w:t>
            </w:r>
          </w:p>
        </w:tc>
        <w:tc>
          <w:tcPr>
            <w:tcW w:w="220" w:type="dxa"/>
            <w:vAlign w:val="bottom"/>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20" w:type="dxa"/>
            <w:vAlign w:val="bottom"/>
            <w:gridSpan w:val="2"/>
            <w:vMerge w:val="continue"/>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85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 w:lineRule="exact"/>
        <w:rPr>
          <w:sz w:val="20"/>
          <w:szCs w:val="20"/>
          <w:color w:val="auto"/>
        </w:rPr>
      </w:pPr>
    </w:p>
    <w:p>
      <w:pPr>
        <w:sectPr>
          <w:pgSz w:w="11900" w:h="16838" w:orient="portrait"/>
          <w:cols w:equalWidth="0" w:num="1">
            <w:col w:w="11240"/>
          </w:cols>
          <w:pgMar w:left="320" w:top="532" w:right="339" w:bottom="601" w:gutter="0" w:footer="0" w:header="0"/>
        </w:sectPr>
      </w:pP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1323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Prepaid expenses</w:t>
      </w:r>
    </w:p>
    <w:p>
      <w:pPr>
        <w:spacing w:after="0" w:line="86" w:lineRule="exact"/>
        <w:rPr>
          <w:sz w:val="20"/>
          <w:szCs w:val="20"/>
          <w:color w:val="auto"/>
        </w:rPr>
      </w:pPr>
    </w:p>
    <w:p>
      <w:pPr>
        <w:ind w:left="520" w:right="180" w:hanging="323"/>
        <w:spacing w:after="0" w:line="298" w:lineRule="auto"/>
        <w:rPr>
          <w:sz w:val="20"/>
          <w:szCs w:val="20"/>
          <w:color w:val="auto"/>
        </w:rPr>
      </w:pPr>
      <w:r>
        <w:rPr>
          <w:rFonts w:ascii="Times New Roman" w:cs="Times New Roman" w:eastAsia="Times New Roman" w:hAnsi="Times New Roman"/>
          <w:sz w:val="16"/>
          <w:szCs w:val="16"/>
          <w:color w:val="auto"/>
        </w:rPr>
        <w:t>Other current assets (including $20,676 and $34,503 associated with a related party as of March 31, 2025 and December 31,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1797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ind w:left="680"/>
        <w:spacing w:after="0"/>
        <w:rPr>
          <w:sz w:val="20"/>
          <w:szCs w:val="20"/>
          <w:color w:val="auto"/>
        </w:rPr>
      </w:pPr>
      <w:r>
        <w:rPr>
          <w:rFonts w:ascii="Times New Roman" w:cs="Times New Roman" w:eastAsia="Times New Roman" w:hAnsi="Times New Roman"/>
          <w:sz w:val="16"/>
          <w:szCs w:val="16"/>
          <w:color w:val="auto"/>
        </w:rPr>
        <w:t>Total current assets</w:t>
      </w:r>
    </w:p>
    <w:p>
      <w:pPr>
        <w:spacing w:after="0" w:line="1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Right-of-use assets</w:t>
      </w:r>
    </w:p>
    <w:p>
      <w:pPr>
        <w:spacing w:after="0" w:line="86" w:lineRule="exact"/>
        <w:rPr>
          <w:sz w:val="20"/>
          <w:szCs w:val="20"/>
          <w:color w:val="auto"/>
        </w:rPr>
      </w:pPr>
    </w:p>
    <w:p>
      <w:pPr>
        <w:ind w:left="360" w:right="120" w:hanging="323"/>
        <w:spacing w:after="0" w:line="290" w:lineRule="auto"/>
        <w:rPr>
          <w:sz w:val="20"/>
          <w:szCs w:val="20"/>
          <w:color w:val="auto"/>
        </w:rPr>
      </w:pPr>
      <w:r>
        <w:rPr>
          <w:rFonts w:ascii="Times New Roman" w:cs="Times New Roman" w:eastAsia="Times New Roman" w:hAnsi="Times New Roman"/>
          <w:sz w:val="16"/>
          <w:szCs w:val="16"/>
          <w:color w:val="auto"/>
        </w:rPr>
        <w:t>Long-term investments (including $50,000 and $20,000 associated with a related party as of March 31, 2025 and December 31, 2024, respectively)</w:t>
      </w:r>
    </w:p>
    <w:p>
      <w:pPr>
        <w:spacing w:after="0" w:line="20" w:lineRule="exact"/>
        <w:rPr>
          <w:sz w:val="20"/>
          <w:szCs w:val="20"/>
          <w:color w:val="auto"/>
        </w:rPr>
      </w:pPr>
      <w:r>
        <w:rPr>
          <w:sz w:val="20"/>
          <w:szCs w:val="20"/>
          <w:color w:val="auto"/>
        </w:rPr>
        <w:br w:type="column"/>
      </w: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471,407</w:t>
      </w:r>
      <w:r>
        <w:rPr>
          <w:sz w:val="20"/>
          <w:szCs w:val="20"/>
          <w:color w:val="auto"/>
        </w:rPr>
        <w:tab/>
      </w:r>
      <w:r>
        <w:rPr>
          <w:rFonts w:ascii="Times New Roman" w:cs="Times New Roman" w:eastAsia="Times New Roman" w:hAnsi="Times New Roman"/>
          <w:sz w:val="17"/>
          <w:szCs w:val="17"/>
          <w:color w:val="auto"/>
        </w:rPr>
        <w:t>407,774</w:t>
      </w:r>
    </w:p>
    <w:p>
      <w:pPr>
        <w:spacing w:after="0" w:line="75" w:lineRule="exact"/>
        <w:rPr>
          <w:sz w:val="20"/>
          <w:szCs w:val="20"/>
          <w:color w:val="auto"/>
        </w:rPr>
      </w:pPr>
    </w:p>
    <w:p>
      <w:pPr>
        <w:ind w:left="220"/>
        <w:spacing w:after="0"/>
        <w:tabs>
          <w:tab w:leader="none" w:pos="1540" w:val="left"/>
        </w:tabs>
        <w:rPr>
          <w:sz w:val="20"/>
          <w:szCs w:val="20"/>
          <w:color w:val="auto"/>
        </w:rPr>
      </w:pPr>
      <w:r>
        <w:rPr>
          <w:rFonts w:ascii="Times New Roman" w:cs="Times New Roman" w:eastAsia="Times New Roman" w:hAnsi="Times New Roman"/>
          <w:sz w:val="17"/>
          <w:szCs w:val="17"/>
          <w:color w:val="auto"/>
        </w:rPr>
        <w:t>51,482</w:t>
      </w:r>
      <w:r>
        <w:rPr>
          <w:sz w:val="20"/>
          <w:szCs w:val="20"/>
          <w:color w:val="auto"/>
        </w:rPr>
        <w:tab/>
      </w:r>
      <w:r>
        <w:rPr>
          <w:rFonts w:ascii="Times New Roman" w:cs="Times New Roman" w:eastAsia="Times New Roman" w:hAnsi="Times New Roman"/>
          <w:sz w:val="17"/>
          <w:szCs w:val="17"/>
          <w:color w:val="auto"/>
        </w:rPr>
        <w:t>52,951</w:t>
      </w:r>
    </w:p>
    <w:p>
      <w:pPr>
        <w:spacing w:after="0" w:line="169"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199,135</w:t>
      </w:r>
      <w:r>
        <w:rPr>
          <w:sz w:val="20"/>
          <w:szCs w:val="20"/>
          <w:color w:val="auto"/>
        </w:rPr>
        <w:tab/>
      </w:r>
      <w:r>
        <w:rPr>
          <w:rFonts w:ascii="Times New Roman" w:cs="Times New Roman" w:eastAsia="Times New Roman" w:hAnsi="Times New Roman"/>
          <w:sz w:val="17"/>
          <w:szCs w:val="17"/>
          <w:color w:val="auto"/>
        </w:rPr>
        <w:t>270,218</w:t>
      </w:r>
    </w:p>
    <w:p>
      <w:pPr>
        <w:spacing w:after="0" w:line="18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4,423,257</w:t>
      </w:r>
      <w:r>
        <w:rPr>
          <w:sz w:val="20"/>
          <w:szCs w:val="20"/>
          <w:color w:val="auto"/>
        </w:rPr>
        <w:tab/>
      </w:r>
      <w:r>
        <w:rPr>
          <w:rFonts w:ascii="Times New Roman" w:cs="Times New Roman" w:eastAsia="Times New Roman" w:hAnsi="Times New Roman"/>
          <w:sz w:val="17"/>
          <w:szCs w:val="17"/>
          <w:color w:val="auto"/>
        </w:rPr>
        <w:t>4,873,936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43815</wp:posOffset>
            </wp:positionV>
            <wp:extent cx="1663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3,322,275</w:t>
      </w:r>
      <w:r>
        <w:rPr>
          <w:sz w:val="20"/>
          <w:szCs w:val="20"/>
          <w:color w:val="auto"/>
        </w:rPr>
        <w:tab/>
      </w:r>
      <w:r>
        <w:rPr>
          <w:rFonts w:ascii="Times New Roman" w:cs="Times New Roman" w:eastAsia="Times New Roman" w:hAnsi="Times New Roman"/>
          <w:sz w:val="17"/>
          <w:szCs w:val="17"/>
          <w:color w:val="auto"/>
        </w:rPr>
        <w:t>3,262,612</w:t>
      </w:r>
    </w:p>
    <w:p>
      <w:pPr>
        <w:spacing w:after="0" w:line="75"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230,780</w:t>
      </w:r>
      <w:r>
        <w:rPr>
          <w:sz w:val="20"/>
          <w:szCs w:val="20"/>
          <w:color w:val="auto"/>
        </w:rPr>
        <w:tab/>
      </w:r>
      <w:r>
        <w:rPr>
          <w:rFonts w:ascii="Times New Roman" w:cs="Times New Roman" w:eastAsia="Times New Roman" w:hAnsi="Times New Roman"/>
          <w:sz w:val="17"/>
          <w:szCs w:val="17"/>
          <w:color w:val="auto"/>
        </w:rPr>
        <w:t>211,886</w:t>
      </w:r>
    </w:p>
    <w:p>
      <w:pPr>
        <w:spacing w:after="0" w:line="169" w:lineRule="exact"/>
        <w:rPr>
          <w:sz w:val="20"/>
          <w:szCs w:val="20"/>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auto"/>
        </w:rPr>
        <w:t>921,588</w:t>
      </w:r>
      <w:r>
        <w:rPr>
          <w:sz w:val="20"/>
          <w:szCs w:val="20"/>
          <w:color w:val="auto"/>
        </w:rPr>
        <w:tab/>
      </w:r>
      <w:r>
        <w:rPr>
          <w:rFonts w:ascii="Times New Roman" w:cs="Times New Roman" w:eastAsia="Times New Roman" w:hAnsi="Times New Roman"/>
          <w:sz w:val="17"/>
          <w:szCs w:val="17"/>
          <w:color w:val="auto"/>
        </w:rPr>
        <w:t>1,012,223</w:t>
      </w:r>
    </w:p>
    <w:p>
      <w:pPr>
        <w:spacing w:after="0" w:line="163" w:lineRule="exact"/>
        <w:rPr>
          <w:sz w:val="20"/>
          <w:szCs w:val="20"/>
          <w:color w:val="auto"/>
        </w:rPr>
      </w:pPr>
    </w:p>
    <w:p>
      <w:pPr>
        <w:sectPr>
          <w:pgSz w:w="11900" w:h="16838" w:orient="portrait"/>
          <w:cols w:equalWidth="0" w:num="2">
            <w:col w:w="8420" w:space="720"/>
            <w:col w:w="2100"/>
          </w:cols>
          <w:pgMar w:left="320" w:top="532" w:right="339" w:bottom="601"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assets</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294,500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249,443</w:t>
            </w:r>
          </w:p>
        </w:tc>
        <w:tc>
          <w:tcPr>
            <w:tcW w:w="0" w:type="dxa"/>
            <w:vAlign w:val="bottom"/>
          </w:tcPr>
          <w:p>
            <w:pPr>
              <w:spacing w:after="0"/>
              <w:rPr>
                <w:sz w:val="1"/>
                <w:szCs w:val="1"/>
                <w:color w:val="auto"/>
              </w:rPr>
            </w:pPr>
          </w:p>
        </w:tc>
      </w:tr>
      <w:tr>
        <w:trPr>
          <w:trHeight w:val="227"/>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 in equity securities of a related party</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25,569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37,831</w:t>
            </w:r>
          </w:p>
        </w:tc>
        <w:tc>
          <w:tcPr>
            <w:tcW w:w="0" w:type="dxa"/>
            <w:vAlign w:val="bottom"/>
          </w:tcPr>
          <w:p>
            <w:pPr>
              <w:spacing w:after="0"/>
              <w:rPr>
                <w:sz w:val="1"/>
                <w:szCs w:val="1"/>
                <w:color w:val="auto"/>
              </w:rPr>
            </w:pPr>
          </w:p>
        </w:tc>
      </w:tr>
      <w:tr>
        <w:trPr>
          <w:trHeight w:val="43"/>
        </w:trPr>
        <w:tc>
          <w:tcPr>
            <w:tcW w:w="86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9,217,969</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9,647,931</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3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133,832</w:t>
            </w:r>
          </w:p>
        </w:tc>
        <w:tc>
          <w:tcPr>
            <w:tcW w:w="0" w:type="dxa"/>
            <w:vAlign w:val="bottom"/>
          </w:tcPr>
          <w:p>
            <w:pPr>
              <w:spacing w:after="0"/>
              <w:rPr>
                <w:sz w:val="1"/>
                <w:szCs w:val="1"/>
                <w:color w:val="auto"/>
              </w:rPr>
            </w:pP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 liabilities, current portion</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w:t>
            </w:r>
          </w:p>
        </w:tc>
        <w:tc>
          <w:tcPr>
            <w:tcW w:w="0" w:type="dxa"/>
            <w:vAlign w:val="bottom"/>
          </w:tcPr>
          <w:p>
            <w:pPr>
              <w:spacing w:after="0"/>
              <w:rPr>
                <w:sz w:val="1"/>
                <w:szCs w:val="1"/>
                <w:color w:val="auto"/>
              </w:rPr>
            </w:pPr>
          </w:p>
        </w:tc>
      </w:tr>
      <w:tr>
        <w:trPr>
          <w:trHeight w:val="43"/>
        </w:trPr>
        <w:tc>
          <w:tcPr>
            <w:tcW w:w="8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 (including $193,277 and $126,417 associated with related parties as of March 31, 2025 and</w:t>
            </w:r>
          </w:p>
        </w:tc>
        <w:tc>
          <w:tcPr>
            <w:tcW w:w="320" w:type="dxa"/>
            <w:vAlign w:val="bottom"/>
            <w:shd w:val="clear" w:color="auto" w:fill="CCEEFF"/>
          </w:tcPr>
          <w:p>
            <w:pPr>
              <w:spacing w:after="0"/>
              <w:rPr>
                <w:sz w:val="18"/>
                <w:szCs w:val="18"/>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1,203,235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1,024,671</w:t>
            </w:r>
          </w:p>
        </w:tc>
        <w:tc>
          <w:tcPr>
            <w:tcW w:w="0" w:type="dxa"/>
            <w:vAlign w:val="bottom"/>
          </w:tcPr>
          <w:p>
            <w:pPr>
              <w:spacing w:after="0"/>
              <w:rPr>
                <w:sz w:val="1"/>
                <w:szCs w:val="1"/>
                <w:color w:val="auto"/>
              </w:rPr>
            </w:pPr>
          </w:p>
        </w:tc>
      </w:tr>
      <w:tr>
        <w:trPr>
          <w:trHeight w:val="106"/>
        </w:trPr>
        <w:tc>
          <w:tcPr>
            <w:tcW w:w="8620" w:type="dxa"/>
            <w:vAlign w:val="bottom"/>
            <w:vMerge w:val="restart"/>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320" w:type="dxa"/>
            <w:vAlign w:val="bottom"/>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9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8620" w:type="dxa"/>
            <w:vAlign w:val="bottom"/>
            <w:tcBorders>
              <w:bottom w:val="single" w:sz="8" w:color="CCEEFF"/>
            </w:tcBorders>
            <w:vMerge w:val="continue"/>
            <w:shd w:val="clear" w:color="auto" w:fill="CCEEFF"/>
          </w:tcPr>
          <w:p>
            <w:pPr>
              <w:spacing w:after="0"/>
              <w:rPr>
                <w:sz w:val="11"/>
                <w:szCs w:val="11"/>
                <w:color w:val="auto"/>
              </w:rPr>
            </w:pPr>
          </w:p>
        </w:tc>
        <w:tc>
          <w:tcPr>
            <w:tcW w:w="320" w:type="dxa"/>
            <w:vAlign w:val="bottom"/>
            <w:tcBorders>
              <w:bottom w:val="single" w:sz="8" w:color="CCEEFF"/>
            </w:tcBorders>
            <w:shd w:val="clear" w:color="auto" w:fill="CCEEFF"/>
          </w:tcPr>
          <w:p>
            <w:pPr>
              <w:spacing w:after="0"/>
              <w:rPr>
                <w:sz w:val="11"/>
                <w:szCs w:val="11"/>
                <w:color w:val="auto"/>
              </w:rPr>
            </w:pPr>
          </w:p>
        </w:tc>
        <w:tc>
          <w:tcPr>
            <w:tcW w:w="9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8620" w:type="dxa"/>
            <w:vAlign w:val="bottom"/>
          </w:tcPr>
          <w:p>
            <w:pPr>
              <w:ind w:left="6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1,331,474</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1,165,291</w:t>
            </w:r>
          </w:p>
        </w:tc>
        <w:tc>
          <w:tcPr>
            <w:tcW w:w="0" w:type="dxa"/>
            <w:vAlign w:val="bottom"/>
          </w:tcPr>
          <w:p>
            <w:pPr>
              <w:spacing w:after="0"/>
              <w:rPr>
                <w:sz w:val="1"/>
                <w:szCs w:val="1"/>
                <w:color w:val="auto"/>
              </w:rPr>
            </w:pPr>
          </w:p>
        </w:tc>
      </w:tr>
      <w:tr>
        <w:trPr>
          <w:trHeight w:val="43"/>
        </w:trPr>
        <w:tc>
          <w:tcPr>
            <w:tcW w:w="8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net of current portion</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75,292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76,096</w:t>
            </w:r>
          </w:p>
        </w:tc>
        <w:tc>
          <w:tcPr>
            <w:tcW w:w="0" w:type="dxa"/>
            <w:vAlign w:val="bottom"/>
          </w:tcPr>
          <w:p>
            <w:pPr>
              <w:spacing w:after="0"/>
              <w:rPr>
                <w:sz w:val="1"/>
                <w:szCs w:val="1"/>
                <w:color w:val="auto"/>
              </w:rPr>
            </w:pPr>
          </w:p>
        </w:tc>
      </w:tr>
      <w:tr>
        <w:trPr>
          <w:trHeight w:val="228"/>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warrant liability</w:t>
            </w: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19,514</w:t>
            </w:r>
          </w:p>
        </w:tc>
        <w:tc>
          <w:tcPr>
            <w:tcW w:w="0" w:type="dxa"/>
            <w:vAlign w:val="bottom"/>
          </w:tcPr>
          <w:p>
            <w:pPr>
              <w:spacing w:after="0"/>
              <w:rPr>
                <w:sz w:val="1"/>
                <w:szCs w:val="1"/>
                <w:color w:val="auto"/>
              </w:rPr>
            </w:pPr>
          </w:p>
        </w:tc>
      </w:tr>
      <w:tr>
        <w:trPr>
          <w:trHeight w:val="42"/>
        </w:trPr>
        <w:tc>
          <w:tcPr>
            <w:tcW w:w="8620" w:type="dxa"/>
            <w:vAlign w:val="bottom"/>
          </w:tcPr>
          <w:p>
            <w:pPr>
              <w:spacing w:after="0"/>
              <w:rPr>
                <w:sz w:val="3"/>
                <w:szCs w:val="3"/>
                <w:color w:val="auto"/>
              </w:rPr>
            </w:pPr>
          </w:p>
        </w:tc>
        <w:tc>
          <w:tcPr>
            <w:tcW w:w="3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2,003,461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2,002,151</w:t>
            </w:r>
          </w:p>
        </w:tc>
        <w:tc>
          <w:tcPr>
            <w:tcW w:w="0" w:type="dxa"/>
            <w:vAlign w:val="bottom"/>
          </w:tcPr>
          <w:p>
            <w:pPr>
              <w:spacing w:after="0"/>
              <w:rPr>
                <w:sz w:val="1"/>
                <w:szCs w:val="1"/>
                <w:color w:val="auto"/>
              </w:rPr>
            </w:pPr>
          </w:p>
        </w:tc>
      </w:tr>
      <w:tr>
        <w:trPr>
          <w:trHeight w:val="216"/>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long-term liabilities (including $122,018 and $121,136 associated with related parties as of March 31, 2025 and</w:t>
            </w:r>
          </w:p>
        </w:tc>
        <w:tc>
          <w:tcPr>
            <w:tcW w:w="320" w:type="dxa"/>
            <w:vAlign w:val="bottom"/>
          </w:tcPr>
          <w:p>
            <w:pPr>
              <w:spacing w:after="0"/>
              <w:rPr>
                <w:sz w:val="18"/>
                <w:szCs w:val="18"/>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594,922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572,800</w:t>
            </w:r>
          </w:p>
        </w:tc>
        <w:tc>
          <w:tcPr>
            <w:tcW w:w="0" w:type="dxa"/>
            <w:vAlign w:val="bottom"/>
          </w:tcPr>
          <w:p>
            <w:pPr>
              <w:spacing w:after="0"/>
              <w:rPr>
                <w:sz w:val="1"/>
                <w:szCs w:val="1"/>
                <w:color w:val="auto"/>
              </w:rPr>
            </w:pPr>
          </w:p>
        </w:tc>
      </w:tr>
      <w:tr>
        <w:trPr>
          <w:trHeight w:val="106"/>
        </w:trPr>
        <w:tc>
          <w:tcPr>
            <w:tcW w:w="86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December 31, 2024, respectively)</w:t>
            </w:r>
          </w:p>
        </w:tc>
        <w:tc>
          <w:tcPr>
            <w:tcW w:w="32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862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532" w:right="339" w:bottom="601" w:gutter="0" w:footer="0" w:header="0"/>
          <w:type w:val="continuous"/>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Derivative liabilities associated with redeemable convertible preferred stock (related party)</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1323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132320" cy="548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548640"/>
                    </a:xfrm>
                    <a:prstGeom prst="rect">
                      <a:avLst/>
                    </a:prstGeom>
                    <a:noFill/>
                  </pic:spPr>
                </pic:pic>
              </a:graphicData>
            </a:graphic>
          </wp:anchor>
        </w:drawing>
      </w:r>
    </w:p>
    <w:p>
      <w:pPr>
        <w:spacing w:after="0" w:line="55" w:lineRule="exact"/>
        <w:rPr>
          <w:sz w:val="20"/>
          <w:szCs w:val="20"/>
          <w:color w:val="auto"/>
        </w:rPr>
      </w:pPr>
    </w:p>
    <w:p>
      <w:pPr>
        <w:jc w:val="both"/>
        <w:ind w:left="360" w:right="220" w:hanging="323"/>
        <w:spacing w:after="0" w:line="275" w:lineRule="auto"/>
        <w:rPr>
          <w:sz w:val="20"/>
          <w:szCs w:val="20"/>
          <w:color w:val="auto"/>
        </w:rPr>
      </w:pPr>
      <w:r>
        <w:rPr>
          <w:rFonts w:ascii="Times New Roman" w:cs="Times New Roman" w:eastAsia="Times New Roman" w:hAnsi="Times New Roman"/>
          <w:sz w:val="16"/>
          <w:szCs w:val="16"/>
          <w:color w:val="auto"/>
        </w:rPr>
        <w:t>Preferred stock 10,000,000 shares authorized as of March 31, 2025 and December 31, 2024, Series A redeemable convertible preferred stock, par value $0.0001; 100,000 shares issued and outstanding as of March 31, 2025 and December 31, 2024; liquidation preference of $1,187,417 and $1,138,825 as of March 31, 2025 and December 31, 2024, respectively (related party)</w:t>
      </w:r>
    </w:p>
    <w:p>
      <w:pPr>
        <w:spacing w:after="0" w:line="21" w:lineRule="exact"/>
        <w:rPr>
          <w:sz w:val="20"/>
          <w:szCs w:val="20"/>
          <w:color w:val="auto"/>
        </w:rPr>
      </w:pPr>
    </w:p>
    <w:p>
      <w:pPr>
        <w:ind w:left="360" w:right="60" w:hanging="323"/>
        <w:spacing w:after="0" w:line="281" w:lineRule="auto"/>
        <w:rPr>
          <w:sz w:val="20"/>
          <w:szCs w:val="20"/>
          <w:color w:val="auto"/>
        </w:rPr>
      </w:pPr>
      <w:r>
        <w:rPr>
          <w:rFonts w:ascii="Times New Roman" w:cs="Times New Roman" w:eastAsia="Times New Roman" w:hAnsi="Times New Roman"/>
          <w:sz w:val="16"/>
          <w:szCs w:val="16"/>
          <w:color w:val="auto"/>
        </w:rPr>
        <w:t>Preferred stock 10,000,000 shares authorized as of March 31, 2025 and December 31, 2024, Series B redeemable convertible preferred stock, par value $0.0001; 75,000 shares issued and outstanding as of March 31, 2025 and December 31, 2024; liquidation preference of $835,075 and $800,442 as of March 31, 2025 and December 31, 2024, respectively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357,725</w:t>
      </w:r>
      <w:r>
        <w:rPr>
          <w:sz w:val="20"/>
          <w:szCs w:val="20"/>
          <w:color w:val="auto"/>
        </w:rPr>
        <w:tab/>
      </w:r>
      <w:r>
        <w:rPr>
          <w:rFonts w:ascii="Times New Roman" w:cs="Times New Roman" w:eastAsia="Times New Roman" w:hAnsi="Times New Roman"/>
          <w:sz w:val="17"/>
          <w:szCs w:val="17"/>
          <w:color w:val="auto"/>
        </w:rPr>
        <w:t>639,425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-328930</wp:posOffset>
            </wp:positionH>
            <wp:positionV relativeFrom="paragraph">
              <wp:posOffset>43815</wp:posOffset>
            </wp:positionV>
            <wp:extent cx="1663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8"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4,369,527</w:t>
      </w:r>
      <w:r>
        <w:rPr>
          <w:sz w:val="20"/>
          <w:szCs w:val="20"/>
          <w:color w:val="auto"/>
        </w:rPr>
        <w:tab/>
      </w:r>
      <w:r>
        <w:rPr>
          <w:rFonts w:ascii="Times New Roman" w:cs="Times New Roman" w:eastAsia="Times New Roman" w:hAnsi="Times New Roman"/>
          <w:sz w:val="17"/>
          <w:szCs w:val="17"/>
          <w:color w:val="auto"/>
        </w:rPr>
        <w:t>4,475,277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955,317</w:t>
      </w:r>
      <w:r>
        <w:rPr>
          <w:sz w:val="20"/>
          <w:szCs w:val="20"/>
          <w:color w:val="auto"/>
        </w:rPr>
        <w:tab/>
      </w:r>
      <w:r>
        <w:rPr>
          <w:rFonts w:ascii="Times New Roman" w:cs="Times New Roman" w:eastAsia="Times New Roman" w:hAnsi="Times New Roman"/>
          <w:sz w:val="17"/>
          <w:szCs w:val="17"/>
          <w:color w:val="auto"/>
        </w:rPr>
        <w:t>730,025</w:t>
      </w:r>
    </w:p>
    <w:p>
      <w:pPr>
        <w:spacing w:after="0" w:line="200" w:lineRule="exact"/>
        <w:rPr>
          <w:sz w:val="20"/>
          <w:szCs w:val="20"/>
          <w:color w:val="auto"/>
        </w:rPr>
      </w:pPr>
    </w:p>
    <w:p>
      <w:pPr>
        <w:spacing w:after="0" w:line="361"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7"/>
          <w:szCs w:val="17"/>
          <w:color w:val="auto"/>
        </w:rPr>
        <w:t>709,450</w:t>
      </w:r>
      <w:r>
        <w:rPr>
          <w:sz w:val="20"/>
          <w:szCs w:val="20"/>
          <w:color w:val="auto"/>
        </w:rPr>
        <w:tab/>
      </w:r>
      <w:r>
        <w:rPr>
          <w:rFonts w:ascii="Times New Roman" w:cs="Times New Roman" w:eastAsia="Times New Roman" w:hAnsi="Times New Roman"/>
          <w:sz w:val="17"/>
          <w:szCs w:val="17"/>
          <w:color w:val="auto"/>
        </w:rPr>
        <w:t>569,817</w:t>
      </w:r>
    </w:p>
    <w:p>
      <w:pPr>
        <w:spacing w:after="0" w:line="284" w:lineRule="exact"/>
        <w:rPr>
          <w:sz w:val="20"/>
          <w:szCs w:val="20"/>
          <w:color w:val="auto"/>
        </w:rPr>
      </w:pPr>
    </w:p>
    <w:p>
      <w:pPr>
        <w:sectPr>
          <w:pgSz w:w="11900" w:h="16838" w:orient="portrait"/>
          <w:cols w:equalWidth="0" w:num="2">
            <w:col w:w="8420" w:space="720"/>
            <w:col w:w="2100"/>
          </w:cols>
          <w:pgMar w:left="320" w:top="532" w:right="339" w:bottom="601" w:gutter="0" w:footer="0" w:header="0"/>
          <w:type w:val="continuous"/>
        </w:sectPr>
      </w:pPr>
    </w:p>
    <w:p>
      <w:pPr>
        <w:ind w:left="680"/>
        <w:spacing w:after="0"/>
        <w:rPr>
          <w:sz w:val="20"/>
          <w:szCs w:val="20"/>
          <w:color w:val="auto"/>
        </w:rPr>
      </w:pPr>
      <w:r>
        <w:rPr>
          <w:rFonts w:ascii="Times New Roman" w:cs="Times New Roman" w:eastAsia="Times New Roman" w:hAnsi="Times New Roman"/>
          <w:sz w:val="16"/>
          <w:szCs w:val="16"/>
          <w:color w:val="auto"/>
        </w:rPr>
        <w:t>Total redeemable convertible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p>
      <w:pPr>
        <w:spacing w:after="0" w:line="75" w:lineRule="exact"/>
        <w:rPr>
          <w:sz w:val="20"/>
          <w:szCs w:val="20"/>
          <w:color w:val="auto"/>
        </w:rPr>
      </w:pPr>
    </w:p>
    <w:p>
      <w:pPr>
        <w:ind w:left="360" w:right="200" w:hanging="323"/>
        <w:spacing w:after="0" w:line="281" w:lineRule="auto"/>
        <w:rPr>
          <w:sz w:val="20"/>
          <w:szCs w:val="20"/>
          <w:color w:val="auto"/>
        </w:rPr>
      </w:pPr>
      <w:r>
        <w:rPr>
          <w:rFonts w:ascii="Times New Roman" w:cs="Times New Roman" w:eastAsia="Times New Roman" w:hAnsi="Times New Roman"/>
          <w:sz w:val="16"/>
          <w:szCs w:val="16"/>
          <w:color w:val="auto"/>
        </w:rPr>
        <w:t>Common stock, par value $0.0001; 15,000,000,000 shares authorized as of March 31, 2025 and December 31, 2024; 3,049,658,556 and 3,032,219,724 shares issued and 3,048,800,731 and 3,031,361,899 shares outstanding as of March 31, 2025 and December 31, 2024, respectively</w:t>
      </w:r>
    </w:p>
    <w:p>
      <w:pPr>
        <w:spacing w:after="0" w:line="20" w:lineRule="exact"/>
        <w:rPr>
          <w:sz w:val="20"/>
          <w:szCs w:val="20"/>
          <w:color w:val="auto"/>
        </w:rPr>
      </w:pPr>
      <w:r>
        <w:rPr>
          <w:sz w:val="20"/>
          <w:szCs w:val="20"/>
          <w:color w:val="auto"/>
        </w:rPr>
        <w:br w:type="column"/>
      </w:r>
    </w:p>
    <w:p>
      <w:pPr>
        <w:spacing w:after="0"/>
        <w:tabs>
          <w:tab w:leader="none" w:pos="1320" w:val="left"/>
        </w:tabs>
        <w:rPr>
          <w:sz w:val="20"/>
          <w:szCs w:val="20"/>
          <w:color w:val="auto"/>
        </w:rPr>
      </w:pPr>
      <w:r>
        <w:rPr>
          <w:rFonts w:ascii="Times New Roman" w:cs="Times New Roman" w:eastAsia="Times New Roman" w:hAnsi="Times New Roman"/>
          <w:sz w:val="17"/>
          <w:szCs w:val="17"/>
          <w:color w:val="auto"/>
        </w:rPr>
        <w:t>1,664,767</w:t>
      </w:r>
      <w:r>
        <w:rPr>
          <w:sz w:val="20"/>
          <w:szCs w:val="20"/>
          <w:color w:val="auto"/>
        </w:rPr>
        <w:tab/>
      </w:r>
      <w:r>
        <w:rPr>
          <w:rFonts w:ascii="Times New Roman" w:cs="Times New Roman" w:eastAsia="Times New Roman" w:hAnsi="Times New Roman"/>
          <w:sz w:val="17"/>
          <w:szCs w:val="17"/>
          <w:color w:val="auto"/>
        </w:rPr>
        <w:t>1,299,842</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both"/>
        <w:ind w:left="420"/>
        <w:spacing w:after="0"/>
        <w:tabs>
          <w:tab w:leader="none" w:pos="1760" w:val="left"/>
        </w:tabs>
        <w:rPr>
          <w:sz w:val="20"/>
          <w:szCs w:val="20"/>
          <w:color w:val="auto"/>
        </w:rPr>
      </w:pPr>
      <w:r>
        <w:rPr>
          <w:rFonts w:ascii="Times New Roman" w:cs="Times New Roman" w:eastAsia="Times New Roman" w:hAnsi="Times New Roman"/>
          <w:sz w:val="17"/>
          <w:szCs w:val="17"/>
          <w:color w:val="auto"/>
        </w:rPr>
        <w:t>305</w:t>
      </w:r>
      <w:r>
        <w:rPr>
          <w:sz w:val="20"/>
          <w:szCs w:val="20"/>
          <w:color w:val="auto"/>
        </w:rPr>
        <w:tab/>
      </w:r>
      <w:r>
        <w:rPr>
          <w:rFonts w:ascii="Times New Roman" w:cs="Times New Roman" w:eastAsia="Times New Roman" w:hAnsi="Times New Roman"/>
          <w:sz w:val="17"/>
          <w:szCs w:val="17"/>
          <w:color w:val="auto"/>
        </w:rPr>
        <w:t>303</w:t>
      </w:r>
    </w:p>
    <w:p>
      <w:pPr>
        <w:spacing w:after="0" w:line="271" w:lineRule="exact"/>
        <w:rPr>
          <w:sz w:val="20"/>
          <w:szCs w:val="20"/>
          <w:color w:val="auto"/>
        </w:rPr>
      </w:pPr>
    </w:p>
    <w:p>
      <w:pPr>
        <w:sectPr>
          <w:pgSz w:w="11900" w:h="16838" w:orient="portrait"/>
          <w:cols w:equalWidth="0" w:num="2">
            <w:col w:w="8420" w:space="720"/>
            <w:col w:w="2100"/>
          </w:cols>
          <w:pgMar w:left="320" w:top="532" w:right="339" w:bottom="601"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16,477,601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16,808,018</w:t>
            </w:r>
          </w:p>
        </w:tc>
      </w:tr>
      <w:tr>
        <w:trPr>
          <w:trHeight w:val="228"/>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Treasury stock, at cost, 857,825 shares at March 31, 2025 and December 31, 2024</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(20,716)</w:t>
            </w:r>
          </w:p>
        </w:tc>
      </w:tr>
      <w:tr>
        <w:trPr>
          <w:trHeight w:val="42"/>
        </w:trPr>
        <w:tc>
          <w:tcPr>
            <w:tcW w:w="8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(2,099)</w:t>
            </w:r>
          </w:p>
        </w:tc>
      </w:tr>
      <w:tr>
        <w:trPr>
          <w:trHeight w:val="228"/>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(13,278,865)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(12,912,694)</w:t>
            </w:r>
          </w:p>
        </w:tc>
      </w:tr>
      <w:tr>
        <w:trPr>
          <w:trHeight w:val="43"/>
        </w:trPr>
        <w:tc>
          <w:tcPr>
            <w:tcW w:w="86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64"/>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3,183,675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3,872,812</w:t>
            </w:r>
          </w:p>
        </w:tc>
      </w:tr>
      <w:tr>
        <w:trPr>
          <w:trHeight w:val="221"/>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REDEEMABLE CONVERTIBLE PREFERRED STOCK AND STOCKHOLDERS’ EQUITY</w:t>
            </w:r>
          </w:p>
        </w:tc>
        <w:tc>
          <w:tcPr>
            <w:tcW w:w="24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9,217,969</w:t>
            </w:r>
          </w:p>
        </w:tc>
        <w:tc>
          <w:tcPr>
            <w:tcW w:w="100" w:type="dxa"/>
            <w:vAlign w:val="bottom"/>
          </w:tcPr>
          <w:p>
            <w:pPr>
              <w:spacing w:after="0"/>
              <w:rPr>
                <w:sz w:val="19"/>
                <w:szCs w:val="19"/>
                <w:color w:val="auto"/>
              </w:rPr>
            </w:pPr>
          </w:p>
        </w:tc>
        <w:tc>
          <w:tcPr>
            <w:tcW w:w="2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9,647,931</w:t>
            </w:r>
          </w:p>
        </w:tc>
      </w:tr>
      <w:tr>
        <w:trPr>
          <w:trHeight w:val="43"/>
        </w:trPr>
        <w:tc>
          <w:tcPr>
            <w:tcW w:w="86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1"/>
        </w:trPr>
        <w:tc>
          <w:tcPr>
            <w:tcW w:w="8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sectPr>
          <w:pgSz w:w="11900" w:h="16838" w:orient="portrait"/>
          <w:cols w:equalWidth="0" w:num="1">
            <w:col w:w="11240"/>
          </w:cols>
          <w:pgMar w:left="320" w:top="532" w:right="339" w:bottom="601"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532" w:right="339" w:bottom="601" w:gutter="0" w:footer="0" w:header="0"/>
          <w:type w:val="continuous"/>
        </w:sectPr>
      </w:pPr>
    </w:p>
    <w:bookmarkStart w:id="8" w:name="page9"/>
    <w:bookmarkEnd w:id="8"/>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8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(including $5,096 and $51,366 from a related party for the three months ended March 31, 2025 and 2024,</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235,048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172,740</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Costs and expenses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Cost of revenue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463,560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404,796</w:t>
            </w:r>
          </w:p>
        </w:tc>
        <w:tc>
          <w:tcPr>
            <w:tcW w:w="0" w:type="dxa"/>
            <w:vAlign w:val="bottom"/>
          </w:tcPr>
          <w:p>
            <w:pPr>
              <w:spacing w:after="0"/>
              <w:rPr>
                <w:sz w:val="1"/>
                <w:szCs w:val="1"/>
                <w:color w:val="auto"/>
              </w:rPr>
            </w:pPr>
          </w:p>
        </w:tc>
      </w:tr>
      <w:tr>
        <w:trPr>
          <w:trHeight w:val="43"/>
        </w:trPr>
        <w:tc>
          <w:tcPr>
            <w:tcW w:w="8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251,246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284,627</w:t>
            </w:r>
          </w:p>
        </w:tc>
        <w:tc>
          <w:tcPr>
            <w:tcW w:w="0" w:type="dxa"/>
            <w:vAlign w:val="bottom"/>
          </w:tcPr>
          <w:p>
            <w:pPr>
              <w:spacing w:after="0"/>
              <w:rPr>
                <w:sz w:val="1"/>
                <w:szCs w:val="1"/>
                <w:color w:val="auto"/>
              </w:rPr>
            </w:pPr>
          </w:p>
        </w:tc>
      </w:tr>
      <w:tr>
        <w:trPr>
          <w:trHeight w:val="227"/>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212,175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213,232</w:t>
            </w:r>
          </w:p>
        </w:tc>
        <w:tc>
          <w:tcPr>
            <w:tcW w:w="0" w:type="dxa"/>
            <w:vAlign w:val="bottom"/>
          </w:tcPr>
          <w:p>
            <w:pPr>
              <w:spacing w:after="0"/>
              <w:rPr>
                <w:sz w:val="1"/>
                <w:szCs w:val="1"/>
                <w:color w:val="auto"/>
              </w:rPr>
            </w:pPr>
          </w:p>
        </w:tc>
      </w:tr>
      <w:tr>
        <w:trPr>
          <w:trHeight w:val="43"/>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86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cost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926,981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902,655</w:t>
            </w:r>
          </w:p>
        </w:tc>
        <w:tc>
          <w:tcPr>
            <w:tcW w:w="0" w:type="dxa"/>
            <w:vAlign w:val="bottom"/>
          </w:tcPr>
          <w:p>
            <w:pPr>
              <w:spacing w:after="0"/>
              <w:rPr>
                <w:sz w:val="1"/>
                <w:szCs w:val="1"/>
                <w:color w:val="auto"/>
              </w:rPr>
            </w:pPr>
          </w:p>
        </w:tc>
      </w:tr>
      <w:tr>
        <w:trPr>
          <w:trHeight w:val="250"/>
        </w:trPr>
        <w:tc>
          <w:tcPr>
            <w:tcW w:w="86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(691,933)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(729,915)</w:t>
            </w:r>
          </w:p>
        </w:tc>
        <w:tc>
          <w:tcPr>
            <w:tcW w:w="0" w:type="dxa"/>
            <w:vAlign w:val="bottom"/>
          </w:tcPr>
          <w:p>
            <w:pPr>
              <w:spacing w:after="0"/>
              <w:rPr>
                <w:sz w:val="1"/>
                <w:szCs w:val="1"/>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27,054</w:t>
            </w:r>
          </w:p>
        </w:tc>
        <w:tc>
          <w:tcPr>
            <w:tcW w:w="0" w:type="dxa"/>
            <w:vAlign w:val="bottom"/>
          </w:tcPr>
          <w:p>
            <w:pPr>
              <w:spacing w:after="0"/>
              <w:rPr>
                <w:sz w:val="1"/>
                <w:szCs w:val="1"/>
                <w:color w:val="auto"/>
              </w:rPr>
            </w:pPr>
          </w:p>
        </w:tc>
      </w:tr>
      <w:tr>
        <w:trPr>
          <w:trHeight w:val="43"/>
        </w:trPr>
        <w:tc>
          <w:tcPr>
            <w:tcW w:w="8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(19,933)</w:t>
            </w:r>
          </w:p>
        </w:tc>
        <w:tc>
          <w:tcPr>
            <w:tcW w:w="0" w:type="dxa"/>
            <w:vAlign w:val="bottom"/>
          </w:tcPr>
          <w:p>
            <w:pPr>
              <w:spacing w:after="0"/>
              <w:rPr>
                <w:sz w:val="1"/>
                <w:szCs w:val="1"/>
                <w:color w:val="auto"/>
              </w:rPr>
            </w:pPr>
          </w:p>
        </w:tc>
      </w:tr>
      <w:tr>
        <w:trPr>
          <w:trHeight w:val="227"/>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8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50,631</w:t>
            </w:r>
          </w:p>
        </w:tc>
        <w:tc>
          <w:tcPr>
            <w:tcW w:w="0" w:type="dxa"/>
            <w:vAlign w:val="bottom"/>
          </w:tcPr>
          <w:p>
            <w:pPr>
              <w:spacing w:after="0"/>
              <w:rPr>
                <w:sz w:val="1"/>
                <w:szCs w:val="1"/>
                <w:color w:val="auto"/>
              </w:rPr>
            </w:pPr>
          </w:p>
        </w:tc>
      </w:tr>
      <w:tr>
        <w:trPr>
          <w:trHeight w:val="221"/>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expense (including $3,700 and $1,381 to a related party for the three months ended March 31, 2025 and 2024,</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(7,501)</w:t>
            </w:r>
          </w:p>
        </w:tc>
        <w:tc>
          <w:tcPr>
            <w:tcW w:w="0" w:type="dxa"/>
            <w:vAlign w:val="bottom"/>
          </w:tcPr>
          <w:p>
            <w:pPr>
              <w:spacing w:after="0"/>
              <w:rPr>
                <w:sz w:val="1"/>
                <w:szCs w:val="1"/>
                <w:color w:val="auto"/>
              </w:rPr>
            </w:pPr>
          </w:p>
        </w:tc>
      </w:tr>
      <w:tr>
        <w:trPr>
          <w:trHeight w:val="43"/>
        </w:trPr>
        <w:tc>
          <w:tcPr>
            <w:tcW w:w="8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2,965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0" w:type="dxa"/>
            <w:vAlign w:val="bottom"/>
          </w:tcPr>
          <w:p>
            <w:pPr>
              <w:spacing w:after="0"/>
              <w:rPr>
                <w:sz w:val="1"/>
                <w:szCs w:val="1"/>
                <w:color w:val="auto"/>
              </w:rPr>
            </w:pPr>
          </w:p>
        </w:tc>
      </w:tr>
      <w:tr>
        <w:trPr>
          <w:trHeight w:val="221"/>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other income, net</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324,399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49,244</w:t>
            </w:r>
          </w:p>
        </w:tc>
        <w:tc>
          <w:tcPr>
            <w:tcW w:w="0" w:type="dxa"/>
            <w:vAlign w:val="bottom"/>
          </w:tcPr>
          <w:p>
            <w:pPr>
              <w:spacing w:after="0"/>
              <w:rPr>
                <w:sz w:val="1"/>
                <w:szCs w:val="1"/>
                <w:color w:val="auto"/>
              </w:rPr>
            </w:pPr>
          </w:p>
        </w:tc>
      </w:tr>
      <w:tr>
        <w:trPr>
          <w:trHeight w:val="43"/>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provision for (benefit from)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(367,534)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(680,671)</w:t>
            </w:r>
          </w:p>
        </w:tc>
        <w:tc>
          <w:tcPr>
            <w:tcW w:w="0" w:type="dxa"/>
            <w:vAlign w:val="bottom"/>
          </w:tcPr>
          <w:p>
            <w:pPr>
              <w:spacing w:after="0"/>
              <w:rPr>
                <w:sz w:val="1"/>
                <w:szCs w:val="1"/>
                <w:color w:val="auto"/>
              </w:rPr>
            </w:pPr>
          </w:p>
        </w:tc>
      </w:tr>
      <w:tr>
        <w:trPr>
          <w:trHeight w:val="228"/>
        </w:trPr>
        <w:tc>
          <w:tcPr>
            <w:tcW w:w="8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42"/>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(366,171)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(680,859)</w:t>
            </w:r>
          </w:p>
        </w:tc>
        <w:tc>
          <w:tcPr>
            <w:tcW w:w="0" w:type="dxa"/>
            <w:vAlign w:val="bottom"/>
          </w:tcPr>
          <w:p>
            <w:pPr>
              <w:spacing w:after="0"/>
              <w:rPr>
                <w:sz w:val="1"/>
                <w:szCs w:val="1"/>
                <w:color w:val="auto"/>
              </w:rPr>
            </w:pPr>
          </w:p>
        </w:tc>
      </w:tr>
      <w:tr>
        <w:trPr>
          <w:trHeight w:val="228"/>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43"/>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(731,096)</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(684,760)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shares outstanding attributable to common stockholders, 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3,036,317,307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2,301,870,644</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attributable to common stockholders, basic and diluted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(0.30)</w:t>
            </w:r>
          </w:p>
        </w:tc>
        <w:tc>
          <w:tcPr>
            <w:tcW w:w="0" w:type="dxa"/>
            <w:vAlign w:val="bottom"/>
          </w:tcPr>
          <w:p>
            <w:pPr>
              <w:spacing w:after="0"/>
              <w:rPr>
                <w:sz w:val="1"/>
                <w:szCs w:val="1"/>
                <w:color w:val="auto"/>
              </w:rPr>
            </w:pPr>
          </w:p>
        </w:tc>
      </w:tr>
      <w:tr>
        <w:trPr>
          <w:trHeight w:val="270"/>
        </w:trPr>
        <w:tc>
          <w:tcPr>
            <w:tcW w:w="8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b w:val="1"/>
                <w:bCs w:val="1"/>
                <w:color w:val="auto"/>
              </w:rPr>
              <w:t>Other comprehensive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unrealized gains (losses) on investments,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(3,262)</w:t>
            </w:r>
          </w:p>
        </w:tc>
        <w:tc>
          <w:tcPr>
            <w:tcW w:w="0" w:type="dxa"/>
            <w:vAlign w:val="bottom"/>
          </w:tcPr>
          <w:p>
            <w:pPr>
              <w:spacing w:after="0"/>
              <w:rPr>
                <w:sz w:val="1"/>
                <w:szCs w:val="1"/>
                <w:color w:val="auto"/>
              </w:rPr>
            </w:pPr>
          </w:p>
        </w:tc>
      </w:tr>
      <w:tr>
        <w:trPr>
          <w:trHeight w:val="43"/>
        </w:trPr>
        <w:tc>
          <w:tcPr>
            <w:tcW w:w="8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3,897</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(3,988)</w:t>
            </w:r>
          </w:p>
        </w:tc>
        <w:tc>
          <w:tcPr>
            <w:tcW w:w="0" w:type="dxa"/>
            <w:vAlign w:val="bottom"/>
          </w:tcPr>
          <w:p>
            <w:pPr>
              <w:spacing w:after="0"/>
              <w:rPr>
                <w:sz w:val="1"/>
                <w:szCs w:val="1"/>
                <w:color w:val="auto"/>
              </w:rPr>
            </w:pPr>
          </w:p>
        </w:tc>
      </w:tr>
      <w:tr>
        <w:trPr>
          <w:trHeight w:val="221"/>
        </w:trPr>
        <w:tc>
          <w:tcPr>
            <w:tcW w:w="86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Total other comprehensive income (loss)</w:t>
            </w: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7,449</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(7,250)</w:t>
            </w:r>
          </w:p>
        </w:tc>
        <w:tc>
          <w:tcPr>
            <w:tcW w:w="0" w:type="dxa"/>
            <w:vAlign w:val="bottom"/>
          </w:tcPr>
          <w:p>
            <w:pPr>
              <w:spacing w:after="0"/>
              <w:rPr>
                <w:sz w:val="1"/>
                <w:szCs w:val="1"/>
                <w:color w:val="auto"/>
              </w:rPr>
            </w:pPr>
          </w:p>
        </w:tc>
      </w:tr>
      <w:tr>
        <w:trPr>
          <w:trHeight w:val="43"/>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(358,722)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(688,109)</w:t>
            </w:r>
          </w:p>
        </w:tc>
        <w:tc>
          <w:tcPr>
            <w:tcW w:w="0" w:type="dxa"/>
            <w:vAlign w:val="bottom"/>
          </w:tcPr>
          <w:p>
            <w:pPr>
              <w:spacing w:after="0"/>
              <w:rPr>
                <w:sz w:val="1"/>
                <w:szCs w:val="1"/>
                <w:color w:val="auto"/>
              </w:rPr>
            </w:pPr>
          </w:p>
        </w:tc>
      </w:tr>
      <w:tr>
        <w:trPr>
          <w:trHeight w:val="228"/>
        </w:trPr>
        <w:tc>
          <w:tcPr>
            <w:tcW w:w="86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42"/>
        </w:trPr>
        <w:tc>
          <w:tcPr>
            <w:tcW w:w="8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2"/>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Comprehensive loss attributable to common stockholders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(723,647)</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(692,010)</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ind w:left="5580"/>
              <w:spacing w:after="0"/>
              <w:rPr>
                <w:sz w:val="20"/>
                <w:szCs w:val="20"/>
                <w:color w:val="auto"/>
              </w:rPr>
            </w:pPr>
            <w:r>
              <w:rPr>
                <w:rFonts w:ascii="Times New Roman" w:cs="Times New Roman" w:eastAsia="Times New Roman" w:hAnsi="Times New Roman"/>
                <w:sz w:val="16"/>
                <w:szCs w:val="16"/>
                <w:color w:val="auto"/>
              </w:rPr>
              <w:t>6</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86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2" w:right="339" w:bottom="1440" w:gutter="0" w:footer="0" w:header="0"/>
        </w:sectPr>
      </w:pPr>
    </w:p>
    <w:bookmarkStart w:id="9" w:name="page10"/>
    <w:bookmarkEnd w:id="9"/>
    <w:p>
      <w:pPr>
        <w:ind w:left="478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r>
        <w:rPr>
          <w:rFonts w:ascii="Times New Roman" w:cs="Times New Roman" w:eastAsia="Times New Roman" w:hAnsi="Times New Roman"/>
          <w:sz w:val="17"/>
          <w:szCs w:val="17"/>
          <w:color w:val="auto"/>
        </w:rPr>
        <w:t>)</w:t>
      </w:r>
    </w:p>
    <w:p>
      <w:pPr>
        <w:spacing w:after="0" w:line="54"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5469890</wp:posOffset>
            </wp:positionH>
            <wp:positionV relativeFrom="paragraph">
              <wp:posOffset>33020</wp:posOffset>
            </wp:positionV>
            <wp:extent cx="16459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8"/>
        </w:trPr>
        <w:tc>
          <w:tcPr>
            <w:tcW w:w="8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(366,171)</w:t>
            </w:r>
          </w:p>
        </w:tc>
        <w:tc>
          <w:tcPr>
            <w:tcW w:w="8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(680,859)</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97,959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68,838</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Amortization of insurance premium</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8,914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8,589</w:t>
            </w:r>
          </w:p>
        </w:tc>
      </w:tr>
      <w:tr>
        <w:trPr>
          <w:trHeight w:val="227"/>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Non-cash operating lease cost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7,469</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Stock-based compensation</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63,696</w:t>
            </w:r>
          </w:p>
        </w:tc>
      </w:tr>
      <w:tr>
        <w:trPr>
          <w:trHeight w:val="227"/>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 and firm purchase commitments write-downs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147,918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132,298</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(27,054)</w:t>
            </w:r>
          </w:p>
        </w:tc>
      </w:tr>
      <w:tr>
        <w:trPr>
          <w:trHeight w:val="227"/>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19,933</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accretion of investment discounts/premiums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(21,304)</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non-cash items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(1,255)</w:t>
            </w:r>
          </w:p>
        </w:tc>
      </w:tr>
      <w:tr>
        <w:trPr>
          <w:trHeight w:val="227"/>
        </w:trPr>
        <w:tc>
          <w:tcPr>
            <w:tcW w:w="8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1"/>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(including $4,116 and $(49,358) from a related party for the three months ended March 31, 2025 and</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5"/>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21,781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(75,196)</w:t>
            </w:r>
          </w:p>
        </w:tc>
      </w:tr>
      <w:tr>
        <w:trPr>
          <w:trHeight w:val="227"/>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Inventory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(206,470)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(21,002)</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Prepaid expenses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(11,042)</w:t>
            </w: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current assets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45,299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3,914</w:t>
            </w:r>
          </w:p>
        </w:tc>
      </w:tr>
      <w:tr>
        <w:trPr>
          <w:trHeight w:val="42"/>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(45,911)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w:t>
            </w: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Accounts payable</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(3,533)</w:t>
            </w:r>
          </w:p>
        </w:tc>
      </w:tr>
      <w:tr>
        <w:trPr>
          <w:trHeight w:val="42"/>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116,845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5,107</w:t>
            </w: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14,827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19,025</w:t>
            </w:r>
          </w:p>
        </w:tc>
      </w:tr>
      <w:tr>
        <w:trPr>
          <w:trHeight w:val="42"/>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64"/>
        </w:trPr>
        <w:tc>
          <w:tcPr>
            <w:tcW w:w="86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(428,613)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(516,745)</w:t>
            </w:r>
          </w:p>
        </w:tc>
      </w:tr>
      <w:tr>
        <w:trPr>
          <w:trHeight w:val="208"/>
        </w:trPr>
        <w:tc>
          <w:tcPr>
            <w:tcW w:w="862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21"/>
        </w:trPr>
        <w:tc>
          <w:tcPr>
            <w:tcW w:w="8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Purchases of property, plant and equipment (including $(41,993) and $(6,026) from a related party for the three months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45"/>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ended March 31, 2025 and 2024, respectively)</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(161,241)</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(198,197)</w:t>
            </w:r>
          </w:p>
        </w:tc>
      </w:tr>
      <w:tr>
        <w:trPr>
          <w:trHeight w:val="221"/>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Purchases of investments (including $(30,000) and nil from a related party for the three months ended March 31, 2025</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2"/>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and 2024, respectively)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(287,029)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(514,548)</w:t>
            </w:r>
          </w:p>
        </w:tc>
      </w:tr>
      <w:tr>
        <w:trPr>
          <w:trHeight w:val="43"/>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maturities of investments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1,062,291</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1,030,291</w:t>
            </w:r>
          </w:p>
        </w:tc>
      </w:tr>
      <w:tr>
        <w:trPr>
          <w:trHeight w:val="221"/>
        </w:trPr>
        <w:tc>
          <w:tcPr>
            <w:tcW w:w="8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cash provided by investing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614,021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317,546</w:t>
            </w:r>
          </w:p>
        </w:tc>
      </w:tr>
      <w:tr>
        <w:trPr>
          <w:trHeight w:val="43"/>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30"/>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issuance of Series A redeemable convertible preferred stock to a related party</w:t>
            </w:r>
          </w:p>
        </w:tc>
        <w:tc>
          <w:tcPr>
            <w:tcW w:w="30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1,000,000</w:t>
            </w:r>
          </w:p>
        </w:tc>
      </w:tr>
      <w:tr>
        <w:trPr>
          <w:trHeight w:val="42"/>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finance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(1,081)</w:t>
            </w: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Proceeds from borrowings from a related party</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66,656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42"/>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1,525</w:t>
            </w:r>
          </w:p>
        </w:tc>
      </w:tr>
      <w:tr>
        <w:trPr>
          <w:trHeight w:val="228"/>
        </w:trPr>
        <w:tc>
          <w:tcPr>
            <w:tcW w:w="86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Tax withholding payments for net settlement of employee awards</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(3,242)</w:t>
            </w:r>
          </w:p>
        </w:tc>
      </w:tr>
      <w:tr>
        <w:trPr>
          <w:trHeight w:val="42"/>
        </w:trPr>
        <w:tc>
          <w:tcPr>
            <w:tcW w:w="8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70"/>
        </w:trPr>
        <w:tc>
          <w:tcPr>
            <w:tcW w:w="86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Payment for credit facility issuance costs to a related party</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6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62,731</w:t>
            </w:r>
          </w:p>
        </w:tc>
        <w:tc>
          <w:tcPr>
            <w:tcW w:w="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997,202</w:t>
            </w:r>
          </w:p>
        </w:tc>
      </w:tr>
      <w:tr>
        <w:trPr>
          <w:trHeight w:val="43"/>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44"/>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248,139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798,003</w:t>
            </w:r>
          </w:p>
        </w:tc>
      </w:tr>
      <w:tr>
        <w:trPr>
          <w:trHeight w:val="228"/>
        </w:trPr>
        <w:tc>
          <w:tcPr>
            <w:tcW w:w="8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Beginning cash, cash equivalents, and restricted cash</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1,607,052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1,371,507</w:t>
            </w:r>
          </w:p>
        </w:tc>
      </w:tr>
      <w:tr>
        <w:trPr>
          <w:trHeight w:val="43"/>
        </w:trPr>
        <w:tc>
          <w:tcPr>
            <w:tcW w:w="86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82"/>
        </w:trPr>
        <w:tc>
          <w:tcPr>
            <w:tcW w:w="8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Ending cash, cash equivalents, and restricted cash</w:t>
            </w: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1,855,191</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2,169,510</w:t>
            </w: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sectPr>
          <w:pgSz w:w="11900" w:h="16838" w:orient="portrait"/>
          <w:cols w:equalWidth="0" w:num="1">
            <w:col w:w="11200"/>
          </w:cols>
          <w:pgMar w:left="340" w:top="532" w:right="35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1900" w:h="16838" w:orient="portrait"/>
          <w:cols w:equalWidth="0" w:num="1">
            <w:col w:w="11200"/>
          </w:cols>
          <w:pgMar w:left="340" w:top="532" w:right="35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LUCID GROUP, INC.</w:t>
      </w:r>
    </w:p>
    <w:p>
      <w:pPr>
        <w:spacing w:after="0" w:line="31"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RECONCIL</w:t>
      </w:r>
      <w:r>
        <w:rPr>
          <w:rFonts w:ascii="Times New Roman" w:cs="Times New Roman" w:eastAsia="Times New Roman" w:hAnsi="Times New Roman"/>
          <w:sz w:val="17"/>
          <w:szCs w:val="17"/>
          <w:b w:val="1"/>
          <w:bCs w:val="1"/>
          <w:color w:val="auto"/>
        </w:rPr>
        <w:t>IATION OF GAAP TO NON-GAAP FINANCIAL MEASURES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Adjusted EBITDA</w:t>
      </w:r>
    </w:p>
    <w:p>
      <w:pPr>
        <w:spacing w:after="0" w:line="9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39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(731,096)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(684,760)</w:t>
            </w:r>
          </w:p>
        </w:tc>
        <w:tc>
          <w:tcPr>
            <w:tcW w:w="0" w:type="dxa"/>
            <w:vAlign w:val="bottom"/>
          </w:tcPr>
          <w:p>
            <w:pPr>
              <w:spacing w:after="0"/>
              <w:rPr>
                <w:sz w:val="1"/>
                <w:szCs w:val="1"/>
                <w:color w:val="auto"/>
              </w:rPr>
            </w:pPr>
          </w:p>
        </w:tc>
      </w:tr>
      <w:tr>
        <w:trPr>
          <w:trHeight w:val="241"/>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7,501</w:t>
            </w:r>
          </w:p>
        </w:tc>
        <w:tc>
          <w:tcPr>
            <w:tcW w:w="0" w:type="dxa"/>
            <w:vAlign w:val="bottom"/>
          </w:tcPr>
          <w:p>
            <w:pPr>
              <w:spacing w:after="0"/>
              <w:rPr>
                <w:sz w:val="1"/>
                <w:szCs w:val="1"/>
                <w:color w:val="auto"/>
              </w:rPr>
            </w:pPr>
          </w:p>
        </w:tc>
      </w:tr>
      <w:tr>
        <w:trPr>
          <w:trHeight w:val="29"/>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(52,209)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(50,631)</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Provision for (benefit from) income taxes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97,959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68,838</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63,696</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(27,054)</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19,933</w:t>
            </w:r>
          </w:p>
        </w:tc>
        <w:tc>
          <w:tcPr>
            <w:tcW w:w="0" w:type="dxa"/>
            <w:vAlign w:val="bottom"/>
          </w:tcPr>
          <w:p>
            <w:pPr>
              <w:spacing w:after="0"/>
              <w:rPr>
                <w:sz w:val="1"/>
                <w:szCs w:val="1"/>
                <w:color w:val="auto"/>
              </w:rPr>
            </w:pPr>
          </w:p>
        </w:tc>
      </w:tr>
      <w:tr>
        <w:trPr>
          <w:trHeight w:val="43"/>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43"/>
        </w:trPr>
        <w:tc>
          <w:tcPr>
            <w:tcW w:w="39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EBITDA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(563,494)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(598,388)</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37"/>
        </w:trPr>
        <w:tc>
          <w:tcPr>
            <w:tcW w:w="3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700" w:type="dxa"/>
            <w:vAlign w:val="bottom"/>
            <w:tcBorders>
              <w:bottom w:val="single" w:sz="8" w:color="CCEEFF"/>
            </w:tcBorders>
            <w:gridSpan w:val="2"/>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attributable to common stockholders, basic and diluted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(731,096)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(684,760)</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27,515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63,696</w:t>
            </w:r>
          </w:p>
        </w:tc>
        <w:tc>
          <w:tcPr>
            <w:tcW w:w="0" w:type="dxa"/>
            <w:vAlign w:val="bottom"/>
          </w:tcPr>
          <w:p>
            <w:pPr>
              <w:spacing w:after="0"/>
              <w:rPr>
                <w:sz w:val="1"/>
                <w:szCs w:val="1"/>
                <w:color w:val="auto"/>
              </w:rPr>
            </w:pPr>
          </w:p>
        </w:tc>
      </w:tr>
      <w:tr>
        <w:trPr>
          <w:trHeight w:val="43"/>
        </w:trPr>
        <w:tc>
          <w:tcPr>
            <w:tcW w:w="4700" w:type="dxa"/>
            <w:vAlign w:val="bottom"/>
            <w:gridSpan w:val="2"/>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(12,861)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(27,054)</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13,453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19,933</w:t>
            </w:r>
          </w:p>
        </w:tc>
        <w:tc>
          <w:tcPr>
            <w:tcW w:w="0" w:type="dxa"/>
            <w:vAlign w:val="bottom"/>
          </w:tcPr>
          <w:p>
            <w:pPr>
              <w:spacing w:after="0"/>
              <w:rPr>
                <w:sz w:val="1"/>
                <w:szCs w:val="1"/>
                <w:color w:val="auto"/>
              </w:rPr>
            </w:pPr>
          </w:p>
        </w:tc>
      </w:tr>
      <w:tr>
        <w:trPr>
          <w:trHeight w:val="42"/>
        </w:trPr>
        <w:tc>
          <w:tcPr>
            <w:tcW w:w="4700" w:type="dxa"/>
            <w:vAlign w:val="bottom"/>
            <w:gridSpan w:val="2"/>
          </w:tcPr>
          <w:p>
            <w:pPr>
              <w:spacing w:after="0"/>
              <w:rPr>
                <w:sz w:val="3"/>
                <w:szCs w:val="3"/>
                <w:color w:val="auto"/>
              </w:rPr>
            </w:pPr>
          </w:p>
        </w:tc>
        <w:tc>
          <w:tcPr>
            <w:tcW w:w="3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(281,700)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364,925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3,901</w:t>
            </w:r>
          </w:p>
        </w:tc>
        <w:tc>
          <w:tcPr>
            <w:tcW w:w="0" w:type="dxa"/>
            <w:vAlign w:val="bottom"/>
          </w:tcPr>
          <w:p>
            <w:pPr>
              <w:spacing w:after="0"/>
              <w:rPr>
                <w:sz w:val="1"/>
                <w:szCs w:val="1"/>
                <w:color w:val="auto"/>
              </w:rPr>
            </w:pPr>
          </w:p>
        </w:tc>
      </w:tr>
      <w:tr>
        <w:trPr>
          <w:trHeight w:val="42"/>
        </w:trPr>
        <w:tc>
          <w:tcPr>
            <w:tcW w:w="4700" w:type="dxa"/>
            <w:vAlign w:val="bottom"/>
            <w:tcBorders>
              <w:bottom w:val="single" w:sz="8" w:color="CCEEFF"/>
            </w:tcBorders>
            <w:gridSpan w:val="2"/>
          </w:tcPr>
          <w:p>
            <w:pPr>
              <w:spacing w:after="0"/>
              <w:rPr>
                <w:sz w:val="3"/>
                <w:szCs w:val="3"/>
                <w:color w:val="auto"/>
              </w:rPr>
            </w:pPr>
          </w:p>
        </w:tc>
        <w:tc>
          <w:tcPr>
            <w:tcW w:w="39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8"/>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 attributable to common stockholders, basic and diluted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(619,764)</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(624,284)</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Adjusted Net Loss Per Share Attributable to Common Stockholders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8600" w:type="dxa"/>
            <w:vAlign w:val="bottom"/>
            <w:gridSpan w:val="3"/>
            <w:vMerge w:val="continue"/>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39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8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0"/>
        </w:trPr>
        <w:tc>
          <w:tcPr>
            <w:tcW w:w="3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80" w:type="dxa"/>
            <w:vAlign w:val="bottom"/>
            <w:gridSpan w:val="4"/>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0" w:type="dxa"/>
            <w:vAlign w:val="bottom"/>
          </w:tcPr>
          <w:p>
            <w:pPr>
              <w:spacing w:after="0"/>
              <w:rPr>
                <w:sz w:val="1"/>
                <w:szCs w:val="1"/>
                <w:color w:val="auto"/>
              </w:rPr>
            </w:pPr>
          </w:p>
        </w:tc>
      </w:tr>
      <w:tr>
        <w:trPr>
          <w:trHeight w:val="23"/>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8600" w:type="dxa"/>
            <w:vAlign w:val="bottom"/>
            <w:tcBorders>
              <w:bottom w:val="single" w:sz="8" w:color="CCEEFF"/>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loss per share attributable to common stockholders, basic and diluted (GAAP)</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(0.30)</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0.03</w:t>
            </w:r>
          </w:p>
        </w:tc>
        <w:tc>
          <w:tcPr>
            <w:tcW w:w="0" w:type="dxa"/>
            <w:vAlign w:val="bottom"/>
          </w:tcPr>
          <w:p>
            <w:pPr>
              <w:spacing w:after="0"/>
              <w:rPr>
                <w:sz w:val="1"/>
                <w:szCs w:val="1"/>
                <w:color w:val="auto"/>
              </w:rPr>
            </w:pPr>
          </w:p>
        </w:tc>
      </w:tr>
      <w:tr>
        <w:trPr>
          <w:trHeight w:val="43"/>
        </w:trPr>
        <w:tc>
          <w:tcPr>
            <w:tcW w:w="860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12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common stock warrant liability</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Change in fair value of equity securities of a related party</w:t>
            </w:r>
          </w:p>
        </w:tc>
        <w:tc>
          <w:tcPr>
            <w:tcW w:w="1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0.01</w:t>
            </w:r>
          </w:p>
        </w:tc>
        <w:tc>
          <w:tcPr>
            <w:tcW w:w="0" w:type="dxa"/>
            <w:vAlign w:val="bottom"/>
          </w:tcPr>
          <w:p>
            <w:pPr>
              <w:spacing w:after="0"/>
              <w:rPr>
                <w:sz w:val="1"/>
                <w:szCs w:val="1"/>
                <w:color w:val="auto"/>
              </w:rPr>
            </w:pPr>
          </w:p>
        </w:tc>
      </w:tr>
      <w:tr>
        <w:trPr>
          <w:trHeight w:val="43"/>
        </w:trPr>
        <w:tc>
          <w:tcPr>
            <w:tcW w:w="860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fair value of derivative liabilities associated with redeemable convertible preferred stock (related party)</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860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Accretion of redeemable convertible preferred stock (related party)</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3"/>
        </w:trPr>
        <w:tc>
          <w:tcPr>
            <w:tcW w:w="8600" w:type="dxa"/>
            <w:vAlign w:val="bottom"/>
            <w:tcBorders>
              <w:bottom w:val="single" w:sz="8" w:color="CCEEFF"/>
            </w:tcBorders>
            <w:gridSpan w:val="3"/>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87"/>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Adjusted net loss per share attributable to common stockholders, basic and diluted (non-GAAP)</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(0.20)</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(0.27)</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tcBorders>
            <w:gridSpan w:val="3"/>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3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8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Weighted-average shares outstanding attributable to common stockholders, basic and diluted</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3,036,317,307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2,301,870,644</w:t>
            </w:r>
          </w:p>
        </w:tc>
        <w:tc>
          <w:tcPr>
            <w:tcW w:w="0" w:type="dxa"/>
            <w:vAlign w:val="bottom"/>
          </w:tcPr>
          <w:p>
            <w:pPr>
              <w:spacing w:after="0"/>
              <w:rPr>
                <w:sz w:val="1"/>
                <w:szCs w:val="1"/>
                <w:color w:val="auto"/>
              </w:rPr>
            </w:pPr>
          </w:p>
        </w:tc>
      </w:tr>
      <w:tr>
        <w:trPr>
          <w:trHeight w:val="264"/>
        </w:trPr>
        <w:tc>
          <w:tcPr>
            <w:tcW w:w="8600" w:type="dxa"/>
            <w:vAlign w:val="bottom"/>
            <w:gridSpan w:val="3"/>
          </w:tcPr>
          <w:p>
            <w:pPr>
              <w:ind w:left="5580"/>
              <w:spacing w:after="0"/>
              <w:rPr>
                <w:sz w:val="20"/>
                <w:szCs w:val="20"/>
                <w:color w:val="auto"/>
              </w:rPr>
            </w:pPr>
            <w:r>
              <w:rPr>
                <w:rFonts w:ascii="Times New Roman" w:cs="Times New Roman" w:eastAsia="Times New Roman" w:hAnsi="Times New Roman"/>
                <w:sz w:val="16"/>
                <w:szCs w:val="16"/>
                <w:color w:val="auto"/>
              </w:rPr>
              <w:t>8</w:t>
            </w: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36" w:right="339" w:bottom="1440" w:gutter="0" w:footer="0" w:header="0"/>
        </w:sectPr>
      </w:pPr>
    </w:p>
    <w:bookmarkStart w:id="11" w:name="page12"/>
    <w:bookmarkEnd w:id="11"/>
    <w:p>
      <w:pPr>
        <w:ind w:left="4800"/>
        <w:spacing w:after="0"/>
        <w:rPr>
          <w:sz w:val="20"/>
          <w:szCs w:val="20"/>
          <w:color w:val="auto"/>
        </w:rPr>
      </w:pPr>
      <w:r>
        <w:rPr>
          <w:rFonts w:ascii="Times New Roman" w:cs="Times New Roman" w:eastAsia="Times New Roman" w:hAnsi="Times New Roman"/>
          <w:sz w:val="17"/>
          <w:szCs w:val="17"/>
          <w:b w:val="1"/>
          <w:bCs w:val="1"/>
          <w:color w:val="auto"/>
        </w:rPr>
        <w:t>LUCID GROUP, INC.</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RECONCILIATION OF GAAP TO NON-GAAP FINANCIAL MEASURES - CONTINUED</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Free Cash Flow</w:t>
      </w:r>
    </w:p>
    <w:p>
      <w:pPr>
        <w:spacing w:after="0" w:line="101"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33020</wp:posOffset>
            </wp:positionV>
            <wp:extent cx="16802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80210" cy="8255"/>
                    </a:xfrm>
                    <a:prstGeom prst="rect">
                      <a:avLst/>
                    </a:prstGeom>
                    <a:noFill/>
                  </pic:spPr>
                </pic:pic>
              </a:graphicData>
            </a:graphic>
          </wp:anchor>
        </w:drawing>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44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3"/>
        </w:trPr>
        <w:tc>
          <w:tcPr>
            <w:tcW w:w="44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 (GAAP)</w:t>
            </w:r>
          </w:p>
        </w:tc>
        <w:tc>
          <w:tcPr>
            <w:tcW w:w="4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(428,613)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(516,745)</w:t>
            </w:r>
          </w:p>
        </w:tc>
        <w:tc>
          <w:tcPr>
            <w:tcW w:w="0" w:type="dxa"/>
            <w:vAlign w:val="bottom"/>
          </w:tcPr>
          <w:p>
            <w:pPr>
              <w:spacing w:after="0"/>
              <w:rPr>
                <w:sz w:val="1"/>
                <w:szCs w:val="1"/>
                <w:color w:val="auto"/>
              </w:rPr>
            </w:pPr>
          </w:p>
        </w:tc>
      </w:tr>
      <w:tr>
        <w:trPr>
          <w:trHeight w:val="241"/>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Capital expenditures</w:t>
            </w:r>
          </w:p>
        </w:tc>
        <w:tc>
          <w:tcPr>
            <w:tcW w:w="4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(161,241)</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(198,197)</w:t>
            </w:r>
          </w:p>
        </w:tc>
        <w:tc>
          <w:tcPr>
            <w:tcW w:w="0" w:type="dxa"/>
            <w:vAlign w:val="bottom"/>
          </w:tcPr>
          <w:p>
            <w:pPr>
              <w:spacing w:after="0"/>
              <w:rPr>
                <w:sz w:val="1"/>
                <w:szCs w:val="1"/>
                <w:color w:val="auto"/>
              </w:rPr>
            </w:pPr>
          </w:p>
        </w:tc>
      </w:tr>
      <w:tr>
        <w:trPr>
          <w:trHeight w:val="29"/>
        </w:trPr>
        <w:tc>
          <w:tcPr>
            <w:tcW w:w="444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Free cash flow (non-GAAP)</w:t>
            </w:r>
          </w:p>
        </w:tc>
        <w:tc>
          <w:tcPr>
            <w:tcW w:w="4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(589,854)</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(714,942)</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856"/>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440" w:type="dxa"/>
            <w:vAlign w:val="bottom"/>
          </w:tcPr>
          <w:p>
            <w:pPr>
              <w:spacing w:after="0"/>
              <w:rPr>
                <w:sz w:val="19"/>
                <w:szCs w:val="19"/>
                <w:color w:val="auto"/>
              </w:rPr>
            </w:pPr>
          </w:p>
        </w:tc>
        <w:tc>
          <w:tcPr>
            <w:tcW w:w="41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2025-05-06T15:26:12Z</dcterms:created>
  <dcterms:modified xsi:type="dcterms:W3CDTF">2025-05-06T15:26:12Z</dcterms:modified>
</cp:coreProperties>
</file>