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16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lineRule="auto" w:line="288" w:before="240" w:after="283"/>
        <w:jc w:val="center"/>
        <w:rPr/>
      </w:pPr>
      <w:r>
        <w:rPr>
          <w:rFonts w:ascii="Times New Roman;sans-serif" w:hAnsi="Times New Roman;sans-serif"/>
          <w:b w:val="false"/>
          <w:color w:val="000000"/>
          <w:sz w:val="20"/>
        </w:rPr>
        <w:t>Date of Report (date of earliest event reported): November 7, 2024</w:t>
      </w:r>
      <w:r>
        <w:rPr>
          <w:color w:val="000000"/>
        </w:rPr>
        <w:t xml:space="preserve"> </w:t>
      </w:r>
    </w:p>
    <w:p>
      <w:pPr>
        <w:pStyle w:val="TextBody"/>
        <w:bidi w:val="0"/>
        <w:spacing w:lineRule="auto" w:line="288" w:before="160" w:after="283"/>
        <w:jc w:val="center"/>
        <w:rPr>
          <w:rFonts w:ascii="Times New Roman;sans-serif" w:hAnsi="Times New Roman;sans-serif"/>
          <w:b/>
          <w:color w:val="000000"/>
          <w:sz w:val="36"/>
        </w:rPr>
      </w:pPr>
      <w:r>
        <w:rPr>
          <w:rFonts w:ascii="Times New Roman;sans-serif" w:hAnsi="Times New Roman;sans-serif"/>
          <w:b/>
          <w:color w:val="000000"/>
          <w:sz w:val="36"/>
        </w:rPr>
        <w:t>Lucid Group,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7373 Gateway Boulevard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60" w:after="283"/>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(510) 648-3553</w:t>
      </w:r>
    </w:p>
    <w:p>
      <w:pPr>
        <w:pStyle w:val="TextBody"/>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(Former name or former address, if changed since last report.)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7, 2024, Lucid Group, Inc. (“Lucid” or the “Company”) issued a press release announcing its results for the third quarter ended September 30, 2024. A copy of the press release is attached as Exhibit 99.1 to this Current Report on Form 8-K and is incorporated by reference herein.</w:t>
      </w:r>
    </w:p>
    <w:p>
      <w:pPr>
        <w:pStyle w:val="TextBody"/>
        <w:bidi w:val="0"/>
        <w:spacing w:lineRule="auto" w:line="288" w:before="200" w:after="283"/>
        <w:jc w:val="both"/>
        <w:rPr/>
      </w:pPr>
      <w:r>
        <w:rPr>
          <w:rFonts w:ascii="Times New Roman;sans-serif" w:hAnsi="Times New Roman;sans-serif"/>
          <w:b w:val="false"/>
          <w:color w:val="000000"/>
          <w:sz w:val="20"/>
        </w:rPr>
        <w:t xml:space="preserve">Lucid uses its </w:t>
      </w:r>
      <w:r>
        <w:rPr>
          <w:rFonts w:ascii="Times New Roman;sans-serif" w:hAnsi="Times New Roman;sans-serif"/>
          <w:b w:val="false"/>
          <w:color w:val="000000"/>
          <w:sz w:val="20"/>
          <w:u w:val="single"/>
        </w:rPr>
        <w:t>ir.lucidmotors.com</w:t>
      </w:r>
      <w:r>
        <w:rPr>
          <w:color w:val="000000"/>
        </w:rPr>
        <w:t xml:space="preserve"> </w:t>
      </w:r>
      <w:r>
        <w:rPr>
          <w:rFonts w:ascii="Times New Roman;sans-serif" w:hAnsi="Times New Roman;sans-serif"/>
          <w:b w:val="false"/>
          <w:color w:val="000000"/>
          <w:sz w:val="20"/>
        </w:rPr>
        <w:t>website as a means of disclosing material non-public information and for complying with its disclosure obligations under Regulation FD.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73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8"/>
        <w:gridCol w:w="1928"/>
        <w:gridCol w:w="274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3fy24ex991earnings.htm">
              <w:r>
                <w:rPr>
                  <w:rStyle w:val="InternetLink"/>
                  <w:rFonts w:ascii="Times New Roman;sans-serif" w:hAnsi="Times New Roman;sans-serif"/>
                  <w:b w:val="false"/>
                  <w:color w:val="000080"/>
                  <w:sz w:val="20"/>
                  <w:u w:val="single"/>
                </w:rPr>
                <w:t xml:space="preserve">Lucid Press Release Dated </w:t>
              </w:r>
            </w:hyperlink>
            <w:hyperlink w:anchor="q3fy24ex991earnings.htm">
              <w:r>
                <w:rPr>
                  <w:rStyle w:val="InternetLink"/>
                  <w:rFonts w:ascii="Times New Roman;sans-serif" w:hAnsi="Times New Roman;sans-serif"/>
                  <w:b w:val="false"/>
                  <w:color w:val="000080"/>
                  <w:sz w:val="20"/>
                  <w:u w:val="single"/>
                </w:rPr>
                <w:t>November</w:t>
              </w:r>
            </w:hyperlink>
            <w:hyperlink w:anchor="q3fy24ex991earnings.htm">
              <w:r>
                <w:rPr>
                  <w:rStyle w:val="InternetLink"/>
                  <w:rFonts w:ascii="Times New Roman;sans-serif" w:hAnsi="Times New Roman;sans-serif"/>
                  <w:b w:val="false"/>
                  <w:color w:val="000080"/>
                  <w:sz w:val="20"/>
                  <w:u w:val="single"/>
                </w:rPr>
                <w:t xml:space="preserve"> </w:t>
              </w:r>
            </w:hyperlink>
            <w:hyperlink w:anchor="q3fy24ex991earnings.htm">
              <w:r>
                <w:rPr>
                  <w:rStyle w:val="InternetLink"/>
                  <w:rFonts w:ascii="Times New Roman;sans-serif" w:hAnsi="Times New Roman;sans-serif"/>
                  <w:b w:val="false"/>
                  <w:color w:val="000080"/>
                  <w:sz w:val="20"/>
                  <w:u w:val="single"/>
                </w:rPr>
                <w:t>7</w:t>
              </w:r>
            </w:hyperlink>
            <w:hyperlink w:anchor="q3fy24ex991earnings.htm">
              <w:r>
                <w:rPr>
                  <w:rStyle w:val="InternetLink"/>
                  <w:rFonts w:ascii="Times New Roman;sans-serif" w:hAnsi="Times New Roman;sans-serif"/>
                  <w:b w:val="false"/>
                  <w:color w:val="000080"/>
                  <w:sz w:val="20"/>
                  <w:u w:val="single"/>
                </w:rPr>
                <w:t>,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578" w:type="dxa"/>
        <w:jc w:val="left"/>
        <w:tblInd w:w="0" w:type="dxa"/>
        <w:tblLayout w:type="fixed"/>
        <w:tblCellMar>
          <w:top w:w="28" w:type="dxa"/>
          <w:left w:w="28" w:type="dxa"/>
          <w:bottom w:w="28" w:type="dxa"/>
          <w:right w:w="28" w:type="dxa"/>
        </w:tblCellMar>
      </w:tblPr>
      <w:tblGrid>
        <w:gridCol w:w="797"/>
        <w:gridCol w:w="700"/>
        <w:gridCol w:w="707"/>
        <w:gridCol w:w="245"/>
        <w:gridCol w:w="245"/>
        <w:gridCol w:w="245"/>
        <w:gridCol w:w="771"/>
        <w:gridCol w:w="771"/>
        <w:gridCol w:w="1097"/>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November 7, 2024</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Lucid Group,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Gagan Dhingra</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Gagan Dhingra</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22"/>
              </w:rPr>
            </w:pPr>
            <w:r>
              <w:rPr>
                <w:rFonts w:ascii="Times New Roman;sans-serif" w:hAnsi="Times New Roman;sans-serif"/>
                <w:b/>
                <w:color w:val="000000"/>
                <w:sz w:val="22"/>
              </w:rPr>
              <w:t>Exhibit 99.1</w:t>
            </w:r>
          </w:p>
        </w:tc>
      </w:tr>
    </w:tbl>
    <w:p>
      <w:pPr>
        <w:pStyle w:val="TextBody"/>
        <w:bidi w:val="0"/>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Lucid Announces Third Quarter 2024 Financial Results</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Produced 1,805 vehicles in Q3; on track for annual production of approximately 9,000 vehicles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Delivered 2,781 vehicles in Q3; up 90.9% compared to Q3 2023</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Q3 revenue of $200.0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GAAP net loss per share of $(0.41); non-GAAP net loss per share of $(0.28)</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Ended the quarter with approximately $5.16 billion in total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2"/>
        </w:rPr>
        <w:t>Subsequent to the third quarter, completed a capital raise of approximately $1.75 billion in October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NEWARK, Calif. — November 7, 2024 — Lucid Group, Inc. (NASDAQ: LCID), maker of the world’s most advanced electric vehicles, today announced financial results for its third quarter ended September 30, 2024. The earnings presentation is available on its investor relations website (https://ir.lucidmotors.com).</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reported Q3 revenue of $200.0 million on deliveries of 2,781 vehicles and expects to manufacture approximately 9,000 vehicles in 2024. Lucid ended the third quarter with approximately $5.16 billion in total liquidity.</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Our momentum continues with our third consecutive quarter of record deliveries,” said Peter Rawlinson, CEO and CTO at Lucid. “Additionally, today we are delighted to open the order book for the much-anticipated Lucid Gravity SUV, a landmark product, which remains on track for start of production this year. Furthermore, our recent capital raise of approximately $1.75 billion serves to further secure the future of the company by extending its financial runway well into 2026.”</w:t>
      </w:r>
    </w:p>
    <w:p>
      <w:pPr>
        <w:pStyle w:val="TextBody"/>
        <w:bidi w:val="0"/>
        <w:spacing w:lineRule="auto" w:line="288" w:before="240" w:after="283"/>
        <w:jc w:val="left"/>
        <w:rPr>
          <w:color w:val="000000"/>
        </w:rPr>
      </w:pPr>
      <w:r>
        <w:rPr>
          <w:color w:val="000000"/>
        </w:rPr>
        <w:t>“</w:t>
      </w:r>
      <w:r>
        <w:rPr>
          <w:rFonts w:ascii="Times New Roman;sans-serif" w:hAnsi="Times New Roman;sans-serif"/>
          <w:b w:val="false"/>
          <w:color w:val="000000"/>
          <w:sz w:val="22"/>
        </w:rPr>
        <w:t>We continue to see improvements to gross margin performance as our cost reduction efforts are gaining momentum,” said Gagan Dhingra, Interim CFO and Principal Accounting Officer at Lucid. “With our recent capital raise, we are pleased to have the continued support once again from both the Public Investment Fund and other institutional investors.”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will host a conference call for analysts and investors at 2:30 P.M. PT / 5:30 P.M. ET on November 7, 2024.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About Lucid Group</w:t>
      </w:r>
    </w:p>
    <w:p>
      <w:pPr>
        <w:pStyle w:val="TextBody"/>
        <w:bidi w:val="0"/>
        <w:spacing w:lineRule="auto" w:line="288" w:before="240" w:after="283"/>
        <w:jc w:val="left"/>
        <w:rPr/>
      </w:pPr>
      <w:r>
        <w:rPr>
          <w:rFonts w:ascii="Times New Roman;sans-serif" w:hAnsi="Times New Roman;sans-serif"/>
          <w:b w:val="false"/>
          <w:color w:val="000000"/>
          <w:sz w:val="22"/>
        </w:rPr>
        <w:t xml:space="preserve">Lucid (NASDAQ: </w:t>
      </w:r>
      <w:r>
        <w:rPr>
          <w:rFonts w:ascii="Times New Roman;sans-serif" w:hAnsi="Times New Roman;sans-serif"/>
          <w:b/>
          <w:color w:val="000000"/>
          <w:sz w:val="22"/>
        </w:rPr>
        <w:t>LCID</w:t>
      </w:r>
      <w:r>
        <w:rPr>
          <w:rFonts w:ascii="Times New Roman;sans-serif" w:hAnsi="Times New Roman;sans-serif"/>
          <w:b w:val="false"/>
          <w:color w:val="000000"/>
          <w:sz w:val="22"/>
        </w:rPr>
        <w:t>) is a Silicon Valley-based technology company focused on creating the most advanced EVs in the world. The flagship vehicle, Lucid Air, delivers best-in-class performance and efficiency starting at $69,900*. Lucid is preparing its state-of-the-art, vertically integrated factory in Arizona to begin production of the Lucid Gravity SUV. The company’s goal is to accelerate humanity’s transition to sustainable transportation and energy.</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*Excludes tax, title, license, options, destination, and documentation fees. For U.S. market only.</w:t>
      </w:r>
    </w:p>
    <w:p>
      <w:pPr>
        <w:pStyle w:val="TextBody"/>
        <w:bidi w:val="0"/>
        <w:spacing w:lineRule="auto" w:line="288" w:before="240" w:after="1"/>
        <w:jc w:val="left"/>
        <w:rPr>
          <w:rFonts w:ascii="Times New Roman;sans-serif" w:hAnsi="Times New Roman;sans-serif"/>
          <w:b/>
          <w:color w:val="000000"/>
          <w:sz w:val="22"/>
        </w:rPr>
      </w:pPr>
      <w:r>
        <w:rPr>
          <w:rFonts w:ascii="Times New Roman;sans-serif" w:hAnsi="Times New Roman;sans-serif"/>
          <w:b/>
          <w:color w:val="000000"/>
          <w:sz w:val="22"/>
        </w:rPr>
        <w:t>Investor Relations Contact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investor@lucidmotors.com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Media Contact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3051F2"/>
          <w:sz w:val="22"/>
          <w:u w:val="single"/>
        </w:rPr>
      </w:pPr>
      <w:r>
        <w:rPr>
          <w:rFonts w:ascii="Times New Roman;sans-serif" w:hAnsi="Times New Roman;sans-serif"/>
          <w:b w:val="false"/>
          <w:color w:val="3051F2"/>
          <w:sz w:val="22"/>
          <w:u w:val="single"/>
        </w:rPr>
        <w:t xml:space="preserve">media@lucidmotors.com </w:t>
      </w:r>
    </w:p>
    <w:p>
      <w:pPr>
        <w:pStyle w:val="TextBody"/>
        <w:bidi w:val="0"/>
        <w:spacing w:lineRule="auto" w:line="288" w:before="240" w:after="1"/>
        <w:jc w:val="left"/>
        <w:rPr>
          <w:rFonts w:ascii="Times New Roman;sans-serif" w:hAnsi="Times New Roman;sans-serif"/>
          <w:b/>
          <w:color w:val="1B1B1B"/>
          <w:sz w:val="22"/>
        </w:rPr>
      </w:pPr>
      <w:r>
        <w:rPr>
          <w:rFonts w:ascii="Times New Roman;sans-serif" w:hAnsi="Times New Roman;sans-serif"/>
          <w:b/>
          <w:color w:val="1B1B1B"/>
          <w:sz w:val="22"/>
        </w:rPr>
        <w:t xml:space="preserve">Trademarks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Forward Looking Statements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financial and operating outlook and guidance, future gross margin, capital expenditures and other operating expenses, ability to control costs, expectations on cost optimization results, plans and expectations related to commercial product launches, including the Lucid Gravity SUV and Midsize program, plans and expectations on vehicle production and delivery timing and volumes, expectations regarding market opportunities and demand for Lucid’s products, the range and performance of Lucid’s vehicles, plans and expectations regarding the Lucid Gravity SUV, including performance, driving range, features, specifications and potential impact on markets, plans and expectations regarding Lucid’s software, plans and expectations regarding Lucid’s systems approach to the design of the vehicles, estimate of Lucid’s technology lead over competitors, estimate of the length of time Lucid’s existing cash, cash equivalents and investments will be sufficient to fund planned operations, plans and expectations regarding Lucid’s liquidity runway, future capital raises and funding strategy, plans and expectations regarding future manufacturing capabilities and facilities, studio and service center openings, test drive vehicle numbers, ability to mitigate supply chain and logistics risks, plans and expectations regarding Lucid’s AMP-1 and AMP-2 manufacturing facilities, including potential benefits, ability to vertically integrate production processes, future sales channels and strategies, future market launches and international expansion, plans and expectations regarding the purchase agreement with the government of Saudi Arabia, including the total number of vehicles that may be purchased under the agreement and the timing of vehicle deliveries, Lucid’s ability to grow its brand awareness, the potential success of Lucid’s direct-to-consumer sales strategy and future vehicle programs, potential automotive partnerships, expectations on the technology licensing landscape, expectations on the regulatory environment,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market, financial, political and legal conditions, including government closures of banks and liquidity concerns at other financial institutions, a potential global economic recession or other downturn and global conflicts or other geopolitical events; risks related to changes in overall demand for Lucid’s products and services and cancellation of orders for Lucid’s vehicles; risks related to prices and availability of commodities, Lucid’s supply chain, logistics, inventory management and quality control, and Lucid’s ability to complete the tooling of its manufacturing facilities over time and scale production of the Lucid Air and other vehicles; risks related to the uncertainty of Lucid’s projected financial information; risks related to the timing of expected business milestones and commercial product launches; risks related to the expansion of Lucid’s manufacturing facility, the construction of new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enter into or maintain partnerships with original equipment manufacturers, vendors and technology providers; Lucid’s ability to effectively manage its growth and recruit and retain key employees, including its chief executive officer and executive team; risks related to Lucid’s 2024 reduction in force; risks related to potential vehicle recalls and buybacks; Lucid’s ability to establish and expand its brand, and capture additional market share, and the risks associated with negative press or reputational harm; Lucid’s ability to effectively utilize or obtain certain credits and other incentives; Lucid’s ability to conduct equity, equity-linked or debt financings in the future; Lucid’s ability to pay interest and principal on its indebtedness; future changes to vehicle specifications which may impact performance, pricing and other expectations; the outcome of any potential litigation, government and regulatory proceedings, investigations and inquiries; and those factors discussed under the heading “Risk Factors” in Part II, Item 1A of Lucid’s Quarterly Report on Form 10-Q for the quarter ended September 30, 2024,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w:t>
      </w:r>
    </w:p>
    <w:p>
      <w:pPr>
        <w:pStyle w:val="TextBody"/>
        <w:bidi w:val="0"/>
        <w:spacing w:before="2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w10:wrap type="none"/>
              </v:rect>
            </w:pict>
          </mc:Fallback>
        </mc:AlternateConten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Non-GAAP Financial Measures and Key Business Metrics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Condensed consolidated financial information has been presented in accordance with US GAAP (“GAAP”) as well as on a non-GAAP basis to supplement our condensed consolidated financial results. Lucid’s non-GAAP financial measures include Adjusted EBITDA, Adjusted Net Loss Attributable to Common Stockholders, Adjusted Net Loss Per Share Attributable to Common Stockholders, and Free Cash Flow, which are discussed below.</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EBITDA is defined as net loss attributable to common stockholders before (1) interest expense, (2) interest income, (3) provision for income taxes, (4) depreciation and amortization, (5) stock-based compensation, (6) restructuring charges, (7) change in fair value of common stock warrant liability, (8) change in fair value of equity securities of a related party, (9) change in fair value of derivative liabilities associated with redeemable convertible preferred stock (related party), and (10) accretion of redeemable convertible preferred stock (related party). Lucid believes that Adjusted EBITDA provides useful information to Lucid’s management and investors about Lucid’s financial performance.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Adjusted Net Loss Attributable to Common Stockholders is defined as net loss attributable to common stockholders excluding (1) stock-based compensation, (2) restructuring charges, (3) change in fair value of common stock warrant liability, (4) change in fair value of equity securities of a related party, (5) change in fair value of derivative liabilities associated with redeemable convertible preferred stock (related party), and (6) accretion of redeemable convertible preferred stock (related party).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Lucid defines and calculates Adjusted Net Loss Per Share Attributable to Common Stockholders as Adjusted Net Loss Attributable to Common Stockholders divided by weighted-average shares outstanding attributable to common stockholders.</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Lucid believes that Adjusted Net Loss Attributable to Common Stockholders and Adjusted Net Loss Per Share Attributable to Common Stockholders financial measures provide investors with useful information to evaluate performance of its business excluding items not reflecting ongoing operating activities.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Free Cash Flow is defined as net cash used in operating activities less capital expenditures. Lucid believes that Free Cash Flow provides useful information to Lucid’s management and investors about the amount of cash generated by the business after necessary capital expenditures.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 </w:t>
      </w:r>
    </w:p>
    <w:p>
      <w:pPr>
        <w:pStyle w:val="TextBody"/>
        <w:bidi w:val="0"/>
        <w:spacing w:lineRule="auto" w:line="288" w:before="24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LUCID GROUP,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CONDENSED CONSOLIDATED BALANCE SHEETS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15"/>
        <w:gridCol w:w="2003"/>
        <w:gridCol w:w="1965"/>
        <w:gridCol w:w="109"/>
        <w:gridCol w:w="109"/>
        <w:gridCol w:w="109"/>
        <w:gridCol w:w="211"/>
        <w:gridCol w:w="991"/>
        <w:gridCol w:w="109"/>
        <w:gridCol w:w="109"/>
        <w:gridCol w:w="109"/>
        <w:gridCol w:w="109"/>
        <w:gridCol w:w="211"/>
        <w:gridCol w:w="991"/>
        <w:gridCol w:w="155"/>
      </w:tblGrid>
      <w:tr>
        <w:trPr/>
        <w:tc>
          <w:tcPr>
            <w:tcW w:w="291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1,369,947 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investments (including $15,000 and nil associated with a related party as of September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1,578,283 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2,489,798 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net (including $70,846 and $35,526 from a related party as of September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696,236 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69,682 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4,247,011 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4,757,155 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3,222,098 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2,810,867 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555,521 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461,029 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180,626 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equity securities of a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8,489,183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8,512,718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108,724 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Finance 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8,202 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 (including $70,495 and $92,258 associated with related parties as of September 30, 2024 and December 31,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798,990 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1,008,410 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77,653 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1,996,960 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 (including $120,286 and $178,311 associated with related parties as of September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524,339 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associated with redeemable convertible preferred stock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4,745,307 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3,661,026 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10,000,000 shares authorized as of September 30, 2024 and December 31, 2023, Series A redeemable convertible preferred stock, par value $0.0001; 100,000 and 0 shares issued and outstanding as of September 30, 2024 and December 31, 2023, respectively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Preferred stock 10,000,000 shares authorized as of September 30, 2024 and December 31, 2023, Series B redeemable convertible preferred stock, par value $0.0001; 75,000 and 0 shares issued and outstanding as of September 30, 2024 and December 31, 2023, respectively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1,060,156 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Common stock, par value $0.0001; 15,000,000,000 shares authorized as of September 30, 2024 and December 31, 2023; 2,338,376,367 and 2,300,111,489 shares issued and 2,337,518,542 and 2,299,253,664 shares outstanding as of September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15,206,764 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15,066,080 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Treasury stock, at cost, 857,825 shares at September 30, 2024 and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(20,716)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(12,515,476)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(10,198,752)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2,683,720 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4,851,692 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8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TOTAL LIABILITIES, REDEEMABLE CONVERTIBLE PREFERRED STOCK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8,489,183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8,512,718</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LUCID GROUP, INC.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417"/>
        <w:gridCol w:w="988"/>
        <w:gridCol w:w="993"/>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5"/>
      </w:tblGrid>
      <w:tr>
        <w:trPr/>
        <w:tc>
          <w:tcPr>
            <w:tcW w:w="141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 (including $45,588 and $4,980 from a related party for the three months ended September 30, 2024 and 2023, and $133,424 and $4,980 for the nine months ended September 30, 2024 and 2023, respectively)</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200,038 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573,359 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438,120 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Costs and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of revenue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469,722 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1,526,051 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Research and development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896,168 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694,035 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Selling, 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657,062 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556,209 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 and expenses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890,689 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2,861,229 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2,800,841 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from operations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(770,538)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(752,875)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(2,287,870)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(2,362,721)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income (expense), net</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(17,138)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(221,450)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189,079 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before provision for income taxes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(991,988)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(2,316,114)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(2,173,642)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(992,475)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(2,316,724)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(2,174,654)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 and diluted</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(949,637)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(2,424,648)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(2,174,654)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Weighted-average shares outstanding attributable to common stockholders, basic and 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2,323,971,541 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2,284,446,783 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2,312,249,333 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2,010,916,100 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 per share attributable to common stockholders, basic and diluted</w:t>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Other comprehensive income (loss)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unrealized gains on investments, net of tax</w:t>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Foreign currency translation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comprehensive income (loss)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(975,402)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(631,307)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(2,308,660)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(2,173,445)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Comprehensive loss attributable to common stockholders</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(932,564)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(631,307)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(2,416,584)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(2,173,445)</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LUCID GROUP,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CONDENSED CONSOLIDATED STATEMENTS OF CASH FLOWS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0" w:after="0"/>
        <w:jc w:val="center"/>
        <w:rPr/>
      </w:pPr>
      <w:r>
        <w:rPr>
          <w:rFonts w:ascii="Times New Roman;sans-serif" w:hAnsi="Times New Roman;sans-serif"/>
          <w:b/>
          <w:color w:val="000000"/>
          <w:sz w:val="19"/>
        </w:rPr>
        <w:t>(in thousands</w:t>
      </w:r>
      <w:r>
        <w:rPr>
          <w:rFonts w:ascii="Times New Roman;sans-serif" w:hAnsi="Times New Roman;sans-serif"/>
          <w:b w:val="false"/>
          <w:color w:val="000000"/>
          <w:sz w:val="19"/>
        </w:rPr>
        <w:t>)</w:t>
      </w:r>
    </w:p>
    <w:tbl>
      <w:tblPr>
        <w:tblW w:w="10205" w:type="dxa"/>
        <w:jc w:val="center"/>
        <w:tblInd w:w="0" w:type="dxa"/>
        <w:tblLayout w:type="fixed"/>
        <w:tblCellMar>
          <w:top w:w="28" w:type="dxa"/>
          <w:left w:w="28" w:type="dxa"/>
          <w:bottom w:w="28" w:type="dxa"/>
          <w:right w:w="28" w:type="dxa"/>
        </w:tblCellMar>
      </w:tblPr>
      <w:tblGrid>
        <w:gridCol w:w="1646"/>
        <w:gridCol w:w="1198"/>
        <w:gridCol w:w="1206"/>
        <w:gridCol w:w="211"/>
        <w:gridCol w:w="849"/>
        <w:gridCol w:w="109"/>
        <w:gridCol w:w="109"/>
        <w:gridCol w:w="109"/>
        <w:gridCol w:w="109"/>
        <w:gridCol w:w="211"/>
        <w:gridCol w:w="999"/>
        <w:gridCol w:w="109"/>
        <w:gridCol w:w="109"/>
        <w:gridCol w:w="109"/>
        <w:gridCol w:w="109"/>
        <w:gridCol w:w="211"/>
        <w:gridCol w:w="999"/>
        <w:gridCol w:w="109"/>
        <w:gridCol w:w="109"/>
        <w:gridCol w:w="109"/>
        <w:gridCol w:w="109"/>
        <w:gridCol w:w="211"/>
        <w:gridCol w:w="999"/>
        <w:gridCol w:w="157"/>
      </w:tblGrid>
      <w:tr>
        <w:trPr/>
        <w:tc>
          <w:tcPr>
            <w:tcW w:w="1646"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3"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(992,475)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(630,894)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(2,316,724)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(2,174,654)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loss to net cash used in operating activities:</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166,033 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insurance premium</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30,242 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operating lease cost</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193,432 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 and firm purchase commitments write-downs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416,098 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734,495 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(61,647)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accretion of investment discounts/premiums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(74,928)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non-cash items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 (including $6,962 and $(5,533) from a related party for the three months ended September 30, 2024 and 2023, and $(35,320) and $(5,533) for the nine months ended September 30, 2024 and 2023, respectively)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(575,933)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(43,062)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noncurrent assets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(113,790)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(114,810)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Accrued compensation</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Other current liabilities </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(61,505)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25,993 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operating activities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(462,795)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(513,582)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(1,486,527)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(2,015,204)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plant and equipment (including $(22,611) and $(25,959) from a related party for the three months ended September 30, 2024 and 2023, and $(56,679) and $(66,877) for the nine months ended September 30, 2024 and 2023, respectively)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(638,002)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investments (including $(15,000) and nil from a related party for the three months ended September 30, 2024 and 2023, and $(15,000) and nil for the nine months ended September 30, 2024 and 2023, respectively)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(520,093)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(1,438,001)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(2,374,220)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(3,585,254)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maturities of investments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2,480,570 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investments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148,388 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investing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(1,132,437)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(1,599,125)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07"/>
        <w:gridCol w:w="1138"/>
        <w:gridCol w:w="1146"/>
        <w:gridCol w:w="214"/>
        <w:gridCol w:w="992"/>
        <w:gridCol w:w="110"/>
        <w:gridCol w:w="110"/>
        <w:gridCol w:w="110"/>
        <w:gridCol w:w="110"/>
        <w:gridCol w:w="214"/>
        <w:gridCol w:w="992"/>
        <w:gridCol w:w="110"/>
        <w:gridCol w:w="110"/>
        <w:gridCol w:w="110"/>
        <w:gridCol w:w="110"/>
        <w:gridCol w:w="214"/>
        <w:gridCol w:w="992"/>
        <w:gridCol w:w="110"/>
        <w:gridCol w:w="110"/>
        <w:gridCol w:w="110"/>
        <w:gridCol w:w="110"/>
        <w:gridCol w:w="214"/>
        <w:gridCol w:w="992"/>
        <w:gridCol w:w="170"/>
      </w:tblGrid>
      <w:tr>
        <w:trPr/>
        <w:tc>
          <w:tcPr>
            <w:tcW w:w="160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LUCID GROUP, INC.</w:t>
            </w:r>
          </w:p>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CONDENSED CONSOLIDATED STATEMENTS OF CASH FLOWS - CONTINUED</w:t>
            </w:r>
          </w:p>
          <w:p>
            <w:pPr>
              <w:pStyle w:val="TableContents"/>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w:t>
            </w:r>
          </w:p>
          <w:p>
            <w:pPr>
              <w:pStyle w:val="TableContents"/>
              <w:bidi w:val="0"/>
              <w:spacing w:lineRule="auto" w:line="300" w:before="0" w:after="2"/>
              <w:jc w:val="center"/>
              <w:rPr>
                <w:rFonts w:ascii="Times New Roman;sans-serif" w:hAnsi="Times New Roman;sans-serif"/>
                <w:b/>
                <w:color w:val="000000"/>
                <w:sz w:val="19"/>
              </w:rPr>
            </w:pPr>
            <w:r>
              <w:rPr>
                <w:rFonts w:ascii="Times New Roman;sans-serif" w:hAnsi="Times New Roman;sans-serif"/>
                <w:b/>
                <w:color w:val="000000"/>
                <w:sz w:val="19"/>
              </w:rPr>
              <w:t>(in thousands)</w:t>
            </w:r>
          </w:p>
        </w:tc>
      </w:tr>
      <w:tr>
        <w:trP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under Underwriting Agreement, net of issuance costs</w:t>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1,184,224 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under 2023 Subscription Agreement to a related party, net of issuance costs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1,812,641 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Series A redeemable convertible preferred stock to a related party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Series B redeemable convertible preferred stock to a related party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of issuance costs for Series A redeemable convertible preferred stock</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of issuance costs for Series B redeemable convertible preferred stock</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Payment for credit facility issuance costs (including $(5,625) and nil to a related party for the three months ended September 30, 2024 and 2023, and $(5,625) and nil for the nine months ended September 30, 2024 and 2023, respectively) </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for finance lease liabilities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(2,632)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borrowings from a related party</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38,654 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42,920 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borrowings from a related party</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(21,590)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(25,856)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exercise of stock options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employee stock purchase plan</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withholding payments for net settlement of employee awards</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(3,190)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(4,327)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(14,705)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financing activities</w:t>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719,144 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35,086 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1,718,709 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3,042,956 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cash equivalents, and restricted cash</w:t>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540,068 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(1,610,933)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522,156 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(571,373)</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Beginning cash, cash equivalents, and restricted cash</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1,353,595 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2,776,880 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1,371,507 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1,737,320 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Ending cash, cash equivalents, and restricted cash</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1,893,663 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1,165,947 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1,893,663 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1,165,947 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LUCID GROUP, INC. </w:t>
      </w:r>
    </w:p>
    <w:p>
      <w:pPr>
        <w:pStyle w:val="TextBody"/>
        <w:bidi w:val="0"/>
        <w:spacing w:lineRule="auto" w:line="288" w:before="0" w:after="0"/>
        <w:jc w:val="center"/>
        <w:rPr/>
      </w:pPr>
      <w:r>
        <w:rPr>
          <w:rFonts w:ascii="Times New Roman;sans-serif" w:hAnsi="Times New Roman;sans-serif"/>
          <w:b/>
          <w:color w:val="000000"/>
          <w:sz w:val="20"/>
        </w:rPr>
        <w:t>RECONCIL</w:t>
      </w:r>
      <w:r>
        <w:rPr>
          <w:rFonts w:ascii="Times New Roman;sans-serif" w:hAnsi="Times New Roman;sans-serif"/>
          <w:b/>
          <w:color w:val="000000"/>
          <w:sz w:val="19"/>
        </w:rPr>
        <w:t>IATION OF GAAP TO NON-GAAP FINANCIAL MEASURES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(in thousands, except share and per share data)</w:t>
      </w:r>
    </w:p>
    <w:p>
      <w:pPr>
        <w:pStyle w:val="TextBody"/>
        <w:bidi w:val="0"/>
        <w:spacing w:lineRule="auto" w:line="288" w:before="2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Adjusted EBITDA</w:t>
      </w:r>
    </w:p>
    <w:tbl>
      <w:tblPr>
        <w:tblW w:w="10205" w:type="dxa"/>
        <w:jc w:val="left"/>
        <w:tblInd w:w="0" w:type="dxa"/>
        <w:tblLayout w:type="fixed"/>
        <w:tblCellMar>
          <w:top w:w="28" w:type="dxa"/>
          <w:left w:w="28" w:type="dxa"/>
          <w:bottom w:w="28" w:type="dxa"/>
          <w:right w:w="28" w:type="dxa"/>
        </w:tblCellMar>
      </w:tblPr>
      <w:tblGrid>
        <w:gridCol w:w="1516"/>
        <w:gridCol w:w="1314"/>
        <w:gridCol w:w="1318"/>
        <w:gridCol w:w="211"/>
        <w:gridCol w:w="862"/>
        <w:gridCol w:w="109"/>
        <w:gridCol w:w="109"/>
        <w:gridCol w:w="109"/>
        <w:gridCol w:w="109"/>
        <w:gridCol w:w="211"/>
        <w:gridCol w:w="862"/>
        <w:gridCol w:w="109"/>
        <w:gridCol w:w="109"/>
        <w:gridCol w:w="109"/>
        <w:gridCol w:w="109"/>
        <w:gridCol w:w="211"/>
        <w:gridCol w:w="1012"/>
        <w:gridCol w:w="109"/>
        <w:gridCol w:w="109"/>
        <w:gridCol w:w="109"/>
        <w:gridCol w:w="109"/>
        <w:gridCol w:w="211"/>
        <w:gridCol w:w="1012"/>
        <w:gridCol w:w="157"/>
      </w:tblGrid>
      <w:tr>
        <w:trPr/>
        <w:tc>
          <w:tcPr>
            <w:tcW w:w="151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 and diluted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(949,637)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(2,424,648)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(2,174,654)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income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(145,594)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income taxes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166,033 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210,283 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194,875 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Adjusted EBITDA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(613,050)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(624,051)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(1,859,018)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(1,978,291)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Adjusted Net Loss Attributable to Common Stockholders</w:t>
      </w:r>
    </w:p>
    <w:tbl>
      <w:tblPr>
        <w:tblW w:w="10205" w:type="dxa"/>
        <w:jc w:val="left"/>
        <w:tblInd w:w="0" w:type="dxa"/>
        <w:tblLayout w:type="fixed"/>
        <w:tblCellMar>
          <w:top w:w="28" w:type="dxa"/>
          <w:left w:w="28" w:type="dxa"/>
          <w:bottom w:w="28" w:type="dxa"/>
          <w:right w:w="28" w:type="dxa"/>
        </w:tblCellMar>
      </w:tblPr>
      <w:tblGrid>
        <w:gridCol w:w="1516"/>
        <w:gridCol w:w="1314"/>
        <w:gridCol w:w="1318"/>
        <w:gridCol w:w="211"/>
        <w:gridCol w:w="862"/>
        <w:gridCol w:w="109"/>
        <w:gridCol w:w="109"/>
        <w:gridCol w:w="109"/>
        <w:gridCol w:w="109"/>
        <w:gridCol w:w="211"/>
        <w:gridCol w:w="862"/>
        <w:gridCol w:w="109"/>
        <w:gridCol w:w="109"/>
        <w:gridCol w:w="109"/>
        <w:gridCol w:w="109"/>
        <w:gridCol w:w="211"/>
        <w:gridCol w:w="1012"/>
        <w:gridCol w:w="109"/>
        <w:gridCol w:w="109"/>
        <w:gridCol w:w="109"/>
        <w:gridCol w:w="109"/>
        <w:gridCol w:w="211"/>
        <w:gridCol w:w="1012"/>
        <w:gridCol w:w="157"/>
      </w:tblGrid>
      <w:tr>
        <w:trPr/>
        <w:tc>
          <w:tcPr>
            <w:tcW w:w="151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attributable to common stockholders, basic and diluted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(949,637)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(630,894)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(2,424,648)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(2,174,654)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210,283 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194,875 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(61,647)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Adjusted net loss attributable to common stockholders, basic and diluted (non-GAAP)</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(641,471)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(622,455)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(1,931,573)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(2,016,880)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Adjusted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434"/>
        <w:gridCol w:w="950"/>
        <w:gridCol w:w="953"/>
        <w:gridCol w:w="386"/>
        <w:gridCol w:w="965"/>
        <w:gridCol w:w="109"/>
        <w:gridCol w:w="109"/>
        <w:gridCol w:w="109"/>
        <w:gridCol w:w="109"/>
        <w:gridCol w:w="386"/>
        <w:gridCol w:w="965"/>
        <w:gridCol w:w="109"/>
        <w:gridCol w:w="109"/>
        <w:gridCol w:w="109"/>
        <w:gridCol w:w="109"/>
        <w:gridCol w:w="386"/>
        <w:gridCol w:w="965"/>
        <w:gridCol w:w="109"/>
        <w:gridCol w:w="109"/>
        <w:gridCol w:w="109"/>
        <w:gridCol w:w="109"/>
        <w:gridCol w:w="386"/>
        <w:gridCol w:w="965"/>
        <w:gridCol w:w="156"/>
      </w:tblGrid>
      <w:tr>
        <w:trPr/>
        <w:tc>
          <w:tcPr>
            <w:tcW w:w="143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Net loss per share attributable to common stockholders, basic and diluted (GAAP)</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(1.08)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charges</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common stock warrant liability</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equity securities of a related party</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derivative liabilities associated with redeemable convertible preferred stock (related party)</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of redeemable convertible preferred stock (related party)</w:t>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Adjusted net loss per share attributable to common stockholders, basic and diluted (non-GAAP)</w:t>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(0.84)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Weighted-average shares outstanding attributable to common stockholders, basic and diluted</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2,323,971,541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2,284,446,783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2,312,249,333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pPr>
            <w:r>
              <w:rPr>
                <w:rFonts w:ascii="Times New Roman;sans-serif" w:hAnsi="Times New Roman;sans-serif"/>
                <w:b/>
                <w:color w:val="000000"/>
                <w:sz w:val="19"/>
              </w:rPr>
              <w:t>2,010,916,100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LUCID GROUP, INC. </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RECONCILIATION OF GAAP TO NON-GAAP FINANCIAL MEASURES - CONTINUED</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(Unaudited)</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(in thousands)</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Free Cash Flow</w:t>
      </w:r>
    </w:p>
    <w:tbl>
      <w:tblPr>
        <w:tblW w:w="10050" w:type="dxa"/>
        <w:jc w:val="left"/>
        <w:tblInd w:w="0" w:type="dxa"/>
        <w:tblLayout w:type="fixed"/>
        <w:tblCellMar>
          <w:top w:w="28" w:type="dxa"/>
          <w:left w:w="28" w:type="dxa"/>
          <w:bottom w:w="28" w:type="dxa"/>
          <w:right w:w="28" w:type="dxa"/>
        </w:tblCellMar>
      </w:tblPr>
      <w:tblGrid>
        <w:gridCol w:w="1388"/>
        <w:gridCol w:w="1222"/>
        <w:gridCol w:w="1230"/>
        <w:gridCol w:w="211"/>
        <w:gridCol w:w="901"/>
        <w:gridCol w:w="109"/>
        <w:gridCol w:w="109"/>
        <w:gridCol w:w="109"/>
        <w:gridCol w:w="109"/>
        <w:gridCol w:w="211"/>
        <w:gridCol w:w="901"/>
        <w:gridCol w:w="109"/>
        <w:gridCol w:w="109"/>
        <w:gridCol w:w="109"/>
        <w:gridCol w:w="109"/>
        <w:gridCol w:w="211"/>
        <w:gridCol w:w="1051"/>
        <w:gridCol w:w="109"/>
        <w:gridCol w:w="109"/>
        <w:gridCol w:w="109"/>
        <w:gridCol w:w="109"/>
        <w:gridCol w:w="211"/>
        <w:gridCol w:w="1051"/>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9"/>
              </w:rPr>
            </w:pPr>
            <w:r>
              <w:rPr>
                <w:rFonts w:ascii="Times New Roman;sans-serif" w:hAnsi="Times New Roman;sans-serif"/>
                <w:b/>
                <w:color w:val="000000"/>
                <w:sz w:val="19"/>
              </w:rPr>
              <w:t>Net cash used in operating activities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(462,795)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(513,582)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(1,486,527)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(2,015,204)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Free cash flow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(622,489)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(706,099)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(2,078,733)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83"/>
              <w:jc w:val="right"/>
              <w:rPr>
                <w:rFonts w:ascii="Times New Roman;sans-serif" w:hAnsi="Times New Roman;sans-serif"/>
                <w:b/>
                <w:color w:val="000000"/>
                <w:sz w:val="19"/>
              </w:rPr>
            </w:pPr>
            <w:r>
              <w:rPr>
                <w:rFonts w:ascii="Times New Roman;sans-serif" w:hAnsi="Times New Roman;sans-serif"/>
                <w:b/>
                <w:color w:val="000000"/>
                <w:sz w:val="19"/>
              </w:rPr>
              <w:t>(2,653,206)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4475</Words>
  <Characters>27218</Characters>
  <CharactersWithSpaces>31224</CharactersWithSpaces>
  <Paragraphs>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