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2" w:lineRule="exact"/>
        <w:rPr>
          <w:sz w:val="24"/>
          <w:szCs w:val="24"/>
          <w:color w:val="auto"/>
        </w:rPr>
      </w:pPr>
    </w:p>
    <w:p>
      <w:pPr>
        <w:ind w:left="420" w:right="1680" w:hanging="367"/>
        <w:spacing w:after="0" w:line="302" w:lineRule="auto"/>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420" w:hanging="367"/>
        <w:spacing w:after="0"/>
        <w:tabs>
          <w:tab w:leader="none" w:pos="4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34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3340" w:type="dxa"/>
            <w:vAlign w:val="bottom"/>
          </w:tcPr>
          <w:p>
            <w:pPr>
              <w:spacing w:after="0"/>
              <w:rPr>
                <w:sz w:val="24"/>
                <w:szCs w:val="24"/>
                <w:color w:val="auto"/>
              </w:rPr>
            </w:pPr>
          </w:p>
        </w:tc>
        <w:tc>
          <w:tcPr>
            <w:tcW w:w="4340" w:type="dxa"/>
            <w:vAlign w:val="bottom"/>
            <w:gridSpan w:val="2"/>
          </w:tcPr>
          <w:p>
            <w:pPr>
              <w:jc w:val="center"/>
              <w:ind w:left="159"/>
              <w:spacing w:after="0"/>
              <w:rPr>
                <w:sz w:val="20"/>
                <w:szCs w:val="20"/>
                <w:color w:val="auto"/>
              </w:rPr>
            </w:pPr>
            <w:r>
              <w:rPr>
                <w:rFonts w:ascii="Times New Roman" w:cs="Times New Roman" w:eastAsia="Times New Roman" w:hAnsi="Times New Roman"/>
                <w:sz w:val="18"/>
                <w:szCs w:val="18"/>
                <w:b w:val="1"/>
                <w:bCs w:val="1"/>
                <w:color w:val="auto"/>
              </w:rPr>
              <w:t>Commission File Number: 001-39408</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Pr>
          <w:p>
            <w:pPr>
              <w:jc w:val="center"/>
              <w:ind w:right="604"/>
              <w:spacing w:after="0"/>
              <w:rPr>
                <w:sz w:val="20"/>
                <w:szCs w:val="20"/>
                <w:color w:val="auto"/>
              </w:rPr>
            </w:pPr>
            <w:r>
              <w:rPr>
                <w:rFonts w:ascii="Times New Roman" w:cs="Times New Roman" w:eastAsia="Times New Roman" w:hAnsi="Times New Roman"/>
                <w:sz w:val="32"/>
                <w:szCs w:val="32"/>
                <w:b w:val="1"/>
                <w:bCs w:val="1"/>
                <w:color w:val="auto"/>
              </w:rPr>
              <w:t>Lucid Group, Inc.</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4340" w:type="dxa"/>
            <w:vAlign w:val="bottom"/>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4"/>
        </w:trPr>
        <w:tc>
          <w:tcPr>
            <w:tcW w:w="3340" w:type="dxa"/>
            <w:vAlign w:val="bottom"/>
          </w:tcPr>
          <w:p>
            <w:pPr>
              <w:jc w:val="center"/>
              <w:ind w:left="139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940" w:type="dxa"/>
            <w:vAlign w:val="bottom"/>
          </w:tcPr>
          <w:p>
            <w:pPr>
              <w:spacing w:after="0"/>
              <w:rPr>
                <w:sz w:val="24"/>
                <w:szCs w:val="24"/>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85-0891392</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280" w:type="dxa"/>
            <w:vAlign w:val="bottom"/>
            <w:gridSpan w:val="2"/>
          </w:tcPr>
          <w:p>
            <w:pPr>
              <w:jc w:val="center"/>
              <w:ind w:left="459"/>
              <w:spacing w:after="0"/>
              <w:rPr>
                <w:sz w:val="20"/>
                <w:szCs w:val="20"/>
                <w:color w:val="auto"/>
              </w:rPr>
            </w:pPr>
            <w:r>
              <w:rPr>
                <w:rFonts w:ascii="Times New Roman" w:cs="Times New Roman" w:eastAsia="Times New Roman" w:hAnsi="Times New Roman"/>
                <w:sz w:val="14"/>
                <w:szCs w:val="14"/>
                <w:b w:val="1"/>
                <w:bCs w:val="1"/>
                <w:i w:val="1"/>
                <w:iCs w:val="1"/>
                <w:color w:val="auto"/>
              </w:rPr>
              <w:t>(State or other jurisdiction of incorporation or organization)</w:t>
            </w:r>
          </w:p>
        </w:tc>
        <w:tc>
          <w:tcPr>
            <w:tcW w:w="6740" w:type="dxa"/>
            <w:vAlign w:val="bottom"/>
            <w:gridSpan w:val="2"/>
          </w:tcPr>
          <w:p>
            <w:pPr>
              <w:jc w:val="center"/>
              <w:ind w:right="759"/>
              <w:spacing w:after="0"/>
              <w:rPr>
                <w:sz w:val="20"/>
                <w:szCs w:val="20"/>
                <w:color w:val="auto"/>
              </w:rPr>
            </w:pPr>
            <w:r>
              <w:rPr>
                <w:rFonts w:ascii="Times New Roman" w:cs="Times New Roman" w:eastAsia="Times New Roman" w:hAnsi="Times New Roman"/>
                <w:sz w:val="14"/>
                <w:szCs w:val="14"/>
                <w:b w:val="1"/>
                <w:bCs w:val="1"/>
                <w:i w:val="1"/>
                <w:iCs w:val="1"/>
                <w:color w:val="auto"/>
              </w:rPr>
              <w:t>(I.R.S. Employer Identification No.)</w:t>
            </w:r>
          </w:p>
        </w:tc>
        <w:tc>
          <w:tcPr>
            <w:tcW w:w="0" w:type="dxa"/>
            <w:vAlign w:val="bottom"/>
          </w:tcPr>
          <w:p>
            <w:pPr>
              <w:spacing w:after="0"/>
              <w:rPr>
                <w:sz w:val="1"/>
                <w:szCs w:val="1"/>
                <w:color w:val="auto"/>
              </w:rPr>
            </w:pPr>
          </w:p>
        </w:tc>
      </w:tr>
      <w:tr>
        <w:trPr>
          <w:trHeight w:val="442"/>
        </w:trPr>
        <w:tc>
          <w:tcPr>
            <w:tcW w:w="3340" w:type="dxa"/>
            <w:vAlign w:val="bottom"/>
          </w:tcPr>
          <w:p>
            <w:pPr>
              <w:spacing w:after="0"/>
              <w:rPr>
                <w:sz w:val="24"/>
                <w:szCs w:val="24"/>
                <w:color w:val="auto"/>
              </w:rPr>
            </w:pPr>
          </w:p>
        </w:tc>
        <w:tc>
          <w:tcPr>
            <w:tcW w:w="4340" w:type="dxa"/>
            <w:vAlign w:val="bottom"/>
            <w:gridSpan w:val="2"/>
          </w:tcPr>
          <w:p>
            <w:pPr>
              <w:jc w:val="center"/>
              <w:ind w:left="139"/>
              <w:spacing w:after="0"/>
              <w:rPr>
                <w:sz w:val="20"/>
                <w:szCs w:val="20"/>
                <w:color w:val="auto"/>
              </w:rPr>
            </w:pPr>
            <w:r>
              <w:rPr>
                <w:rFonts w:ascii="Times New Roman" w:cs="Times New Roman" w:eastAsia="Times New Roman" w:hAnsi="Times New Roman"/>
                <w:sz w:val="18"/>
                <w:szCs w:val="18"/>
                <w:b w:val="1"/>
                <w:bCs w:val="1"/>
                <w:color w:val="auto"/>
              </w:rPr>
              <w:t>7373 Gateway Boulevard, Newark, CA 94560</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4340" w:type="dxa"/>
            <w:vAlign w:val="bottom"/>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 (Zip code)</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Pr>
          <w:p>
            <w:pPr>
              <w:jc w:val="center"/>
              <w:ind w:right="624"/>
              <w:spacing w:after="0"/>
              <w:rPr>
                <w:sz w:val="20"/>
                <w:szCs w:val="20"/>
                <w:color w:val="auto"/>
              </w:rPr>
            </w:pPr>
            <w:r>
              <w:rPr>
                <w:rFonts w:ascii="Times New Roman" w:cs="Times New Roman" w:eastAsia="Times New Roman" w:hAnsi="Times New Roman"/>
                <w:sz w:val="18"/>
                <w:szCs w:val="18"/>
                <w:b w:val="1"/>
                <w:bCs w:val="1"/>
                <w:color w:val="auto"/>
                <w:w w:val="99"/>
              </w:rPr>
              <w:t>(510) 648-3553</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4340" w:type="dxa"/>
            <w:vAlign w:val="bottom"/>
            <w:gridSpan w:val="2"/>
          </w:tcPr>
          <w:p>
            <w:pPr>
              <w:jc w:val="center"/>
              <w:ind w:left="139"/>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94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340" w:type="dxa"/>
            <w:vAlign w:val="bottom"/>
          </w:tcPr>
          <w:p>
            <w:pPr>
              <w:jc w:val="center"/>
              <w:ind w:left="1139"/>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94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7"/>
        </w:trPr>
        <w:tc>
          <w:tcPr>
            <w:tcW w:w="4280" w:type="dxa"/>
            <w:vAlign w:val="bottom"/>
            <w:gridSpan w:val="2"/>
          </w:tcPr>
          <w:p>
            <w:pPr>
              <w:jc w:val="center"/>
              <w:ind w:left="179"/>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LCID</w:t>
            </w:r>
          </w:p>
        </w:tc>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81"/>
        </w:trPr>
        <w:tc>
          <w:tcPr>
            <w:tcW w:w="3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73" w:lineRule="exact"/>
        <w:rPr>
          <w:sz w:val="24"/>
          <w:szCs w:val="24"/>
          <w:color w:val="auto"/>
        </w:rPr>
      </w:pPr>
    </w:p>
    <w:p>
      <w:pPr>
        <w:ind w:right="20"/>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40"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14"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1180" w:type="dxa"/>
        <w:tblCellMar>
          <w:top w:w="0" w:type="dxa"/>
          <w:left w:w="0" w:type="dxa"/>
          <w:bottom w:w="0" w:type="dxa"/>
          <w:right w:w="0" w:type="dxa"/>
        </w:tblCellMar>
      </w:tblPr>
      <w:tr>
        <w:trPr>
          <w:trHeight w:val="18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740" w:type="dxa"/>
            <w:vAlign w:val="bottom"/>
            <w:vMerge w:val="restart"/>
          </w:tcPr>
          <w:p>
            <w:pPr>
              <w:jc w:val="right"/>
              <w:ind w:right="688"/>
              <w:spacing w:after="0"/>
              <w:rPr>
                <w:sz w:val="20"/>
                <w:szCs w:val="20"/>
                <w:color w:val="auto"/>
              </w:rPr>
            </w:pPr>
            <w:r>
              <w:rPr>
                <w:rFonts w:ascii="Wingdings" w:cs="Wingdings" w:eastAsia="Wingdings" w:hAnsi="Wingdings"/>
                <w:sz w:val="14"/>
                <w:szCs w:val="14"/>
                <w:b w:val="1"/>
                <w:bCs w:val="1"/>
                <w:color w:val="auto"/>
              </w:rPr>
              <w:t>x</w:t>
            </w:r>
          </w:p>
        </w:tc>
        <w:tc>
          <w:tcPr>
            <w:tcW w:w="34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rPr>
              <w:t>Accelerated Filer</w:t>
            </w:r>
          </w:p>
        </w:tc>
        <w:tc>
          <w:tcPr>
            <w:tcW w:w="1080" w:type="dxa"/>
            <w:vAlign w:val="bottom"/>
            <w:vMerge w:val="restart"/>
          </w:tcPr>
          <w:p>
            <w:pPr>
              <w:ind w:left="960"/>
              <w:spacing w:after="0"/>
              <w:rPr>
                <w:sz w:val="20"/>
                <w:szCs w:val="20"/>
                <w:color w:val="auto"/>
              </w:rPr>
            </w:pPr>
            <w:r>
              <w:rPr>
                <w:rFonts w:ascii="Wingdings" w:cs="Wingdings" w:eastAsia="Wingdings" w:hAnsi="Wingdings"/>
                <w:sz w:val="14"/>
                <w:szCs w:val="14"/>
                <w:b w:val="1"/>
                <w:bCs w:val="1"/>
                <w:color w:val="auto"/>
                <w:w w:val="79"/>
              </w:rPr>
              <w:t>o</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34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22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2"/>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1740" w:type="dxa"/>
            <w:vAlign w:val="bottom"/>
          </w:tcPr>
          <w:p>
            <w:pPr>
              <w:jc w:val="right"/>
              <w:ind w:right="688"/>
              <w:spacing w:after="0"/>
              <w:rPr>
                <w:sz w:val="20"/>
                <w:szCs w:val="20"/>
                <w:color w:val="auto"/>
              </w:rPr>
            </w:pPr>
            <w:r>
              <w:rPr>
                <w:rFonts w:ascii="Wingdings" w:cs="Wingdings" w:eastAsia="Wingdings" w:hAnsi="Wingdings"/>
                <w:sz w:val="14"/>
                <w:szCs w:val="14"/>
                <w:b w:val="1"/>
                <w:bCs w:val="1"/>
                <w:color w:val="auto"/>
              </w:rPr>
              <w:t>o</w:t>
            </w:r>
          </w:p>
        </w:tc>
        <w:tc>
          <w:tcPr>
            <w:tcW w:w="342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80" w:type="dxa"/>
            <w:vAlign w:val="bottom"/>
          </w:tcPr>
          <w:p>
            <w:pPr>
              <w:ind w:left="960"/>
              <w:spacing w:after="0"/>
              <w:rPr>
                <w:sz w:val="20"/>
                <w:szCs w:val="20"/>
                <w:color w:val="auto"/>
              </w:rPr>
            </w:pPr>
            <w:r>
              <w:rPr>
                <w:rFonts w:ascii="Wingdings" w:cs="Wingdings" w:eastAsia="Wingdings" w:hAnsi="Wingdings"/>
                <w:sz w:val="14"/>
                <w:szCs w:val="14"/>
                <w:b w:val="1"/>
                <w:bCs w:val="1"/>
                <w:color w:val="auto"/>
                <w:w w:val="79"/>
              </w:rPr>
              <w:t>o</w:t>
            </w:r>
          </w:p>
        </w:tc>
        <w:tc>
          <w:tcPr>
            <w:tcW w:w="0" w:type="dxa"/>
            <w:vAlign w:val="bottom"/>
          </w:tcPr>
          <w:p>
            <w:pPr>
              <w:spacing w:after="0"/>
              <w:rPr>
                <w:sz w:val="1"/>
                <w:szCs w:val="1"/>
                <w:color w:val="auto"/>
              </w:rPr>
            </w:pPr>
          </w:p>
        </w:tc>
      </w:tr>
      <w:tr>
        <w:trPr>
          <w:trHeight w:val="323"/>
        </w:trPr>
        <w:tc>
          <w:tcPr>
            <w:tcW w:w="2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2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80" w:type="dxa"/>
            <w:vAlign w:val="bottom"/>
          </w:tcPr>
          <w:p>
            <w:pPr>
              <w:ind w:left="960"/>
              <w:spacing w:after="0"/>
              <w:rPr>
                <w:sz w:val="20"/>
                <w:szCs w:val="20"/>
                <w:color w:val="auto"/>
              </w:rPr>
            </w:pPr>
            <w:r>
              <w:rPr>
                <w:rFonts w:ascii="Wingdings" w:cs="Wingdings" w:eastAsia="Wingdings" w:hAnsi="Wingdings"/>
                <w:sz w:val="14"/>
                <w:szCs w:val="14"/>
                <w:b w:val="1"/>
                <w:bCs w:val="1"/>
                <w:color w:val="auto"/>
                <w:w w:val="79"/>
              </w:rPr>
              <w:t>o</w:t>
            </w:r>
          </w:p>
        </w:tc>
        <w:tc>
          <w:tcPr>
            <w:tcW w:w="0" w:type="dxa"/>
            <w:vAlign w:val="bottom"/>
          </w:tcPr>
          <w:p>
            <w:pPr>
              <w:spacing w:after="0"/>
              <w:rPr>
                <w:sz w:val="1"/>
                <w:szCs w:val="1"/>
                <w:color w:val="auto"/>
              </w:rPr>
            </w:pPr>
          </w:p>
        </w:tc>
      </w:tr>
    </w:tbl>
    <w:p>
      <w:pPr>
        <w:spacing w:after="0" w:line="204"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4" w:lineRule="exact"/>
        <w:rPr>
          <w:sz w:val="24"/>
          <w:szCs w:val="24"/>
          <w:color w:val="auto"/>
        </w:rPr>
      </w:pPr>
    </w:p>
    <w:p>
      <w:pPr>
        <w:spacing w:after="0"/>
        <w:tabs>
          <w:tab w:leader="none" w:pos="71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Yes</w:t>
      </w:r>
      <w:r>
        <w:rPr>
          <w:sz w:val="20"/>
          <w:szCs w:val="20"/>
          <w:color w:val="auto"/>
        </w:rPr>
        <w:tab/>
      </w:r>
      <w:r>
        <w:rPr>
          <w:rFonts w:ascii="Wingdings" w:cs="Wingdings" w:eastAsia="Wingdings" w:hAnsi="Wingdings"/>
          <w:sz w:val="12"/>
          <w:szCs w:val="12"/>
          <w:b w:val="1"/>
          <w:bCs w:val="1"/>
          <w:color w:val="auto"/>
        </w:rPr>
        <w:t xml:space="preserve">x </w:t>
      </w:r>
      <w:r>
        <w:rPr>
          <w:rFonts w:ascii="Times New Roman" w:cs="Times New Roman" w:eastAsia="Times New Roman" w:hAnsi="Times New Roman"/>
          <w:sz w:val="12"/>
          <w:szCs w:val="12"/>
          <w:color w:val="auto"/>
        </w:rPr>
        <w:t>No</w:t>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Number of shares of the registrant’s common stock outstanding at April 30, 2025: 3,050,262,035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1065530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80" w:type="dxa"/>
            <w:vAlign w:val="bottom"/>
            <w:gridSpan w:val="11"/>
          </w:tcPr>
          <w:p>
            <w:pPr>
              <w:ind w:left="880"/>
              <w:spacing w:after="0"/>
              <w:rPr>
                <w:sz w:val="20"/>
                <w:szCs w:val="20"/>
                <w:color w:val="auto"/>
              </w:rPr>
            </w:pPr>
            <w:r>
              <w:rPr>
                <w:rFonts w:ascii="Times New Roman" w:cs="Times New Roman" w:eastAsia="Times New Roman" w:hAnsi="Times New Roman"/>
                <w:sz w:val="18"/>
                <w:szCs w:val="18"/>
                <w:b w:val="1"/>
                <w:bCs w:val="1"/>
                <w:color w:val="auto"/>
              </w:rPr>
              <w:t>INDEX TO FORM 10-Q</w:t>
            </w: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600" w:type="dxa"/>
            <w:vAlign w:val="bottom"/>
          </w:tcPr>
          <w:p>
            <w:pPr>
              <w:spacing w:after="0"/>
              <w:rPr>
                <w:sz w:val="24"/>
                <w:szCs w:val="24"/>
                <w:color w:val="auto"/>
              </w:rPr>
            </w:pPr>
          </w:p>
        </w:tc>
        <w:tc>
          <w:tcPr>
            <w:tcW w:w="928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E32E1"/>
              </w:rPr>
              <w:t>PART I. FINANCIAL INFORMATION</w:t>
            </w: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9280" w:type="dxa"/>
            <w:vAlign w:val="bottom"/>
            <w:gridSpan w:val="23"/>
            <w:vMerge w:val="continue"/>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94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60" w:type="dxa"/>
            <w:vAlign w:val="bottom"/>
            <w:tcBorders>
              <w:bottom w:val="single" w:sz="8" w:color="0E32E1"/>
            </w:tcBorders>
            <w:gridSpan w:val="12"/>
          </w:tcPr>
          <w:p>
            <w:pPr>
              <w:spacing w:after="0"/>
              <w:rPr>
                <w:sz w:val="20"/>
                <w:szCs w:val="20"/>
                <w:color w:val="auto"/>
              </w:rPr>
            </w:pPr>
            <w:r>
              <w:rPr>
                <w:rFonts w:ascii="Times New Roman" w:cs="Times New Roman" w:eastAsia="Times New Roman" w:hAnsi="Times New Roman"/>
                <w:sz w:val="18"/>
                <w:szCs w:val="18"/>
                <w:color w:val="0E32E1"/>
                <w:w w:val="99"/>
              </w:rPr>
              <w:t>Cautionary Note Regarding Forward-Looking Statements</w:t>
            </w:r>
          </w:p>
        </w:tc>
        <w:tc>
          <w:tcPr>
            <w:tcW w:w="4180" w:type="dxa"/>
            <w:vAlign w:val="bottom"/>
            <w:gridSpan w:val="10"/>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3</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00" w:type="dxa"/>
            <w:vAlign w:val="bottom"/>
            <w:tcBorders>
              <w:bottom w:val="single" w:sz="8" w:color="0E32E1"/>
            </w:tcBorders>
            <w:gridSpan w:val="8"/>
          </w:tcPr>
          <w:p>
            <w:pPr>
              <w:spacing w:after="0"/>
              <w:rPr>
                <w:sz w:val="20"/>
                <w:szCs w:val="20"/>
                <w:color w:val="auto"/>
              </w:rPr>
            </w:pPr>
            <w:r>
              <w:rPr>
                <w:rFonts w:ascii="Times New Roman" w:cs="Times New Roman" w:eastAsia="Times New Roman" w:hAnsi="Times New Roman"/>
                <w:sz w:val="18"/>
                <w:szCs w:val="18"/>
                <w:color w:val="0E32E1"/>
                <w:w w:val="98"/>
              </w:rPr>
              <w:t>Frequently Used Terms</w:t>
            </w:r>
          </w:p>
        </w:tc>
        <w:tc>
          <w:tcPr>
            <w:tcW w:w="6640" w:type="dxa"/>
            <w:vAlign w:val="bottom"/>
            <w:gridSpan w:val="14"/>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6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340" w:type="dxa"/>
            <w:vAlign w:val="bottom"/>
            <w:gridSpan w:val="22"/>
          </w:tcPr>
          <w:p>
            <w:pPr>
              <w:spacing w:after="0"/>
              <w:rPr>
                <w:sz w:val="20"/>
                <w:szCs w:val="20"/>
                <w:color w:val="auto"/>
              </w:rPr>
            </w:pPr>
            <w:r>
              <w:rPr>
                <w:rFonts w:ascii="Times New Roman" w:cs="Times New Roman" w:eastAsia="Times New Roman" w:hAnsi="Times New Roman"/>
                <w:sz w:val="18"/>
                <w:szCs w:val="18"/>
                <w:color w:val="0E32E1"/>
              </w:rPr>
              <w:t>Condensed Consolidated Financial Statements (Unaudited)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2000" w:type="dxa"/>
            <w:vAlign w:val="bottom"/>
            <w:gridSpan w:val="2"/>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0" w:type="dxa"/>
            <w:vAlign w:val="bottom"/>
            <w:tcBorders>
              <w:bottom w:val="single" w:sz="8" w:color="0E32E1"/>
            </w:tcBorders>
            <w:gridSpan w:val="18"/>
          </w:tcPr>
          <w:p>
            <w:pPr>
              <w:spacing w:after="0"/>
              <w:rPr>
                <w:sz w:val="20"/>
                <w:szCs w:val="20"/>
                <w:color w:val="auto"/>
              </w:rPr>
            </w:pPr>
            <w:r>
              <w:rPr>
                <w:rFonts w:ascii="Times New Roman" w:cs="Times New Roman" w:eastAsia="Times New Roman" w:hAnsi="Times New Roman"/>
                <w:sz w:val="18"/>
                <w:szCs w:val="18"/>
                <w:color w:val="0E32E1"/>
                <w:w w:val="99"/>
              </w:rPr>
              <w:t>Condensed Consolidated Balance Sheets as of March 31, 2025 and December 31, 2024 (Unaudited)</w:t>
            </w:r>
          </w:p>
        </w:tc>
        <w:tc>
          <w:tcPr>
            <w:tcW w:w="114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340" w:type="dxa"/>
            <w:vAlign w:val="bottom"/>
            <w:gridSpan w:val="22"/>
          </w:tcPr>
          <w:p>
            <w:pPr>
              <w:spacing w:after="0"/>
              <w:rPr>
                <w:sz w:val="20"/>
                <w:szCs w:val="20"/>
                <w:color w:val="auto"/>
              </w:rPr>
            </w:pPr>
            <w:r>
              <w:rPr>
                <w:rFonts w:ascii="Times New Roman" w:cs="Times New Roman" w:eastAsia="Times New Roman" w:hAnsi="Times New Roman"/>
                <w:sz w:val="18"/>
                <w:szCs w:val="18"/>
                <w:color w:val="0E32E1"/>
              </w:rPr>
              <w:t>Condensed Consolidated Statements of Operations and Comprehensive Loss for the Three Months Ended March</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60" w:type="dxa"/>
            <w:vAlign w:val="bottom"/>
            <w:tcBorders>
              <w:top w:val="single" w:sz="8" w:color="0E32E1"/>
              <w:bottom w:val="single" w:sz="8" w:color="0E32E1"/>
            </w:tcBorders>
            <w:gridSpan w:val="11"/>
          </w:tcPr>
          <w:p>
            <w:pPr>
              <w:spacing w:after="0" w:line="156" w:lineRule="exact"/>
              <w:rPr>
                <w:sz w:val="20"/>
                <w:szCs w:val="20"/>
                <w:color w:val="auto"/>
              </w:rPr>
            </w:pPr>
            <w:r>
              <w:rPr>
                <w:rFonts w:ascii="Times New Roman" w:cs="Times New Roman" w:eastAsia="Times New Roman" w:hAnsi="Times New Roman"/>
                <w:sz w:val="18"/>
                <w:szCs w:val="18"/>
                <w:color w:val="0E32E1"/>
                <w:w w:val="99"/>
              </w:rPr>
              <w:t>31, 2025 and 2024 (Unaudited)</w:t>
            </w:r>
          </w:p>
        </w:tc>
        <w:tc>
          <w:tcPr>
            <w:tcW w:w="5860" w:type="dxa"/>
            <w:vAlign w:val="bottom"/>
            <w:tcBorders>
              <w:top w:val="single" w:sz="8" w:color="0E32E1"/>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340" w:type="dxa"/>
            <w:vAlign w:val="bottom"/>
            <w:gridSpan w:val="22"/>
          </w:tcPr>
          <w:p>
            <w:pPr>
              <w:spacing w:after="0"/>
              <w:rPr>
                <w:sz w:val="20"/>
                <w:szCs w:val="20"/>
                <w:color w:val="auto"/>
              </w:rPr>
            </w:pPr>
            <w:r>
              <w:rPr>
                <w:rFonts w:ascii="Times New Roman" w:cs="Times New Roman" w:eastAsia="Times New Roman" w:hAnsi="Times New Roman"/>
                <w:sz w:val="18"/>
                <w:szCs w:val="18"/>
                <w:color w:val="0E32E1"/>
              </w:rPr>
              <w:t>Condensed Consolidated Statements of Redeemable Convertible Preferred Stock and Stockholders’ Equity for the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340" w:type="dxa"/>
            <w:vAlign w:val="bottom"/>
            <w:tcBorders>
              <w:top w:val="single" w:sz="8" w:color="0E32E1"/>
              <w:bottom w:val="single" w:sz="8" w:color="0E32E1"/>
            </w:tcBorders>
            <w:gridSpan w:val="14"/>
          </w:tcPr>
          <w:p>
            <w:pPr>
              <w:spacing w:after="0" w:line="156" w:lineRule="exact"/>
              <w:rPr>
                <w:sz w:val="20"/>
                <w:szCs w:val="20"/>
                <w:color w:val="auto"/>
              </w:rPr>
            </w:pPr>
            <w:r>
              <w:rPr>
                <w:rFonts w:ascii="Times New Roman" w:cs="Times New Roman" w:eastAsia="Times New Roman" w:hAnsi="Times New Roman"/>
                <w:sz w:val="18"/>
                <w:szCs w:val="18"/>
                <w:color w:val="0E32E1"/>
                <w:w w:val="99"/>
              </w:rPr>
              <w:t>Three Months Ended March 31, 2025 and 2024 (Unaudited)</w:t>
            </w:r>
          </w:p>
        </w:tc>
        <w:tc>
          <w:tcPr>
            <w:tcW w:w="3880" w:type="dxa"/>
            <w:vAlign w:val="bottom"/>
            <w:tcBorders>
              <w:top w:val="single" w:sz="8" w:color="0E32E1"/>
            </w:tcBorders>
            <w:gridSpan w:val="7"/>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340" w:type="dxa"/>
            <w:vAlign w:val="bottom"/>
            <w:gridSpan w:val="22"/>
          </w:tcPr>
          <w:p>
            <w:pPr>
              <w:spacing w:after="0"/>
              <w:rPr>
                <w:sz w:val="20"/>
                <w:szCs w:val="20"/>
                <w:color w:val="auto"/>
              </w:rPr>
            </w:pPr>
            <w:r>
              <w:rPr>
                <w:rFonts w:ascii="Times New Roman" w:cs="Times New Roman" w:eastAsia="Times New Roman" w:hAnsi="Times New Roman"/>
                <w:sz w:val="18"/>
                <w:szCs w:val="18"/>
                <w:color w:val="0E32E1"/>
              </w:rPr>
              <w:t>Condensed Consolidated Statements of Cash Flows for the Three Months Ended March 31, 2025 and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Borders>
              <w:top w:val="single" w:sz="8" w:color="0E32E1"/>
              <w:bottom w:val="single" w:sz="8" w:color="0E32E1"/>
            </w:tcBorders>
            <w:gridSpan w:val="3"/>
          </w:tcPr>
          <w:p>
            <w:pPr>
              <w:spacing w:after="0" w:line="156" w:lineRule="exact"/>
              <w:rPr>
                <w:sz w:val="20"/>
                <w:szCs w:val="20"/>
                <w:color w:val="auto"/>
              </w:rPr>
            </w:pPr>
            <w:r>
              <w:rPr>
                <w:rFonts w:ascii="Times New Roman" w:cs="Times New Roman" w:eastAsia="Times New Roman" w:hAnsi="Times New Roman"/>
                <w:sz w:val="18"/>
                <w:szCs w:val="18"/>
                <w:color w:val="0E32E1"/>
                <w:w w:val="98"/>
              </w:rPr>
              <w:t>(Unaudited)</w:t>
            </w:r>
          </w:p>
        </w:tc>
        <w:tc>
          <w:tcPr>
            <w:tcW w:w="6820" w:type="dxa"/>
            <w:vAlign w:val="bottom"/>
            <w:tcBorders>
              <w:top w:val="single" w:sz="8" w:color="0E32E1"/>
            </w:tcBorders>
            <w:gridSpan w:val="16"/>
          </w:tcPr>
          <w:p>
            <w:pPr>
              <w:spacing w:after="0"/>
              <w:rPr>
                <w:sz w:val="13"/>
                <w:szCs w:val="13"/>
                <w:color w:val="auto"/>
              </w:rPr>
            </w:pPr>
          </w:p>
        </w:tc>
        <w:tc>
          <w:tcPr>
            <w:tcW w:w="640" w:type="dxa"/>
            <w:vAlign w:val="bottom"/>
            <w:gridSpan w:val="3"/>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920" w:type="dxa"/>
            <w:vAlign w:val="bottom"/>
            <w:tcBorders>
              <w:bottom w:val="single" w:sz="8" w:color="0E32E1"/>
            </w:tcBorders>
            <w:gridSpan w:val="16"/>
          </w:tcPr>
          <w:p>
            <w:pPr>
              <w:spacing w:after="0"/>
              <w:rPr>
                <w:sz w:val="20"/>
                <w:szCs w:val="20"/>
                <w:color w:val="auto"/>
              </w:rPr>
            </w:pPr>
            <w:r>
              <w:rPr>
                <w:rFonts w:ascii="Times New Roman" w:cs="Times New Roman" w:eastAsia="Times New Roman" w:hAnsi="Times New Roman"/>
                <w:sz w:val="18"/>
                <w:szCs w:val="18"/>
                <w:color w:val="0E32E1"/>
                <w:w w:val="99"/>
              </w:rPr>
              <w:t>Notes to Condensed Consolidated Financial Statements (Unaudited)</w:t>
            </w:r>
          </w:p>
        </w:tc>
        <w:tc>
          <w:tcPr>
            <w:tcW w:w="3420" w:type="dxa"/>
            <w:vAlign w:val="bottom"/>
            <w:gridSpan w:val="6"/>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340" w:type="dxa"/>
            <w:vAlign w:val="bottom"/>
            <w:gridSpan w:val="22"/>
          </w:tcPr>
          <w:p>
            <w:pPr>
              <w:spacing w:after="0"/>
              <w:rPr>
                <w:sz w:val="20"/>
                <w:szCs w:val="20"/>
                <w:color w:val="auto"/>
              </w:rPr>
            </w:pPr>
            <w:r>
              <w:rPr>
                <w:rFonts w:ascii="Times New Roman" w:cs="Times New Roman" w:eastAsia="Times New Roman" w:hAnsi="Times New Roman"/>
                <w:sz w:val="18"/>
                <w:szCs w:val="18"/>
                <w:color w:val="0E32E1"/>
              </w:rPr>
              <w:t>Management’s Discussion and Analysis of Financial Condition and Results of Operations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E32E1"/>
            </w:tcBorders>
            <w:gridSpan w:val="17"/>
          </w:tcPr>
          <w:p>
            <w:pPr>
              <w:spacing w:after="0"/>
              <w:rPr>
                <w:sz w:val="20"/>
                <w:szCs w:val="20"/>
                <w:color w:val="auto"/>
              </w:rPr>
            </w:pPr>
            <w:r>
              <w:rPr>
                <w:rFonts w:ascii="Times New Roman" w:cs="Times New Roman" w:eastAsia="Times New Roman" w:hAnsi="Times New Roman"/>
                <w:sz w:val="18"/>
                <w:szCs w:val="18"/>
                <w:color w:val="0E32E1"/>
              </w:rPr>
              <w:t>Quantitative and Qualitative Disclosures About Market Risk</w:t>
            </w:r>
          </w:p>
        </w:tc>
        <w:tc>
          <w:tcPr>
            <w:tcW w:w="188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E32E1"/>
              <w:bottom w:val="single" w:sz="8" w:color="0E32E1"/>
            </w:tcBorders>
            <w:gridSpan w:val="9"/>
          </w:tcPr>
          <w:p>
            <w:pPr>
              <w:spacing w:after="0"/>
              <w:rPr>
                <w:sz w:val="20"/>
                <w:szCs w:val="20"/>
                <w:color w:val="auto"/>
              </w:rPr>
            </w:pPr>
            <w:r>
              <w:rPr>
                <w:rFonts w:ascii="Times New Roman" w:cs="Times New Roman" w:eastAsia="Times New Roman" w:hAnsi="Times New Roman"/>
                <w:sz w:val="18"/>
                <w:szCs w:val="18"/>
                <w:color w:val="0E32E1"/>
                <w:w w:val="99"/>
              </w:rPr>
              <w:t>Controls and Procedures</w:t>
            </w:r>
          </w:p>
        </w:tc>
        <w:tc>
          <w:tcPr>
            <w:tcW w:w="2580" w:type="dxa"/>
            <w:vAlign w:val="bottom"/>
            <w:tcBorders>
              <w:top w:val="single" w:sz="8" w:color="0E32E1"/>
            </w:tcBorders>
            <w:gridSpan w:val="6"/>
          </w:tcPr>
          <w:p>
            <w:pPr>
              <w:spacing w:after="0"/>
              <w:rPr>
                <w:sz w:val="18"/>
                <w:szCs w:val="18"/>
                <w:color w:val="auto"/>
              </w:rPr>
            </w:pPr>
          </w:p>
        </w:tc>
        <w:tc>
          <w:tcPr>
            <w:tcW w:w="398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600" w:type="dxa"/>
            <w:vAlign w:val="bottom"/>
          </w:tcPr>
          <w:p>
            <w:pPr>
              <w:spacing w:after="0"/>
              <w:rPr>
                <w:sz w:val="24"/>
                <w:szCs w:val="24"/>
                <w:color w:val="auto"/>
              </w:rPr>
            </w:pPr>
          </w:p>
        </w:tc>
        <w:tc>
          <w:tcPr>
            <w:tcW w:w="2580" w:type="dxa"/>
            <w:vAlign w:val="bottom"/>
            <w:tcBorders>
              <w:bottom w:val="single" w:sz="8" w:color="0E32E1"/>
            </w:tcBorders>
            <w:gridSpan w:val="8"/>
          </w:tcPr>
          <w:p>
            <w:pPr>
              <w:spacing w:after="0"/>
              <w:rPr>
                <w:sz w:val="20"/>
                <w:szCs w:val="20"/>
                <w:color w:val="auto"/>
              </w:rPr>
            </w:pPr>
            <w:r>
              <w:rPr>
                <w:rFonts w:ascii="Times New Roman" w:cs="Times New Roman" w:eastAsia="Times New Roman" w:hAnsi="Times New Roman"/>
                <w:sz w:val="18"/>
                <w:szCs w:val="18"/>
                <w:color w:val="0E32E1"/>
                <w:w w:val="97"/>
              </w:rPr>
              <w:t>PART II. OTHER INFORMATION</w:t>
            </w:r>
          </w:p>
        </w:tc>
        <w:tc>
          <w:tcPr>
            <w:tcW w:w="6700" w:type="dxa"/>
            <w:vAlign w:val="bottom"/>
            <w:gridSpan w:val="15"/>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8"/>
              </w:rPr>
              <w:t>Legal Proceedings</w:t>
            </w:r>
          </w:p>
        </w:tc>
        <w:tc>
          <w:tcPr>
            <w:tcW w:w="7000" w:type="dxa"/>
            <w:vAlign w:val="bottom"/>
            <w:gridSpan w:val="16"/>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340" w:type="dxa"/>
            <w:vAlign w:val="bottom"/>
            <w:gridSpan w:val="22"/>
          </w:tcPr>
          <w:p>
            <w:pPr>
              <w:spacing w:after="0"/>
              <w:rPr>
                <w:sz w:val="20"/>
                <w:szCs w:val="20"/>
                <w:color w:val="auto"/>
              </w:rPr>
            </w:pPr>
            <w:r>
              <w:rPr>
                <w:rFonts w:ascii="Times New Roman" w:cs="Times New Roman" w:eastAsia="Times New Roman" w:hAnsi="Times New Roman"/>
                <w:sz w:val="18"/>
                <w:szCs w:val="18"/>
                <w:color w:val="0E32E1"/>
              </w:rPr>
              <w:t>Risk Factors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20" w:type="dxa"/>
            <w:vAlign w:val="bottom"/>
            <w:gridSpan w:val="1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color w:val="0E32E1"/>
                <w:w w:val="98"/>
              </w:rPr>
              <w:t>Other Information</w:t>
            </w:r>
          </w:p>
        </w:tc>
        <w:tc>
          <w:tcPr>
            <w:tcW w:w="7020" w:type="dxa"/>
            <w:vAlign w:val="bottom"/>
            <w:gridSpan w:val="17"/>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340" w:type="dxa"/>
            <w:vAlign w:val="bottom"/>
            <w:gridSpan w:val="22"/>
          </w:tcPr>
          <w:p>
            <w:pPr>
              <w:spacing w:after="0"/>
              <w:rPr>
                <w:sz w:val="20"/>
                <w:szCs w:val="20"/>
                <w:color w:val="auto"/>
              </w:rPr>
            </w:pPr>
            <w:r>
              <w:rPr>
                <w:rFonts w:ascii="Times New Roman" w:cs="Times New Roman" w:eastAsia="Times New Roman" w:hAnsi="Times New Roman"/>
                <w:sz w:val="18"/>
                <w:szCs w:val="18"/>
                <w:color w:val="0E32E1"/>
              </w:rPr>
              <w:t>Exhibits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7740" w:type="dxa"/>
            <w:vAlign w:val="bottom"/>
            <w:gridSpan w:val="2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0" w:type="dxa"/>
            <w:vAlign w:val="bottom"/>
          </w:tcPr>
          <w:p>
            <w:pPr>
              <w:spacing w:after="0"/>
              <w:rPr>
                <w:sz w:val="24"/>
                <w:szCs w:val="24"/>
                <w:color w:val="auto"/>
              </w:rPr>
            </w:pPr>
          </w:p>
        </w:tc>
        <w:tc>
          <w:tcPr>
            <w:tcW w:w="110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96"/>
              </w:rPr>
              <w:t>SIGNATURES</w:t>
            </w:r>
          </w:p>
        </w:tc>
        <w:tc>
          <w:tcPr>
            <w:tcW w:w="8180" w:type="dxa"/>
            <w:vAlign w:val="bottom"/>
            <w:gridSpan w:val="21"/>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60" w:type="dxa"/>
            <w:vAlign w:val="bottom"/>
            <w:gridSpan w:val="12"/>
          </w:tcPr>
          <w:p>
            <w:pPr>
              <w:ind w:left="40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p>
      <w:pPr>
        <w:spacing w:after="0" w:line="22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Quarterly Report on Form 10-Q and include, but are not limited to, statements regarding our intentions, beliefs or current expectations concerning, among other things, results of operations, financial condition, liquidity, capital expenditures, prospects, growth, production volumes, strategies, management,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battery and powertrain systems, software, and strategic partnerships, technology features and capabilities,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manufacturing facility in Saudi Arabia and related timing and value to us, our needs for additional financing, our search for a new CEO, and the promise of Lucid’s technology. Such forward-looking statements are based on available current market material and our current expectations, beliefs and forecasts concerning future developments. Factors that may impact such forward-looking statements include:</w:t>
      </w:r>
    </w:p>
    <w:p>
      <w:pPr>
        <w:spacing w:after="0" w:line="195" w:lineRule="exact"/>
        <w:rPr>
          <w:sz w:val="20"/>
          <w:szCs w:val="20"/>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economic, market, financial, political, regulatory and legal conditions, including changes of policies, government closures of banks and liquidity concerns at other financial institutions, imposition of tariffs and threat of a trade war, a potential global economic recession or other downturn and global conflicts or other geopolitical events;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overall demand for our products and services and cancellation of orders for our vehicles;</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prices and availability of commodities, materials, our supply chain, logistics, inventory management and quality control, and our ability to complete the tooling of our manufacturing facilities over time and scale production of our vehicles;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uncertainty of our projected financial and operational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timing of expected business milestones and commercial product launches;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construction and expansion of our manufacturing facilities and the increase of our production capacity;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expenses and control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market adoption of our offerings;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the pace and depth of electric vehicle adoption generally on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governmental incentives;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fuel and energy prices;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rapidly innovate;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or maintain partnerships with original equipment manufacturers, vendors and technology providers, including our ability to realize the anticipated benefits of our transaction with Aston Martin;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recruit and retain key employees, including our executive team;</w:t>
      </w:r>
    </w:p>
    <w:p>
      <w:pPr>
        <w:spacing w:after="0" w:line="11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need to attract, retain, and motivate key employees, including engineering and management employees, as we have undertaken multiple significant management changes in the past, including our CEO;</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potential vehicle recalls;</w:t>
      </w:r>
    </w:p>
    <w:p>
      <w:pPr>
        <w:spacing w:after="0" w:line="11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expand our brand, and capture additional market share, and the risks associated with negative press or reputational harm;</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outstanding Redeemable Convertible Preferred Stock;</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and our ability to obtain and effectively utilize, zero emission vehicle credits, tax incentives, and other governmental and regulatory programs and incentives;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conduct equity, equity-linked, or debt financing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interest and principal on our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to vehicle specifications which may impact performance, features, pricing, and other expectations;</w:t>
      </w:r>
    </w:p>
    <w:p>
      <w:pPr>
        <w:sectPr>
          <w:pgSz w:w="11900" w:h="16838" w:orient="portrait"/>
          <w:cols w:equalWidth="0" w:num="1">
            <w:col w:w="11240"/>
          </w:cols>
          <w:pgMar w:left="320" w:top="769"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 w:name="page4"/>
    <w:bookmarkEnd w:id="3"/>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potential litigation, government and regulatory proceedings, investigations and inquiries;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this Quarterly Report on Form 10-Q or our other filings with the Securities and Exchange Commission (the “SEC”).</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Should one or more of these risks or uncertainties materialize, or should any of the assumptions prove incorrect, actual results may vary in material respects from those projected in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our expectations, plans or forecasts of future events and views as of the date of this Quarterly Report on Form 10-Q.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Quarterly Report on Form 10-Q.</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stated in Item 1. Financial Statements and accompanying footnotes, or the context otherwise requires, references in this Quarterly Report on Form 10-Q to: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Notes” are to the 1.25% Convertible Senior Notes due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“2030 Notes” are to the 5.00% Convertible Senior Notes due 2030;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“AMP-1” are to our Advanced Manufacturing Plant-1 in Casa Grande, Arizona;</w:t>
      </w:r>
    </w:p>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“AMP-2” are to our planned Advanced Manufacturing Plant-2 in Saudi Arabia, which consists of a semi knocked-down (“SKD”) portion that has been completed and a completely-built-up (“CBU”) portion that will be constructed;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“Ayar” are to Ayar Third Investment Company, an affiliate of the PIF and the controlling stockholder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or “Board of Directors” are to the board of directors of Lucid Group Inc., a Delaware 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Designations” refers to Series A Certificate of Designations and Series B Certificate of Designations, together;</w:t>
      </w:r>
    </w:p>
    <w:p>
      <w:pPr>
        <w:spacing w:after="0" w:line="252" w:lineRule="exact"/>
        <w:rPr>
          <w:sz w:val="20"/>
          <w:szCs w:val="20"/>
          <w:color w:val="auto"/>
        </w:rPr>
      </w:pPr>
    </w:p>
    <w:p>
      <w:pPr>
        <w:ind w:right="740"/>
        <w:spacing w:after="0" w:line="312" w:lineRule="auto"/>
        <w:rPr>
          <w:sz w:val="20"/>
          <w:szCs w:val="20"/>
          <w:color w:val="auto"/>
        </w:rPr>
      </w:pPr>
      <w:r>
        <w:rPr>
          <w:rFonts w:ascii="Times New Roman" w:cs="Times New Roman" w:eastAsia="Times New Roman" w:hAnsi="Times New Roman"/>
          <w:sz w:val="17"/>
          <w:szCs w:val="17"/>
          <w:color w:val="auto"/>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“Churchill IPO” are to the initial public offering by Churchill which closed on August 3,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are to the consummation of the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are to July 23, 2021, the date on which the Transactions were consummated;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are to the Class A common stock of Lucid Group, Inc., par value $0.0001 per share;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Senior Notes” refers to the 2026 Notes and the 2030 Notes;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“ESG” are to Environmental, Social and Governance;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 are to electric vehicle;</w:t>
      </w:r>
    </w:p>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“Investor Rights Agreement” are to the Investor Rights Agreement, dated as of February 22, 2021 and as amended from time-to-time, by and among the Company, the Sponsor, Ayar and certain other parties thereto;</w:t>
      </w:r>
    </w:p>
    <w:p>
      <w:pPr>
        <w:sectPr>
          <w:pgSz w:w="11900" w:h="16838" w:orient="portrait"/>
          <w:cols w:equalWidth="0" w:num="1">
            <w:col w:w="11140"/>
          </w:cols>
          <w:pgMar w:left="320" w:top="877" w:right="4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77" w:right="439" w:bottom="1440" w:gutter="0" w:footer="0" w:header="0"/>
          <w:type w:val="continuous"/>
        </w:sectPr>
      </w:pPr>
    </w:p>
    <w:bookmarkStart w:id="4" w:name="page5"/>
    <w:bookmarkEnd w:id="4"/>
    <w:p>
      <w:pPr>
        <w:ind w:right="280"/>
        <w:spacing w:after="0" w:line="282" w:lineRule="auto"/>
        <w:rPr>
          <w:sz w:val="20"/>
          <w:szCs w:val="20"/>
          <w:color w:val="auto"/>
        </w:rPr>
      </w:pPr>
      <w:r>
        <w:rPr>
          <w:rFonts w:ascii="Times New Roman" w:cs="Times New Roman" w:eastAsia="Times New Roman" w:hAnsi="Times New Roman"/>
          <w:sz w:val="18"/>
          <w:szCs w:val="18"/>
          <w:color w:val="auto"/>
        </w:rPr>
        <w:t>“Legacy Lucid” are to Atieva, Inc., d/b/a Lucid Motors, an exempted company incorporated with limited liability under the laws of the Cayman Islands, and its consolidated subsidiaries before the Closing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“LPM-1” are to our Lucid Powertrain Manufacturing Plant-1 in Casa Grande, Arizona;</w:t>
      </w:r>
    </w:p>
    <w:p>
      <w:pPr>
        <w:spacing w:after="0" w:line="23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“Merger” are to the merger of a merger subsidiary of Churchill and Atieva, Inc., with Atieva, Inc. surviving such merger as a wholly owned subsidiary of Churchill;</w:t>
      </w:r>
    </w:p>
    <w:p>
      <w:pPr>
        <w:spacing w:after="0" w:line="18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time-to-time;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“PIF” are to the Public Investment Fund, the sovereign wealth fund of Saudi Arabia;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“Private Placement Warrants” are to Churchill’s warrants issued to the Sponsor in a private placement simultaneously with the closing of the Churchill IPO;</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“Redeemable Convertible Preferred Stock” are to the Series A Convertible Preferred Stock and Series B Convertible Preferred Stock, together;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 Certificate of Designations” refers to the Certificate of Designations of Series A Redeemable Convertible Preferred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 Redeemable Convertible Preferred Stock” are to the Series A Convertible Preferred Stock of Lucid Group, Inc., par value $0.0001 per share;</w:t>
      </w:r>
    </w:p>
    <w:p>
      <w:pPr>
        <w:spacing w:after="0" w:line="25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“Series A Subscription Agreement” refers to the subscription agreement entered into on March 24, 2024, by the Company and Ayar to purchase from the Company 100,000 shares of its Series A Convertible Preferred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 Certificate of Designations” refers to the Certificate of Designations of Series B Redeemable Convertible Preferred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 Redeemable Convertible Preferred Stock” are to the Series B Convertible Preferred Stock of Lucid Group, Inc., par value $0.0001 per share;</w:t>
      </w:r>
    </w:p>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“Series B Subscription Agreement” refers to the subscription agreement entered into on August 4, 2024, by the Company and Ayar to purchase from the Company 75,000 shares of its Series B Convertible Preferred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“Sponsor” are to Churchill Sponsor IV LLC, a Delaware limited liability company and an affiliate of M. Klein and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are to the Merger, together with the other transactions consummated under the Merger Agreement and the related agreements; and</w:t>
      </w:r>
    </w:p>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“Warrant Agreement” are to the Warrant Agreement, dated July 29, 2020, entered into in connection with the Churchill IPO by and between Continental Stock Transfer &amp; Trust Company and Churchill.</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12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5"/>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1,854,879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1,606,865</w:t>
            </w:r>
          </w:p>
        </w:tc>
        <w:tc>
          <w:tcPr>
            <w:tcW w:w="0" w:type="dxa"/>
            <w:vAlign w:val="bottom"/>
          </w:tcPr>
          <w:p>
            <w:pPr>
              <w:spacing w:after="0"/>
              <w:rPr>
                <w:sz w:val="1"/>
                <w:szCs w:val="1"/>
                <w:color w:val="auto"/>
              </w:rPr>
            </w:pPr>
          </w:p>
        </w:tc>
      </w:tr>
      <w:tr>
        <w:trPr>
          <w:trHeight w:val="213"/>
        </w:trPr>
        <w:tc>
          <w:tcPr>
            <w:tcW w:w="86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Short-term investments (including $15,000 associated with a related party as of March 31, 2025 and December 31, 2024)</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2,424,103</w:t>
            </w:r>
          </w:p>
        </w:tc>
        <w:tc>
          <w:tcPr>
            <w:tcW w:w="0" w:type="dxa"/>
            <w:vAlign w:val="bottom"/>
          </w:tcPr>
          <w:p>
            <w:pPr>
              <w:spacing w:after="0"/>
              <w:rPr>
                <w:sz w:val="1"/>
                <w:szCs w:val="1"/>
                <w:color w:val="auto"/>
              </w:rPr>
            </w:pPr>
          </w:p>
        </w:tc>
      </w:tr>
      <w:tr>
        <w:trPr>
          <w:trHeight w:val="165"/>
        </w:trPr>
        <w:tc>
          <w:tcPr>
            <w:tcW w:w="8620" w:type="dxa"/>
            <w:vAlign w:val="bottom"/>
            <w:gridSpan w:val="2"/>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Accounts receivable, net (including $53,793 and $57,909 from a related party as of March 31, 2025 and December 31, 2024,</w:t>
            </w:r>
          </w:p>
        </w:tc>
        <w:tc>
          <w:tcPr>
            <w:tcW w:w="2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90,328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112,025</w:t>
            </w:r>
          </w:p>
        </w:tc>
        <w:tc>
          <w:tcPr>
            <w:tcW w:w="0" w:type="dxa"/>
            <w:vAlign w:val="bottom"/>
          </w:tcPr>
          <w:p>
            <w:pPr>
              <w:spacing w:after="0"/>
              <w:rPr>
                <w:sz w:val="1"/>
                <w:szCs w:val="1"/>
                <w:color w:val="auto"/>
              </w:rPr>
            </w:pPr>
          </w:p>
        </w:tc>
      </w:tr>
      <w:tr>
        <w:trPr>
          <w:trHeight w:val="129"/>
        </w:trPr>
        <w:tc>
          <w:tcPr>
            <w:tcW w:w="86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862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19" w:right="339" w:bottom="1440" w:gutter="0" w:footer="0" w:header="0"/>
        </w:sectPr>
      </w:pPr>
    </w:p>
    <w:p>
      <w:pPr>
        <w:ind w:left="180"/>
        <w:spacing w:after="0"/>
        <w:rPr>
          <w:sz w:val="20"/>
          <w:szCs w:val="20"/>
          <w:color w:val="auto"/>
        </w:rPr>
      </w:pPr>
      <w:r>
        <w:rPr>
          <w:rFonts w:ascii="Times New Roman" w:cs="Times New Roman" w:eastAsia="Times New Roman" w:hAnsi="Times New Roman"/>
          <w:sz w:val="16"/>
          <w:szCs w:val="16"/>
          <w:color w:val="auto"/>
        </w:rPr>
        <w:t>Inventory</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520" w:right="340" w:hanging="323"/>
        <w:spacing w:after="0" w:line="245" w:lineRule="auto"/>
        <w:rPr>
          <w:sz w:val="20"/>
          <w:szCs w:val="20"/>
          <w:color w:val="auto"/>
        </w:rPr>
      </w:pPr>
      <w:r>
        <w:rPr>
          <w:rFonts w:ascii="Times New Roman" w:cs="Times New Roman" w:eastAsia="Times New Roman" w:hAnsi="Times New Roman"/>
          <w:sz w:val="16"/>
          <w:szCs w:val="16"/>
          <w:color w:val="auto"/>
        </w:rPr>
        <w:t>Other current assets (including $20,676 and $34,503 associated with a related party as of March 31, 2025 and December 31, 2024, respectively)</w:t>
      </w:r>
    </w:p>
    <w:p>
      <w:pPr>
        <w:spacing w:after="0" w:line="20" w:lineRule="exact"/>
        <w:rPr>
          <w:sz w:val="20"/>
          <w:szCs w:val="20"/>
          <w:color w:val="auto"/>
        </w:rPr>
      </w:pPr>
      <w:r>
        <w:rPr>
          <w:sz w:val="20"/>
          <w:szCs w:val="20"/>
          <w:color w:val="auto"/>
        </w:rPr>
        <w:br w:type="column"/>
      </w:r>
    </w:p>
    <w:p>
      <w:pPr>
        <w:spacing w:after="0"/>
        <w:tabs>
          <w:tab w:leader="none" w:pos="1320" w:val="left"/>
        </w:tabs>
        <w:rPr>
          <w:sz w:val="20"/>
          <w:szCs w:val="20"/>
          <w:color w:val="auto"/>
        </w:rPr>
      </w:pPr>
      <w:r>
        <w:rPr>
          <w:rFonts w:ascii="Times New Roman" w:cs="Times New Roman" w:eastAsia="Times New Roman" w:hAnsi="Times New Roman"/>
          <w:sz w:val="16"/>
          <w:szCs w:val="16"/>
          <w:color w:val="auto"/>
        </w:rPr>
        <w:t>471,407</w:t>
      </w:r>
      <w:r>
        <w:rPr>
          <w:sz w:val="20"/>
          <w:szCs w:val="20"/>
          <w:color w:val="auto"/>
        </w:rPr>
        <w:tab/>
      </w:r>
      <w:r>
        <w:rPr>
          <w:rFonts w:ascii="Times New Roman" w:cs="Times New Roman" w:eastAsia="Times New Roman" w:hAnsi="Times New Roman"/>
          <w:sz w:val="16"/>
          <w:szCs w:val="16"/>
          <w:color w:val="auto"/>
        </w:rPr>
        <w:t>407,774</w:t>
      </w:r>
    </w:p>
    <w:p>
      <w:pPr>
        <w:spacing w:after="0" w:line="32" w:lineRule="exact"/>
        <w:rPr>
          <w:sz w:val="20"/>
          <w:szCs w:val="20"/>
          <w:color w:val="auto"/>
        </w:rPr>
      </w:pPr>
    </w:p>
    <w:p>
      <w:pPr>
        <w:ind w:left="80"/>
        <w:spacing w:after="0"/>
        <w:tabs>
          <w:tab w:leader="none" w:pos="1400" w:val="left"/>
        </w:tabs>
        <w:rPr>
          <w:sz w:val="20"/>
          <w:szCs w:val="20"/>
          <w:color w:val="auto"/>
        </w:rPr>
      </w:pPr>
      <w:r>
        <w:rPr>
          <w:rFonts w:ascii="Times New Roman" w:cs="Times New Roman" w:eastAsia="Times New Roman" w:hAnsi="Times New Roman"/>
          <w:sz w:val="16"/>
          <w:szCs w:val="16"/>
          <w:color w:val="auto"/>
        </w:rPr>
        <w:t>51,482</w:t>
      </w:r>
      <w:r>
        <w:rPr>
          <w:sz w:val="20"/>
          <w:szCs w:val="20"/>
          <w:color w:val="auto"/>
        </w:rPr>
        <w:tab/>
      </w:r>
      <w:r>
        <w:rPr>
          <w:rFonts w:ascii="Times New Roman" w:cs="Times New Roman" w:eastAsia="Times New Roman" w:hAnsi="Times New Roman"/>
          <w:sz w:val="16"/>
          <w:szCs w:val="16"/>
          <w:color w:val="auto"/>
        </w:rPr>
        <w:t>52,951</w:t>
      </w:r>
    </w:p>
    <w:p>
      <w:pPr>
        <w:spacing w:after="0" w:line="11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6"/>
          <w:szCs w:val="16"/>
          <w:color w:val="auto"/>
        </w:rPr>
        <w:t>199,135</w:t>
      </w:r>
      <w:r>
        <w:rPr>
          <w:sz w:val="20"/>
          <w:szCs w:val="20"/>
          <w:color w:val="auto"/>
        </w:rPr>
        <w:tab/>
      </w:r>
      <w:r>
        <w:rPr>
          <w:rFonts w:ascii="Times New Roman" w:cs="Times New Roman" w:eastAsia="Times New Roman" w:hAnsi="Times New Roman"/>
          <w:sz w:val="16"/>
          <w:szCs w:val="16"/>
          <w:color w:val="auto"/>
        </w:rPr>
        <w:t>270,218</w:t>
      </w:r>
    </w:p>
    <w:p>
      <w:pPr>
        <w:spacing w:after="0" w:line="112" w:lineRule="exact"/>
        <w:rPr>
          <w:sz w:val="20"/>
          <w:szCs w:val="20"/>
          <w:color w:val="auto"/>
        </w:rPr>
      </w:pPr>
    </w:p>
    <w:p>
      <w:pPr>
        <w:sectPr>
          <w:pgSz w:w="11900" w:h="16838" w:orient="portrait"/>
          <w:cols w:equalWidth="0" w:num="2">
            <w:col w:w="8580" w:space="720"/>
            <w:col w:w="1940"/>
          </w:cols>
          <w:pgMar w:left="320" w:top="819"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right="160"/>
        <w:spacing w:after="0" w:line="245" w:lineRule="auto"/>
        <w:rPr>
          <w:sz w:val="20"/>
          <w:szCs w:val="20"/>
          <w:color w:val="auto"/>
        </w:rPr>
      </w:pPr>
      <w:r>
        <w:rPr>
          <w:rFonts w:ascii="Times New Roman" w:cs="Times New Roman" w:eastAsia="Times New Roman" w:hAnsi="Times New Roman"/>
          <w:sz w:val="16"/>
          <w:szCs w:val="16"/>
          <w:color w:val="auto"/>
        </w:rPr>
        <w:t>Long-term investments (including $50,000 and $20,000 associated with a related party as of March 31, 2025 and December 31, 2024, respectively)</w:t>
      </w:r>
    </w:p>
    <w:p>
      <w:pPr>
        <w:spacing w:after="0" w:line="20" w:lineRule="exact"/>
        <w:rPr>
          <w:sz w:val="20"/>
          <w:szCs w:val="20"/>
          <w:color w:val="auto"/>
        </w:rPr>
      </w:pPr>
      <w:r>
        <w:rPr>
          <w:sz w:val="20"/>
          <w:szCs w:val="20"/>
          <w:color w:val="auto"/>
        </w:rPr>
        <w:br w:type="column"/>
      </w:r>
    </w:p>
    <w:p>
      <w:pPr>
        <w:spacing w:after="0"/>
        <w:tabs>
          <w:tab w:leader="none" w:pos="1320" w:val="left"/>
        </w:tabs>
        <w:rPr>
          <w:sz w:val="20"/>
          <w:szCs w:val="20"/>
          <w:color w:val="auto"/>
        </w:rPr>
      </w:pPr>
      <w:r>
        <w:rPr>
          <w:rFonts w:ascii="Times New Roman" w:cs="Times New Roman" w:eastAsia="Times New Roman" w:hAnsi="Times New Roman"/>
          <w:sz w:val="16"/>
          <w:szCs w:val="16"/>
          <w:color w:val="auto"/>
        </w:rPr>
        <w:t>4,423,257</w:t>
      </w:r>
      <w:r>
        <w:rPr>
          <w:sz w:val="20"/>
          <w:szCs w:val="20"/>
          <w:color w:val="auto"/>
        </w:rPr>
        <w:tab/>
      </w:r>
      <w:r>
        <w:rPr>
          <w:rFonts w:ascii="Times New Roman" w:cs="Times New Roman" w:eastAsia="Times New Roman" w:hAnsi="Times New Roman"/>
          <w:sz w:val="16"/>
          <w:szCs w:val="16"/>
          <w:color w:val="auto"/>
        </w:rPr>
        <w:t>4,873,936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20320</wp:posOffset>
            </wp:positionV>
            <wp:extent cx="1663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6"/>
          <w:szCs w:val="16"/>
          <w:color w:val="auto"/>
        </w:rPr>
        <w:t>3,322,275</w:t>
      </w:r>
      <w:r>
        <w:rPr>
          <w:sz w:val="20"/>
          <w:szCs w:val="20"/>
          <w:color w:val="auto"/>
        </w:rPr>
        <w:tab/>
      </w:r>
      <w:r>
        <w:rPr>
          <w:rFonts w:ascii="Times New Roman" w:cs="Times New Roman" w:eastAsia="Times New Roman" w:hAnsi="Times New Roman"/>
          <w:sz w:val="16"/>
          <w:szCs w:val="16"/>
          <w:color w:val="auto"/>
        </w:rPr>
        <w:t>3,262,612</w:t>
      </w:r>
    </w:p>
    <w:p>
      <w:pPr>
        <w:spacing w:after="0" w:line="32" w:lineRule="exact"/>
        <w:rPr>
          <w:sz w:val="20"/>
          <w:szCs w:val="20"/>
          <w:color w:val="auto"/>
        </w:rPr>
      </w:pPr>
    </w:p>
    <w:p>
      <w:pPr>
        <w:ind w:left="120"/>
        <w:spacing w:after="0"/>
        <w:tabs>
          <w:tab w:leader="none" w:pos="1460" w:val="left"/>
        </w:tabs>
        <w:rPr>
          <w:sz w:val="20"/>
          <w:szCs w:val="20"/>
          <w:color w:val="auto"/>
        </w:rPr>
      </w:pPr>
      <w:r>
        <w:rPr>
          <w:rFonts w:ascii="Times New Roman" w:cs="Times New Roman" w:eastAsia="Times New Roman" w:hAnsi="Times New Roman"/>
          <w:sz w:val="16"/>
          <w:szCs w:val="16"/>
          <w:color w:val="auto"/>
        </w:rPr>
        <w:t>230,780</w:t>
      </w:r>
      <w:r>
        <w:rPr>
          <w:sz w:val="20"/>
          <w:szCs w:val="20"/>
          <w:color w:val="auto"/>
        </w:rPr>
        <w:tab/>
      </w:r>
      <w:r>
        <w:rPr>
          <w:rFonts w:ascii="Times New Roman" w:cs="Times New Roman" w:eastAsia="Times New Roman" w:hAnsi="Times New Roman"/>
          <w:sz w:val="16"/>
          <w:szCs w:val="16"/>
          <w:color w:val="auto"/>
        </w:rPr>
        <w:t>211,886</w:t>
      </w:r>
    </w:p>
    <w:p>
      <w:pPr>
        <w:spacing w:after="0" w:line="113" w:lineRule="exact"/>
        <w:rPr>
          <w:sz w:val="20"/>
          <w:szCs w:val="20"/>
          <w:color w:val="auto"/>
        </w:rPr>
      </w:pPr>
    </w:p>
    <w:p>
      <w:pPr>
        <w:ind w:left="120"/>
        <w:spacing w:after="0"/>
        <w:tabs>
          <w:tab w:leader="none" w:pos="1320" w:val="left"/>
        </w:tabs>
        <w:rPr>
          <w:sz w:val="20"/>
          <w:szCs w:val="20"/>
          <w:color w:val="auto"/>
        </w:rPr>
      </w:pPr>
      <w:r>
        <w:rPr>
          <w:rFonts w:ascii="Times New Roman" w:cs="Times New Roman" w:eastAsia="Times New Roman" w:hAnsi="Times New Roman"/>
          <w:sz w:val="16"/>
          <w:szCs w:val="16"/>
          <w:color w:val="auto"/>
        </w:rPr>
        <w:t>921,588</w:t>
      </w:r>
      <w:r>
        <w:rPr>
          <w:sz w:val="20"/>
          <w:szCs w:val="20"/>
          <w:color w:val="auto"/>
        </w:rPr>
        <w:tab/>
      </w:r>
      <w:r>
        <w:rPr>
          <w:rFonts w:ascii="Times New Roman" w:cs="Times New Roman" w:eastAsia="Times New Roman" w:hAnsi="Times New Roman"/>
          <w:sz w:val="16"/>
          <w:szCs w:val="16"/>
          <w:color w:val="auto"/>
        </w:rPr>
        <w:t>1,012,223</w:t>
      </w:r>
    </w:p>
    <w:p>
      <w:pPr>
        <w:spacing w:after="0" w:line="127" w:lineRule="exact"/>
        <w:rPr>
          <w:sz w:val="20"/>
          <w:szCs w:val="20"/>
          <w:color w:val="auto"/>
        </w:rPr>
      </w:pPr>
    </w:p>
    <w:p>
      <w:pPr>
        <w:sectPr>
          <w:pgSz w:w="11900" w:h="16838" w:orient="portrait"/>
          <w:cols w:equalWidth="0" w:num="2">
            <w:col w:w="8460" w:space="720"/>
            <w:col w:w="2060"/>
          </w:cols>
          <w:pgMar w:left="320" w:top="819"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249,443</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Investments in equity securities of a related party</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25,569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37,831</w:t>
            </w:r>
          </w:p>
        </w:tc>
        <w:tc>
          <w:tcPr>
            <w:tcW w:w="0" w:type="dxa"/>
            <w:vAlign w:val="bottom"/>
          </w:tcPr>
          <w:p>
            <w:pPr>
              <w:spacing w:after="0"/>
              <w:rPr>
                <w:sz w:val="1"/>
                <w:szCs w:val="1"/>
                <w:color w:val="auto"/>
              </w:rPr>
            </w:pPr>
          </w:p>
        </w:tc>
      </w:tr>
      <w:tr>
        <w:trPr>
          <w:trHeight w:val="235"/>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9,217,969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9,647,931</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133,832</w:t>
            </w:r>
          </w:p>
        </w:tc>
        <w:tc>
          <w:tcPr>
            <w:tcW w:w="0" w:type="dxa"/>
            <w:vAlign w:val="bottom"/>
          </w:tcPr>
          <w:p>
            <w:pPr>
              <w:spacing w:after="0"/>
              <w:rPr>
                <w:sz w:val="1"/>
                <w:szCs w:val="1"/>
                <w:color w:val="auto"/>
              </w:rPr>
            </w:pPr>
          </w:p>
        </w:tc>
      </w:tr>
      <w:tr>
        <w:trPr>
          <w:trHeight w:val="213"/>
        </w:trPr>
        <w:tc>
          <w:tcPr>
            <w:tcW w:w="8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Finance lease liabilities, current portion</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6,788</w:t>
            </w:r>
          </w:p>
        </w:tc>
        <w:tc>
          <w:tcPr>
            <w:tcW w:w="0" w:type="dxa"/>
            <w:vAlign w:val="bottom"/>
          </w:tcPr>
          <w:p>
            <w:pPr>
              <w:spacing w:after="0"/>
              <w:rPr>
                <w:sz w:val="1"/>
                <w:szCs w:val="1"/>
                <w:color w:val="auto"/>
              </w:rPr>
            </w:pPr>
          </w:p>
        </w:tc>
      </w:tr>
      <w:tr>
        <w:trPr>
          <w:trHeight w:val="165"/>
        </w:trPr>
        <w:tc>
          <w:tcPr>
            <w:tcW w:w="86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Other current liabilities (including $193,277 and $126,417 associated with related parties as of March 31, 2025 and</w:t>
            </w:r>
          </w:p>
        </w:tc>
        <w:tc>
          <w:tcPr>
            <w:tcW w:w="3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1,203,235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1,024,671</w:t>
            </w:r>
          </w:p>
        </w:tc>
        <w:tc>
          <w:tcPr>
            <w:tcW w:w="0" w:type="dxa"/>
            <w:vAlign w:val="bottom"/>
          </w:tcPr>
          <w:p>
            <w:pPr>
              <w:spacing w:after="0"/>
              <w:rPr>
                <w:sz w:val="1"/>
                <w:szCs w:val="1"/>
                <w:color w:val="auto"/>
              </w:rPr>
            </w:pPr>
          </w:p>
        </w:tc>
      </w:tr>
      <w:tr>
        <w:trPr>
          <w:trHeight w:val="129"/>
        </w:trPr>
        <w:tc>
          <w:tcPr>
            <w:tcW w:w="86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32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8620" w:type="dxa"/>
            <w:vAlign w:val="bottom"/>
            <w:vMerge w:val="continue"/>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19"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liabilities,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Common stock warrant liability</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80" w:right="780" w:hanging="161"/>
        <w:spacing w:after="0" w:line="245" w:lineRule="auto"/>
        <w:rPr>
          <w:sz w:val="20"/>
          <w:szCs w:val="20"/>
          <w:color w:val="auto"/>
        </w:rPr>
      </w:pPr>
      <w:r>
        <w:rPr>
          <w:rFonts w:ascii="Times New Roman" w:cs="Times New Roman" w:eastAsia="Times New Roman" w:hAnsi="Times New Roman"/>
          <w:sz w:val="16"/>
          <w:szCs w:val="16"/>
          <w:color w:val="auto"/>
        </w:rPr>
        <w:t>Other long-term liabilities (including $122,018 and $121,136 associated with related parties as of March 31, 2025 and December 31, 2024, respectively)</w:t>
      </w:r>
    </w:p>
    <w:p>
      <w:pPr>
        <w:spacing w:after="0" w:line="20" w:lineRule="exact"/>
        <w:rPr>
          <w:sz w:val="20"/>
          <w:szCs w:val="20"/>
          <w:color w:val="auto"/>
        </w:rPr>
      </w:pPr>
      <w:r>
        <w:rPr>
          <w:sz w:val="20"/>
          <w:szCs w:val="20"/>
          <w:color w:val="auto"/>
        </w:rPr>
        <w:br w:type="column"/>
      </w:r>
    </w:p>
    <w:p>
      <w:pPr>
        <w:spacing w:after="0"/>
        <w:tabs>
          <w:tab w:leader="none" w:pos="1320" w:val="left"/>
        </w:tabs>
        <w:rPr>
          <w:sz w:val="20"/>
          <w:szCs w:val="20"/>
          <w:color w:val="auto"/>
        </w:rPr>
      </w:pPr>
      <w:r>
        <w:rPr>
          <w:rFonts w:ascii="Times New Roman" w:cs="Times New Roman" w:eastAsia="Times New Roman" w:hAnsi="Times New Roman"/>
          <w:sz w:val="16"/>
          <w:szCs w:val="16"/>
          <w:color w:val="auto"/>
        </w:rPr>
        <w:t>1,331,474</w:t>
      </w:r>
      <w:r>
        <w:rPr>
          <w:sz w:val="20"/>
          <w:szCs w:val="20"/>
          <w:color w:val="auto"/>
        </w:rPr>
        <w:tab/>
      </w:r>
      <w:r>
        <w:rPr>
          <w:rFonts w:ascii="Times New Roman" w:cs="Times New Roman" w:eastAsia="Times New Roman" w:hAnsi="Times New Roman"/>
          <w:sz w:val="16"/>
          <w:szCs w:val="16"/>
          <w:color w:val="auto"/>
        </w:rPr>
        <w:t>1,165,291</w:t>
      </w:r>
    </w:p>
    <w:p>
      <w:pPr>
        <w:spacing w:after="0" w:line="32" w:lineRule="exact"/>
        <w:rPr>
          <w:sz w:val="20"/>
          <w:szCs w:val="20"/>
          <w:color w:val="auto"/>
        </w:rPr>
      </w:pPr>
    </w:p>
    <w:p>
      <w:pPr>
        <w:jc w:val="both"/>
        <w:ind w:left="200"/>
        <w:spacing w:after="0"/>
        <w:tabs>
          <w:tab w:leader="none" w:pos="1520" w:val="left"/>
        </w:tabs>
        <w:rPr>
          <w:sz w:val="20"/>
          <w:szCs w:val="20"/>
          <w:color w:val="auto"/>
        </w:rPr>
      </w:pPr>
      <w:r>
        <w:rPr>
          <w:rFonts w:ascii="Times New Roman" w:cs="Times New Roman" w:eastAsia="Times New Roman" w:hAnsi="Times New Roman"/>
          <w:sz w:val="16"/>
          <w:szCs w:val="16"/>
          <w:color w:val="auto"/>
        </w:rPr>
        <w:t>75,292</w:t>
      </w:r>
      <w:r>
        <w:rPr>
          <w:sz w:val="20"/>
          <w:szCs w:val="20"/>
          <w:color w:val="auto"/>
        </w:rPr>
        <w:tab/>
      </w:r>
      <w:r>
        <w:rPr>
          <w:rFonts w:ascii="Times New Roman" w:cs="Times New Roman" w:eastAsia="Times New Roman" w:hAnsi="Times New Roman"/>
          <w:sz w:val="16"/>
          <w:szCs w:val="16"/>
          <w:color w:val="auto"/>
        </w:rPr>
        <w:t>76,096</w:t>
      </w:r>
    </w:p>
    <w:p>
      <w:pPr>
        <w:spacing w:after="0" w:line="32" w:lineRule="exact"/>
        <w:rPr>
          <w:sz w:val="20"/>
          <w:szCs w:val="20"/>
          <w:color w:val="auto"/>
        </w:rPr>
      </w:pPr>
    </w:p>
    <w:p>
      <w:pPr>
        <w:jc w:val="both"/>
        <w:ind w:left="280"/>
        <w:spacing w:after="0"/>
        <w:tabs>
          <w:tab w:leader="none" w:pos="1520" w:val="left"/>
        </w:tabs>
        <w:rPr>
          <w:sz w:val="20"/>
          <w:szCs w:val="20"/>
          <w:color w:val="auto"/>
        </w:rPr>
      </w:pPr>
      <w:r>
        <w:rPr>
          <w:rFonts w:ascii="Times New Roman" w:cs="Times New Roman" w:eastAsia="Times New Roman" w:hAnsi="Times New Roman"/>
          <w:sz w:val="16"/>
          <w:szCs w:val="16"/>
          <w:color w:val="auto"/>
        </w:rPr>
        <w:t>6,653</w:t>
      </w:r>
      <w:r>
        <w:rPr>
          <w:sz w:val="20"/>
          <w:szCs w:val="20"/>
          <w:color w:val="auto"/>
        </w:rPr>
        <w:tab/>
      </w:r>
      <w:r>
        <w:rPr>
          <w:rFonts w:ascii="Times New Roman" w:cs="Times New Roman" w:eastAsia="Times New Roman" w:hAnsi="Times New Roman"/>
          <w:sz w:val="16"/>
          <w:szCs w:val="16"/>
          <w:color w:val="auto"/>
        </w:rPr>
        <w:t>19,514</w:t>
      </w:r>
    </w:p>
    <w:p>
      <w:pPr>
        <w:spacing w:after="0" w:line="3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6"/>
          <w:szCs w:val="16"/>
          <w:color w:val="auto"/>
        </w:rPr>
        <w:t>2,003,461</w:t>
      </w:r>
      <w:r>
        <w:rPr>
          <w:sz w:val="20"/>
          <w:szCs w:val="20"/>
          <w:color w:val="auto"/>
        </w:rPr>
        <w:tab/>
      </w:r>
      <w:r>
        <w:rPr>
          <w:rFonts w:ascii="Times New Roman" w:cs="Times New Roman" w:eastAsia="Times New Roman" w:hAnsi="Times New Roman"/>
          <w:sz w:val="16"/>
          <w:szCs w:val="16"/>
          <w:color w:val="auto"/>
        </w:rPr>
        <w:t>2,002,151</w:t>
      </w:r>
    </w:p>
    <w:p>
      <w:pPr>
        <w:spacing w:after="0" w:line="113" w:lineRule="exact"/>
        <w:rPr>
          <w:sz w:val="20"/>
          <w:szCs w:val="20"/>
          <w:color w:val="auto"/>
        </w:rPr>
      </w:pPr>
    </w:p>
    <w:p>
      <w:pPr>
        <w:ind w:left="120"/>
        <w:spacing w:after="0"/>
        <w:tabs>
          <w:tab w:leader="none" w:pos="1440" w:val="left"/>
        </w:tabs>
        <w:rPr>
          <w:sz w:val="20"/>
          <w:szCs w:val="20"/>
          <w:color w:val="auto"/>
        </w:rPr>
      </w:pPr>
      <w:r>
        <w:rPr>
          <w:rFonts w:ascii="Times New Roman" w:cs="Times New Roman" w:eastAsia="Times New Roman" w:hAnsi="Times New Roman"/>
          <w:sz w:val="16"/>
          <w:szCs w:val="16"/>
          <w:color w:val="auto"/>
        </w:rPr>
        <w:t>594,922</w:t>
      </w:r>
      <w:r>
        <w:rPr>
          <w:sz w:val="20"/>
          <w:szCs w:val="20"/>
          <w:color w:val="auto"/>
        </w:rPr>
        <w:tab/>
      </w:r>
      <w:r>
        <w:rPr>
          <w:rFonts w:ascii="Times New Roman" w:cs="Times New Roman" w:eastAsia="Times New Roman" w:hAnsi="Times New Roman"/>
          <w:sz w:val="16"/>
          <w:szCs w:val="16"/>
          <w:color w:val="auto"/>
        </w:rPr>
        <w:t>572,800</w:t>
      </w:r>
    </w:p>
    <w:p>
      <w:pPr>
        <w:spacing w:after="0" w:line="112" w:lineRule="exact"/>
        <w:rPr>
          <w:sz w:val="20"/>
          <w:szCs w:val="20"/>
          <w:color w:val="auto"/>
        </w:rPr>
      </w:pPr>
    </w:p>
    <w:p>
      <w:pPr>
        <w:sectPr>
          <w:pgSz w:w="11900" w:h="16838" w:orient="portrait"/>
          <w:cols w:equalWidth="0" w:num="2">
            <w:col w:w="8460" w:space="720"/>
            <w:col w:w="2060"/>
          </w:cols>
          <w:pgMar w:left="320" w:top="819"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Derivative liabilities associated with redeemable convertible preferred stock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Total liabilities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 w:lineRule="exact"/>
        <w:rPr>
          <w:sz w:val="20"/>
          <w:szCs w:val="20"/>
          <w:color w:val="auto"/>
        </w:rPr>
      </w:pPr>
    </w:p>
    <w:p>
      <w:pPr>
        <w:jc w:val="both"/>
        <w:ind w:left="360" w:right="260" w:hanging="323"/>
        <w:spacing w:after="0" w:line="227" w:lineRule="auto"/>
        <w:rPr>
          <w:sz w:val="20"/>
          <w:szCs w:val="20"/>
          <w:color w:val="auto"/>
        </w:rPr>
      </w:pPr>
      <w:r>
        <w:rPr>
          <w:rFonts w:ascii="Times New Roman" w:cs="Times New Roman" w:eastAsia="Times New Roman" w:hAnsi="Times New Roman"/>
          <w:sz w:val="16"/>
          <w:szCs w:val="16"/>
          <w:color w:val="auto"/>
        </w:rPr>
        <w:t>Preferred stock 10,000,000 shares authorized as of March 31, 2025 and December 31, 2024, Series A redeemable convertible preferred stock, par value $0.0001; 100,000 shares issued and outstanding as of March 31, 2025 and December 31, 2024; liquidation preference of $1,187,417 and $1,138,825 as of March 31, 2025 and December 31, 2024, respectively (related party)</w:t>
      </w:r>
    </w:p>
    <w:p>
      <w:pPr>
        <w:spacing w:after="0" w:line="6" w:lineRule="exact"/>
        <w:rPr>
          <w:sz w:val="20"/>
          <w:szCs w:val="20"/>
          <w:color w:val="auto"/>
        </w:rPr>
      </w:pPr>
    </w:p>
    <w:p>
      <w:pPr>
        <w:ind w:left="360" w:right="100" w:hanging="323"/>
        <w:spacing w:after="0" w:line="232" w:lineRule="auto"/>
        <w:rPr>
          <w:sz w:val="20"/>
          <w:szCs w:val="20"/>
          <w:color w:val="auto"/>
        </w:rPr>
      </w:pPr>
      <w:r>
        <w:rPr>
          <w:rFonts w:ascii="Times New Roman" w:cs="Times New Roman" w:eastAsia="Times New Roman" w:hAnsi="Times New Roman"/>
          <w:sz w:val="16"/>
          <w:szCs w:val="16"/>
          <w:color w:val="auto"/>
        </w:rPr>
        <w:t>Preferred stock 10,000,000 shares authorized as of March 31, 2025 and December 31, 2024, Series B redeemable convertible preferred stock, par value $0.0001; 75,000 shares issued and outstanding as of March 31, 2025 and December 31, 2024; liquidation preference of $835,075 and $800,442 as of March 31, 2025 and December 31, 2024, respectively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0"/>
        <w:spacing w:after="0"/>
        <w:tabs>
          <w:tab w:leader="none" w:pos="1440" w:val="left"/>
        </w:tabs>
        <w:rPr>
          <w:sz w:val="20"/>
          <w:szCs w:val="20"/>
          <w:color w:val="auto"/>
        </w:rPr>
      </w:pPr>
      <w:r>
        <w:rPr>
          <w:rFonts w:ascii="Times New Roman" w:cs="Times New Roman" w:eastAsia="Times New Roman" w:hAnsi="Times New Roman"/>
          <w:sz w:val="16"/>
          <w:szCs w:val="16"/>
          <w:color w:val="auto"/>
        </w:rPr>
        <w:t>357,725</w:t>
      </w:r>
      <w:r>
        <w:rPr>
          <w:sz w:val="20"/>
          <w:szCs w:val="20"/>
          <w:color w:val="auto"/>
        </w:rPr>
        <w:tab/>
      </w:r>
      <w:r>
        <w:rPr>
          <w:rFonts w:ascii="Times New Roman" w:cs="Times New Roman" w:eastAsia="Times New Roman" w:hAnsi="Times New Roman"/>
          <w:sz w:val="16"/>
          <w:szCs w:val="16"/>
          <w:color w:val="auto"/>
        </w:rPr>
        <w:t>639,425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20320</wp:posOffset>
            </wp:positionV>
            <wp:extent cx="1663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6"/>
          <w:szCs w:val="16"/>
          <w:color w:val="auto"/>
        </w:rPr>
        <w:t>4,369,527</w:t>
      </w:r>
      <w:r>
        <w:rPr>
          <w:sz w:val="20"/>
          <w:szCs w:val="20"/>
          <w:color w:val="auto"/>
        </w:rPr>
        <w:tab/>
      </w:r>
      <w:r>
        <w:rPr>
          <w:rFonts w:ascii="Times New Roman" w:cs="Times New Roman" w:eastAsia="Times New Roman" w:hAnsi="Times New Roman"/>
          <w:sz w:val="16"/>
          <w:szCs w:val="16"/>
          <w:color w:val="auto"/>
        </w:rPr>
        <w:t>4,475,277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spacing w:after="0"/>
        <w:tabs>
          <w:tab w:leader="none" w:pos="1440" w:val="left"/>
        </w:tabs>
        <w:rPr>
          <w:sz w:val="20"/>
          <w:szCs w:val="20"/>
          <w:color w:val="auto"/>
        </w:rPr>
      </w:pPr>
      <w:r>
        <w:rPr>
          <w:rFonts w:ascii="Times New Roman" w:cs="Times New Roman" w:eastAsia="Times New Roman" w:hAnsi="Times New Roman"/>
          <w:sz w:val="16"/>
          <w:szCs w:val="16"/>
          <w:color w:val="auto"/>
        </w:rPr>
        <w:t>955,317</w:t>
      </w:r>
      <w:r>
        <w:rPr>
          <w:sz w:val="20"/>
          <w:szCs w:val="20"/>
          <w:color w:val="auto"/>
        </w:rPr>
        <w:tab/>
      </w:r>
      <w:r>
        <w:rPr>
          <w:rFonts w:ascii="Times New Roman" w:cs="Times New Roman" w:eastAsia="Times New Roman" w:hAnsi="Times New Roman"/>
          <w:sz w:val="16"/>
          <w:szCs w:val="16"/>
          <w:color w:val="auto"/>
        </w:rPr>
        <w:t>730,025</w:t>
      </w:r>
    </w:p>
    <w:p>
      <w:pPr>
        <w:spacing w:after="0" w:line="200" w:lineRule="exact"/>
        <w:rPr>
          <w:sz w:val="20"/>
          <w:szCs w:val="20"/>
          <w:color w:val="auto"/>
        </w:rPr>
      </w:pPr>
    </w:p>
    <w:p>
      <w:pPr>
        <w:spacing w:after="0" w:line="237" w:lineRule="exact"/>
        <w:rPr>
          <w:sz w:val="20"/>
          <w:szCs w:val="20"/>
          <w:color w:val="auto"/>
        </w:rPr>
      </w:pPr>
    </w:p>
    <w:p>
      <w:pPr>
        <w:ind w:left="120"/>
        <w:spacing w:after="0"/>
        <w:tabs>
          <w:tab w:leader="none" w:pos="1440" w:val="left"/>
        </w:tabs>
        <w:rPr>
          <w:sz w:val="20"/>
          <w:szCs w:val="20"/>
          <w:color w:val="auto"/>
        </w:rPr>
      </w:pPr>
      <w:r>
        <w:rPr>
          <w:rFonts w:ascii="Times New Roman" w:cs="Times New Roman" w:eastAsia="Times New Roman" w:hAnsi="Times New Roman"/>
          <w:sz w:val="16"/>
          <w:szCs w:val="16"/>
          <w:color w:val="auto"/>
        </w:rPr>
        <w:t>709,450</w:t>
      </w:r>
      <w:r>
        <w:rPr>
          <w:sz w:val="20"/>
          <w:szCs w:val="20"/>
          <w:color w:val="auto"/>
        </w:rPr>
        <w:tab/>
      </w:r>
      <w:r>
        <w:rPr>
          <w:rFonts w:ascii="Times New Roman" w:cs="Times New Roman" w:eastAsia="Times New Roman" w:hAnsi="Times New Roman"/>
          <w:sz w:val="16"/>
          <w:szCs w:val="16"/>
          <w:color w:val="auto"/>
        </w:rPr>
        <w:t>569,817</w:t>
      </w:r>
    </w:p>
    <w:p>
      <w:pPr>
        <w:spacing w:after="0" w:line="188" w:lineRule="exact"/>
        <w:rPr>
          <w:sz w:val="20"/>
          <w:szCs w:val="20"/>
          <w:color w:val="auto"/>
        </w:rPr>
      </w:pPr>
    </w:p>
    <w:p>
      <w:pPr>
        <w:sectPr>
          <w:pgSz w:w="11900" w:h="16838" w:orient="portrait"/>
          <w:cols w:equalWidth="0" w:num="2">
            <w:col w:w="8460" w:space="720"/>
            <w:col w:w="2060"/>
          </w:cols>
          <w:pgMar w:left="320" w:top="819"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6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redeemable convertible preferred stock</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1,664,767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1,299,842</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6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Common stock, par value $0.0001; 15,000,000,000 shares authorized as of March 31, 2025 and December 31, 2024;</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3,049,658,556 and 3,032,219,724 shares issued and 3,048,800,731 and 3,031,361,899 shares outstanding as of March 31,</w:t>
            </w:r>
          </w:p>
        </w:tc>
        <w:tc>
          <w:tcPr>
            <w:tcW w:w="2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2025 and December 31, 2024, respectively</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16,477,601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16,808,018</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at cost, 857,825 shares at March 31, 2025 and December 31, 2024</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(20,716)</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(13,278,865)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(12,912,694)</w:t>
            </w:r>
          </w:p>
        </w:tc>
        <w:tc>
          <w:tcPr>
            <w:tcW w:w="0" w:type="dxa"/>
            <w:vAlign w:val="bottom"/>
          </w:tcPr>
          <w:p>
            <w:pPr>
              <w:spacing w:after="0"/>
              <w:rPr>
                <w:sz w:val="1"/>
                <w:szCs w:val="1"/>
                <w:color w:val="auto"/>
              </w:rPr>
            </w:pPr>
          </w:p>
        </w:tc>
      </w:tr>
      <w:tr>
        <w:trPr>
          <w:trHeight w:val="207"/>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3,183,675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3,872,812</w:t>
            </w:r>
          </w:p>
        </w:tc>
        <w:tc>
          <w:tcPr>
            <w:tcW w:w="0" w:type="dxa"/>
            <w:vAlign w:val="bottom"/>
          </w:tcPr>
          <w:p>
            <w:pPr>
              <w:spacing w:after="0"/>
              <w:rPr>
                <w:sz w:val="1"/>
                <w:szCs w:val="1"/>
                <w:color w:val="auto"/>
              </w:rPr>
            </w:pPr>
          </w:p>
        </w:tc>
      </w:tr>
      <w:tr>
        <w:trPr>
          <w:trHeight w:val="235"/>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REDEEMABLE CONVERTIBLE PREFERRED STOCK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9,217,969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9,647,931</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819" w:right="339" w:bottom="1440" w:gutter="0" w:footer="0" w:header="0"/>
          <w:type w:val="continuous"/>
        </w:sectPr>
      </w:pP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53"/>
        </w:trPr>
        <w:tc>
          <w:tcPr>
            <w:tcW w:w="860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Revenue (including $5,096 and $51,366 from a related party for the three months ended March 31, 2025 and 2024,</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235,048</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172,740</w:t>
            </w:r>
          </w:p>
        </w:tc>
        <w:tc>
          <w:tcPr>
            <w:tcW w:w="0" w:type="dxa"/>
            <w:vAlign w:val="bottom"/>
          </w:tcPr>
          <w:p>
            <w:pPr>
              <w:spacing w:after="0"/>
              <w:rPr>
                <w:sz w:val="1"/>
                <w:szCs w:val="1"/>
                <w:color w:val="auto"/>
              </w:rPr>
            </w:pPr>
          </w:p>
        </w:tc>
      </w:tr>
      <w:tr>
        <w:trPr>
          <w:trHeight w:val="224"/>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respectively)</w:t>
            </w:r>
          </w:p>
        </w:tc>
        <w:tc>
          <w:tcPr>
            <w:tcW w:w="16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Cost of revenue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463,560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404,796</w:t>
            </w: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251,246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284,627</w:t>
            </w:r>
          </w:p>
        </w:tc>
        <w:tc>
          <w:tcPr>
            <w:tcW w:w="0" w:type="dxa"/>
            <w:vAlign w:val="bottom"/>
          </w:tcPr>
          <w:p>
            <w:pPr>
              <w:spacing w:after="0"/>
              <w:rPr>
                <w:sz w:val="1"/>
                <w:szCs w:val="1"/>
                <w:color w:val="auto"/>
              </w:rPr>
            </w:pPr>
          </w:p>
        </w:tc>
      </w:tr>
      <w:tr>
        <w:trPr>
          <w:trHeight w:val="226"/>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212,175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213,232</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cost and expenses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926,981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902,655</w:t>
            </w:r>
          </w:p>
        </w:tc>
        <w:tc>
          <w:tcPr>
            <w:tcW w:w="0" w:type="dxa"/>
            <w:vAlign w:val="bottom"/>
          </w:tcPr>
          <w:p>
            <w:pPr>
              <w:spacing w:after="0"/>
              <w:rPr>
                <w:sz w:val="1"/>
                <w:szCs w:val="1"/>
                <w:color w:val="auto"/>
              </w:rPr>
            </w:pPr>
          </w:p>
        </w:tc>
      </w:tr>
      <w:tr>
        <w:trPr>
          <w:trHeight w:val="254"/>
        </w:trPr>
        <w:tc>
          <w:tcPr>
            <w:tcW w:w="8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(691,933)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(729,915)</w:t>
            </w:r>
          </w:p>
        </w:tc>
        <w:tc>
          <w:tcPr>
            <w:tcW w:w="0" w:type="dxa"/>
            <w:vAlign w:val="bottom"/>
          </w:tcPr>
          <w:p>
            <w:pPr>
              <w:spacing w:after="0"/>
              <w:rPr>
                <w:sz w:val="1"/>
                <w:szCs w:val="1"/>
                <w:color w:val="auto"/>
              </w:rPr>
            </w:pPr>
          </w:p>
        </w:tc>
      </w:tr>
      <w:tr>
        <w:trPr>
          <w:trHeight w:val="257"/>
        </w:trPr>
        <w:tc>
          <w:tcPr>
            <w:tcW w:w="8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fair value of common stock warrant liability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27,054</w:t>
            </w: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fair value of equity securities of a related party</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(19,933)</w:t>
            </w:r>
          </w:p>
        </w:tc>
        <w:tc>
          <w:tcPr>
            <w:tcW w:w="0" w:type="dxa"/>
            <w:vAlign w:val="bottom"/>
          </w:tcPr>
          <w:p>
            <w:pPr>
              <w:spacing w:after="0"/>
              <w:rPr>
                <w:sz w:val="1"/>
                <w:szCs w:val="1"/>
                <w:color w:val="auto"/>
              </w:rPr>
            </w:pPr>
          </w:p>
        </w:tc>
      </w:tr>
      <w:tr>
        <w:trPr>
          <w:trHeight w:val="226"/>
        </w:trPr>
        <w:tc>
          <w:tcPr>
            <w:tcW w:w="8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fair value of derivative liabilities associated with redeemable convertible preferred stock (related party)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281,700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52,209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50,631</w:t>
            </w:r>
          </w:p>
        </w:tc>
        <w:tc>
          <w:tcPr>
            <w:tcW w:w="0" w:type="dxa"/>
            <w:vAlign w:val="bottom"/>
          </w:tcPr>
          <w:p>
            <w:pPr>
              <w:spacing w:after="0"/>
              <w:rPr>
                <w:sz w:val="1"/>
                <w:szCs w:val="1"/>
                <w:color w:val="auto"/>
              </w:rPr>
            </w:pPr>
          </w:p>
        </w:tc>
      </w:tr>
      <w:tr>
        <w:trPr>
          <w:trHeight w:val="167"/>
        </w:trPr>
        <w:tc>
          <w:tcPr>
            <w:tcW w:w="8600" w:type="dxa"/>
            <w:vAlign w:val="bottom"/>
          </w:tcPr>
          <w:p>
            <w:pPr>
              <w:ind w:left="100"/>
              <w:spacing w:after="0" w:line="167" w:lineRule="exact"/>
              <w:rPr>
                <w:sz w:val="20"/>
                <w:szCs w:val="20"/>
                <w:color w:val="auto"/>
              </w:rPr>
            </w:pPr>
            <w:r>
              <w:rPr>
                <w:rFonts w:ascii="Times New Roman" w:cs="Times New Roman" w:eastAsia="Times New Roman" w:hAnsi="Times New Roman"/>
                <w:sz w:val="17"/>
                <w:szCs w:val="17"/>
                <w:color w:val="auto"/>
              </w:rPr>
              <w:t>Interest expense (including $3,700 and $1,381 to a related party for the three months ended March 31, 2025 and 2024,</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(11,883)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(7,501)</w:t>
            </w:r>
          </w:p>
        </w:tc>
        <w:tc>
          <w:tcPr>
            <w:tcW w:w="0" w:type="dxa"/>
            <w:vAlign w:val="bottom"/>
          </w:tcPr>
          <w:p>
            <w:pPr>
              <w:spacing w:after="0"/>
              <w:rPr>
                <w:sz w:val="1"/>
                <w:szCs w:val="1"/>
                <w:color w:val="auto"/>
              </w:rPr>
            </w:pPr>
          </w:p>
        </w:tc>
      </w:tr>
      <w:tr>
        <w:trPr>
          <w:trHeight w:val="223"/>
        </w:trPr>
        <w:tc>
          <w:tcPr>
            <w:tcW w:w="8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respectively)</w:t>
            </w: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2,965</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0" w:type="dxa"/>
            <w:vAlign w:val="bottom"/>
          </w:tcPr>
          <w:p>
            <w:pPr>
              <w:spacing w:after="0"/>
              <w:rPr>
                <w:sz w:val="1"/>
                <w:szCs w:val="1"/>
                <w:color w:val="auto"/>
              </w:rPr>
            </w:pPr>
          </w:p>
        </w:tc>
      </w:tr>
      <w:tr>
        <w:trPr>
          <w:trHeight w:val="219"/>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other income, net</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324,399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49,244</w:t>
            </w:r>
          </w:p>
        </w:tc>
        <w:tc>
          <w:tcPr>
            <w:tcW w:w="0" w:type="dxa"/>
            <w:vAlign w:val="bottom"/>
          </w:tcPr>
          <w:p>
            <w:pPr>
              <w:spacing w:after="0"/>
              <w:rPr>
                <w:sz w:val="1"/>
                <w:szCs w:val="1"/>
                <w:color w:val="auto"/>
              </w:rPr>
            </w:pPr>
          </w:p>
        </w:tc>
      </w:tr>
      <w:tr>
        <w:trPr>
          <w:trHeight w:val="227"/>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provision for (benefit from) income taxes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(367,534)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(680,671)</w:t>
            </w:r>
          </w:p>
        </w:tc>
        <w:tc>
          <w:tcPr>
            <w:tcW w:w="0" w:type="dxa"/>
            <w:vAlign w:val="bottom"/>
          </w:tcPr>
          <w:p>
            <w:pPr>
              <w:spacing w:after="0"/>
              <w:rPr>
                <w:sz w:val="1"/>
                <w:szCs w:val="1"/>
                <w:color w:val="auto"/>
              </w:rPr>
            </w:pPr>
          </w:p>
        </w:tc>
      </w:tr>
      <w:tr>
        <w:trPr>
          <w:trHeight w:val="226"/>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27"/>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(366,171)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(680,859)</w:t>
            </w:r>
          </w:p>
        </w:tc>
        <w:tc>
          <w:tcPr>
            <w:tcW w:w="0" w:type="dxa"/>
            <w:vAlign w:val="bottom"/>
          </w:tcPr>
          <w:p>
            <w:pPr>
              <w:spacing w:after="0"/>
              <w:rPr>
                <w:sz w:val="1"/>
                <w:szCs w:val="1"/>
                <w:color w:val="auto"/>
              </w:rPr>
            </w:pPr>
          </w:p>
        </w:tc>
      </w:tr>
      <w:tr>
        <w:trPr>
          <w:trHeight w:val="226"/>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Accretion of redeemable convertible preferred stock (related party)</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(364,925)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(3,901)</w:t>
            </w:r>
          </w:p>
        </w:tc>
        <w:tc>
          <w:tcPr>
            <w:tcW w:w="0" w:type="dxa"/>
            <w:vAlign w:val="bottom"/>
          </w:tcPr>
          <w:p>
            <w:pPr>
              <w:spacing w:after="0"/>
              <w:rPr>
                <w:sz w:val="1"/>
                <w:szCs w:val="1"/>
                <w:color w:val="auto"/>
              </w:rPr>
            </w:pPr>
          </w:p>
        </w:tc>
      </w:tr>
      <w:tr>
        <w:trPr>
          <w:trHeight w:val="252"/>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common stockholders, 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(731,096)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(684,760)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shares outstanding attributable to common stockholders, basic and diluted</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3,036,317,307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2,301,870,644</w:t>
            </w:r>
          </w:p>
        </w:tc>
        <w:tc>
          <w:tcPr>
            <w:tcW w:w="0" w:type="dxa"/>
            <w:vAlign w:val="bottom"/>
          </w:tcPr>
          <w:p>
            <w:pPr>
              <w:spacing w:after="0"/>
              <w:rPr>
                <w:sz w:val="1"/>
                <w:szCs w:val="1"/>
                <w:color w:val="auto"/>
              </w:rPr>
            </w:pPr>
          </w:p>
        </w:tc>
      </w:tr>
      <w:tr>
        <w:trPr>
          <w:trHeight w:val="256"/>
        </w:trPr>
        <w:tc>
          <w:tcPr>
            <w:tcW w:w="8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attributable to common stockholders, basic and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0" w:type="dxa"/>
            <w:vAlign w:val="bottom"/>
          </w:tcPr>
          <w:p>
            <w:pPr>
              <w:spacing w:after="0"/>
              <w:rPr>
                <w:sz w:val="1"/>
                <w:szCs w:val="1"/>
                <w:color w:val="auto"/>
              </w:rPr>
            </w:pPr>
          </w:p>
        </w:tc>
      </w:tr>
      <w:tr>
        <w:trPr>
          <w:trHeight w:val="257"/>
        </w:trPr>
        <w:tc>
          <w:tcPr>
            <w:tcW w:w="8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unrealized gains (losses) on investments, net of tax</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(3,262)</w:t>
            </w: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3,897</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(3,988)</w:t>
            </w:r>
          </w:p>
        </w:tc>
        <w:tc>
          <w:tcPr>
            <w:tcW w:w="0" w:type="dxa"/>
            <w:vAlign w:val="bottom"/>
          </w:tcPr>
          <w:p>
            <w:pPr>
              <w:spacing w:after="0"/>
              <w:rPr>
                <w:sz w:val="1"/>
                <w:szCs w:val="1"/>
                <w:color w:val="auto"/>
              </w:rPr>
            </w:pPr>
          </w:p>
        </w:tc>
      </w:tr>
      <w:tr>
        <w:trPr>
          <w:trHeight w:val="219"/>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other comprehensive income (loss)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(7,250)</w:t>
            </w:r>
          </w:p>
        </w:tc>
        <w:tc>
          <w:tcPr>
            <w:tcW w:w="0" w:type="dxa"/>
            <w:vAlign w:val="bottom"/>
          </w:tcPr>
          <w:p>
            <w:pPr>
              <w:spacing w:after="0"/>
              <w:rPr>
                <w:sz w:val="1"/>
                <w:szCs w:val="1"/>
                <w:color w:val="auto"/>
              </w:rPr>
            </w:pPr>
          </w:p>
        </w:tc>
      </w:tr>
      <w:tr>
        <w:trPr>
          <w:trHeight w:val="227"/>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(358,722)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(688,109)</w:t>
            </w:r>
          </w:p>
        </w:tc>
        <w:tc>
          <w:tcPr>
            <w:tcW w:w="0" w:type="dxa"/>
            <w:vAlign w:val="bottom"/>
          </w:tcPr>
          <w:p>
            <w:pPr>
              <w:spacing w:after="0"/>
              <w:rPr>
                <w:sz w:val="1"/>
                <w:szCs w:val="1"/>
                <w:color w:val="auto"/>
              </w:rPr>
            </w:pPr>
          </w:p>
        </w:tc>
      </w:tr>
      <w:tr>
        <w:trPr>
          <w:trHeight w:val="219"/>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Accretion of redeemable convertible preferred stock (related party)</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(364,925)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(3,901)</w:t>
            </w:r>
          </w:p>
        </w:tc>
        <w:tc>
          <w:tcPr>
            <w:tcW w:w="0" w:type="dxa"/>
            <w:vAlign w:val="bottom"/>
          </w:tcPr>
          <w:p>
            <w:pPr>
              <w:spacing w:after="0"/>
              <w:rPr>
                <w:sz w:val="1"/>
                <w:szCs w:val="1"/>
                <w:color w:val="auto"/>
              </w:rPr>
            </w:pPr>
          </w:p>
        </w:tc>
      </w:tr>
      <w:tr>
        <w:trPr>
          <w:trHeight w:val="252"/>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loss attributable to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(723,647)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(692,010)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981"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5"/>
          </w:tcPr>
          <w:p>
            <w:pPr>
              <w:jc w:val="center"/>
              <w:ind w:left="105"/>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2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5"/>
            <w:vMerge w:val="restart"/>
          </w:tcPr>
          <w:p>
            <w:pPr>
              <w:jc w:val="center"/>
              <w:ind w:left="105"/>
              <w:spacing w:after="0" w:line="162" w:lineRule="exact"/>
              <w:rPr>
                <w:sz w:val="20"/>
                <w:szCs w:val="20"/>
                <w:color w:val="auto"/>
              </w:rPr>
            </w:pPr>
            <w:r>
              <w:rPr>
                <w:rFonts w:ascii="Times New Roman" w:cs="Times New Roman" w:eastAsia="Times New Roman" w:hAnsi="Times New Roman"/>
                <w:sz w:val="16"/>
                <w:szCs w:val="16"/>
                <w:b w:val="1"/>
                <w:bCs w:val="1"/>
                <w:color w:val="auto"/>
                <w:w w:val="98"/>
              </w:rPr>
              <w:t>Convertible</w:t>
            </w:r>
          </w:p>
        </w:tc>
        <w:tc>
          <w:tcPr>
            <w:tcW w:w="26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5"/>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restart"/>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vMerge w:val="restart"/>
          </w:tcPr>
          <w:p>
            <w:pPr>
              <w:jc w:val="center"/>
              <w:ind w:right="106"/>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67"/>
        </w:trPr>
        <w:tc>
          <w:tcPr>
            <w:tcW w:w="2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gridSpan w:val="6"/>
            <w:vMerge w:val="restart"/>
          </w:tcPr>
          <w:p>
            <w:pPr>
              <w:jc w:val="center"/>
              <w:ind w:right="8"/>
              <w:spacing w:after="0"/>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6"/>
            <w:vMerge w:val="continue"/>
          </w:tcPr>
          <w:p>
            <w:pPr>
              <w:spacing w:after="0"/>
              <w:rPr>
                <w:sz w:val="12"/>
                <w:szCs w:val="12"/>
                <w:color w:val="auto"/>
              </w:rPr>
            </w:pPr>
          </w:p>
        </w:tc>
        <w:tc>
          <w:tcPr>
            <w:tcW w:w="10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Borders>
              <w:bottom w:val="single" w:sz="8" w:color="auto"/>
            </w:tcBorders>
            <w:gridSpan w:val="3"/>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7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w w:val="98"/>
              </w:rPr>
              <w:t>Treasury</w:t>
            </w:r>
          </w:p>
        </w:tc>
        <w:tc>
          <w:tcPr>
            <w:tcW w:w="12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6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8"/>
                <w:szCs w:val="18"/>
                <w:color w:val="auto"/>
              </w:rPr>
            </w:pPr>
          </w:p>
        </w:tc>
        <w:tc>
          <w:tcPr>
            <w:tcW w:w="8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4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8"/>
                <w:szCs w:val="18"/>
                <w:color w:val="auto"/>
              </w:rPr>
            </w:pPr>
          </w:p>
        </w:tc>
        <w:tc>
          <w:tcPr>
            <w:tcW w:w="820" w:type="dxa"/>
            <w:vAlign w:val="bottom"/>
          </w:tcPr>
          <w:p>
            <w:pPr>
              <w:jc w:val="center"/>
              <w:ind w:right="126"/>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January 1, 2025</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175,000</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$ 1,299,842</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3,031,361,899</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5"/>
              </w:rPr>
              <w:t>303</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$ 16,808,018</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 (20,716)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(12,912,694)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3,872,812</w:t>
            </w:r>
          </w:p>
        </w:tc>
        <w:tc>
          <w:tcPr>
            <w:tcW w:w="0" w:type="dxa"/>
            <w:vAlign w:val="bottom"/>
          </w:tcPr>
          <w:p>
            <w:pPr>
              <w:spacing w:after="0"/>
              <w:rPr>
                <w:sz w:val="1"/>
                <w:szCs w:val="1"/>
                <w:color w:val="auto"/>
              </w:rPr>
            </w:pPr>
          </w:p>
        </w:tc>
      </w:tr>
      <w:tr>
        <w:trPr>
          <w:trHeight w:val="213"/>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6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(366,171)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(366,171)</w:t>
            </w:r>
          </w:p>
        </w:tc>
        <w:tc>
          <w:tcPr>
            <w:tcW w:w="0" w:type="dxa"/>
            <w:vAlign w:val="bottom"/>
          </w:tcPr>
          <w:p>
            <w:pPr>
              <w:spacing w:after="0"/>
              <w:rPr>
                <w:sz w:val="1"/>
                <w:szCs w:val="1"/>
                <w:color w:val="auto"/>
              </w:rPr>
            </w:pPr>
          </w:p>
        </w:tc>
      </w:tr>
      <w:tr>
        <w:trPr>
          <w:trHeight w:val="219"/>
        </w:trPr>
        <w:tc>
          <w:tcPr>
            <w:tcW w:w="2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7,449</w:t>
            </w:r>
          </w:p>
        </w:tc>
        <w:tc>
          <w:tcPr>
            <w:tcW w:w="0" w:type="dxa"/>
            <w:vAlign w:val="bottom"/>
          </w:tcPr>
          <w:p>
            <w:pPr>
              <w:spacing w:after="0"/>
              <w:rPr>
                <w:sz w:val="1"/>
                <w:szCs w:val="1"/>
                <w:color w:val="auto"/>
              </w:rPr>
            </w:pPr>
          </w:p>
        </w:tc>
      </w:tr>
      <w:tr>
        <w:trPr>
          <w:trHeight w:val="162"/>
        </w:trPr>
        <w:tc>
          <w:tcPr>
            <w:tcW w:w="2920" w:type="dxa"/>
            <w:vAlign w:val="bottom"/>
            <w:gridSpan w:val="3"/>
          </w:tcPr>
          <w:p>
            <w:pPr>
              <w:ind w:left="100"/>
              <w:spacing w:after="0" w:line="162" w:lineRule="exact"/>
              <w:rPr>
                <w:sz w:val="20"/>
                <w:szCs w:val="20"/>
                <w:color w:val="auto"/>
              </w:rPr>
            </w:pPr>
            <w:r>
              <w:rPr>
                <w:rFonts w:ascii="Times New Roman" w:cs="Times New Roman" w:eastAsia="Times New Roman" w:hAnsi="Times New Roman"/>
                <w:sz w:val="16"/>
                <w:szCs w:val="16"/>
                <w:color w:val="auto"/>
              </w:rPr>
              <w:t>Tax withholding payments for net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settlement of employee awards</w:t>
            </w:r>
          </w:p>
        </w:tc>
        <w:tc>
          <w:tcPr>
            <w:tcW w:w="6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w:t>
            </w:r>
          </w:p>
        </w:tc>
        <w:tc>
          <w:tcPr>
            <w:tcW w:w="8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w:t>
            </w:r>
          </w:p>
        </w:tc>
        <w:tc>
          <w:tcPr>
            <w:tcW w:w="0" w:type="dxa"/>
            <w:vAlign w:val="bottom"/>
          </w:tcPr>
          <w:p>
            <w:pPr>
              <w:spacing w:after="0"/>
              <w:rPr>
                <w:sz w:val="1"/>
                <w:szCs w:val="1"/>
                <w:color w:val="auto"/>
              </w:rPr>
            </w:pPr>
          </w:p>
        </w:tc>
      </w:tr>
      <w:tr>
        <w:trPr>
          <w:trHeight w:val="165"/>
        </w:trPr>
        <w:tc>
          <w:tcPr>
            <w:tcW w:w="2920" w:type="dxa"/>
            <w:vAlign w:val="bottom"/>
            <w:gridSpan w:val="3"/>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Issuance of common stock upon vesting</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of employee RSUs</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17,090,704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920" w:type="dxa"/>
            <w:vAlign w:val="bottom"/>
            <w:gridSpan w:val="3"/>
          </w:tcPr>
          <w:p>
            <w:pPr>
              <w:ind w:left="10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of stock options</w:t>
            </w:r>
          </w:p>
        </w:tc>
        <w:tc>
          <w:tcPr>
            <w:tcW w:w="6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348,128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165"/>
        </w:trPr>
        <w:tc>
          <w:tcPr>
            <w:tcW w:w="2920" w:type="dxa"/>
            <w:vAlign w:val="bottom"/>
            <w:gridSpan w:val="3"/>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Accretion of redeemable convertible</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preferred stock (related party)</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364,925</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(364,925)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(364,925)</w:t>
            </w:r>
          </w:p>
        </w:tc>
        <w:tc>
          <w:tcPr>
            <w:tcW w:w="0" w:type="dxa"/>
            <w:vAlign w:val="bottom"/>
          </w:tcPr>
          <w:p>
            <w:pPr>
              <w:spacing w:after="0"/>
              <w:rPr>
                <w:sz w:val="1"/>
                <w:szCs w:val="1"/>
                <w:color w:val="auto"/>
              </w:rPr>
            </w:pPr>
          </w:p>
        </w:tc>
      </w:tr>
      <w:tr>
        <w:trPr>
          <w:trHeight w:val="213"/>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6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37,374</w:t>
            </w:r>
          </w:p>
        </w:tc>
        <w:tc>
          <w:tcPr>
            <w:tcW w:w="8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37,374</w:t>
            </w:r>
          </w:p>
        </w:tc>
        <w:tc>
          <w:tcPr>
            <w:tcW w:w="0" w:type="dxa"/>
            <w:vAlign w:val="bottom"/>
          </w:tcPr>
          <w:p>
            <w:pPr>
              <w:spacing w:after="0"/>
              <w:rPr>
                <w:sz w:val="1"/>
                <w:szCs w:val="1"/>
                <w:color w:val="auto"/>
              </w:rPr>
            </w:pPr>
          </w:p>
        </w:tc>
      </w:tr>
      <w:tr>
        <w:trPr>
          <w:trHeight w:val="224"/>
        </w:trPr>
        <w:tc>
          <w:tcPr>
            <w:tcW w:w="29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66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175,000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$ 1,664,767</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3,048,800,731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5"/>
              </w:rPr>
              <w:t>305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$ 16,477,601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 (20,716)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(13,278,865)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3,183,675</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2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vMerge w:val="restart"/>
          </w:tcPr>
          <w:p>
            <w:pPr>
              <w:jc w:val="center"/>
              <w:ind w:left="185"/>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5"/>
            <w:vMerge w:val="restart"/>
          </w:tcPr>
          <w:p>
            <w:pPr>
              <w:jc w:val="center"/>
              <w:ind w:left="165"/>
              <w:spacing w:after="0" w:line="162" w:lineRule="exact"/>
              <w:rPr>
                <w:sz w:val="20"/>
                <w:szCs w:val="20"/>
                <w:color w:val="auto"/>
              </w:rPr>
            </w:pPr>
            <w:r>
              <w:rPr>
                <w:rFonts w:ascii="Times New Roman" w:cs="Times New Roman" w:eastAsia="Times New Roman" w:hAnsi="Times New Roman"/>
                <w:sz w:val="16"/>
                <w:szCs w:val="16"/>
                <w:b w:val="1"/>
                <w:bCs w:val="1"/>
                <w:color w:val="auto"/>
              </w:rPr>
              <w:t>Convertible</w:t>
            </w:r>
          </w:p>
        </w:tc>
        <w:tc>
          <w:tcPr>
            <w:tcW w:w="26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5"/>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restart"/>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vMerge w:val="restart"/>
          </w:tcPr>
          <w:p>
            <w:pPr>
              <w:jc w:val="center"/>
              <w:ind w:right="106"/>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Borders>
              <w:bottom w:val="single" w:sz="8" w:color="auto"/>
            </w:tcBorders>
            <w:gridSpan w:val="6"/>
            <w:vMerge w:val="continue"/>
          </w:tcPr>
          <w:p>
            <w:pPr>
              <w:spacing w:after="0"/>
              <w:rPr>
                <w:sz w:val="12"/>
                <w:szCs w:val="12"/>
                <w:color w:val="auto"/>
              </w:rPr>
            </w:pPr>
          </w:p>
        </w:tc>
        <w:tc>
          <w:tcPr>
            <w:tcW w:w="10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Borders>
              <w:bottom w:val="single" w:sz="8" w:color="auto"/>
            </w:tcBorders>
            <w:gridSpan w:val="3"/>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7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w w:val="98"/>
              </w:rPr>
              <w:t>Treasury</w:t>
            </w:r>
          </w:p>
        </w:tc>
        <w:tc>
          <w:tcPr>
            <w:tcW w:w="120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2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January 1, 2024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2,299,253,664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5"/>
              </w:rPr>
              <w:t>230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$ 15,066,080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 (20,716)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(10,198,752)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4,851,692</w:t>
            </w:r>
          </w:p>
        </w:tc>
        <w:tc>
          <w:tcPr>
            <w:tcW w:w="0" w:type="dxa"/>
            <w:vAlign w:val="bottom"/>
          </w:tcPr>
          <w:p>
            <w:pPr>
              <w:spacing w:after="0"/>
              <w:rPr>
                <w:sz w:val="1"/>
                <w:szCs w:val="1"/>
                <w:color w:val="auto"/>
              </w:rPr>
            </w:pPr>
          </w:p>
        </w:tc>
      </w:tr>
      <w:tr>
        <w:trPr>
          <w:trHeight w:val="213"/>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6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(680,859)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(680,859)</w:t>
            </w:r>
          </w:p>
        </w:tc>
        <w:tc>
          <w:tcPr>
            <w:tcW w:w="0" w:type="dxa"/>
            <w:vAlign w:val="bottom"/>
          </w:tcPr>
          <w:p>
            <w:pPr>
              <w:spacing w:after="0"/>
              <w:rPr>
                <w:sz w:val="1"/>
                <w:szCs w:val="1"/>
                <w:color w:val="auto"/>
              </w:rPr>
            </w:pPr>
          </w:p>
        </w:tc>
      </w:tr>
      <w:tr>
        <w:trPr>
          <w:trHeight w:val="219"/>
        </w:trPr>
        <w:tc>
          <w:tcPr>
            <w:tcW w:w="2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(7,250)</w:t>
            </w:r>
          </w:p>
        </w:tc>
        <w:tc>
          <w:tcPr>
            <w:tcW w:w="0" w:type="dxa"/>
            <w:vAlign w:val="bottom"/>
          </w:tcPr>
          <w:p>
            <w:pPr>
              <w:spacing w:after="0"/>
              <w:rPr>
                <w:sz w:val="1"/>
                <w:szCs w:val="1"/>
                <w:color w:val="auto"/>
              </w:rPr>
            </w:pPr>
          </w:p>
        </w:tc>
      </w:tr>
      <w:tr>
        <w:trPr>
          <w:trHeight w:val="162"/>
        </w:trPr>
        <w:tc>
          <w:tcPr>
            <w:tcW w:w="2920" w:type="dxa"/>
            <w:vAlign w:val="bottom"/>
            <w:gridSpan w:val="3"/>
          </w:tcPr>
          <w:p>
            <w:pPr>
              <w:ind w:left="100"/>
              <w:spacing w:after="0" w:line="162" w:lineRule="exact"/>
              <w:rPr>
                <w:sz w:val="20"/>
                <w:szCs w:val="20"/>
                <w:color w:val="auto"/>
              </w:rPr>
            </w:pPr>
            <w:r>
              <w:rPr>
                <w:rFonts w:ascii="Times New Roman" w:cs="Times New Roman" w:eastAsia="Times New Roman" w:hAnsi="Times New Roman"/>
                <w:sz w:val="16"/>
                <w:szCs w:val="16"/>
                <w:color w:val="auto"/>
              </w:rPr>
              <w:t>Tax withholding payments for net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settlement of employee awards</w:t>
            </w:r>
          </w:p>
        </w:tc>
        <w:tc>
          <w:tcPr>
            <w:tcW w:w="6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8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0" w:type="dxa"/>
            <w:vAlign w:val="bottom"/>
          </w:tcPr>
          <w:p>
            <w:pPr>
              <w:spacing w:after="0"/>
              <w:rPr>
                <w:sz w:val="1"/>
                <w:szCs w:val="1"/>
                <w:color w:val="auto"/>
              </w:rPr>
            </w:pPr>
          </w:p>
        </w:tc>
      </w:tr>
      <w:tr>
        <w:trPr>
          <w:trHeight w:val="165"/>
        </w:trPr>
        <w:tc>
          <w:tcPr>
            <w:tcW w:w="2920" w:type="dxa"/>
            <w:vAlign w:val="bottom"/>
            <w:gridSpan w:val="3"/>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Issuance of common stock upon vesting of</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RSUs</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6,259,851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920" w:type="dxa"/>
            <w:vAlign w:val="bottom"/>
            <w:gridSpan w:val="3"/>
          </w:tcPr>
          <w:p>
            <w:pPr>
              <w:ind w:left="10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of stock options</w:t>
            </w:r>
          </w:p>
        </w:tc>
        <w:tc>
          <w:tcPr>
            <w:tcW w:w="6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1,415,298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8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0" w:type="dxa"/>
            <w:vAlign w:val="bottom"/>
          </w:tcPr>
          <w:p>
            <w:pPr>
              <w:spacing w:after="0"/>
              <w:rPr>
                <w:sz w:val="1"/>
                <w:szCs w:val="1"/>
                <w:color w:val="auto"/>
              </w:rPr>
            </w:pPr>
          </w:p>
        </w:tc>
      </w:tr>
      <w:tr>
        <w:trPr>
          <w:trHeight w:val="165"/>
        </w:trPr>
        <w:tc>
          <w:tcPr>
            <w:tcW w:w="2920" w:type="dxa"/>
            <w:vAlign w:val="bottom"/>
            <w:gridSpan w:val="3"/>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Issuance of Series A redeemable</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gridSpan w:val="3"/>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convertible preferred stock, net of</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gridSpan w:val="3"/>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derivative liability and issuance costs</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(related party)</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500,549</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920" w:type="dxa"/>
            <w:vAlign w:val="bottom"/>
            <w:gridSpan w:val="3"/>
          </w:tcPr>
          <w:p>
            <w:pPr>
              <w:ind w:left="100"/>
              <w:spacing w:after="0" w:line="162" w:lineRule="exact"/>
              <w:rPr>
                <w:sz w:val="20"/>
                <w:szCs w:val="20"/>
                <w:color w:val="auto"/>
              </w:rPr>
            </w:pPr>
            <w:r>
              <w:rPr>
                <w:rFonts w:ascii="Times New Roman" w:cs="Times New Roman" w:eastAsia="Times New Roman" w:hAnsi="Times New Roman"/>
                <w:sz w:val="16"/>
                <w:szCs w:val="16"/>
                <w:color w:val="auto"/>
              </w:rPr>
              <w:t>Accretion of redeemable convertible</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preferred stock (related party)</w:t>
            </w:r>
          </w:p>
        </w:tc>
        <w:tc>
          <w:tcPr>
            <w:tcW w:w="6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3,901</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(3,901)</w:t>
            </w:r>
          </w:p>
        </w:tc>
        <w:tc>
          <w:tcPr>
            <w:tcW w:w="8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(3,901)</w:t>
            </w:r>
          </w:p>
        </w:tc>
        <w:tc>
          <w:tcPr>
            <w:tcW w:w="0" w:type="dxa"/>
            <w:vAlign w:val="bottom"/>
          </w:tcPr>
          <w:p>
            <w:pPr>
              <w:spacing w:after="0"/>
              <w:rPr>
                <w:sz w:val="1"/>
                <w:szCs w:val="1"/>
                <w:color w:val="auto"/>
              </w:rPr>
            </w:pPr>
          </w:p>
        </w:tc>
      </w:tr>
      <w:tr>
        <w:trPr>
          <w:trHeight w:val="219"/>
        </w:trPr>
        <w:tc>
          <w:tcPr>
            <w:tcW w:w="2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74,225</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74,225</w:t>
            </w:r>
          </w:p>
        </w:tc>
        <w:tc>
          <w:tcPr>
            <w:tcW w:w="0" w:type="dxa"/>
            <w:vAlign w:val="bottom"/>
          </w:tcPr>
          <w:p>
            <w:pPr>
              <w:spacing w:after="0"/>
              <w:rPr>
                <w:sz w:val="1"/>
                <w:szCs w:val="1"/>
                <w:color w:val="auto"/>
              </w:rPr>
            </w:pPr>
          </w:p>
        </w:tc>
      </w:tr>
      <w:tr>
        <w:trPr>
          <w:trHeight w:val="236"/>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100,000</w:t>
            </w:r>
          </w:p>
        </w:tc>
        <w:tc>
          <w:tcPr>
            <w:tcW w:w="6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$ 504,450</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2,306,928,813</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5"/>
              </w:rPr>
              <w:t>231</w:t>
            </w:r>
          </w:p>
        </w:tc>
        <w:tc>
          <w:tcPr>
            <w:tcW w:w="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$ 15,134,686</w:t>
            </w: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(20,716)</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(2,400)</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(10,879,611)</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4,232,190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1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(366,171)</w:t>
            </w:r>
          </w:p>
        </w:tc>
        <w:tc>
          <w:tcPr>
            <w:tcW w:w="8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(680,859)</w:t>
            </w: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97,959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68,838</w:t>
            </w: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Amortization of insurance premium</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8,589</w:t>
            </w:r>
          </w:p>
        </w:tc>
        <w:tc>
          <w:tcPr>
            <w:tcW w:w="0" w:type="dxa"/>
            <w:vAlign w:val="bottom"/>
          </w:tcPr>
          <w:p>
            <w:pPr>
              <w:spacing w:after="0"/>
              <w:rPr>
                <w:sz w:val="1"/>
                <w:szCs w:val="1"/>
                <w:color w:val="auto"/>
              </w:rPr>
            </w:pPr>
          </w:p>
        </w:tc>
      </w:tr>
      <w:tr>
        <w:trPr>
          <w:trHeight w:val="226"/>
        </w:trPr>
        <w:tc>
          <w:tcPr>
            <w:tcW w:w="8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Non-cash operating lease cost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7,469</w:t>
            </w: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27,515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63,696</w:t>
            </w:r>
          </w:p>
        </w:tc>
        <w:tc>
          <w:tcPr>
            <w:tcW w:w="0" w:type="dxa"/>
            <w:vAlign w:val="bottom"/>
          </w:tcPr>
          <w:p>
            <w:pPr>
              <w:spacing w:after="0"/>
              <w:rPr>
                <w:sz w:val="1"/>
                <w:szCs w:val="1"/>
                <w:color w:val="auto"/>
              </w:rPr>
            </w:pPr>
          </w:p>
        </w:tc>
      </w:tr>
      <w:tr>
        <w:trPr>
          <w:trHeight w:val="226"/>
        </w:trPr>
        <w:tc>
          <w:tcPr>
            <w:tcW w:w="8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Inventory and firm purchase commitments write-downs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132,298</w:t>
            </w: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fair value of common stock warrant liability</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(27,054)</w:t>
            </w:r>
          </w:p>
        </w:tc>
        <w:tc>
          <w:tcPr>
            <w:tcW w:w="0" w:type="dxa"/>
            <w:vAlign w:val="bottom"/>
          </w:tcPr>
          <w:p>
            <w:pPr>
              <w:spacing w:after="0"/>
              <w:rPr>
                <w:sz w:val="1"/>
                <w:szCs w:val="1"/>
                <w:color w:val="auto"/>
              </w:rPr>
            </w:pPr>
          </w:p>
        </w:tc>
      </w:tr>
      <w:tr>
        <w:trPr>
          <w:trHeight w:val="226"/>
        </w:trPr>
        <w:tc>
          <w:tcPr>
            <w:tcW w:w="8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fair value of equity securities of a related party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19,933</w:t>
            </w: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fair value of derivative liabilities associated with redeemable convertible preferred stock (related party)</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(281,700)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8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accretion of investment discounts/premiums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(21,304)</w:t>
            </w: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non-cash items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w:t>
            </w:r>
          </w:p>
        </w:tc>
        <w:tc>
          <w:tcPr>
            <w:tcW w:w="0" w:type="dxa"/>
            <w:vAlign w:val="bottom"/>
          </w:tcPr>
          <w:p>
            <w:pPr>
              <w:spacing w:after="0"/>
              <w:rPr>
                <w:sz w:val="1"/>
                <w:szCs w:val="1"/>
                <w:color w:val="auto"/>
              </w:rPr>
            </w:pPr>
          </w:p>
        </w:tc>
      </w:tr>
      <w:tr>
        <w:trPr>
          <w:trHeight w:val="226"/>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600" w:type="dxa"/>
            <w:vAlign w:val="bottom"/>
            <w:shd w:val="clear" w:color="auto" w:fill="CCEEFF"/>
          </w:tcPr>
          <w:p>
            <w:pPr>
              <w:ind w:left="180"/>
              <w:spacing w:after="0" w:line="166" w:lineRule="exact"/>
              <w:rPr>
                <w:sz w:val="20"/>
                <w:szCs w:val="20"/>
                <w:color w:val="auto"/>
              </w:rPr>
            </w:pPr>
            <w:r>
              <w:rPr>
                <w:rFonts w:ascii="Times New Roman" w:cs="Times New Roman" w:eastAsia="Times New Roman" w:hAnsi="Times New Roman"/>
                <w:sz w:val="17"/>
                <w:szCs w:val="17"/>
                <w:color w:val="auto"/>
              </w:rPr>
              <w:t>Accounts receivable (including $4,116 and $(49,358) from a related party for the three months ended March 31, 2025 and</w:t>
            </w: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(75,196)</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2024, respectively)</w:t>
            </w: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Inventory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(206,470)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(21,002)</w:t>
            </w: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Prepaid expenses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(11,042)</w:t>
            </w:r>
          </w:p>
        </w:tc>
        <w:tc>
          <w:tcPr>
            <w:tcW w:w="0" w:type="dxa"/>
            <w:vAlign w:val="bottom"/>
          </w:tcPr>
          <w:p>
            <w:pPr>
              <w:spacing w:after="0"/>
              <w:rPr>
                <w:sz w:val="1"/>
                <w:szCs w:val="1"/>
                <w:color w:val="auto"/>
              </w:rPr>
            </w:pPr>
          </w:p>
        </w:tc>
      </w:tr>
      <w:tr>
        <w:trPr>
          <w:trHeight w:val="226"/>
        </w:trPr>
        <w:tc>
          <w:tcPr>
            <w:tcW w:w="8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current assets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3,914</w:t>
            </w: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noncurrent assets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(45,911)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(4,369)</w:t>
            </w:r>
          </w:p>
        </w:tc>
        <w:tc>
          <w:tcPr>
            <w:tcW w:w="0" w:type="dxa"/>
            <w:vAlign w:val="bottom"/>
          </w:tcPr>
          <w:p>
            <w:pPr>
              <w:spacing w:after="0"/>
              <w:rPr>
                <w:sz w:val="1"/>
                <w:szCs w:val="1"/>
                <w:color w:val="auto"/>
              </w:rPr>
            </w:pPr>
          </w:p>
        </w:tc>
      </w:tr>
      <w:tr>
        <w:trPr>
          <w:trHeight w:val="226"/>
        </w:trPr>
        <w:tc>
          <w:tcPr>
            <w:tcW w:w="8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(3,533)</w:t>
            </w: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116,845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5,107</w:t>
            </w:r>
          </w:p>
        </w:tc>
        <w:tc>
          <w:tcPr>
            <w:tcW w:w="0" w:type="dxa"/>
            <w:vAlign w:val="bottom"/>
          </w:tcPr>
          <w:p>
            <w:pPr>
              <w:spacing w:after="0"/>
              <w:rPr>
                <w:sz w:val="1"/>
                <w:szCs w:val="1"/>
                <w:color w:val="auto"/>
              </w:rPr>
            </w:pPr>
          </w:p>
        </w:tc>
      </w:tr>
      <w:tr>
        <w:trPr>
          <w:trHeight w:val="226"/>
        </w:trPr>
        <w:tc>
          <w:tcPr>
            <w:tcW w:w="8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14,827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19,025</w:t>
            </w:r>
          </w:p>
        </w:tc>
        <w:tc>
          <w:tcPr>
            <w:tcW w:w="0" w:type="dxa"/>
            <w:vAlign w:val="bottom"/>
          </w:tcPr>
          <w:p>
            <w:pPr>
              <w:spacing w:after="0"/>
              <w:rPr>
                <w:sz w:val="1"/>
                <w:szCs w:val="1"/>
                <w:color w:val="auto"/>
              </w:rPr>
            </w:pPr>
          </w:p>
        </w:tc>
      </w:tr>
      <w:tr>
        <w:trPr>
          <w:trHeight w:val="227"/>
        </w:trPr>
        <w:tc>
          <w:tcPr>
            <w:tcW w:w="8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(428,613)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(516,745)</w:t>
            </w:r>
          </w:p>
        </w:tc>
        <w:tc>
          <w:tcPr>
            <w:tcW w:w="0" w:type="dxa"/>
            <w:vAlign w:val="bottom"/>
          </w:tcPr>
          <w:p>
            <w:pPr>
              <w:spacing w:after="0"/>
              <w:rPr>
                <w:sz w:val="1"/>
                <w:szCs w:val="1"/>
                <w:color w:val="auto"/>
              </w:rPr>
            </w:pPr>
          </w:p>
        </w:tc>
      </w:tr>
      <w:tr>
        <w:trPr>
          <w:trHeight w:val="208"/>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600" w:type="dxa"/>
            <w:vAlign w:val="bottom"/>
            <w:shd w:val="clear" w:color="auto" w:fill="CCEEFF"/>
          </w:tcPr>
          <w:p>
            <w:pPr>
              <w:ind w:left="180"/>
              <w:spacing w:after="0" w:line="163" w:lineRule="exact"/>
              <w:rPr>
                <w:sz w:val="20"/>
                <w:szCs w:val="20"/>
                <w:color w:val="auto"/>
              </w:rPr>
            </w:pPr>
            <w:r>
              <w:rPr>
                <w:rFonts w:ascii="Times New Roman" w:cs="Times New Roman" w:eastAsia="Times New Roman" w:hAnsi="Times New Roman"/>
                <w:sz w:val="17"/>
                <w:szCs w:val="17"/>
                <w:color w:val="auto"/>
              </w:rPr>
              <w:t>Purchases of property, plant and equipment (including $(41,993) and $(6,026) from a related party for the three months</w:t>
            </w: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(161,241)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(198,197)</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ended March 31, 2025 and 2024, respectively)</w:t>
            </w: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600" w:type="dxa"/>
            <w:vAlign w:val="bottom"/>
          </w:tcPr>
          <w:p>
            <w:pPr>
              <w:ind w:left="180"/>
              <w:spacing w:after="0" w:line="162" w:lineRule="exact"/>
              <w:rPr>
                <w:sz w:val="20"/>
                <w:szCs w:val="20"/>
                <w:color w:val="auto"/>
              </w:rPr>
            </w:pPr>
            <w:r>
              <w:rPr>
                <w:rFonts w:ascii="Times New Roman" w:cs="Times New Roman" w:eastAsia="Times New Roman" w:hAnsi="Times New Roman"/>
                <w:sz w:val="17"/>
                <w:szCs w:val="17"/>
                <w:color w:val="auto"/>
              </w:rPr>
              <w:t>Purchases of investments (including $(30,000) and nil from a related party for the three months ended March 31, 2025 and</w:t>
            </w:r>
          </w:p>
        </w:tc>
        <w:tc>
          <w:tcPr>
            <w:tcW w:w="3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(287,029)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(514,548)</w:t>
            </w:r>
          </w:p>
        </w:tc>
        <w:tc>
          <w:tcPr>
            <w:tcW w:w="0" w:type="dxa"/>
            <w:vAlign w:val="bottom"/>
          </w:tcPr>
          <w:p>
            <w:pPr>
              <w:spacing w:after="0"/>
              <w:rPr>
                <w:sz w:val="1"/>
                <w:szCs w:val="1"/>
                <w:color w:val="auto"/>
              </w:rPr>
            </w:pPr>
          </w:p>
        </w:tc>
      </w:tr>
      <w:tr>
        <w:trPr>
          <w:trHeight w:val="226"/>
        </w:trPr>
        <w:tc>
          <w:tcPr>
            <w:tcW w:w="8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2024, respectively)</w:t>
            </w: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maturities of investments</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1,062,291</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1,030,291</w:t>
            </w:r>
          </w:p>
        </w:tc>
        <w:tc>
          <w:tcPr>
            <w:tcW w:w="0" w:type="dxa"/>
            <w:vAlign w:val="bottom"/>
          </w:tcPr>
          <w:p>
            <w:pPr>
              <w:spacing w:after="0"/>
              <w:rPr>
                <w:sz w:val="1"/>
                <w:szCs w:val="1"/>
                <w:color w:val="auto"/>
              </w:rPr>
            </w:pPr>
          </w:p>
        </w:tc>
      </w:tr>
      <w:tr>
        <w:trPr>
          <w:trHeight w:val="219"/>
        </w:trPr>
        <w:tc>
          <w:tcPr>
            <w:tcW w:w="86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614,021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317,546</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issuance of Series A redeemable convertible preferred stock to a related party</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 for finance lease liabilities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0" w:type="dxa"/>
            <w:vAlign w:val="bottom"/>
          </w:tcPr>
          <w:p>
            <w:pPr>
              <w:spacing w:after="0"/>
              <w:rPr>
                <w:sz w:val="1"/>
                <w:szCs w:val="1"/>
                <w:color w:val="auto"/>
              </w:rPr>
            </w:pPr>
          </w:p>
        </w:tc>
      </w:tr>
      <w:tr>
        <w:trPr>
          <w:trHeight w:val="226"/>
        </w:trPr>
        <w:tc>
          <w:tcPr>
            <w:tcW w:w="8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borrowings from a related party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w:t>
            </w:r>
          </w:p>
        </w:tc>
        <w:tc>
          <w:tcPr>
            <w:tcW w:w="0" w:type="dxa"/>
            <w:vAlign w:val="bottom"/>
          </w:tcPr>
          <w:p>
            <w:pPr>
              <w:spacing w:after="0"/>
              <w:rPr>
                <w:sz w:val="1"/>
                <w:szCs w:val="1"/>
                <w:color w:val="auto"/>
              </w:rPr>
            </w:pPr>
          </w:p>
        </w:tc>
      </w:tr>
      <w:tr>
        <w:trPr>
          <w:trHeight w:val="226"/>
        </w:trPr>
        <w:tc>
          <w:tcPr>
            <w:tcW w:w="8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Tax withholding payments for net settlement of employee awards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(3,242)</w:t>
            </w: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 for credit facility issuance costs to a related party</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6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62,731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997,202</w:t>
            </w:r>
          </w:p>
        </w:tc>
        <w:tc>
          <w:tcPr>
            <w:tcW w:w="0" w:type="dxa"/>
            <w:vAlign w:val="bottom"/>
          </w:tcPr>
          <w:p>
            <w:pPr>
              <w:spacing w:after="0"/>
              <w:rPr>
                <w:sz w:val="1"/>
                <w:szCs w:val="1"/>
                <w:color w:val="auto"/>
              </w:rPr>
            </w:pPr>
          </w:p>
        </w:tc>
      </w:tr>
      <w:tr>
        <w:trPr>
          <w:trHeight w:val="227"/>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248,139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798,003</w:t>
            </w:r>
          </w:p>
        </w:tc>
        <w:tc>
          <w:tcPr>
            <w:tcW w:w="0" w:type="dxa"/>
            <w:vAlign w:val="bottom"/>
          </w:tcPr>
          <w:p>
            <w:pPr>
              <w:spacing w:after="0"/>
              <w:rPr>
                <w:sz w:val="1"/>
                <w:szCs w:val="1"/>
                <w:color w:val="auto"/>
              </w:rPr>
            </w:pPr>
          </w:p>
        </w:tc>
      </w:tr>
      <w:tr>
        <w:trPr>
          <w:trHeight w:val="226"/>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Beginning cash, cash equivalents, and restricted cash</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1,607,052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1,371,507</w:t>
            </w:r>
          </w:p>
        </w:tc>
        <w:tc>
          <w:tcPr>
            <w:tcW w:w="0" w:type="dxa"/>
            <w:vAlign w:val="bottom"/>
          </w:tcPr>
          <w:p>
            <w:pPr>
              <w:spacing w:after="0"/>
              <w:rPr>
                <w:sz w:val="1"/>
                <w:szCs w:val="1"/>
                <w:color w:val="auto"/>
              </w:rPr>
            </w:pPr>
          </w:p>
        </w:tc>
      </w:tr>
      <w:tr>
        <w:trPr>
          <w:trHeight w:val="252"/>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cash, cash equivalents, and restricted cash</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1,855,191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2,169,510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interest, net of amounts capitalized</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4,321</w:t>
            </w:r>
          </w:p>
        </w:tc>
        <w:tc>
          <w:tcPr>
            <w:tcW w:w="8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w:t>
            </w: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taxes</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Increases (decreases) in purchases of property, plant and equipment included in accounts payable and other current liabilities $</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(32,911)</w:t>
            </w:r>
          </w:p>
        </w:tc>
        <w:tc>
          <w:tcPr>
            <w:tcW w:w="8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40,464</w:t>
            </w: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grant (related party) reflected in property, plant and equipment</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(15,047)</w:t>
            </w:r>
          </w:p>
        </w:tc>
        <w:tc>
          <w:tcPr>
            <w:tcW w:w="0" w:type="dxa"/>
            <w:vAlign w:val="bottom"/>
          </w:tcPr>
          <w:p>
            <w:pPr>
              <w:spacing w:after="0"/>
              <w:rPr>
                <w:sz w:val="1"/>
                <w:szCs w:val="1"/>
                <w:color w:val="auto"/>
              </w:rPr>
            </w:pPr>
          </w:p>
        </w:tc>
      </w:tr>
      <w:tr>
        <w:trPr>
          <w:trHeight w:val="222"/>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and right-of-use assets obtained through leases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27,813</w:t>
            </w:r>
          </w:p>
        </w:tc>
        <w:tc>
          <w:tcPr>
            <w:tcW w:w="8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4,327</w:t>
            </w: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671"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Lucid Group, Inc. (“Lucid”) is a technology company that is setting new standards with the world’s most advanced electric vehicles (“EV”), the award-winning Lucid Air and all-new Lucid Gravity.</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Throughout the notes to the condensed consolidated financial statements, unless otherwise noted, the “Company,” “we,” “us” or “our” and similar terms refer to Lucid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The Company devotes its efforts to business planning, vehicle sales and servicing, technology access, research and development, construction and expansion of manufacturing facilities, expansion of retail studios and service centers, recruitment of management and technical staff, acquisition of operating assets, and capital raising.</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From inception through March 31, 2025, the Company has incurred operating losses and negative cash flows from operating activities. For the three months ended March 31, 2025 and 2024, the Company has incurred net losses of $366.2 million and $680.9 million, respectively. The Company had an accumulated deficit of $13.3 billion as of March 31, 2025.</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completed the first phase of the construction of its Advanced Manufacturing Plant-1 in Casa Grande, Arizona (“AMP-1”) in 2021, transitioned general assembly to the AMP-1 phase 2 manufacturing facility and completed the semi knocked-down (“SKD”) portion of its Advanced Manufacturing Plant-2 in Saudi Arabia (“AMP-2”) in September 2023. The Company also completed key manufacturing activities, including the paint shop, stamping, a new body shop for the Lucid Gravity, and a majority of the powertrain shop, of the AMP-1 phase 2 manufacturing facility in 2024. The Company began commercial production of its first vehicle, the Lucid Air, in September 2021 and delivered its first vehicles in late October 2021. The Company began commercial production and deliveries of its second vehicle, the Lucid Gravity, in December 2024. Currently, the AMP-1 phase 2 facility manufactures the Lucid Air and the Lucid Gravity. The Company continues to expand AMP-1, construct the completely-built-up (“CBU”) portion of AMP-2, and build a network of retail sales and service locations. The Company has plans for continued development of additional vehicle model types for future release. The aforementioned activities will require considerable capital, which is above and beyond the expected cash inflows from the initial sales of the Lucid Air. As such, the future operating plan involves considerable risk if secure funding sources are not identified and confirmed.</w:t>
      </w:r>
    </w:p>
    <w:p>
      <w:pPr>
        <w:spacing w:after="0" w:line="1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existing sources of liquidity include cash, cash equivalents, investments, and credit facilities. The Company funded operations primarily with issuances of common stock, convertible preferred stock, and convertible notes.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2022, the Company entered into a loan agreement with the Saudi Industrial Development Fund (“SIDF”) with an aggregate principal amount of up to approximately $1.4 billion, a five-year senior secured asset-based revolving credit facility (“ABL Credit Facility”) with an initial aggregate principal commitment amount of up to $1.0 billion, and revolving credit facilities (the “GIB Facility Agreement”) with Gulf International Bank (“GIB”) in an aggregate principal amount of approximately $266.1 million. The GIB Facility Agreement provided for two committed revolving credit facilities, of which $173.0 million was available as a bridge financing (the “Bridge Facility”) and $93.1 million was for general corporate purposes (the “Working Capital Facility”).</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March 2023, the Company amended the GIB Facility Agreement (together with the GIB Facility Agreement, the “2023 Amended GIB Facility Agreement”) to combine the Bridge Facility and the Working Capital Facility into a committed $266.1 million revolving credit facility (the “2023 GIB Credit Facility”). In February 2025, Lucid LLC, a limited liability company established in Saudi Arabia and a subsidiary of the Company (“Lucid LLC”), entered into an agreement to renew the 2023 GIB Credit Facility (the “2025 GIB Credit Facility”) maturing on February 24, 2028 to increase the credit facility committed amount from SAR 1.0 billion (approximately $266.1 million) to SAR 1.9 billion (approximately $506.5 million). See Note 6 “Debt” for more information.</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 w:name="page11"/>
    <w:bookmarkEnd w:id="10"/>
    <w:p>
      <w:pPr>
        <w:ind w:right="60"/>
        <w:spacing w:after="0" w:line="255" w:lineRule="auto"/>
        <w:rPr>
          <w:sz w:val="20"/>
          <w:szCs w:val="20"/>
          <w:color w:val="auto"/>
        </w:rPr>
      </w:pPr>
      <w:r>
        <w:rPr>
          <w:rFonts w:ascii="Times New Roman" w:cs="Times New Roman" w:eastAsia="Times New Roman" w:hAnsi="Times New Roman"/>
          <w:sz w:val="18"/>
          <w:szCs w:val="18"/>
          <w:color w:val="auto"/>
        </w:rPr>
        <w:t>In May 2023, the Company entered into an underwriting agreement (the “2023 Underwriting Agreement”) with BofA Securities, Inc. (the “Underwriter”), under which the Underwriter agreed to purchase from the Company shares of the Company’s common stock in a public offering for aggregate net proceeds to the Company of $1.2 billion. In May 2023, the Company also entered into a subscription agreement (the “2023 Subscription Agreement”) with Ayar Third Investment Company, the controlling stockholder of the Company (“Ayar”), pursuant to which Ayar agreed to purchase from the Company shares of the Company’s common stock in a private placement for aggregate net proceeds of $1.8 billion. In June 2023, the Company completed the public offering pursuant to the 2023 Underwriting Agreement for aggregate net proceeds of $1.2 billion and also consummated the private placement to Ayar pursuant to the 2023 Subscription Agreement for aggregate net proceeds of $1.8 billion. See Note 16 “Related Party Transactions” for more information.</w:t>
      </w:r>
    </w:p>
    <w:p>
      <w:pPr>
        <w:spacing w:after="0" w:line="18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In March 2024, the Company entered into a subscription agreement (the “Series A Subscription Agreement”) with Ayar. Pursuant to the Series A Subscription Agreement, Ayar agreed to purchase from the Company 100,000 shares of its Series A convertible preferred stock, par value $0.0001 per share (the “Series A Redeemable Convertible Preferred Stock”), for an aggregate purchase price of $1.0 billion in a private placement. Subsequently, in March 2024, the Company issued the shares to Ayar pursuant to the Series A Subscription Agreement and received aggregate net proceeds of</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$997.6 million. In August 2024, the Company entered into a subscription agreement (the “Series B Subscription Agreement”) with Ayar. Pursuant to the Series B Subscription Agreement, Ayar agreed to purchase from the Company 75,000 shares of its Series B convertible preferred stock, par value $0.0001 per share (the “Series B Redeemable Convertible Preferred Stock”), for an aggregate purchase price of $750.0 million in a private placement. Subsequently, in August 2024, the Company issued the shares to Ayar pursuant to the Series B Subscription Agreement and received aggregate net proceeds of $749.4 million. See Note 8 “Redeemable Convertible Preferred Stock” and Note 16 “Related Party Transactions” for more information.</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Series A Redeemable Convertible Preferred Stock and the Series B Redeemable Convertible Preferred Stock (the “Redeemable Convertible Preferred Stock”) are convertible at the option of the holder (i) at any time the closing price per share of the common stock on the trading date immediately preceding the date on which the holder delivers the relevant notice of conversion is at least a certain price threshold as noted in the certificate of designations of Series A Redeemable Convertible Preferred Stock (the “Series A Certificate of Designations”) and in the certificate of designations of the Series B Redeemable Convertible Preferred Stock (the “Series B Certificate of Designations”) of the Company or (ii) during specified periods preceding a fundamental change or optional redemption by the Company under the terms of the Redeemable Convertible Preferred Stock. See Note 8 “Redeemable Convertible Preferred Stock” for more information.</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August 2024, the Company entered into a $750.0 million five-year unsecured delayed draw term loan credit facility (the “DDTL Credit Facility”) with Ayar. See Note 6 “Debt” and Note 16 “Related Party Transactions” for more information.</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October 2024, the Company entered into an underwriting agreement (the “2024 Underwriting Agreement”) with the Underwriter, under which the Underwriter agreed to purchase shares of the Company’s common stock. The Company also granted the Underwriter a 30-day option to purchase additional shares of its common stock (the “Overallotment Option”), and the Underwriter exercised the Overallotment Option to purchase additional shares. In October 2024, the Company also entered into a subscription agreement (the “2024 Subscription Agreement”) with Ayar, pursuant to which Ayar agreed to purchase from the Company shares of the Company’s common stock in a private placement. In addition, given the Underwriter’s exercise of the Overallotment Option, Ayar agreed to purchase additional shares of the Company’s common stock. In October 2024, the Company completed the public offering pursuant to the 2024 Underwriting Agreement for aggregate net proceeds of $718.4 million and also consummated the private placement of shares to Ayar pursuant to the 2024 Subscription Agreement for aggregate net proceeds of $1,025.7 million. See Note 16 “Related Party Transactions” for more information.</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April 2025, the Company issued $1.10 billion aggregate principal amount of 5.00% convertible senior notes due in April 2030 (the “2030 Notes”) in a private offering. The net proceeds from the offering were approximately $1.08 billion, after deducting debt issuance costs. In connection with the 2030 Notes offering, the Company paid approximately $118.3 million to enter into privately negotiated capped call transactions with certain financial institutions to increase the effective conversion premium to $4.80 per share. See Note 18 “Subsequent Events” for more information.</w:t>
      </w:r>
    </w:p>
    <w:p>
      <w:pPr>
        <w:spacing w:after="0" w:line="19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Contemporaneously with the 2030 Notes offering, the Company entered into privately negotiated transactions with certain holders of the 2026 Notes to repurchase approximately $1,052.5 million aggregate principal amount of its 1.25% convertible senior notes due 2026 (the “2026 notes”), using approximately $935.6 million of the net proceeds of the 2030 Notes. See Note 18 “Subsequent Events” for more information.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Certain Significant Risks and Uncertainties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current business activities consist of (i) generating sales from the deliveries and service of vehicles, (ii) research and development efforts to design, engineer and develop high-performance fully electric vehicles and advanced electric vehicle powertrain components, including battery pack systems, (iii) construction of the CBU portion of AMP-2 in Saudi Arabia, (iv) further construction of AMP-1 phase 2 in Casa Grande, Arizona, (v) expansion of its retail studios and service center capabilities throughout North America and across the globe, and (vi) providing access to its technology to third parties. The Company is subject to the risks associated with such activities, including the need to further develop its technology, its marketing, and distribution channels; the need to further develop its supply chain and manufacturing; and the need to hire additional management and other employees. Successful completion of the Company’s development program and, ultimately, the attainment of profitable operations are dependent upon future events, including our ability to access potential markets, and secure long-term financing on commercially reasonable terms.</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participates in a dynamic high-technology industry. Changes in any of the following areas could have a material adverse impact on the Company’s future financial position, results of operations, and/or cash flows: changes in the overall demand for its products and services; advances and trends in new technologies; competitive pressures; acceptance of the Company’s products and services; litigation or claims against the Company based on intellectual property (including patents); supply chain challenges and uncertainties; uncertainties surrounding trade policies as well as domestic and foreign tariffs; political, regulatory, social, environmental and economic conditions or other factors; and the Company’s ability to attract and retain employees necessary to support its business operations.</w:t>
      </w:r>
    </w:p>
    <w:p>
      <w:pPr>
        <w:spacing w:after="0" w:line="2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global economic recession, downturn or other adverse economic conditions, whether due to changes or uncertainties in trade policies, the imposition or proposed imposition of tariffs, threat of trade war, persistent inflation, political uncertainty, global conflicts or other geopolitical events, public health crises, interest rate increases or other policy actions by major central banks, government closures of banks and liquidity concerns at other financial institutions, or other factors, may have an adverse impact on the Company’s business, prospects, financial condition and results of operations. Adverse economic conditions as well as uncertainty about the current and future domestic or global economic conditions may cause the Company’s customers to defer purchases or cancel their orders in response to higher interest rates, limited availability of consumer credit, decreased cash availability, fluctuations in foreign currency exchange rates, and weakened consumer confidence. Reduced demand for the Company’s products may result in significant decreases in product sales, which in turn would have a material adverse impact on the Company’s business, prospects, financial condition and results of operations. Because of the Company’s premium brand positioning and pricing, an economic recession or downturn is likely to have a heightened adverse effect on the Company compared to many of its electric vehicle and traditional automotive industry competitors, to the extent that consumer demand for luxury goods is reduced in favor of lower-priced alternatives. In addition, any economic recession, downturn or other adverse economic conditions, as well as uncertainties surrounding domestic and foreign tariffs, could also cause supply chain and logistical challenges and other operational risks if any of the Company’s suppliers, sub-suppliers or partners become insolvent or are otherwise unable to continue their operations, fulfill their obligations to the Company, or meet the Company’s future demand. Taken together, uncertainties surrounding tariffs, coupled with supply chain challenges and the potential difficulty of passing costs to customers or sharing the burden with suppliers, could reduce demand for the Company’s products and have a material adverse effect on the Company’s business, prospects, results of operations and financial condition. In addition, the deterioration of conditions in the broad financing markets may limit the Company’s ability to obtain external financing to fund its operations and capital expenditures on terms favorable to the Company, if at all. See “Risk Factors” in Part II, Item 1A of this Quarterly Report on Form 10-Q (the “Quarterly Report”) for more information regarding risks associated with a global economic recession.</w:t>
      </w:r>
    </w:p>
    <w:p>
      <w:pPr>
        <w:spacing w:after="0" w:line="19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the current circumstances, any impact on the Company’s financial condition, results of operations or cash flows in the future continues to be difficult to estimate and predict, as it depends on future events that are highly uncertain and cannot be predicted with accuracy.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included herein have been prepared in accordance with generally accepted accounting principles in the United States of America (“U.S. GAAP”) and applicable rules and regulations of the U.S. Securities and Exchange Commission (the “SEC”) regarding interim financial reporting. Certain information and disclosures normally included in the financial statements prepared in accordance with U.S.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February 25, 2025.</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management’s opinion, these unaudited condensed consolidated financial statements have been prepared on the same basis as the annual financial statements and reflect all adjustments, which include normal recurring adjustments, necessary for the fair statement of the Company’s financial position as of March 31, 2025 and the results of operations for the three months ended March 31, 2025 and 2024. The results of operations for the three months ended March 31, 2025 are not necessarily indicative of the results to be expected for the full year ending December 31, 2025 or any other future interim or annual period.</w:t>
      </w:r>
    </w:p>
    <w:p>
      <w:pPr>
        <w:spacing w:after="0" w:line="18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significant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one operating and one reportable segment, as the CODM reviews financial information presented on a consolidated basis for purposes of making operating decisions, allocating resources, and evaluating financial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inventory valuation, warranty reserve, useful lives of property, plant and equipment, fair value of common stock warrants, fair value of derivative liabilities associated with the Redeemable Convertible Preferred Stock, estimates of residual value guarantee (“RVG”) liability, deferred revenue related to technology access fees and over-the-air (“OTA”) software updates, sales return reserves, assumptions used to measure stock-based compensation expense, income taxes, and estimated incremental borrowing rates for assessing operating and finance leases.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prior-period amount has been reclassified in the accompanying condensed consolidated financial statements and notes thereto in order to conform to the current period presentation.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at the date of purchase of three months or less to be cash equivalents.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in other current assets is primarily related to letters of credit issued to the landlords for certain of the Company’s leased facilities.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to amounts shown in the statements of cash flows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1,854,879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1,606,865</w:t>
            </w: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1,855,191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1,607,052</w:t>
            </w:r>
          </w:p>
        </w:tc>
      </w:tr>
      <w:tr>
        <w:trPr>
          <w:trHeight w:val="21"/>
        </w:trPr>
        <w:tc>
          <w:tcPr>
            <w:tcW w:w="8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Accounts receivable consists of receivables from our customers and from financial institutions offering financing products to our customers for the sale of vehicles, sales of powertrain kits, services, and regulatory credits. The Company provides an allowance against accounts receivable for any potential uncollectible amounts. The Company recorded immaterial allowance for credit losses as of March 31, 2025 and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cash equivalents, investments and accounts receivable. The Company places its cash primarily with domestic financial institutions that are federally insured within statutory limits, but its deposits exceed federally insured limits. As of March 31, 2025 and December 31, 2024, accounts receivable from the EV purchase agreement with the Government of Saudi Arabia, a related party of the Public Investment Fund (“PIF”), which is an affiliate of Ayar, as represented by the Ministry of Finance (the “EV Purchase Agreement”), represented 59.6% and 51.7% of the total accounts receivable balance, respectively. See Note 16 “Related Party Transactions”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Supply Risk</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is dependent on its suppliers, the majority of which are single-source suppliers. The inability of these suppliers to deliver necessary components of its products according to the schedule and at prices, quality levels and volumes acceptable to the Company, whether due to changes or uncertainties in trade policies, the imposition or proposed imposition of tariffs, threat of trade war or otherwise, or its inability to efficiently manage these components, or the unavailability of stable domestic suppliers, could have a material adverse effect on the Company’s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Sales without Residual Value Guarantee</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Vehicle sales revenue is generated from the sale of electric vehicles to customers. Vehicle sales without RVG totaled $35.2 million and $67.5 million during the three months ended March 31, 2025 and 2024, respectively. There are two performance obligations identified in vehicle sale arrangements. These are the vehicle including an onboard advanced driver assistance system (“ADAS”), and the right to unspecified OTA software updates to be provided as and when available over the term of the basic vehicle warranty, which is generally four years. Payment is typically received at the time of delivery or shortly after delivery of the vehicle to the customer, except for vehicle sales under the EV Purchase Agreement. The Company recognizes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the time of revenue recognition, the Company reduces the transaction price and records a sales return reserve against revenue for estimated variable consideration related to future product returns. Return rate estimates are based on historical experience and the sales return reserve balance was not material as of March 31, 2025 and December 31,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Vehicle Sales with Residual Value Guarantee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provides an RVG to its commercial banking partners in connection with its vehicle leasing program. Vehicle sales with RVG totaled</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$133.1 million and $89.5 million during the three months ended March 31, 2025 and 2024, respectively. Under the vehicle leasing program, the Company generally receives payment for the vehicle sales price at the time of delivery or shortly after the delivery. The Company recognizes revenue when control transfers upon delivery when the consumer-lessee takes physical possession of the vehicle, and bifurcates the RVG at fair value and accounts for it as a guarantee liability. The remaining amount of the transaction price is allocated among the performance obligations, including the vehicle, the right to unspecified OTA software updates and remarketing activities, in proportion to the standalone selling price of the Company’s performance obligations. Any fees or incentives that are paid or payable by the Company to commercial banking partners are recognized as a reduction to vehicle sales revenue. The guarantee liability represents the estimated amount the Company expects to pay at the end of the lease term. The Company is released from residual risk upon either expiration or settlement of the RVG. The Company evaluates variables such as third-party residual value publications, risk of future price deterioration due to changes in market conditions and reconditioning costs to determine the estimated RVG liability. The Company recorded $66.9 million and $58.0 million of RVG liabilities as of March 31, 2025 and December 31, 2024, respectively. As the Company accumulates more data related to the resale value of our vehicles or as market conditions change, there could be material changes to the estimated guarantee liabilities. The maximum potential amount of future payments (in excess of RVG liabilities recorded) that the Company could be required to make was $470.0 million and $401.1 million as of March 31, 2025 and December 31, 2024,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Operating Lease Revenue</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accounts for sales of vehicles with repurchase obligations as operating leases. The Company sells vehicles primarily to rental companies with an obligation to repurchase the vehicles at an agreed upon repurchase price. The Company records the difference between the proceeds received and the agreed upon repurchase price as vehicle leasing revenue on a straight-line basis over the term of the lease. Deferred leasing revenue and repurchase obligation were recorded in other current liabilities and other long-term liabilities in the condensed consolidated balance sheets, and were not material as of March 31, 2025 and December 31, 2024. The operating lease revenue was not material for the three months ended March 31, 2025 and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and Leaseback Transactions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enters into sales and leaseback transactions in which the Company transfers control of vehicles to rental companies and simultaneously leases them back as operating leases. The Company recognizes revenue related to the vehicles under the arrangement when the rental companies obtain control of the vehicles and separately recognize the leaseback obligations based on the present value of the future payments to the rental companies. The Company also records right-of-use assets which are amortized over the term of the leaseback. Operating lease expense is recognized on a straight-line basis over the term of the leaseback.</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recorded revenue of $25.9 million and $6.5 million, respectively, from sale and leaseback transactions. Operating lease expenses were not material.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Sales Deferred Revenue</w:t>
      </w:r>
    </w:p>
    <w:p>
      <w:pPr>
        <w:spacing w:after="0" w:line="2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of March 31, 2025 and December 31, 2024, the Company recorded $59.1 million and $53.3 million of total deferred revenue from all vehicle sales primarily related to OTA and remarketing activities for vehicle sales, respectively. The Company recorded $21.6 million and $18.5 million of the total deferred revenue within other current liabilities and the remaining $37.5 million and $34.8 million within other long-term liabilities in the condensed consolidated balance sheets as of March 31, 2025 and December 31, 2024, respectively. Revenue recognized that was included in the deferred revenue at the beginning of the period was not material during the three months ended March 31, 2025 and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Other consists of revenue from non-warranty after-sales vehicle services and parts, sales of battery pack systems, powertrain kits, retail merchandise, and regulatory credits. The Company generates regulatory credits revenue from the sale of tradable credits the Company earns under various regulations. This include credits related to zero emission vehicles and greenhouse gas, and the Corporate Average Fuel Economy credits. Regulatory credit revenue totaled $31.5 million and $5.4 million during the three months ended March 31, 2025 and 2024.</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Redeemable Convertible Preferred Stock</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Accounting for the redeemable convertible preferred stock requires an evaluation to determine if liability classification is required under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Securities that do not meet the scoping criteria to be classified as a liability under ASC 480 are subject to redeemable equity guidance, which prescribes securities that may be subject to redemption upon an event not solely within the Company’s control to be classified as temporary equity. Securities classified in temporary equity are initially measured at the proceeds received, net of issuance costs and excluding the fair value of bifurcated embedded derivatives, if any. Subsequent measurement of the carrying value of the redeemable convertible preferred stock is required as the instrument is probable of becoming redeemable. The Company accretes the redeemable convertible preferred stock to its redemption value. In certain circumstances, the redemption price may vary based on changes in stock price, in which case the Company recognizes changes in the redemption value immediately as they occur and adjust the carrying value of the security to equal the then current maximum redemption value at the end of each reporting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evaluates all of its financial instruments, including convertible notes and redeemable convertible preferred stock, to determine if such instruments are derivatives or contain features that qualify as embedded derivatives. The Company applies significant judgment to identify and evaluate complex terms and conditions in these contracts and agreements to determine whether embedded derivatives exist. Embedded derivatives must be separately measured from the host contracts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condensed consolidated statements of operations and comprehensive loss at each reporting period end. Bifurcated embedded derivatives are classified as a separate liability in the condensed consolidated balance sheet.</w:t>
      </w:r>
    </w:p>
    <w:p>
      <w:pPr>
        <w:spacing w:after="0" w:line="18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Company’s derivative liabilities are related to the conversion features embedded in the Redeemable Convertible Preferred Stock. See Note 8 “Redeemable Convertible Preferred Stock” for more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the policies described above, there have been no significant changes to accounting policies during the three months ended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requires incremental annual income tax disclosures. This amendment includes disclosures of specific categories in the rate reconciliation and additional information for reconciling items that meet a quantitative threshold; income taxes paid (net of refunds received) disaggregated by federal, state, and foreign taxes, and also disaggregated by individual jurisdictions that meet a quantitative threshold; income (or loss) from continuing operations before income tax expenses (or benefit) disaggregated between domestic and foreign; and income tax expense (or benefit) from continuing operations disaggregated by federal, state and foreign. The guidance is effective for annual periods beginning after December 15, 2024. Early adoption is permitted and should be applied prospectively (with retrospective application permitted). The Company is evaluating the impact of this amendment and does not expect a material impact to the related financial statement disclosures.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March 2024, the SEC issued its final rule that requires certain climate-related disclosures in annual reports, including governance, oversight, and risk management processes on material climate-related risks; material impact of climate risks on the Company’s strategy, business model, and outlook; material climate targets and goals; and material financial statements impacts due to severe weather events and other natural conditions. In April 2024, the SEC stayed implementation of the final rule pending completion of judicial review. In March 2025, the SEC stated that it has ended its defense of the rule. The Company continues to monitor the status of these rules.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which requires disclosure of specified information about certain costs and expenses (such as purchases of inventory, employee compensation, depreciation, and amortization) within the relevant expense captions presented on the face of the statements of operations and comprehensive loss. The guidance is effective for annual reporting periods beginning after December 15, 2026, and interim reporting periods within annual reporting periods beginning after December 15, 2027. Early adoption is permitted, and should be applied either prospectively or retrospectively. The Company is evaluating the impact of this amendment to the related financial statement disclosures.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financial statements or notes thereto.</w:t>
      </w:r>
    </w:p>
    <w:p>
      <w:pPr>
        <w:sectPr>
          <w:pgSz w:w="11900" w:h="16838" w:orient="portrait"/>
          <w:cols w:equalWidth="0" w:num="1">
            <w:col w:w="11240"/>
          </w:cols>
          <w:pgMar w:left="320" w:top="98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3 - RESTRUCTURING</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May 24, 2024, the Company announced a restructuring plan (the “2024 Restructuring Plan”) intended to optimize operating expenses in response to evolving business needs and productivity improvement through a reduction in workforce. The Company completed the 2024 Restructuring Plan during the first quarter of 2025.</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March 28, 2023, the Company announced a restructuring plan (the “2023 Restructuring Plan”) intended to reduce operating expenses in response to evolving business needs and productivity improvement through a reduction in workforce. The Company completed the 2023 Restructuring Plan during the first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restructuring liabilities associated with the restructuring plans was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540" w:type="dxa"/>
            <w:vAlign w:val="bottom"/>
            <w:gridSpan w:val="5"/>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7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7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liabilities - beginning of period</w:t>
            </w:r>
          </w:p>
        </w:tc>
        <w:tc>
          <w:tcPr>
            <w:tcW w:w="78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w w:val="99"/>
              </w:rPr>
              <w:t>54</w:t>
            </w: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 excluding non-cash items</w:t>
            </w:r>
          </w:p>
        </w:tc>
        <w:tc>
          <w:tcPr>
            <w:tcW w:w="7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center"/>
              <w:ind w:left="514"/>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w w:val="99"/>
              </w:rPr>
              <w:t>(54)</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liabilities - end of period</w:t>
            </w:r>
          </w:p>
        </w:tc>
        <w:tc>
          <w:tcPr>
            <w:tcW w:w="7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center"/>
              <w:ind w:left="514"/>
              <w:spacing w:after="0"/>
              <w:rPr>
                <w:sz w:val="20"/>
                <w:szCs w:val="20"/>
                <w:color w:val="auto"/>
              </w:rPr>
            </w:pPr>
            <w:r>
              <w:rPr>
                <w:rFonts w:ascii="Times New Roman" w:cs="Times New Roman" w:eastAsia="Times New Roman" w:hAnsi="Times New Roman"/>
                <w:sz w:val="18"/>
                <w:szCs w:val="18"/>
                <w:color w:val="auto"/>
                <w:w w:val="99"/>
              </w:rPr>
              <w:t>—</w:t>
            </w:r>
          </w:p>
        </w:tc>
      </w:tr>
      <w:tr>
        <w:trPr>
          <w:trHeight w:val="21"/>
        </w:trPr>
        <w:tc>
          <w:tcPr>
            <w:tcW w:w="8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restructuring liabilities associated with the 2024 Restructuring Plan were nil and immaterial,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BALANCE SHEETS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as of March 31, 2025 and December 31, 2024 was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6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160,532</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36,628</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155,512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210,614</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471,407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407,774</w:t>
            </w:r>
          </w:p>
        </w:tc>
      </w:tr>
      <w:tr>
        <w:trPr>
          <w:trHeight w:val="21"/>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Inventory as of March 31, 2025 and December 31, 2024 was comprised of raw materials, work in progress related to the production of vehicles for sale and SKD units for final assembly in Saudi Arabia, and finished goods inventory including new vehicles available for sale, vehicles in transit to fulfill customer orders, and internally used vehicles which the Company intends to sell. The Company recorded write-downs of $151.6 million and $137.8 million for the three months ended March 31, 2025 and 2024, respectively, to reduce its inventories to its net realizable values and for any excess or obsolete inventories, as well as losses from firm purchase commitments (“LCNRV”). While the final scope and application of recently announced changes in trade policy remain uncertain at this time, higher tariffs on imports and subsequent retaliatory tariffs could adversely impact the Company’s financial results.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as of March 31, 2025 and December 31, 2024 was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70,967</w:t>
            </w:r>
          </w:p>
        </w:tc>
      </w:tr>
      <w:tr>
        <w:trPr>
          <w:trHeight w:val="229"/>
        </w:trPr>
        <w:tc>
          <w:tcPr>
            <w:tcW w:w="8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Building and improvements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1,075,349</w:t>
            </w:r>
          </w:p>
        </w:tc>
      </w:tr>
      <w:tr>
        <w:trPr>
          <w:trHeight w:val="230"/>
        </w:trPr>
        <w:tc>
          <w:tcPr>
            <w:tcW w:w="8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Machinery, tooling and vehicles</w:t>
            </w:r>
            <w:r>
              <w:rPr>
                <w:rFonts w:ascii="Times New Roman" w:cs="Times New Roman" w:eastAsia="Times New Roman" w:hAnsi="Times New Roman"/>
                <w:sz w:val="23"/>
                <w:szCs w:val="23"/>
                <w:color w:val="auto"/>
                <w:vertAlign w:val="superscript"/>
              </w:rPr>
              <w:t>(2)(3)</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2,043,832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1,720,517</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105,012</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268,091</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51,238</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86,852</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492,266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672,534</w:t>
            </w:r>
          </w:p>
        </w:tc>
      </w:tr>
      <w:tr>
        <w:trPr>
          <w:trHeight w:val="223"/>
        </w:trPr>
        <w:tc>
          <w:tcPr>
            <w:tcW w:w="8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4,206,990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4,050,560</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(884,715)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(787,948)</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3,322,275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3,262,612</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360" w:firstLine="8"/>
        <w:spacing w:after="0" w:line="281" w:lineRule="auto"/>
        <w:tabs>
          <w:tab w:leader="none" w:pos="132" w:val="left"/>
        </w:tabs>
        <w:numPr>
          <w:ilvl w:val="0"/>
          <w:numId w:val="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As of March 31, 2025 and December 31, 2024, $127.5 million of capital expenditure support received from Ministry of Investment of Saudi Arabia (“MISA”) was primarily recorded as a deduction to the AMP-2 building balance, respectively. See Note 16 “Related Party Transactions” for more information.</w:t>
      </w:r>
    </w:p>
    <w:p>
      <w:pPr>
        <w:ind w:left="140" w:hanging="132"/>
        <w:spacing w:after="0"/>
        <w:tabs>
          <w:tab w:leader="none" w:pos="14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$39.5 million of service loaner vehicles as of March 31, 2025 and December 31, 2024.</w:t>
      </w:r>
    </w:p>
    <w:p>
      <w:pPr>
        <w:spacing w:after="0" w:line="42"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$27.2 million and $34.7 million of operating lease vehicles sold to rental companies as of March 31, 2025 and December 31, 2024, respectively.</w:t>
      </w:r>
    </w:p>
    <w:p>
      <w:pPr>
        <w:spacing w:after="0" w:line="21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Construction in progress represents the costs incurred in connection with the construction of buildings or new additions to the Company’s plant facilities, including tooling with outside vendors. Costs classified as construction in progress include all costs of obtaining the asset, installation of the asset, and bringing it to the location and the condition necessary for its intended use. No depreciation is provided for construction in progress until such time as the asset is completed and is ready for its intended use. Construction in progress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tooling</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561,858</w:t>
            </w:r>
          </w:p>
        </w:tc>
      </w:tr>
      <w:tr>
        <w:trPr>
          <w:trHeight w:val="229"/>
        </w:trPr>
        <w:tc>
          <w:tcPr>
            <w:tcW w:w="8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Construction of AMP-1 and AMP-2</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78,254</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 and other</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32,422</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construction in progress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492,266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672,534</w:t>
            </w:r>
          </w:p>
        </w:tc>
      </w:tr>
      <w:tr>
        <w:trPr>
          <w:trHeight w:val="20"/>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60" w:firstLine="8"/>
        <w:spacing w:after="0" w:line="362" w:lineRule="auto"/>
        <w:tabs>
          <w:tab w:leader="none" w:pos="132" w:val="left"/>
        </w:tabs>
        <w:numPr>
          <w:ilvl w:val="0"/>
          <w:numId w:val="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As of March 31, 2025 and December 31, 2024, $67.3 million, of capital expenditure support received from MISA was recorded primarily as a deduction to the AMP-2 facility construction in progress balance. See Note 16 “Related Party Transactions” for more information.</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$98.0 million and $68.8 million for the three months ended March 31, 2025 and 2024, respectively. The amount of interest capitalized on construction in progress related to significant capital asset construction was not material for the three months ended March 31, 2025 and 2024.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as of March 31, 2025 and December 31, 2024 were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design, and testing accrual</w:t>
            </w: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53,666</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39,043</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201,880</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Accrued purchases</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31,318</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leasehold improvements accrual</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services accrual</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26,353</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Tooling liability</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110,249</w:t>
            </w: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126,417</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35,596</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loss on firm inventory purchase commitments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119,672</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36,752</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Deferred revenue</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18,473</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221,663</w:t>
            </w:r>
          </w:p>
        </w:tc>
        <w:tc>
          <w:tcPr>
            <w:tcW w:w="0" w:type="dxa"/>
            <w:vAlign w:val="bottom"/>
          </w:tcPr>
          <w:p>
            <w:pPr>
              <w:spacing w:after="0"/>
              <w:rPr>
                <w:sz w:val="1"/>
                <w:szCs w:val="1"/>
                <w:color w:val="auto"/>
              </w:rPr>
            </w:pP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1,203,235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1,024,671</w:t>
            </w:r>
          </w:p>
        </w:tc>
        <w:tc>
          <w:tcPr>
            <w:tcW w:w="0" w:type="dxa"/>
            <w:vAlign w:val="bottom"/>
          </w:tcPr>
          <w:p>
            <w:pPr>
              <w:spacing w:after="0"/>
              <w:rPr>
                <w:sz w:val="1"/>
                <w:szCs w:val="1"/>
                <w:color w:val="auto"/>
              </w:rPr>
            </w:pPr>
          </w:p>
        </w:tc>
      </w:tr>
      <w:tr>
        <w:trPr>
          <w:trHeight w:val="21"/>
        </w:trPr>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Primarily represent accruals for inventory related purchases and transportation charges that had not been invoiced.</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8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r>
              <w:rPr>
                <w:rFonts w:ascii="Times New Roman" w:cs="Times New Roman" w:eastAsia="Times New Roman" w:hAnsi="Times New Roman"/>
                <w:sz w:val="9"/>
                <w:szCs w:val="9"/>
                <w:color w:val="auto"/>
              </w:rPr>
              <w:t xml:space="preserve">(2) </w:t>
            </w:r>
            <w:r>
              <w:rPr>
                <w:rFonts w:ascii="Times New Roman" w:cs="Times New Roman" w:eastAsia="Times New Roman" w:hAnsi="Times New Roman"/>
                <w:sz w:val="14"/>
                <w:szCs w:val="14"/>
                <w:color w:val="auto"/>
              </w:rPr>
              <w:t>Represent deferred revenue from vehicle sales primarily related to OTA and remarketing activities</w:t>
            </w: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liabilities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 as of March 31, 2025 and December 31, 2024 were as follows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4"/>
                <w:szCs w:val="14"/>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229,835</w:t>
            </w: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long-term liabilities</w:t>
            </w:r>
            <w:r>
              <w:rPr>
                <w:rFonts w:ascii="Times New Roman" w:cs="Times New Roman" w:eastAsia="Times New Roman" w:hAnsi="Times New Roman"/>
                <w:sz w:val="23"/>
                <w:szCs w:val="23"/>
                <w:color w:val="auto"/>
                <w:vertAlign w:val="superscript"/>
              </w:rPr>
              <w:t>(1)(2)</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358,006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342,965</w:t>
            </w:r>
          </w:p>
        </w:tc>
        <w:tc>
          <w:tcPr>
            <w:tcW w:w="0" w:type="dxa"/>
            <w:vAlign w:val="bottom"/>
          </w:tcPr>
          <w:p>
            <w:pPr>
              <w:spacing w:after="0"/>
              <w:rPr>
                <w:sz w:val="1"/>
                <w:szCs w:val="1"/>
                <w:color w:val="auto"/>
              </w:rPr>
            </w:pPr>
          </w:p>
        </w:tc>
      </w:tr>
      <w:tr>
        <w:trPr>
          <w:trHeight w:val="248"/>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594,922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572,800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right="60" w:firstLine="8"/>
        <w:spacing w:after="0" w:line="354" w:lineRule="auto"/>
        <w:tabs>
          <w:tab w:leader="none" w:pos="132" w:val="left"/>
        </w:tabs>
        <w:numPr>
          <w:ilvl w:val="0"/>
          <w:numId w:val="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As of March 31, 2025 and December 31, 2024, $113.4 million and $112.7 million of deferred revenue was recorded within other long-term liabilities in the condensed consolidated balance sheets, respectively, in connection with the strategic technology and supply arrangement, and integration and supply arrangements with Aston Martin Lagonda Global Holdings plc (together with its subsidiaries, “Aston Martin”). See Note 16 “Related Party Transactions” for more information.</w:t>
      </w:r>
    </w:p>
    <w:p>
      <w:pPr>
        <w:spacing w:after="0" w:line="98" w:lineRule="exact"/>
        <w:rPr>
          <w:rFonts w:ascii="Times New Roman" w:cs="Times New Roman" w:eastAsia="Times New Roman" w:hAnsi="Times New Roman"/>
          <w:sz w:val="15"/>
          <w:szCs w:val="15"/>
          <w:color w:val="auto"/>
          <w:vertAlign w:val="superscript"/>
        </w:rPr>
      </w:pPr>
    </w:p>
    <w:p>
      <w:pPr>
        <w:ind w:left="140" w:hanging="132"/>
        <w:spacing w:after="0" w:line="228" w:lineRule="auto"/>
        <w:tabs>
          <w:tab w:leader="none" w:pos="140"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accrued warranty balance of $81.1 million and $75.7 million as of March 31, 2025 and December 31, 2024,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warranty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warranty activities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6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b w:val="1"/>
                <w:bCs w:val="1"/>
                <w:color w:val="auto"/>
              </w:rPr>
              <w:t>Accrued warranty - beginning of period</w:t>
            </w:r>
            <w:r>
              <w:rPr>
                <w:rFonts w:ascii="Times New Roman" w:cs="Times New Roman" w:eastAsia="Times New Roman" w:hAnsi="Times New Roman"/>
                <w:sz w:val="23"/>
                <w:szCs w:val="23"/>
                <w:b w:val="1"/>
                <w:bCs w:val="1"/>
                <w:color w:val="auto"/>
                <w:vertAlign w:val="superscript"/>
              </w:rPr>
              <w:t>(2)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6"/>
              </w:rPr>
              <w:t>46,076</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costs incurred</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rPr>
              <w:t>(18,068)</w:t>
            </w:r>
          </w:p>
        </w:tc>
      </w:tr>
      <w:tr>
        <w:trPr>
          <w:trHeight w:val="230"/>
        </w:trPr>
        <w:tc>
          <w:tcPr>
            <w:tcW w:w="8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Provision for warranty</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6"/>
              </w:rPr>
              <w:t>20,155</w:t>
            </w:r>
          </w:p>
        </w:tc>
      </w:tr>
      <w:tr>
        <w:trPr>
          <w:trHeight w:val="223"/>
        </w:trPr>
        <w:tc>
          <w:tcPr>
            <w:tcW w:w="86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Accrued warranty - end of period</w:t>
            </w:r>
            <w:r>
              <w:rPr>
                <w:rFonts w:ascii="Times New Roman" w:cs="Times New Roman" w:eastAsia="Times New Roman" w:hAnsi="Times New Roman"/>
                <w:sz w:val="23"/>
                <w:szCs w:val="23"/>
                <w:b w:val="1"/>
                <w:bCs w:val="1"/>
                <w:color w:val="auto"/>
                <w:vertAlign w:val="superscript"/>
              </w:rPr>
              <w:t>(2)</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116,876</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center"/>
              <w:ind w:left="254"/>
              <w:spacing w:after="0"/>
              <w:rPr>
                <w:sz w:val="20"/>
                <w:szCs w:val="20"/>
                <w:color w:val="auto"/>
              </w:rPr>
            </w:pPr>
            <w:r>
              <w:rPr>
                <w:rFonts w:ascii="Times New Roman" w:cs="Times New Roman" w:eastAsia="Times New Roman" w:hAnsi="Times New Roman"/>
                <w:sz w:val="18"/>
                <w:szCs w:val="18"/>
                <w:color w:val="auto"/>
                <w:w w:val="96"/>
              </w:rPr>
              <w:t>48,163</w:t>
            </w:r>
          </w:p>
        </w:tc>
      </w:tr>
      <w:tr>
        <w:trPr>
          <w:trHeight w:val="21"/>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140" w:firstLine="8"/>
        <w:spacing w:after="0"/>
        <w:tabs>
          <w:tab w:leader="none" w:pos="145"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Provision for warranty for the three months ended March 31, 2025 and 2024 included estimated costs related to the recalls identified and/or special campaigns to repair or replace items under warranties.</w:t>
      </w:r>
    </w:p>
    <w:p>
      <w:pPr>
        <w:spacing w:after="0" w:line="168" w:lineRule="exact"/>
        <w:rPr>
          <w:rFonts w:ascii="Times New Roman" w:cs="Times New Roman" w:eastAsia="Times New Roman" w:hAnsi="Times New Roman"/>
          <w:sz w:val="17"/>
          <w:szCs w:val="17"/>
          <w:color w:val="auto"/>
          <w:vertAlign w:val="superscript"/>
        </w:rPr>
      </w:pPr>
    </w:p>
    <w:p>
      <w:pPr>
        <w:ind w:right="120" w:firstLine="8"/>
        <w:spacing w:after="0" w:line="338" w:lineRule="auto"/>
        <w:tabs>
          <w:tab w:leader="none" w:pos="132"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Accrued warranty balance of $35.8 million and $36.8 million was recorded within other current liabilities, and $81.1 million and $75.7 million was recorded within other long-term liabilities, in the condensed consolidated balance sheets as of March 31, 2025 and December 31, 2024, respectively.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MEASUREMENTS AND FINANCIAL INSTRUMENTS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certain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spacing w:after="0" w:line="18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—Quoted prices (unadjusted)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right="220" w:hanging="328"/>
        <w:spacing w:after="0" w:line="26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—Observable inputs other than quoted prices in active markets for identical assets and liabilities, quoted prices for identical or similar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or liabilities in inactive markets, or other inputs that are observable or can be corroborated by observable market data for substantially the full term of the assets or liabilities.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—Inputs that are generally unobservable and typically reflect management’s estimates of assumptions that market participants would use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Cash, cash equivalents and investments are reported at their respective fair values on the Company’s condensed consolidated balance sheets. The Company’s short-term and long-term investments are classified as available-for-sale securities. Carrying amounts of accounts receivable, accounts payable, and other current liabilities approximate their estimated fair values.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assets subject to fair value measurements on a recurring basis by level within the fair value hierarchy as of March 31, 2025 and December 31, 2024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0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Cash and cash</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00" w:type="dxa"/>
            <w:vAlign w:val="bottom"/>
          </w:tcPr>
          <w:p>
            <w:pPr>
              <w:spacing w:after="0"/>
              <w:rPr>
                <w:sz w:val="10"/>
                <w:szCs w:val="10"/>
                <w:color w:val="auto"/>
              </w:rPr>
            </w:pPr>
          </w:p>
        </w:tc>
        <w:tc>
          <w:tcPr>
            <w:tcW w:w="8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6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28"/>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655,680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655,680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655,680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1,623,916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1,627,954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116,247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1,076,832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434,875</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2,590,562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434,875</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Time deposits</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688,180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690,738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238,369</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436,713</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1,283,698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1,286,251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679,194</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486,713</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4,525,902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4,532,493</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1,854,879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1,756,026</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921,588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80" w:firstLine="8"/>
        <w:spacing w:after="0" w:line="248" w:lineRule="auto"/>
        <w:tabs>
          <w:tab w:leader="none" w:pos="145"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Included $15.0 million and $50.0 million of time deposits with GIB in short-term investments and long-term investments, respectively. GIB is a related party of the PIF, which is an affiliate of Ayar. See Note 16 “Related Party Transactions” for more information.</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0"/>
                <w:szCs w:val="10"/>
                <w:color w:val="auto"/>
              </w:rPr>
            </w:pPr>
          </w:p>
        </w:tc>
        <w:tc>
          <w:tcPr>
            <w:tcW w:w="840" w:type="dxa"/>
            <w:vAlign w:val="bottom"/>
          </w:tcPr>
          <w:p>
            <w:pPr>
              <w:jc w:val="center"/>
              <w:ind w:right="34"/>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0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Cash and cash</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00" w:type="dxa"/>
            <w:vAlign w:val="bottom"/>
          </w:tcPr>
          <w:p>
            <w:pPr>
              <w:spacing w:after="0"/>
              <w:rPr>
                <w:sz w:val="10"/>
                <w:szCs w:val="10"/>
                <w:color w:val="auto"/>
              </w:rPr>
            </w:pPr>
          </w:p>
        </w:tc>
        <w:tc>
          <w:tcPr>
            <w:tcW w:w="8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40" w:type="dxa"/>
            <w:vAlign w:val="bottom"/>
          </w:tcPr>
          <w:p>
            <w:pPr>
              <w:jc w:val="center"/>
              <w:ind w:right="34"/>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8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28"/>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610,201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610,201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610,201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2,310,538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2,312,827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1,605,369</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534,117</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2,988,250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2,990,539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1,605,369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534,117</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Time deposits</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141,546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781,178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781,906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313,631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458,106</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1,441,701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1,442,451</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145,611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818,734</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478,106</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5,040,152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5,043,191</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1,606,865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2,424,103</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1,012,223</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firstLine="8"/>
        <w:spacing w:after="0" w:line="221" w:lineRule="auto"/>
        <w:tabs>
          <w:tab w:leader="none" w:pos="157"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$15.0 million and $20.0 million of time deposits with GIB in short-term investments and long term investments, respectively. See Note 16 “Related Party Transactions” for more information.</w:t>
      </w:r>
    </w:p>
    <w:p>
      <w:pPr>
        <w:spacing w:after="0" w:line="208"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During the three months ended March 31, 2025 and 2024, there were immaterial gross realized gains or losses on the sale of available-for-sale securities. Accrued interest receivable excluded from both the fair value and amortized cost basis of the available-for-sale securities was $24.3 million and $19.6 million as of March 31, 2025 and December 31, 2024, respectively, and was recorded in other current assets on its condensed consolidated balance sheets. As of March 31, 2025 and December 31, 2024, no allowance for credit losses was recorded related to an impairment of available-for-sale securities.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available-for-sale securities by contractual maturity: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gridSpan w:val="4"/>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3"/>
        </w:trPr>
        <w:tc>
          <w:tcPr>
            <w:tcW w:w="8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8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14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Estimated Fair</w:t>
            </w:r>
          </w:p>
        </w:tc>
      </w:tr>
      <w:tr>
        <w:trPr>
          <w:trHeight w:val="195"/>
        </w:trPr>
        <w:tc>
          <w:tcPr>
            <w:tcW w:w="8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1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8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1,754,210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1,756,026</w:t>
            </w:r>
          </w:p>
        </w:tc>
      </w:tr>
      <w:tr>
        <w:trPr>
          <w:trHeight w:val="229"/>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one year through three years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916,805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921,588</w:t>
            </w:r>
          </w:p>
        </w:tc>
      </w:tr>
      <w:tr>
        <w:trPr>
          <w:trHeight w:val="248"/>
        </w:trPr>
        <w:tc>
          <w:tcPr>
            <w:tcW w:w="8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2,671,015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2,677,614</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November 6, 2023, the Company received 28,352,273 ordinary shares of Aston Martin with an initial fair value of $73.2 million. The Company remeasured the shares and recorded fair values of $25.6 million and $37.8 million within investments in equity securities of a related party in the condensed consolidated balance sheets as of March 31, 2025 and December 31, 2024, respectively. These equity securities are publicly traded stocks (where shares are denominated in GBP) measured at fair value on a recurring basis and classified within level 1 in the fair value hierarchy. During the three months ended March 31, 2025 and 2024, the Company recognized unrealized losses of $13.5 million and $19.9 million, respectively, in change of fair value of equity securities of a related party in the condensed consolidated statement of operations and comprehensive loss. During the three months ended March 31, 2025 and 2024, the Company also recognized an unrealized foreign currency gain of $1.3 million and an unrealized foreign currency loss of $0.8 million, respectively, related to these equity securities in other income (expense), net in the condensed consolidated statement of operations and comprehensive loss. See Note 16 “Related Party Transactions” for more information.</w:t>
      </w:r>
    </w:p>
    <w:p>
      <w:pPr>
        <w:spacing w:after="0" w:line="18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Level 3 liabilities consist of the common stock warrant liability and the derivative liabilities associated with the Redeemable Convertible Preferred Stock, of which the fair values were measured upon issuance of the Private Placement Warrants and the Redeemable Convertible Preferred Stock and are remeasured at each reporting period. The valuation methodology and underlying assumptions are discussed further in Note 7 “Common Stock Warrant Liability” and Note 8 “Redeemable Convertible Preferred Stock”, respectively. Level 3 liabilities also consist of residual value guarantee liabilities, of which the fair value is measured initially upon delivery of vehicles and assessed subsequently for any changes on a quarterly basis. Significant changes in the unobservable inputs used in determining the fair value would result in significant changes to the fair value measurement.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common stock warrant liability measured and recorded at fair value on a recurring basis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5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value-beginning of period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6"/>
              </w:rPr>
              <w:t>53,664</w:t>
            </w:r>
          </w:p>
        </w:tc>
      </w:tr>
      <w:tr>
        <w:trPr>
          <w:trHeight w:val="229"/>
        </w:trPr>
        <w:tc>
          <w:tcPr>
            <w:tcW w:w="8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35"/>
              <w:spacing w:after="0"/>
              <w:rPr>
                <w:sz w:val="20"/>
                <w:szCs w:val="20"/>
                <w:color w:val="auto"/>
              </w:rPr>
            </w:pPr>
            <w:r>
              <w:rPr>
                <w:rFonts w:ascii="Times New Roman" w:cs="Times New Roman" w:eastAsia="Times New Roman" w:hAnsi="Times New Roman"/>
                <w:sz w:val="18"/>
                <w:szCs w:val="18"/>
                <w:color w:val="auto"/>
              </w:rPr>
              <w:t>(27,054)</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6"/>
              </w:rPr>
              <w:t>26,610</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derivative liabilities associated with the Redeemable Convertible Preferred Stock measured and recorded at fair value on a recurring basis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6"/>
          </w:tcPr>
          <w:p>
            <w:pPr>
              <w:jc w:val="center"/>
              <w:ind w:left="63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tcPr>
          <w:p>
            <w:pPr>
              <w:spacing w:after="0"/>
              <w:rPr>
                <w:sz w:val="16"/>
                <w:szCs w:val="16"/>
                <w:color w:val="auto"/>
              </w:rPr>
            </w:pPr>
          </w:p>
        </w:tc>
      </w:tr>
      <w:tr>
        <w:trPr>
          <w:trHeight w:val="23"/>
        </w:trPr>
        <w:tc>
          <w:tcPr>
            <w:tcW w:w="7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35"/>
        </w:trPr>
        <w:tc>
          <w:tcPr>
            <w:tcW w:w="7180" w:type="dxa"/>
            <w:vAlign w:val="bottom"/>
          </w:tcPr>
          <w:p>
            <w:pPr>
              <w:spacing w:after="0"/>
              <w:rPr>
                <w:sz w:val="11"/>
                <w:szCs w:val="11"/>
                <w:color w:val="auto"/>
              </w:rPr>
            </w:pPr>
          </w:p>
        </w:tc>
        <w:tc>
          <w:tcPr>
            <w:tcW w:w="13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Series A Derivative</w:t>
            </w:r>
          </w:p>
        </w:tc>
        <w:tc>
          <w:tcPr>
            <w:tcW w:w="13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Series B Derivative</w:t>
            </w:r>
          </w:p>
        </w:tc>
        <w:tc>
          <w:tcPr>
            <w:tcW w:w="80" w:type="dxa"/>
            <w:vAlign w:val="bottom"/>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Series A Derivative</w:t>
            </w:r>
          </w:p>
        </w:tc>
      </w:tr>
      <w:tr>
        <w:trPr>
          <w:trHeight w:val="196"/>
        </w:trPr>
        <w:tc>
          <w:tcPr>
            <w:tcW w:w="7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6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20" w:type="dxa"/>
            <w:vAlign w:val="bottom"/>
          </w:tcPr>
          <w:p>
            <w:pPr>
              <w:spacing w:after="0"/>
              <w:rPr>
                <w:sz w:val="17"/>
                <w:szCs w:val="17"/>
                <w:color w:val="auto"/>
              </w:rPr>
            </w:pPr>
          </w:p>
        </w:tc>
        <w:tc>
          <w:tcPr>
            <w:tcW w:w="98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229"/>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value-beginning of period</w:t>
            </w: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408,800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230,625</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w:t>
            </w: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497,100</w:t>
            </w:r>
          </w:p>
        </w:tc>
      </w:tr>
      <w:tr>
        <w:trPr>
          <w:trHeight w:val="23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(176,700)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value-end of period</w:t>
            </w:r>
          </w:p>
        </w:tc>
        <w:tc>
          <w:tcPr>
            <w:tcW w:w="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232,100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125,625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497,100</w:t>
            </w:r>
          </w:p>
        </w:tc>
      </w:tr>
      <w:tr>
        <w:trPr>
          <w:trHeight w:val="21"/>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Notes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December 2021, the Company issued an aggregate of $2,012.5 million principal amount of 1.25% convertible senior notes due in December 2026 in a private offering to qualified institutional buyers pursuant to Rule 144A under the Securities Act of 1933, as amended, at an issuance price equal to 99.5% of the principal amount of 2026 Notes. The Company has designated the 2026 Notes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2026 Notes are unsecured obligations which bear regular interest at 1.25% per annum and are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our Class A common stock, or a combination of cash and shares of our Class A common stock, at the Company’s election, at an initial conversion rate of 18.2548 shares of Class A common stock per $1,000 principal amount of 2026 Notes, which is equivalent to an initial conversion price of approximately $54.78 per share of our Class A common stock. The conversion rate is subject to customary adjustments for certain dilutive events. The Company may redeem for cash all or any portion of the 2026 Notes, at the Company’s option, on or after December 20, 2024 if the last reported sale price of our Class A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w:t>
      </w:r>
    </w:p>
    <w:p>
      <w:pPr>
        <w:spacing w:after="0" w:line="19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Holders of the 2026 Notes may convert all or a portion of their 2026 Notes at their option prior to September 15, 2026, in multiples of $1,000 principal amounts, only under the following circumstances:</w:t>
      </w:r>
    </w:p>
    <w:p>
      <w:pPr>
        <w:spacing w:after="0" w:line="108" w:lineRule="exact"/>
        <w:rPr>
          <w:sz w:val="20"/>
          <w:szCs w:val="20"/>
          <w:color w:val="auto"/>
        </w:rPr>
      </w:pPr>
    </w:p>
    <w:p>
      <w:pPr>
        <w:jc w:val="both"/>
        <w:ind w:left="660" w:right="34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quarter ended on March 31, 2022 (and only during such calendar quarter), if the Company’s common stock price exceeds 130% of the conversion price for at least 20 trading days during the 30 consecutive trading days at the end of the prior calendar quarter;</w:t>
      </w:r>
    </w:p>
    <w:p>
      <w:pPr>
        <w:spacing w:after="0" w:line="12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or</w:t>
      </w:r>
    </w:p>
    <w:p>
      <w:pPr>
        <w:sectPr>
          <w:pgSz w:w="11900" w:h="16838" w:orient="portrait"/>
          <w:cols w:equalWidth="0" w:num="1">
            <w:col w:w="11240"/>
          </w:cols>
          <w:pgMar w:left="320" w:top="985" w:right="339" w:bottom="1440" w:gutter="0" w:footer="0" w:header="0"/>
        </w:sect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2" w:name="page23"/>
    <w:bookmarkEnd w:id="22"/>
    <w:p>
      <w:pPr>
        <w:ind w:left="660" w:right="3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2026 Notes for redemption, at any time prior to the close of business on the scheduled trading day immediately preceding the redemption date, but only with respect to the notes called for redemption.</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accounted for the issuance of the 2026 Notes as a single liability measured at its amortized cost, as no other embedded features require bifurcation and recognition as derivatives. The following table is a summary of the 2026 Notes as of March 31, 2025 and December 31, 2024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6"/>
                <w:szCs w:val="16"/>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(Level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1,579.8</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interest rate for the 2026 Notes is 1.5%. The components of interest expense related to the 2026 Notes were as follows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60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discounts and debt issuance costs</w:t>
            </w: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2026 Notes were not eligible for conversion as of March 31, 2025 and December 31, 2024. No sinking fund is provided for the 2026 Notes, which means that the Company is not required to redeem or retire them periodically. As of March 31, 2025 and December 31, 2024, the Company was in compliance with applicable covenants under the indenture governing the 2026 Notes. In April 2025, the Company repurchased a portion of the 2026 Notes. See Note 18 “Subsequent Events”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SIDF Loan Agreement</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February 27, 2022, Lucid LLC entered into a loan agreement (as subsequently amended, the “SIDF Loan Agreement”) with SIDF, a related party of the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spacing w:after="0" w:line="19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 xml:space="preserve">SIDF Loans will not bear interest. Instead, Lucid LLC will be required to pay SIDF service fees, consisting of follow-up and technical evaluation fees, ranging, in aggregate, from SAR 415 million (approximately $110.6 million) to SAR 1.77 billion (approximately $471.9 million), over the term of the SIDF Loans. SIDF Loans will be secured by security interests in the </w:t>
      </w:r>
      <w:r>
        <w:rPr>
          <w:rFonts w:ascii="Times New Roman" w:cs="Times New Roman" w:eastAsia="Times New Roman" w:hAnsi="Times New Roman"/>
          <w:sz w:val="18"/>
          <w:szCs w:val="18"/>
          <w:color w:val="242424"/>
        </w:rPr>
        <w:t>equipment, machines and assets funded thereby.</w:t>
      </w:r>
    </w:p>
    <w:p>
      <w:pPr>
        <w:spacing w:after="0" w:line="17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the King Abdullah Economic City (“KAEC”), and drawdowns under the SIDF Loan Agreement are subject to certain conditions precedent. </w:t>
      </w:r>
      <w:r>
        <w:rPr>
          <w:rFonts w:ascii="Times New Roman" w:cs="Times New Roman" w:eastAsia="Times New Roman" w:hAnsi="Times New Roman"/>
          <w:sz w:val="18"/>
          <w:szCs w:val="18"/>
          <w:color w:val="242424"/>
        </w:rPr>
        <w:t>As of</w:t>
      </w:r>
      <w:r>
        <w:rPr>
          <w:rFonts w:ascii="Times New Roman" w:cs="Times New Roman" w:eastAsia="Times New Roman" w:hAnsi="Times New Roman"/>
          <w:sz w:val="18"/>
          <w:szCs w:val="18"/>
          <w:color w:val="auto"/>
        </w:rPr>
        <w:t xml:space="preserve"> March 31, 2025 and December 31, 2024, no amount </w:t>
      </w:r>
      <w:r>
        <w:rPr>
          <w:rFonts w:ascii="Times New Roman" w:cs="Times New Roman" w:eastAsia="Times New Roman" w:hAnsi="Times New Roman"/>
          <w:sz w:val="18"/>
          <w:szCs w:val="18"/>
          <w:color w:val="242424"/>
        </w:rPr>
        <w:t>was outstanding under the SIDF Loan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242424"/>
        </w:rPr>
        <w:t>GIB Facility Agreement</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April 29, 2022, Lucid LLC entered into the GIB Facility Agreement with GIB, maturing on February 28, 2025. GIB is a related party of the PIF, which is an affiliate of Ayar. The GIB Facility Agreement provided for two committed revolving credit facilities in an aggregate principal amount of SAR</w:t>
      </w:r>
    </w:p>
    <w:p>
      <w:pPr>
        <w:spacing w:after="0" w:line="253" w:lineRule="auto"/>
        <w:rPr>
          <w:sz w:val="20"/>
          <w:szCs w:val="20"/>
          <w:color w:val="auto"/>
        </w:rPr>
      </w:pPr>
      <w:r>
        <w:rPr>
          <w:rFonts w:ascii="Times New Roman" w:cs="Times New Roman" w:eastAsia="Times New Roman" w:hAnsi="Times New Roman"/>
          <w:sz w:val="18"/>
          <w:szCs w:val="18"/>
          <w:color w:val="auto"/>
        </w:rPr>
        <w:t>1.0 billion (approximately $266.1 million). SAR 650 million (approximately $173.0 million) under the GIB Facility Agreement was available as the Bridge Facility for the financing of Lucid LLC’s capital expenditures in connection with AMP-2. The remaining SAR 350 million (approximately $93.1 million) was available as the Working Capital Facility and might be used for general corporate purposes. Loans under the Bridge Facility and the Working Capital Facility had a maturity of no more than 12 months. The Bridge Facility incurred interest at a rate of 1.25% per annum over 3-month SAIBOR and the Working Capital Facility incurred interest at a rate of 1.70% per annum over 1~3-month SAIBOR and associated fees.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12, 2023, Lucid LLC entered into the 2023 Amended GIB Facility Agreement to combine the Bridge Facility and the Working Capital Facility into a committed SAR 1.0 billion (approximately $266.1 million) 2023 GIB Credit Facility which may be used for general corporate purposes. Loans under the 2023 Amended GIB Credit Facility Agreement had a maturity of no more than 12 months and bore interest at a rate of 1.40% per annum over SAIBOR (based on the term of borrowing) and associated fees. Under the 2023 Amended GIB Credit Facility Agreement, the Company was required to pay a quarterly commitment fee of 0.15% per annum based on the unutilized portion of the 2023 GIB Credit Facility.</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February 24, 2025, Lucid LLC entered into the 2025 GIB Credit Facility maturing on February 24, 2028 to increase the credit facility committed amount from SAR 1.0 billion (approximately $266.1 million) to SAR 1.9 billion (approximately $506.5 million). Loans under the 2025 GIB Credit Facility may be used for general corporate purposes, have a maturity of no more than 12 months, and bear interest at a rate of 1.40% per annum over SAIBOR (based on the term of borrowing) and associated fees. The Company is required to pay a quarterly commitment fee of 0.25% per annum based on the unutilized portion of the 2025 GIB Credit Facility. Commitments under the 2025 GIB Credit Facility will terminate, and all amounts then outstanding thereunder would become payable, on the maturity date of the 2025 GIB Credit Facility.</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commitment fees for the three months ended March 31, 2025 and 2024 were not material. The 2025 GIB Credit Facility contains certain conditions precedent to drawdowns, representations and warranties and covenants of Lucid LLC and events of default.</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March 31, 2025 and December 31, 2024, the Company had outstanding borrowings of SAR 725 million (approximately $193.3 million) and SAR 475 million (approximately $126.4 million), respectively. The outstanding borrowings were recorded within other current liabilities in the condensed consolidated balance sheets. The weighted average interest rate on the outstanding borrowings was 6.84% and 7.04% as of March 31, 2025 and December 31, 2024, respectively. As of March 31, 2025 and December 31, 2024, availability under the GIB credit facility was SAR 1,174 million (approximately $312.8 million) and SAR 523 million (approximately $139.2 million), respectively, after giving effect to the outstanding letters of credit. The Company recorded interest expense of $2.5 million during the three months ended March 31, 2025. The interest expense recorded for the three months ended March 31, 2024 was not material. As of March 31, 2025 and December 31, 2024, the Company was in compliance with applicable covenants under the GIB credit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Credit Facility</w:t>
      </w:r>
    </w:p>
    <w:p>
      <w:pPr>
        <w:spacing w:after="0" w:line="21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In June 2022, the Company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In June 2024, the Company amended the ABL Credit Facility to update the Canadian reference rate.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w:t>
      </w:r>
    </w:p>
    <w:p>
      <w:pPr>
        <w:spacing w:after="0" w:line="19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financial covenant, in each case on terms set forth in the credit agreement governing the ABL Credit Facility. As of March 31, 2025 and December 31, 2024, the Company was in compliance with applicable covenants under the ABL Credit Facility.</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4" w:name="page25"/>
    <w:bookmarkEnd w:id="24"/>
    <w:p>
      <w:pPr>
        <w:ind w:right="100"/>
        <w:spacing w:after="0" w:line="255" w:lineRule="auto"/>
        <w:rPr>
          <w:sz w:val="20"/>
          <w:szCs w:val="20"/>
          <w:color w:val="auto"/>
        </w:rPr>
      </w:pPr>
      <w:r>
        <w:rPr>
          <w:rFonts w:ascii="Times New Roman" w:cs="Times New Roman" w:eastAsia="Times New Roman" w:hAnsi="Times New Roman"/>
          <w:sz w:val="18"/>
          <w:szCs w:val="18"/>
          <w:color w:val="auto"/>
        </w:rPr>
        <w:t>As of March 31, 2025 and December 31, 2024, the Company had no outstanding borrowings under the ABL Credit Facility. Outstanding letters of credit under the ABL Credit Facility were $58.3 million and $56.9 million as of March 31, 2025 and December 31, 2024, respectively. Availability under the ABL Credit Facility was $333.2 million (including $193.1 million cash and cash equivalents) and $354.9 million (including $191.1 million cash and cash equivalents) as of March 31, 2025 and December 31, 2024, respectively, after giving effect to the borrowing base and the outstanding letters of credit. The Company incurred issuance costs of $6.3 million to obtain the ABL Credit Facility, which was capitalized within other noncurrent assets in the condensed consolidated balance sheets and amortized over the facility term using the straight-line method. Commitment fee and amortization of the deferred issuance costs were not material for the three months ended March 31,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DDTL Credit Facility</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August 2024, the Company entered into the DDTL Credit Facility with Ayar, that may be used for working capital and general corporate purposes. The DDTL Credit Facility provides for a delayed draw term loan credit facility in an aggregate principal amount of $750.0 million and has a stated maturity date of August 4, 2029. Borrowings under the DDTL Credit Facility bear interest at the applicable interest rates specified in the credit agreement governing the DDTL Credit Facility. The Company is required to pay a quarterly undrawn fee of 0.50% per annum based on the unutilized portion of the DDTL Credit Facility.</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DDTL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sale and leaseback transactions or consummate mergers and other fundamental changes. The DDTL Credit Facility also includes a minimum liquidity covenant. As of March 31, 2025 and December 31, 2024, the Company was in compliance with applicable covenants under the DDTL Credit Facility.</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the Company had no outstanding borrowings under the DDTL Credit Facility. The Company incurred issuance costs of $6.2 million to obtain the DDTL Credit Facility, which was capitalized within other noncurrent assets in the condensed consolidated balance sheet and amortized over the facility term using the straight-line method. Commitment fee and amortization of the deferred issuance costs were not material for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COMMON STOCK WARRANT LIABILITY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23, 2021, in connection with the merger, the Company effectively issued 44,350,000 Private Placement Warrants to purchase shares of Lucid’s common stock at an exercise price of $11.50. The Private Placement Warrants were initially recognized as a liability with a fair value of $812.0 million and were remeasured to a fair value of $19.5 million as of December 31, 2024. The Private Placement Warrants remained unexercised and were remeasured to a fair value of $6.7 million as of March 31, 2025. The Company recognized gains of $12.9 million and $27.1 million for the three months ended March 31, 2025 and 2024, respectively, in the condensed consolidated statements of operations and comprehensive loss.</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fair value of the Private Placement Warrants that are not subject to the contingent forfeiture provisions was estimated using a Black-Scholes option pricing model, and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6"/>
                <w:szCs w:val="16"/>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Private Placement Warrants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bl>
    <w:p>
      <w:pPr>
        <w:spacing w:after="0" w:line="279"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Assumptions used in the Black-Scholes option pricing model take into account the contract terms as well as the quoted price of the Company’s common stock in an active market. The volatility is based on the Company’s historical volatility. The expected life is based on the remaining contractual term of the warrants, and the risk-free interest rate is based on the implied yield available on U.S. Treasury securities with a maturity equivalent to the warrants’ expected life. The level 3 fair value inputs used in the Black-Scholes option pricing models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366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4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95.0 %</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9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6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5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32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549"/>
        </w:trPr>
        <w:tc>
          <w:tcPr>
            <w:tcW w:w="3660" w:type="dxa"/>
            <w:vAlign w:val="bottom"/>
          </w:tcPr>
          <w:p>
            <w:pPr>
              <w:spacing w:after="0"/>
              <w:rPr>
                <w:sz w:val="24"/>
                <w:szCs w:val="24"/>
                <w:color w:val="auto"/>
              </w:rPr>
            </w:pPr>
          </w:p>
        </w:tc>
        <w:tc>
          <w:tcPr>
            <w:tcW w:w="432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25</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42"/>
        </w:trPr>
        <w:tc>
          <w:tcPr>
            <w:tcW w:w="3660" w:type="dxa"/>
            <w:vAlign w:val="bottom"/>
            <w:tcBorders>
              <w:bottom w:val="single" w:sz="8" w:color="9A9A9A"/>
            </w:tcBorders>
          </w:tcPr>
          <w:p>
            <w:pPr>
              <w:spacing w:after="0"/>
              <w:rPr>
                <w:sz w:val="12"/>
                <w:szCs w:val="12"/>
                <w:color w:val="auto"/>
              </w:rPr>
            </w:pPr>
          </w:p>
        </w:tc>
        <w:tc>
          <w:tcPr>
            <w:tcW w:w="43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8 – REDEEMABLE CONVERTIBLE 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the Company entered into the Series A Subscription Agreement with Ayar. Pursuant to the Series A Subscription Agreement, Ayar agreed to purchase from the Company 100,000 shares of the Series A Redeemable Convertible Preferred Stock for an aggregate purchase price of $1.0 billion in a private placement. Subsequently, in March 2024, the Company issued the shares to Ayar pursuant to the Series A Subscription Agreement and received aggregate gross proceeds of $1.0 billion.</w:t>
      </w:r>
    </w:p>
    <w:p>
      <w:pPr>
        <w:spacing w:after="0" w:line="16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In August 2024, the Company entered into the Series B Subscription Agreement with Ayar. Pursuant to the Series B Subscription Agreement, Ayar agreed to purchase from the Company 75,000 shares of the Series B Redeemable Convertible Preferred Stock for an aggregate purchase price of $750.0 million in a private placement. Subsequently, in August 2024, the Company issued the shares to Ayar pursuant to the Series B Subscription Agreement and received aggregate gross proceeds of $750.0 million.</w:t>
      </w: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shares of the Series A Redeemable Convertible Preferred Stock and the Series B Redeemable Convertible Preferred Stock were issued pursuant to the Series A Certificate of Designations and the Series B Certificate of Designations (the “Certificate of Designations”), respectively. Pursuant to the Series A Subscription Agreement and the Series B Subscription Agreement, Ayar has agreed, with certain exceptions, that without prior written consent of the Company, it will not sell or transfer the Redeemable Convertible Preferred Stock for the twelve months after the date of the closing of the respective private placement.</w:t>
      </w:r>
    </w:p>
    <w:p>
      <w:pPr>
        <w:spacing w:after="0" w:line="16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Redeemable Convertible Preferred Stock ranks senior to the common stock with respect to dividends and distributions of assets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liquidation, dissolution or winding up. The Redeemable Convertible Preferred Stock has an initial value of $10,000 per share (the “Initial Value” and the Initial Value plus compounded and accrued dividends, the “Accrued Value”). Dividends on the Redeemable Convertible Preferred Stock are payable in the form of compounded cumulative dividends upon each share of the Redeemable Convertible Preferred Stock (paid-in-kind). Dividends accrue daily on the Initial Value (as increased for any compounded dividends previously compounded thereon) of each share of the Redeemable Convertible Preferred Stock at a rate of 9% per annum and compound on the basis of quarterly dividend payment dates on each March 31, June 30, September 30 and December 31 of each year, commencing June 30, 2024 for the Series A Redeemable Convertible Preferred Stock and September 30, 2024 for the Series B Redeemable Convertible Preferred Stock.</w:t>
      </w:r>
    </w:p>
    <w:p>
      <w:pPr>
        <w:spacing w:after="0" w:line="2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Upon a liquidation, dissolution or winding up of the Company, each holder of shares of the Redeemable Convertible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(“Holder”) will be entitled to receive, with respect to each share of then-outstanding Redeemable Convertible Preferred Stock, out of the assets of the Company available for distribution to its stockholders an amount in cash equal to the greater of (a) an amount per share of the Redeemable Convertible Preferred Stock as of the date of such liquidation, dissolution or winding up equal to (i) the per share Accrued Value as of the relevant date multiplied by</w:t>
      </w:r>
    </w:p>
    <w:p>
      <w:pPr>
        <w:spacing w:after="0" w:line="3" w:lineRule="exact"/>
        <w:rPr>
          <w:sz w:val="20"/>
          <w:szCs w:val="20"/>
          <w:color w:val="auto"/>
        </w:rPr>
      </w:pPr>
    </w:p>
    <w:p>
      <w:pPr>
        <w:ind w:right="60" w:firstLine="8"/>
        <w:spacing w:after="0" w:line="252"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percentage (the product of (i) and (ii), the “Minimum Consideration”); and (b) the amount that such Holder would have received with respect to such share of the Redeemable Convertible Preferred Stock if all shares of the Redeemable Convertible Preferred Stock had been converted at their Accrued Value into shares of common stock on the business day immediately prior to the date of such liquidation, dissolution or winding up. As of March 31, 2025 and December 31, 2024, the liquidation preference of the Series A Redeemable Convertible Preferred Stock was $1,187.4 million and $1,138.8 million, respectively. As of March 31, 2025 and December 31, 2024, the liquidation preference of the Series B Redeemable Convertible Preferred Stock was $835.1 million and $800.4 million, respectively.</w:t>
      </w:r>
    </w:p>
    <w:p>
      <w:pPr>
        <w:spacing w:after="0" w:line="21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is entitled to the number of votes equal to the number of whole shares of common stock into which the aggregate shares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Redeemable Convertible Preferred Stock held by such Holder are convertible on the record date for determining stockholders entitled to vote on any matter presented to the stockholders of the Company for their action or consideration at any meeting of stockholders and on which matter holders of the common stock shall be entitled to vote. Holders are entitled to notice of any meeting of stockholders and, except as otherwise provided in the Certificate of Designations or otherwise required by law, to vote together as a single class with the holders of the common stock and any other class or series of stock entitled to vote thereon. The voting power of Holders is subject to a voting cap per share equal to the quotient of the $10,000 Initial Value and the minimum price ($2.77 for the Series A Redeemable Convertible Preferred Stock and $3.12 for the Series B Redeemable Convertible Preferred Stock).</w:t>
      </w:r>
    </w:p>
    <w:p>
      <w:pPr>
        <w:spacing w:after="0" w:line="21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long as at least 10% of the aggregate number of shares issued on the respective initial issue date remain outstanding, and subject to certain other conditions, Holders are entitled to a separate class vote with respect to, among other things, amendments to the Company’s organizational documents that have an adverse effect on the Redeemable Convertible Preferred Stock, authorizations or issuances by the Company of capital stock of the Company that ranks senior or equal to the Redeemable Convertible Preferred Stock with respect to dividends or distributions on liquidation or the terms of which provide for cash dividends (other than the common stock), winding-up and dissolution, and decreases in the number of authorized shares of the Redeemable Convertible Preferred Stock. The Company also agreed that as long as Ayar owns at least 50% of the shares issued on the respective initial issue date, the Company will comply with certain debt incurrence covenants in its Credit Agreement, dated as of June 9, 2022, by and among the Company, as the Borrower Representative, the other Borrowers party thereto from time-to-time, the Lenders and Issuing Banks from time-to-time party thereto and Bank of America, N.A., as Administrative Agent, as amended, which agreement may be waived with the sole consent of Ayar.</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6" w:name="page27"/>
    <w:bookmarkEnd w:id="26"/>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Each share of the Redeemable Convertible Preferred Stock is convertible, at the option of the respective Holder, from time-to-time after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initial issue date, and without the payment of additional consideration by the Holder, (a) at any time that the closing price per share of the common stock on the trading day immediately preceding the date on which the Holder delivers the relevant notice of conversion is at least $5.50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applicable conversion price in effect as of such conversion date, which shall initially be $3.5952 for the Series A Redeemable Convertible Preferred Stock and $4.3799 for the Series B Redeemable Convertible Preferred Stock, subject to customary anti-dilution adjustments, including in the event of any stock split, stock dividend, recapitalization or similar events (the “Conversion Price”).</w:t>
      </w:r>
    </w:p>
    <w:p>
      <w:pPr>
        <w:spacing w:after="0" w:line="21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Mandatory Conversion: </w:t>
      </w:r>
      <w:r>
        <w:rPr>
          <w:rFonts w:ascii="Times New Roman" w:cs="Times New Roman" w:eastAsia="Times New Roman" w:hAnsi="Times New Roman"/>
          <w:sz w:val="18"/>
          <w:szCs w:val="18"/>
          <w:color w:val="auto"/>
        </w:rPr>
        <w:t>On or after the third anniversary of the initial issue date, if at any time (i) the daily VWAP of the common stock has been at least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 of the Conversion Price for at least twenty (20) trading days (whether or not consecutive) during any thirty (30) consecutive trading days (including the last day of such period) and (ii) certain common stock liquidity conditions are satisfied, the Company will have the right, exercisable at its election within fifteen (15) business days following completion of the applicable thirty (30) trading day period, to cause all or any portion of the Redeemable Convertible Preferred Stock to convert into number of fully paid and non-assessable shares of common stock, as determined by dividing (i) the applicable Accrued Value as of the conversion date by (ii) the Conversion Price in effect as of such conversion date. The Company will be required to pay an additional amount per share of the Redeemable Convertible Preferred Stock payable in cash, shares of common stock valued based on a five-day average daily VWAP or a combination thereof in respect of such conversion equal to the greater of (x) the difference between (i) the Minimum Consideration and (ii) the value of the shares of common stock delivered upon mandatory conversion thereof and (y) zero.</w:t>
      </w:r>
    </w:p>
    <w:p>
      <w:pPr>
        <w:spacing w:after="0" w:line="21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Fundamental Change: </w:t>
      </w:r>
      <w:r>
        <w:rPr>
          <w:rFonts w:ascii="Times New Roman" w:cs="Times New Roman" w:eastAsia="Times New Roman" w:hAnsi="Times New Roman"/>
          <w:sz w:val="18"/>
          <w:szCs w:val="18"/>
          <w:color w:val="auto"/>
        </w:rPr>
        <w:t>Upon a fundamental change, the Holders will be entitled, on the fundamental change repurchase date specified by the Company,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an amount equal to the greater of (a) the Minimum Consideration and (b) an amount equal to the value that such Holder would have received if it had converted its shares of the Redeemable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are not satisfied.</w:t>
      </w:r>
    </w:p>
    <w:p>
      <w:pPr>
        <w:spacing w:after="0" w:line="21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Optional Redemption: </w:t>
      </w:r>
      <w:r>
        <w:rPr>
          <w:rFonts w:ascii="Times New Roman" w:cs="Times New Roman" w:eastAsia="Times New Roman" w:hAnsi="Times New Roman"/>
          <w:sz w:val="18"/>
          <w:szCs w:val="18"/>
          <w:color w:val="auto"/>
        </w:rPr>
        <w:t>On or after the fifth anniversary of the initial issue date, the Company may redeem all or any portion of the Redeemable Convertible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at a redemption price per share equal to the greater of (a) the Minimum Consideration and (b) an amount equal to the value (calculated based on a twenty (20)-day average daily VWAP) of the number of shares of common stock if it had converted its shares of the Redeemable Convertible Preferred Stock into shares of common stock as of the redemption date. Such redemption price may be paid in cash, shares of common stock valued based on a twenty (20)-day average daily VWAP, or a combination thereof, at the Company’s election. The Company may not pay any portion of such redemption price in shares of common stock if the common stock liquidity conditions are not satisfied.</w:t>
      </w:r>
    </w:p>
    <w:p>
      <w:pPr>
        <w:spacing w:after="0" w:line="21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While the Redeemable Convertible Preferred Stock is callable after five years at the Company’s option, the Redeemable Convertible Preferred Stock is considered redeemable at the option of Ayar and was classified as mezzanine equity, because it is the majority shareholder of the Company. The Company recorded the Series A Redeemable Convertible Preferred Stock initially at its issuance price, net of issuance costs of $2.4 million and net of the initial value of the bifurcated derivative liability of $497.1 million. The Company also recorded the Series B Redeemable Convertible Preferred Stock initially at its issuance price, net of issuance costs of $0.6 million and net of the initial value of the bifurcated derivative liability of $297.7 million.</w:t>
      </w:r>
    </w:p>
    <w:p>
      <w:pPr>
        <w:spacing w:after="0" w:line="21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 accretes the Redeemable Convertible Preferred Stock to its redemption value, which is greater of (a) the Minimum Consideration and (b) an amount equal to the value that such Holder would have received if it had converted its shares of the Redeemable Convertible Preferred Stock into shares of common stock as of the Redemption Date. In certain circumstances, the redemption price may vary based on changes in stock price, in which case the Company recognizes changes in the redemption value immediately as they occur and adjust the carrying value of the security to equal the then current maximum redemption value at the end of each reporting period. During the three months ended March 31, 2025 and 2024, the Company recorded accretion of $225.3 million and $3.9 million, respectively, related to the Series A Redeemable Convertible Preferred Stock. During the three months ended March 31, 2025, the Company recorded accretion of $139.6 million related to the Series B Redeemable Convertible Preferred Stock. Accretion of the Redeemable Convertible Preferred Stock was reflected as adjustments to additional paid-in capital in the condensed consolidated balance sheet as of March 31, 2025 and December 31, 2024. The carrying value of the Series A Redeemable Convertible Preferred Stock was $955.3 million and $730.0 million as of</w:t>
      </w:r>
    </w:p>
    <w:p>
      <w:pPr>
        <w:spacing w:after="0" w:line="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March 31, 2025 and December 31, 2024, respectively. The carrying value of the Series B Redeemable Convertible Preferred Stock was $709.5 million and $569.8 million as of March 31, 2025 and December 31, 2024, respectively.</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ind w:right="100"/>
        <w:spacing w:after="0"/>
        <w:rPr>
          <w:sz w:val="20"/>
          <w:szCs w:val="20"/>
          <w:color w:val="auto"/>
        </w:rPr>
      </w:pPr>
      <w:r>
        <w:rPr>
          <w:rFonts w:ascii="Times New Roman" w:cs="Times New Roman" w:eastAsia="Times New Roman" w:hAnsi="Times New Roman"/>
          <w:sz w:val="18"/>
          <w:szCs w:val="18"/>
          <w:color w:val="auto"/>
        </w:rPr>
        <w:t>The Company assessed the above features to determine whether any features are required to be bifurcated and separately accounted for as an embedded feature. The Company concluded that the conversion features, inclusive of all settlement outcomes where the pay-off is indexed to the if-converted value, meets all the requirements to be separately accounted for as a bifurcated derivative. As a result, the Company bifurcated the Redeemable Convertible Preferred Stock between (i) the host contracts which are accounted for within mezzanine equity as described above, and (ii) the bifurcated derivative liabilities related to the conversion features. The proceeds from issuance were first allocated to the fair value of the bifurcated derivatives with the residual being allocated to the host contracts. The bifurcated derivatives are remeasured to fair value at each reporting period with changes in fair value recorded in the condensed consolidated statement of operations and comprehensive loss.</w:t>
      </w:r>
    </w:p>
    <w:p>
      <w:pPr>
        <w:spacing w:after="0" w:line="171"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As of March 31, 2025 and December 31, 2024, the derivative liabilities for the Redeemable Convertible Preferred Stock were remeasured to fair value of $357.7 million and $639.4 million, comprising of $232.1 million and $408.8 million related to Series A Redeemable Convertible Preferred Stock and $125.6 million and $230.6 million related to Series B Redeemable Convertible Preferred Stock, respectively. The Company recognized gains of</w:t>
      </w:r>
    </w:p>
    <w:p>
      <w:pPr>
        <w:spacing w:after="0" w:line="1"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$281.7 million for the three months ended March 31, 2025 in change in fair value of derivative liabilities associated with redeemable convertible preferred stock (related party) in the condensed consolidated statements of operations and comprehensive loss.</w:t>
      </w:r>
    </w:p>
    <w:p>
      <w:pPr>
        <w:spacing w:after="0" w:line="18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Company estimated the fair value of the derivative liabilities using a binomial lattice model with the volatility, credit spread, and term as significant unobservable inputs. Assumptions used in the valuation also take into account the contractual terms as well as the quoted price of the Company’s common stock in an active market. Significant changes in any of those inputs in isolation would result in significant changes to the fair value measurement.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 3 fair value inputs used in the valuation of the derivative liabilities associated with the Redeemable Convertible Preferred Stock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6"/>
                <w:szCs w:val="16"/>
                <w:color w:val="auto"/>
              </w:rPr>
            </w:pPr>
          </w:p>
        </w:tc>
        <w:tc>
          <w:tcPr>
            <w:tcW w:w="3160" w:type="dxa"/>
            <w:vAlign w:val="bottom"/>
            <w:gridSpan w:val="4"/>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47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ind w:right="435"/>
              <w:spacing w:after="0" w:line="129" w:lineRule="exact"/>
              <w:rPr>
                <w:sz w:val="20"/>
                <w:szCs w:val="20"/>
                <w:color w:val="auto"/>
              </w:rPr>
            </w:pPr>
            <w:r>
              <w:rPr>
                <w:rFonts w:ascii="Times New Roman" w:cs="Times New Roman" w:eastAsia="Times New Roman" w:hAnsi="Times New Roman"/>
                <w:sz w:val="14"/>
                <w:szCs w:val="14"/>
                <w:b w:val="1"/>
                <w:bCs w:val="1"/>
                <w:color w:val="auto"/>
              </w:rPr>
              <w:t>Series B</w:t>
            </w: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 Liability</w:t>
            </w: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 Liability</w:t>
            </w:r>
          </w:p>
        </w:tc>
        <w:tc>
          <w:tcPr>
            <w:tcW w:w="140" w:type="dxa"/>
            <w:vAlign w:val="bottom"/>
          </w:tcPr>
          <w:p>
            <w:pPr>
              <w:spacing w:after="0"/>
              <w:rPr>
                <w:sz w:val="17"/>
                <w:szCs w:val="17"/>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Derivative Liability</w:t>
            </w:r>
          </w:p>
        </w:tc>
        <w:tc>
          <w:tcPr>
            <w:tcW w:w="140" w:type="dxa"/>
            <w:vAlign w:val="bottom"/>
          </w:tcPr>
          <w:p>
            <w:pPr>
              <w:spacing w:after="0"/>
              <w:rPr>
                <w:sz w:val="17"/>
                <w:szCs w:val="17"/>
                <w:color w:val="auto"/>
              </w:rPr>
            </w:pPr>
          </w:p>
        </w:tc>
        <w:tc>
          <w:tcPr>
            <w:tcW w:w="14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Derivative Liability</w:t>
            </w: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spread</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3.02</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(in years)</w:t>
            </w:r>
          </w:p>
        </w:tc>
        <w:tc>
          <w:tcPr>
            <w:tcW w:w="140" w:type="dxa"/>
            <w:vAlign w:val="bottom"/>
          </w:tcPr>
          <w:p>
            <w:pPr>
              <w:spacing w:after="0"/>
              <w:rPr>
                <w:sz w:val="19"/>
                <w:szCs w:val="19"/>
                <w:color w:val="auto"/>
              </w:rPr>
            </w:pPr>
          </w:p>
        </w:tc>
        <w:tc>
          <w:tcPr>
            <w:tcW w:w="14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repurchased an aggregate of 857,825 shares of its common stock, including 712,742 shares from certain employees and 145,083 shares from Board of Directors of the Company’s predecessor, Atieva, Inc. at $24.15 per share. No common stock was repurchased during the three months ended March 31,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Issuance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reserved for future issuances as of March 31, 2025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4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3"/>
        </w:trPr>
        <w:tc>
          <w:tcPr>
            <w:tcW w:w="9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Warrants to purchase common stock</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44,350,000</w:t>
            </w:r>
          </w:p>
        </w:tc>
        <w:tc>
          <w:tcPr>
            <w:tcW w:w="0" w:type="dxa"/>
            <w:vAlign w:val="bottom"/>
          </w:tcPr>
          <w:p>
            <w:pPr>
              <w:spacing w:after="0"/>
              <w:rPr>
                <w:sz w:val="1"/>
                <w:szCs w:val="1"/>
                <w:color w:val="auto"/>
              </w:rPr>
            </w:pP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26,448,176</w:t>
            </w:r>
          </w:p>
        </w:tc>
        <w:tc>
          <w:tcPr>
            <w:tcW w:w="0" w:type="dxa"/>
            <w:vAlign w:val="bottom"/>
          </w:tcPr>
          <w:p>
            <w:pPr>
              <w:spacing w:after="0"/>
              <w:rPr>
                <w:sz w:val="1"/>
                <w:szCs w:val="1"/>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95,006,297</w:t>
            </w:r>
          </w:p>
        </w:tc>
        <w:tc>
          <w:tcPr>
            <w:tcW w:w="0" w:type="dxa"/>
            <w:vAlign w:val="bottom"/>
          </w:tcPr>
          <w:p>
            <w:pPr>
              <w:spacing w:after="0"/>
              <w:rPr>
                <w:sz w:val="1"/>
                <w:szCs w:val="1"/>
                <w:color w:val="auto"/>
              </w:rPr>
            </w:pP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grants under equity plans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36,653,536</w:t>
            </w:r>
          </w:p>
        </w:tc>
        <w:tc>
          <w:tcPr>
            <w:tcW w:w="0" w:type="dxa"/>
            <w:vAlign w:val="bottom"/>
          </w:tcPr>
          <w:p>
            <w:pPr>
              <w:spacing w:after="0"/>
              <w:rPr>
                <w:sz w:val="1"/>
                <w:szCs w:val="1"/>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2026 Notes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36,737,785</w:t>
            </w:r>
          </w:p>
        </w:tc>
        <w:tc>
          <w:tcPr>
            <w:tcW w:w="0" w:type="dxa"/>
            <w:vAlign w:val="bottom"/>
          </w:tcPr>
          <w:p>
            <w:pPr>
              <w:spacing w:after="0"/>
              <w:rPr>
                <w:sz w:val="1"/>
                <w:szCs w:val="1"/>
                <w:color w:val="auto"/>
              </w:rPr>
            </w:pP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Series A redeemable convertible preferred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304,262,653</w:t>
            </w:r>
          </w:p>
        </w:tc>
        <w:tc>
          <w:tcPr>
            <w:tcW w:w="0" w:type="dxa"/>
            <w:vAlign w:val="bottom"/>
          </w:tcPr>
          <w:p>
            <w:pPr>
              <w:spacing w:after="0"/>
              <w:rPr>
                <w:sz w:val="1"/>
                <w:szCs w:val="1"/>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Series B redeemable convertible preferred stock</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181,087,965</w:t>
            </w:r>
          </w:p>
        </w:tc>
        <w:tc>
          <w:tcPr>
            <w:tcW w:w="0" w:type="dxa"/>
            <w:vAlign w:val="bottom"/>
          </w:tcPr>
          <w:p>
            <w:pPr>
              <w:spacing w:after="0"/>
              <w:rPr>
                <w:sz w:val="1"/>
                <w:szCs w:val="1"/>
                <w:color w:val="auto"/>
              </w:rPr>
            </w:pP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724,546,412</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28</w:t>
            </w: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97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76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10 – STOCK-BASED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for the three months ended March 31, 2025 was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58"/>
        </w:trPr>
        <w:tc>
          <w:tcPr>
            <w:tcW w:w="5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2"/>
        </w:trPr>
        <w:tc>
          <w:tcPr>
            <w:tcW w:w="5240" w:type="dxa"/>
            <w:vAlign w:val="bottom"/>
          </w:tcPr>
          <w:p>
            <w:pPr>
              <w:spacing w:after="0"/>
              <w:rPr>
                <w:sz w:val="14"/>
                <w:szCs w:val="14"/>
                <w:color w:val="auto"/>
              </w:rPr>
            </w:pP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220" w:type="dxa"/>
            <w:vAlign w:val="bottom"/>
          </w:tcPr>
          <w:p>
            <w:pPr>
              <w:spacing w:after="0"/>
              <w:rPr>
                <w:sz w:val="14"/>
                <w:szCs w:val="14"/>
                <w:color w:val="auto"/>
              </w:rPr>
            </w:pPr>
          </w:p>
        </w:tc>
        <w:tc>
          <w:tcPr>
            <w:tcW w:w="13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90"/>
        </w:trPr>
        <w:tc>
          <w:tcPr>
            <w:tcW w:w="5240" w:type="dxa"/>
            <w:vAlign w:val="bottom"/>
          </w:tcPr>
          <w:p>
            <w:pPr>
              <w:spacing w:after="0"/>
              <w:rPr>
                <w:sz w:val="16"/>
                <w:szCs w:val="16"/>
                <w:color w:val="auto"/>
              </w:rPr>
            </w:pP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6"/>
                <w:szCs w:val="16"/>
                <w:color w:val="auto"/>
              </w:rPr>
            </w:pPr>
          </w:p>
        </w:tc>
        <w:tc>
          <w:tcPr>
            <w:tcW w:w="13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52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26,894,103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48,886</w:t>
            </w:r>
          </w:p>
        </w:tc>
      </w:tr>
      <w:tr>
        <w:trPr>
          <w:trHeight w:val="234"/>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
        </w:trPr>
        <w:tc>
          <w:tcPr>
            <w:tcW w:w="5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7"/>
        </w:trPr>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canceled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5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26,448,176</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34,395</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27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March 31, 2025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24,511,625</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of March 31, 2025, unrecognized stock-based compensation cost related to outstanding unvested stock options that are expected to vest was $6.1 million, and is expected to be recognized over a weighted-average period of 2.3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RSUs activity for the three months ended March 31, 2025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3"/>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Time-Based Shares</w:t>
            </w:r>
          </w:p>
        </w:tc>
        <w:tc>
          <w:tcPr>
            <w:tcW w:w="1360" w:type="dxa"/>
            <w:vAlign w:val="bottom"/>
            <w:gridSpan w:val="2"/>
            <w:vMerge w:val="continue"/>
          </w:tcPr>
          <w:p>
            <w:pPr>
              <w:spacing w:after="0"/>
              <w:rPr>
                <w:sz w:val="12"/>
                <w:szCs w:val="12"/>
                <w:color w:val="auto"/>
              </w:rPr>
            </w:pPr>
          </w:p>
        </w:tc>
        <w:tc>
          <w:tcPr>
            <w:tcW w:w="12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87,969,008</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15,996,461</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103,965,469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11,517,577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1,623,784</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13,141,361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(14,714,822)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(3,935,706)</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(18,650,528)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(3,171,780)</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(278,225)</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(3,450,005)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81,599,983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13,406,314</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95,006,297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unrecognized stock-based compensation cost related to outstanding unvested time-based RSUs that are expected to vest was $276.4 million, which is expected to be recognized over a weighted-average period of 1.6 years.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2021, the Company granted performance-based RSUs to the former CEO and they were subject to performance and market conditions. The performance condition was satisfied upon the closing of the merger. The Company recognized compensation expense using a graded vesting attribution method over the derived service period for the former CEO’s performance-based awards. Stock-based compensation expense was recognized when the relevant performance condition was considered probable of achievement for the performance-based award. During the year ended December 31, 2022, the market condition was met for the performance-based awards of the former CEO for four of the five tranches and certified by the Board of Directors, representing an aggregate of 13,934,271 performance RSUs. The unamortized expense of $8.2 million as of December 31, 2022 for the fifth tranche, representing 2,090,140 RSUs, was fully recognized during the year ended December 31, 2023.</w:t>
      </w:r>
    </w:p>
    <w:p>
      <w:pPr>
        <w:spacing w:after="0" w:line="18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granted 13,834,748 shares of the time-based RSUs to the former CEO that would vest in sixteen equal quarterly installments, beginning on December 5, 2021, and were subject to continuous employment. The Company recognized compensation expense for these time-based RSUs on a graded vesting schedule over the requisite vesting period. The Company withheld approximately 0.5 million shares of common stock for the three months ended March 31, 2025 and 2024, by net settlement to meet the related tax withholding requirements related to the former CEO’s time-based RSUs. In February 2025, the Company announced the former CEO’s resignation and transition. In connection with this transition, the Company recorded a reversal of $41.6 million related to previously recognized stock-based compensation expenses for his unvested time-based RSUs, resulted from modification accounting. As of March 31, 2025, there were no unrecognized stock-based compensation expenses related to the time-based RSUs.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granted performance-based RSUs to certain employees and they are subject to (i) corporate performance conditions and/or individual performance and (ii) a service condition which will be met generally over 3 years. The number of awards granted represents 100% of the target goal. Under the terms of the awards, the recipient may earn between 0% to 150% of the original number of grants based on actual achievement of corporate performance goals and/or individual performance. Stock-based compensation expense is recognized when the relevant performance condition is considered probable of achievement for the performance-based award. The Company recorded stock-based compensation expenses of $8.9 million and $4.7 million during the three months ended March 31, 2025 and 2024, respectively, related to these performance-based RSUs. As of March 31, 2025, the unamortized expense for the performance-based RSUs was $19.3 million, which will be recognized over a weighted-average period of 1.1 years primarily contingent upon realization of the corporate performance conditions.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(“ESPP”)</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ESPP authorizes the issuance of shares of common stock pursuant to purchase rights granted to employees. The plan provides for 24-month offering periods beginning in December and June of each year, and each offering period will consist of four six-month purchase periods. The purchase price for each share purchased during an offering period will be the lesser of 85% of the fair market value of the share on the purchase date or 85% of the fair market value of the share on the offering date. As of March 31, 2025, unrecognized stock-based compensation cost related to the ESPP was $25.0 million which is expected to be recognized over a weighted-average period of 1.7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employee and nonemployee stock-based compensation expense for the three months ended March 31, 2025 and 2024, was classified in the condensed consolidated statements of operations and comprehensive loss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37,533</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25,251</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63,696</w:t>
            </w:r>
          </w:p>
        </w:tc>
      </w:tr>
      <w:tr>
        <w:trPr>
          <w:trHeight w:val="21"/>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capitalized stock-based compensation expenses of $9.9 million and $10.5 million for the three months ended March 31, 2025 and 2024, respectively, primarily as part of the cost of inventory.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has entered into various non-cancellable operating and finance lease agreements for certain of the Company’s offices, manufacturing and warehouse facilities, retail and service locations, equipment and vehicles, worldwide.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August 2022, the Company entered into a four-year agreement (“Lease Agreement”) to lease land in Casa Grande, Arizona adjacent to our manufacturing facility. The Company classifies this lease as a finance lease because the Lease Agreement contains a purchase option which the Company is reasonably certain to exercise. As of March 31, 2025 and December 31, 2024, assets associated with the finance lease were $79.3 million. As of March 31, 2025 and December 31, 2024, liabilities associated with the finance lease were $78.6 million and $80.0 million, respectively.</w:t>
      </w:r>
    </w:p>
    <w:p>
      <w:pPr>
        <w:spacing w:after="0" w:line="2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Contemporaneously with the execution of the Lease Agreement, the Company entered into a sale agreement, pursuant to which the Company sold certain parcels of land for $31.7 million to the lessor and leased back these parcels of land under the Lease Agreement. The sale of the land and subsequent lease did not result in change in the transfer of control of the land; therefore, the sale-leaseback transaction is accounted for as a failed sale and leaseback financing obligation. The Company recorded $31.7 million of sales proceeds received as a financial liability within other long-term liabilities in the condensed consolidated balance sheets as of March 31, 2025 and December 31, 2024.</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ind w:right="120"/>
        <w:spacing w:after="0" w:line="282" w:lineRule="auto"/>
        <w:rPr>
          <w:sz w:val="20"/>
          <w:szCs w:val="20"/>
          <w:color w:val="auto"/>
        </w:rPr>
      </w:pPr>
      <w:r>
        <w:rPr>
          <w:rFonts w:ascii="Times New Roman" w:cs="Times New Roman" w:eastAsia="Times New Roman" w:hAnsi="Times New Roman"/>
          <w:sz w:val="18"/>
          <w:szCs w:val="18"/>
          <w:color w:val="auto"/>
        </w:rPr>
        <w:t>The balances for the operating and finance leases where the Company is the lessee are presented as follows within the Company’s condensed consolidated balance sheets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230,780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211,886</w:t>
            </w:r>
          </w:p>
        </w:tc>
      </w:tr>
      <w:tr>
        <w:trPr>
          <w:trHeight w:val="270"/>
        </w:trPr>
        <w:tc>
          <w:tcPr>
            <w:tcW w:w="8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0"/>
        </w:trPr>
        <w:tc>
          <w:tcPr>
            <w:tcW w:w="8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35,596</w:t>
            </w:r>
          </w:p>
        </w:tc>
      </w:tr>
      <w:tr>
        <w:trPr>
          <w:trHeight w:val="229"/>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236,916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229,835</w:t>
            </w:r>
          </w:p>
        </w:tc>
      </w:tr>
      <w:tr>
        <w:trPr>
          <w:trHeight w:val="223"/>
        </w:trPr>
        <w:tc>
          <w:tcPr>
            <w:tcW w:w="8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279,201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265,431</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82,823</w:t>
            </w:r>
          </w:p>
        </w:tc>
      </w:tr>
      <w:tr>
        <w:trPr>
          <w:trHeight w:val="223"/>
        </w:trPr>
        <w:tc>
          <w:tcPr>
            <w:tcW w:w="8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finance lease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83,605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82,823</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 liabilities, current portion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w:t>
            </w:r>
          </w:p>
        </w:tc>
      </w:tr>
      <w:tr>
        <w:trPr>
          <w:trHeight w:val="229"/>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75,292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76,096</w:t>
            </w:r>
          </w:p>
        </w:tc>
      </w:tr>
      <w:tr>
        <w:trPr>
          <w:trHeight w:val="223"/>
        </w:trPr>
        <w:tc>
          <w:tcPr>
            <w:tcW w:w="8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82,233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82,884</w:t>
            </w:r>
          </w:p>
        </w:tc>
      </w:tr>
      <w:tr>
        <w:trPr>
          <w:trHeight w:val="21"/>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components of lease expense were as follows within the Company’s condensed consolidated statements of operations and comprehensive loss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expense:</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6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expense </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16,481</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15,010</w:t>
            </w:r>
          </w:p>
        </w:tc>
      </w:tr>
      <w:tr>
        <w:trPr>
          <w:trHeight w:val="230"/>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Variable lease expense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57"/>
        </w:trPr>
        <w:tc>
          <w:tcPr>
            <w:tcW w:w="8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expense: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30"/>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23"/>
        </w:trPr>
        <w:tc>
          <w:tcPr>
            <w:tcW w:w="8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48"/>
        </w:trPr>
        <w:tc>
          <w:tcPr>
            <w:tcW w:w="8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lease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Excluded short-term leases, which were not material.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where the Company is the lessee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720" w:type="dxa"/>
            <w:vAlign w:val="bottom"/>
          </w:tcPr>
          <w:p>
            <w:pPr>
              <w:spacing w:after="0"/>
              <w:rPr>
                <w:sz w:val="16"/>
                <w:szCs w:val="16"/>
                <w:color w:val="auto"/>
              </w:rPr>
            </w:pPr>
          </w:p>
        </w:tc>
        <w:tc>
          <w:tcPr>
            <w:tcW w:w="502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4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36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0"/>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5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5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7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36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5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11.79 %</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11.87 %</w:t>
            </w:r>
          </w:p>
        </w:tc>
      </w:tr>
      <w:tr>
        <w:trPr>
          <w:trHeight w:val="229"/>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5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5.73 %</w:t>
            </w:r>
          </w:p>
        </w:tc>
      </w:tr>
      <w:tr>
        <w:trPr>
          <w:trHeight w:val="553"/>
        </w:trPr>
        <w:tc>
          <w:tcPr>
            <w:tcW w:w="4720" w:type="dxa"/>
            <w:vAlign w:val="bottom"/>
          </w:tcPr>
          <w:p>
            <w:pPr>
              <w:spacing w:after="0"/>
              <w:rPr>
                <w:sz w:val="24"/>
                <w:szCs w:val="24"/>
                <w:color w:val="auto"/>
              </w:rPr>
            </w:pPr>
          </w:p>
        </w:tc>
        <w:tc>
          <w:tcPr>
            <w:tcW w:w="3620" w:type="dxa"/>
            <w:vAlign w:val="bottom"/>
          </w:tcPr>
          <w:p>
            <w:pPr>
              <w:jc w:val="right"/>
              <w:ind w:right="2533"/>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42"/>
        </w:trPr>
        <w:tc>
          <w:tcPr>
            <w:tcW w:w="4720" w:type="dxa"/>
            <w:vAlign w:val="bottom"/>
            <w:tcBorders>
              <w:bottom w:val="single" w:sz="8" w:color="9A9A9A"/>
            </w:tcBorders>
          </w:tcPr>
          <w:p>
            <w:pPr>
              <w:spacing w:after="0"/>
              <w:rPr>
                <w:sz w:val="12"/>
                <w:szCs w:val="12"/>
                <w:color w:val="auto"/>
              </w:rPr>
            </w:pPr>
          </w:p>
        </w:tc>
        <w:tc>
          <w:tcPr>
            <w:tcW w:w="36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As of March 31, 2025, the maturities of the Company’s operating and finance lease liabilities (excluding short-term leases)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40" w:type="dxa"/>
            <w:vAlign w:val="bottom"/>
          </w:tcPr>
          <w:p>
            <w:pPr>
              <w:spacing w:after="0"/>
              <w:rPr>
                <w:sz w:val="16"/>
                <w:szCs w:val="16"/>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8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 of the year)</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83,340</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103,219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88,567</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(118,225)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(6,334)</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82,233</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(6,941)</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 of lease obligations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236,916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75,292</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 Company entered into additional leases for facilities and equipment that have not yet commenced with undiscounted future lease payments of $17.5 million. The leases are expected to commence in 2025 and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Company had $1.2 billion and $1.0 billion in commitments related to AMP-1 and AMP-2 plant and equipment, respectively. These commitments represent future expected payments on open purchase orders entered into as of March 31, 2025 and December 31, 2024.</w:t>
      </w:r>
    </w:p>
    <w:p>
      <w:pPr>
        <w:spacing w:after="0" w:line="171"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7"/>
          <w:szCs w:val="17"/>
          <w:color w:val="auto"/>
        </w:rPr>
        <w:t>he Company’s non-cancellable long-term commitments primarily related to certain inventory component purchases. On October 1, 2024, the 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entered into amendments (the “Amendments”) to certain battery-supply agreements with Panasonic Energy Co., Ltd. and certain of its affiliates. As of March 31, 2025, pursuant to the terms of the Amendments, the Company had remaining minimum purchase commitments of an aggregate of approximately $2.6 billion, calculated using the current base prices, which could vary period-to-period primarily as a result of changes in raw material indexes. The estimated future payments having a remaining term in excess of one year as of March 31, 2025 were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0" w:type="dxa"/>
            <w:vAlign w:val="bottom"/>
          </w:tcPr>
          <w:p>
            <w:pPr>
              <w:spacing w:after="0"/>
              <w:rPr>
                <w:sz w:val="1"/>
                <w:szCs w:val="1"/>
                <w:color w:val="auto"/>
              </w:rPr>
            </w:pPr>
          </w:p>
        </w:tc>
      </w:tr>
      <w:tr>
        <w:trPr>
          <w:trHeight w:val="148"/>
        </w:trPr>
        <w:tc>
          <w:tcPr>
            <w:tcW w:w="9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Years ended December 31,</w:t>
            </w:r>
          </w:p>
        </w:tc>
        <w:tc>
          <w:tcPr>
            <w:tcW w:w="160" w:type="dxa"/>
            <w:vAlign w:val="bottom"/>
          </w:tcPr>
          <w:p>
            <w:pPr>
              <w:spacing w:after="0"/>
              <w:rPr>
                <w:sz w:val="12"/>
                <w:szCs w:val="12"/>
                <w:color w:val="auto"/>
              </w:rPr>
            </w:pPr>
          </w:p>
        </w:tc>
        <w:tc>
          <w:tcPr>
            <w:tcW w:w="112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200"/>
        </w:trPr>
        <w:tc>
          <w:tcPr>
            <w:tcW w:w="99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0" w:type="dxa"/>
            <w:vAlign w:val="bottom"/>
          </w:tcPr>
          <w:p>
            <w:pPr>
              <w:spacing w:after="0"/>
              <w:rPr>
                <w:sz w:val="1"/>
                <w:szCs w:val="1"/>
                <w:color w:val="auto"/>
              </w:rPr>
            </w:pPr>
          </w:p>
        </w:tc>
      </w:tr>
      <w:tr>
        <w:trPr>
          <w:trHeight w:val="223"/>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 of the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154,753</w:t>
            </w:r>
          </w:p>
        </w:tc>
        <w:tc>
          <w:tcPr>
            <w:tcW w:w="0" w:type="dxa"/>
            <w:vAlign w:val="bottom"/>
          </w:tcPr>
          <w:p>
            <w:pPr>
              <w:spacing w:after="0"/>
              <w:rPr>
                <w:sz w:val="1"/>
                <w:szCs w:val="1"/>
                <w:color w:val="auto"/>
              </w:rPr>
            </w:pPr>
          </w:p>
        </w:tc>
      </w:tr>
      <w:tr>
        <w:trPr>
          <w:trHeight w:val="229"/>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277,043</w:t>
            </w:r>
          </w:p>
        </w:tc>
        <w:tc>
          <w:tcPr>
            <w:tcW w:w="0" w:type="dxa"/>
            <w:vAlign w:val="bottom"/>
          </w:tcPr>
          <w:p>
            <w:pPr>
              <w:spacing w:after="0"/>
              <w:rPr>
                <w:sz w:val="1"/>
                <w:szCs w:val="1"/>
                <w:color w:val="auto"/>
              </w:rPr>
            </w:pPr>
          </w:p>
        </w:tc>
      </w:tr>
      <w:tr>
        <w:trPr>
          <w:trHeight w:val="23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375,320</w:t>
            </w:r>
          </w:p>
        </w:tc>
        <w:tc>
          <w:tcPr>
            <w:tcW w:w="0" w:type="dxa"/>
            <w:vAlign w:val="bottom"/>
          </w:tcPr>
          <w:p>
            <w:pPr>
              <w:spacing w:after="0"/>
              <w:rPr>
                <w:sz w:val="1"/>
                <w:szCs w:val="1"/>
                <w:color w:val="auto"/>
              </w:rPr>
            </w:pPr>
          </w:p>
        </w:tc>
      </w:tr>
      <w:tr>
        <w:trPr>
          <w:trHeight w:val="230"/>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459,437</w:t>
            </w:r>
          </w:p>
        </w:tc>
        <w:tc>
          <w:tcPr>
            <w:tcW w:w="0" w:type="dxa"/>
            <w:vAlign w:val="bottom"/>
          </w:tcPr>
          <w:p>
            <w:pPr>
              <w:spacing w:after="0"/>
              <w:rPr>
                <w:sz w:val="1"/>
                <w:szCs w:val="1"/>
                <w:color w:val="auto"/>
              </w:rPr>
            </w:pPr>
          </w:p>
        </w:tc>
      </w:tr>
      <w:tr>
        <w:trPr>
          <w:trHeight w:val="23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452,929</w:t>
            </w:r>
          </w:p>
        </w:tc>
        <w:tc>
          <w:tcPr>
            <w:tcW w:w="0" w:type="dxa"/>
            <w:vAlign w:val="bottom"/>
          </w:tcPr>
          <w:p>
            <w:pPr>
              <w:spacing w:after="0"/>
              <w:rPr>
                <w:sz w:val="1"/>
                <w:szCs w:val="1"/>
                <w:color w:val="auto"/>
              </w:rPr>
            </w:pPr>
          </w:p>
        </w:tc>
      </w:tr>
      <w:tr>
        <w:trPr>
          <w:trHeight w:val="229"/>
        </w:trPr>
        <w:tc>
          <w:tcPr>
            <w:tcW w:w="9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926,759</w:t>
            </w:r>
          </w:p>
        </w:tc>
        <w:tc>
          <w:tcPr>
            <w:tcW w:w="0" w:type="dxa"/>
            <w:vAlign w:val="bottom"/>
          </w:tcPr>
          <w:p>
            <w:pPr>
              <w:spacing w:after="0"/>
              <w:rPr>
                <w:sz w:val="1"/>
                <w:szCs w:val="1"/>
                <w:color w:val="auto"/>
              </w:rPr>
            </w:pPr>
          </w:p>
        </w:tc>
      </w:tr>
      <w:tr>
        <w:trPr>
          <w:trHeight w:val="248"/>
        </w:trPr>
        <w:tc>
          <w:tcPr>
            <w:tcW w:w="9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2,646,241</w:t>
            </w:r>
          </w:p>
        </w:tc>
        <w:tc>
          <w:tcPr>
            <w:tcW w:w="0" w:type="dxa"/>
            <w:vAlign w:val="bottom"/>
          </w:tcPr>
          <w:p>
            <w:pPr>
              <w:spacing w:after="0"/>
              <w:rPr>
                <w:sz w:val="1"/>
                <w:szCs w:val="1"/>
                <w:color w:val="auto"/>
              </w:rPr>
            </w:pP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From time-to-time,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ind w:right="80"/>
        <w:spacing w:after="0" w:line="253" w:lineRule="auto"/>
        <w:rPr>
          <w:sz w:val="20"/>
          <w:szCs w:val="20"/>
          <w:color w:val="auto"/>
        </w:rPr>
      </w:pPr>
      <w:r>
        <w:rPr>
          <w:rFonts w:ascii="Times New Roman" w:cs="Times New Roman" w:eastAsia="Times New Roman" w:hAnsi="Times New Roman"/>
          <w:sz w:val="18"/>
          <w:szCs w:val="18"/>
          <w:color w:val="auto"/>
        </w:rPr>
        <w:t>On April 1, 2022, and May 31, 2022, two alleged shareholders filed putative class actions under the federal securities laws in the United States District Court for the Northern District of California against Lucid Group, Inc. and certain officers of the Company relating to alleged statements, updated projections and guidance provided from late 2021 to early 2022. The two matters were consolidated as In re Lucid Group, Inc. Securities Litigation. The consolidated complaint named Lucid Group, Inc. and the Company’s former chief executive officer and former chief financial officer as defendants, and generally alleged that defendants purportedly made false or misleading statements regarding delivery and revenue projections and related matters between November 15, 2021, and August 3, 2022. Defendants filed a motion to dismiss on February 23, 2023. On August 8, 2024, the Court granted in part and denied in part the motion to dismiss. On September 20, 2024, Plaintiffs filed an amended consolidated complaint, which named the Company and its former chief executive officer as defendants. Defendants filed a motion to dismiss the Amended Consolidated Complaint, in part, on December 6, 2024. A hearing on the motion to dismiss is currently scheduled for May 1, 2025. Defendants believe that the plaintiffs’ claims are without merit and intend to defend themselves vigorously, but they cannot ensure that their efforts to partially dismiss the amended consolidated complaint will be successful or that they will ultimately avoid liability in this matter.</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Eight purported shareholders have filed derivative cases in various courts putatively on behalf of the Company against certain of the Company’s current and former directors based on allegations similar to those in the In re Lucid Group, Inc. Securities Litigation action. These cases raise claims such as a breach of fiduciary duty, unjust enrichment, waste of corporate assets, and aiding and abetting a breach of fiduciary duty. On July 11, 2022, a derivative case raising such claims was filed in the Superior Court of California, Alameda County, and is currently stayed. Between September 2024 and December 2024, three other derivative lawsuits were filed in the Delaware Court of Chancery raising similar claims. Two were consolidated into a single action, and all three cases are stayed. Between January 29, 2025, and February 7, 2025, two other derivative lawsuits were filed in the Northern District of California also raising similar claims. The parties have submitted a stipulation to consolidate and stay the cases. Between February 28, 2025, and March 7, 2025, two other derivative lawsuits raising similar claims were also filed in the United States District Court for the District of Delaware.</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Moreover, on March 25, 2021, the Illinois Automobile Dealers Association, Chicago Automobile Trade Association, Peoria Metro New Car Dealers Association, Illinois Motorcycle Dealers Association, and 241 individual motor vehicle dealers filed an action against the Office of the Illinois Secretary of State (“SOS”), Jesse White, in his official capacity as the Illinois Secretary of State; Lucid USA, Inc. (“Lucid USA”); and other defendants, in the Circuit Court of Cook County, Illinois, County Department, Chancery Division, Case No. 2021CH01438. The suit generally alleges that Illinois law does not permit manufacturers to obtain licenses as motor vehicle dealers. Plaintiffs seek to prevent Lucid from engaging in the sale of motor vehicles directly to consumers. The SOS granted Lucid USA a dealer’s license on June 3, 2021. In December 2022, the Court granted Defendants’ Motion to Dismiss. Plaintiffs subsequently appealed and the decision was affirmed by the First District Appellate Court on August 23, 2024. Plaintiffs filed a petition for further review of the case by the Illinois Supreme Court and the Illinois Supreme Court denied review.</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Furthermore, while we have registered and applied for trademarks in an effort to protect our brand and goodwill with customers, competitors or other third parties have previously opposed, currently oppose, and may continue to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or be unable to submit specimens of use by the applicable deadline to perfect such trademark rights.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customers, vendors, investors, directors, officers, and certain key employees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utilities infrastructure and other agreements that require securitization. The indemnification obligations were $73.0 million and $72.6 million as of March 31, 2025 and December 31, 2024, respectively, for which no liabilities are recorded in the condensed consolidated balance sheets.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s provision for income taxes for interim periods is determined using its effective tax rate that </w:t>
      </w:r>
      <w:r>
        <w:rPr>
          <w:rFonts w:ascii="Times New Roman" w:cs="Times New Roman" w:eastAsia="Times New Roman" w:hAnsi="Times New Roman"/>
          <w:sz w:val="18"/>
          <w:szCs w:val="18"/>
          <w:color w:val="000000"/>
        </w:rPr>
        <w:t>arise during the period. The Company’s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quarterly tax provision is subject to variation due to several factors, including variability in pre-tax income (or loss), the mix of jurisdictions to which such income relates, changes in how the Company does business, the valuation allowance against deferred tax assets, and tax law developments.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effective tax rate was 0.4% and 0.0% for the three months ended March 31, 2025 and 2024, due to minimal profits in foreign jurisdictions and U.S. losses for which no benefit will be realized.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NET LOSS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are calculated as follows (in thousands, except share and per share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(680,859)</w:t>
            </w:r>
          </w:p>
        </w:tc>
      </w:tr>
      <w:tr>
        <w:trPr>
          <w:trHeight w:val="230"/>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Accretion of redeemable convertible preferred stock (related party)</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(364,925)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(731,096)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(684,760)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attributable to common stockholders, basic and diluted</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3,036,317,307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2,301,870,644</w:t>
            </w:r>
          </w:p>
        </w:tc>
      </w:tr>
      <w:tr>
        <w:trPr>
          <w:trHeight w:val="270"/>
        </w:trPr>
        <w:tc>
          <w:tcPr>
            <w:tcW w:w="8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4"/>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because including them would have had an anti-dilutive effect: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170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Excluded Securities</w:t>
            </w: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540" w:type="dxa"/>
            <w:vAlign w:val="bottom"/>
            <w:tcBorders>
              <w:bottom w:val="single" w:sz="8" w:color="CCEEFF"/>
            </w:tcBorders>
            <w:vMerge w:val="continue"/>
          </w:tcPr>
          <w:p>
            <w:pPr>
              <w:spacing w:after="0"/>
              <w:rPr>
                <w:sz w:val="18"/>
                <w:szCs w:val="18"/>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Warrants to purchase common stock</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44,350,000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44,350,000</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to purchase common stock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26,448,176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31,299,940</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86,525,244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58,879,709</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24,143,443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15,503,221</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2026 Notes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36,737,785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36,737,785</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Series A redeemable convertible preferred stock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304,262,653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278,148,643</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Series B redeemable convertible preferred stock</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181,087,965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703,555,266</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464,919,298</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8,481,053 and 5,638,704 shares of common stock equivalents subject to RSUs are excluded from the anti-dilutive table above as the underlying shares remain contingently issuable since the market or corporate and individual performance conditions have not been satisfied as of March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EMPLOYEE BENEFIT PLAN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matching contribution expense under the Company’s 401(k) Plan was not material for the three months ended March 31, 2025 and 2024.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NOTE 16 -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February 2022, the Company entered into a lease agreement with KAEC, a related party of the PIF, which is an affiliate of Ayar, for its first international manufacturing plant in Saudi Arabia. The lease has an initial term of 25 years expiring in 2047. The right-of-use asset related to this lease was $4.2 million as of March 31, 2025 and December 31, 2024. The lease liability was $6.2 million and $6.1 million as of March 31, 2025 and December 31, 2024, respectively. The right-of-use asset and lease liability were recorded in right-of-use assets and other long-term liabilities in the condensed consolidated balance sheets, respectively. The lease expense recorded for the three months ended March 31, 2025 and 2024 was immaterial.</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July 2023, the Company entered into a lease agreement with King Abdullah Financial District Development and Management Company, a subsidiary of the PIF, which is an affiliate of Ayar, for its corporate office in Saudi Arabia. The lease has an initial term of six years expiring in 2029. The right-of-use asset related to this lease was $1.9 million and $2.0 million as of March 31, 2025 and December 31, 2024, respectively. The lease liability was $2.5 million and $2.4 million as of March 31, 2025 and December 31, 2024. The right-of-use asset and lease liability were recorded in right-of-use assets and other long-term liabilities in the condensed consolidated balance sheets, respectively. The lease expense recorded for the three months ended March 31, 2025 and 2024 was immaterial.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SIDF Loan Agreement</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February 2022, Lucid LLC entered into the SIDF Loan Agreement with the SIDF, a related party of the PIF, which is an affiliate of Ayar. Under the SIDF Loan Agreement, SIDF has committed to provide the SIDF Loans to Lucid LLC in an aggregate principal amount of up to SAR 5.19 billion (approximately $1.4 billion); provided that SIDF may reduce the availability of SIDF Loans under the facility in certain circumstances. See Note 6 “Debt”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MISA Agreements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February 2022, Lucid LLC entered into agreements with MISA, a related party of the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the agreements, MISA has the right to require Lucid LLC to transfer the ownership of AMP-2 to MISA, at the fair market value thereof, reduced by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Company received support of SAR 366 million (approximately $97.5 million) in cash, of which $62.5 million was recorded as deferred liability within other long-term liabilities and $35.0 million was recorded as a deduction in calculating the carrying amount of the related assets in the consolidated balance sheet as of December 31, 2023. As of December 31, 2024, the Company recorded $97.5 million as a deduction in calculating the carrying amount of the related assets in the consolidated balance sheet. During the three months ended March 31, 2025, there were no further deductions to the carrying value of the related assets in the condensed consolidated balance sheet. There were no unfulfilled conditions and contingencies attached to the payments received.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GIB Facility Agreement</w:t>
      </w: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April 2022, Lucid LLC entered into the GIB Facility Agreement with GIB. GIB is a related party of the PIF, which is an affiliate of Ayar. The GIB Facility Agreement provided for two committed revolving credit facilities in an aggregate principal amount of SAR 1.0 billion (approximately $266.1 million).</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March 2023, Lucid LLC entered into an amendment of the 2023 GIB Facility Agreement to combine the Bridge Facility and the Working Capital Facility into a committed SAR 1.0 billion (approximately $266.1 million) 2023 GIB Credit Facility which may be used for general corporate purposes.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February 2025, Lucid LLC entered into the 2025 GIB Credit Facility maturing on February 24, 2028 to increase the credit facility committed amount from SAR 1.0 billion (approximately $266.1 million) to SAR 1.9 billion (approximately $506.5 million). Loans under the 2025 GIB Credit Facility may be used for general corporate purposes. See Note 6 “Debt” for more information.</w:t>
      </w:r>
    </w:p>
    <w:p>
      <w:pPr>
        <w:sectPr>
          <w:pgSz w:w="11900" w:h="16838" w:orient="portrait"/>
          <w:cols w:equalWidth="0" w:num="1">
            <w:col w:w="11200"/>
          </w:cols>
          <w:pgMar w:left="320" w:top="981" w:right="379" w:bottom="1440" w:gutter="0" w:footer="0" w:header="0"/>
        </w:sect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Construction Service Contract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Lucid LLC entered into agreements with Al Bawani Company Limited (“Al Bawani”), an affiliate of the PIF, which is an affiliate of Ayar, for certain design and construction services in connection with the development of AMP-2. The capital expenditures incurred to date under these agreements were SAR 1,074.8 million (approximately $286.5 million) and SAR 865.2 million (approximately $230.3 million) as of March 31, 2025 and December 31, 2024, respectively. Net advance payments made to Al Bawani under these agreements were SAR 77.6 million (approximately $20.7 million) and SAR</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129.6 million (approximately $34.5 million) as of March 31, 2025 and December 31, 2024, respectively, and was recorded within other current assets in the condensed consolidated balance sheets.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May 2023, the Company entered into the 2023 Subscription Agreement with Ayar, pursuant to which Ayar agreed to purchase from the Company 265,693,703 shares of the Company’s common stock at a price per share of $6.83 in a private placement for aggregate net proceeds of $1.8 billion. In June 2023, the Company issued the shares to Ayar pursuant to the 2023 Subscription Agreement and received aggregate net proceeds of $1.8 billion after deducting issuance costs of $2.0 million.</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March 2024, the Company entered into the Series A Subscription Agreement with Ayar, pursuant to which Ayar agreed to purchase from the Company 100,000 shares of its Series A Redeemable Convertible Preferred Stock for an aggregate purchase price of $1.0 billion in a private placement. Subsequently, in March 2024, the Company issued the shares to Ayar pursuant to the Series A Subscription Agreement and received aggregate net proceeds of $997.6 million after deducting issuance cost of $2.4 million. In August 2024, the Company entered into the Series B Subscription Agreement with Ayar, pursuant to which Ayar agreed to purchase from the Company 75,000 shares of its Series B Redeemable Convertible Preferred Stock for an aggregate purchase price of $750.0 million in a private placement. Subsequently, in August 2024, the Company issued the shares to Ayar pursuant to the Series B Subscription Agreement and received aggregate net proceeds of $749.4 million after deducting issuance costs of $0.6 million. See Note 8 “Redeemable Convertible Preferred Stock” for more information.</w:t>
      </w:r>
    </w:p>
    <w:p>
      <w:pPr>
        <w:spacing w:after="0" w:line="2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October 2024, the Company entered into the 2024 Subscription Agreement, pursuant to which Ayar agreed to purchase from the Company 374,717,927 shares of the Company’s common stock in a private placement. In addition, Ayar agreed to purchase an additional 21,470,459 shares of the Company’s common stock. As of October 31, 2024, the Company consummated the private placement of shares to Ayar pursuant to the 2024 Subscription Agreement, at a price per share of $2.59, for aggregate net proceeds of $1,025.7 million after deducting issuance costs of $0.8 million.</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Common stock acquired by Ayar under the 2023 Subscription Agreement, 2024 Subscription Agreement, the Redeemable Convertible Preferred Stock acquired by Ayar under the Series A Subscription Agreement and the Series B Subscription Agreement, and the common stock issuable upon conversion thereof are subject to the Investor Rights Agreement dated February 22, 2021 (as amended from time-to-time, the “Investor Rights Agreement”), which governs the registration for resale of such common stock and the Redeemable Convertible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Resources Development Fund (“HRDF”) Joint Cooperation Agreement</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March 2023, Lucid LLC entered into a joint cooperation agreement with HRDF, a related party of the PIF, which is an affiliate of Ayar. Pursuant to the agreement, Lucid LLC will train and develop local personnel in Saudi Arabia, and HRDF agreed to reimburse the Company training related costs in an aggregate maximum amount of SAR 29.3 million (approximately $7.8 million) during the program.</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received a payment of SAR 8.8 million (approximately $2.3 million) in cash during the year ended December 31, 2023 and recorded $1.8 million of deferred liability within other current liabilities in the consolidated balance sheet as of December 31, 2023. The Company received a payment of SAR 10.9 million (approximately $2.9 million) in cash during the year ended December 31, 2024. The deferred liability was nil as of December 31, 2024 and the Company recorded the remaining deferred liability balance as a deduction to operating expenses in the consolidated statement of operations and comprehensive loss. The Company received a payment of SAR 4.8 million (approximately $1.3 million) in cash during the three months ended March 31, 2025. The deferred liability recorded within other current liabilities in the condensed consolidated balance sheet as of March 31, 2025 was immaterial. The deduction recorded to operating expenses in the condensed consolidated statement of operations and comprehensive loss was not material for the three months ended March 31, 2025 and 2024.</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EV Purchase Agreement</w:t>
      </w:r>
    </w:p>
    <w:p>
      <w:pPr>
        <w:spacing w:after="0" w:line="216"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In August 2023, Lucid LLC entered into the EV Purchase Agreement with the Government of Saudi Arabia, a related party of the PIF, which is an affiliate of Ayar, as represented by the Ministry of Finance. The EV Purchase Agreement supersedes the letter of undertaking that Lucid LLC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any vehicles that Lucid LLC fails to deliver within six months from the date of the applicable purchase order. The Purchaser also has sole and absolute discretion to decide whether to exercise the option to purchase the additional 50,000 vehicles.</w:t>
      </w:r>
    </w:p>
    <w:p>
      <w:pPr>
        <w:spacing w:after="0" w:line="187"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The Company recognized net vehicle sales amount of SAR 19.1 million (approximately $5.1 million) and SAR 192.6 million (approximately $51.4 million) during the three months ended March 31, 2025 and 2024, respectively. The deferred revenue from the vehicle sales was primarily related to OTA and was recorded within other current liabilities and other long-term liabilities in the condensed consolidated balance sheets. As of March 31, 2025 and December 31, 2024, the deferred revenue balance was not material. The Company recorded amounts due from the Purchaser of SAR 201.8 million (approximately $53.8 million) and SAR 217.6 million (approximately $57.9 million) in accounts receivable, net in the condensed consolidated balance sheets as of March 31, 2025 and December 31, 2024, respectively. See “Vehicle Sales without Residual Value Guarantee” section under Note 2 “Summary of Significant Accounting Policies” for the revenue recognition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Implementation Agreement with Aston Martin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June 2023, the Company entered into an agreement (the “Implementation Agreement”) with Aston Martin, a related party of the PIF, which is an affiliate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Ayar, under which the Company and Aston Martin have established a long-term strategic technology and supply arrangement. On November 6,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Implementation Agreement, integration and supply arrangements became effective, under which the Company will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Aston Martin access to its powertrain, battery system, and software technologies, work with Aston Martin to integrate its powertrain and battery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with Aston Martin’s battery electric vehicle chassis, and supply powertrain and battery components to Aston Martin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“Strategic Technology Arrangement”). In connection with the commencement of the Strategic Technology Arrangement, the Company received technology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 fees in 28,352,273 ordinary shares of Aston Martin (subject to a lock-up provision of 365 days from its issuance) and the first cash installment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 million. These shares were initially measured at a fair value of $73.2 million. As of March 31, 2025 and December 31, 2024,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remeasured the shares and recorded fair values of $25.6 million and $37.8 million within investments in equity securities of a related party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 respectively. The Company will receive the remaining cash payments of $99 million phased over a period of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In connection with the Strategic Technology Arrangement, the Company will also receive an aggregate of $10 million for integration service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phased over a period of three years, of which the Company received $5.8 million from inception through March 31, 2025. The Company recorded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of $1.4 million in the condensed consolidated balance sheet as of March 31, 2025. The Company accounts for technology access, integration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and supply arrangement as a single performance obligation and recognizes revenue related to technology access and integration service based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units of delivery under the supply arrangement. As of March 31, 2025 and December 31, 2024, the Company recorded $113.4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$112.7 million as deferred revenue primarily within other long-term liabilities in the condensed consolidated balance sheets, respectively. Aston Martin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committed to an effective minimum spend with the Company on powertrain components of $225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DDTL Credit Facility</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August 2024, the Company entered into a $750.0 million five year DDTL Credit Facility with Ayar, which may be used for working capital and general corporate purposes. See Note 6 “Debt”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 Deposit</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purchases time deposits with GIB from time-to-time. GIB is a related party of the PIF, which is an affiliate of Ayar. As of March 31, 2025 and December 31, 2024, the Company recorded time deposit balance of $15.0 million within short-term investments, and $50.0 million and $20.0 million within other long-term investments in the condensed consolidated balance sheets, respectively. See Note 5 “Fair Value Measurements and Financial Instruments”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REPORTING</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reportable segment, as the CODM reviews financial information presented on a consolidated basis for purposes of making operating decisions, allocating resources, and evaluating financial performance. The Company’s CODM is its Chief Executive Officer. The Company derives segment revenue from the sale of electric vehicles to customers, and the Company’s reported measure of the segment’s profit or loss is the consolidated net loss reported in the condensed consolidated statements of operations and comprehensive loss.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7" w:name="page38"/>
    <w:bookmarkEnd w:id="37"/>
    <w:p>
      <w:pPr>
        <w:ind w:right="220"/>
        <w:spacing w:after="0" w:line="282" w:lineRule="auto"/>
        <w:rPr>
          <w:sz w:val="20"/>
          <w:szCs w:val="20"/>
          <w:color w:val="auto"/>
        </w:rPr>
      </w:pPr>
      <w:r>
        <w:rPr>
          <w:rFonts w:ascii="Times New Roman" w:cs="Times New Roman" w:eastAsia="Times New Roman" w:hAnsi="Times New Roman"/>
          <w:sz w:val="18"/>
          <w:szCs w:val="18"/>
          <w:color w:val="auto"/>
        </w:rPr>
        <w:t>The CODM uses the consolidated net loss for monitoring actual results to assess the Company’s financial performance. The Company’s CODM does not evaluate its reportable segment using asset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disaggregation of the Company’s revenue by geographic area based on the sales location where the sales originated was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7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222,898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114,756</w:t>
            </w:r>
          </w:p>
        </w:tc>
      </w:tr>
      <w:tr>
        <w:trPr>
          <w:trHeight w:val="229"/>
        </w:trPr>
        <w:tc>
          <w:tcPr>
            <w:tcW w:w="8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Middle East</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54,582</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235,048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172,740</w:t>
            </w:r>
          </w:p>
        </w:tc>
      </w:tr>
      <w:tr>
        <w:trPr>
          <w:trHeight w:val="21"/>
        </w:trPr>
        <w:tc>
          <w:tcPr>
            <w:tcW w:w="8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140" w:hanging="132"/>
        <w:spacing w:after="0"/>
        <w:tabs>
          <w:tab w:leader="none" w:pos="14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United States revenue was $218.4 million and $113.9 million for the three months ended March 31, 2025 and 2024, respectively.</w:t>
      </w:r>
    </w:p>
    <w:p>
      <w:pPr>
        <w:ind w:left="140" w:hanging="132"/>
        <w:spacing w:after="0"/>
        <w:tabs>
          <w:tab w:leader="none" w:pos="140"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Kingdom of Saudi Arabia revenue was $7.5 million for the three months ended March 31, 2025. Middle East represented revenue from Kingdom of Saudi Arabia for the three months ended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2024.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included information about reported segment revenue, segment profit or loss, and significant segment expenses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172,740</w:t>
            </w: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 - excluding LCNRV and provision for warranty</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(246,820)</w:t>
            </w:r>
          </w:p>
        </w:tc>
      </w:tr>
      <w:tr>
        <w:trPr>
          <w:trHeight w:val="229"/>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 - LCNRV</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(137,821)</w:t>
            </w:r>
          </w:p>
        </w:tc>
      </w:tr>
      <w:tr>
        <w:trPr>
          <w:trHeight w:val="23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 - provision for warranty</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(20,155)</w:t>
            </w:r>
          </w:p>
        </w:tc>
      </w:tr>
      <w:tr>
        <w:trPr>
          <w:trHeight w:val="230"/>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(284,627)</w:t>
            </w:r>
          </w:p>
        </w:tc>
      </w:tr>
      <w:tr>
        <w:trPr>
          <w:trHeight w:val="229"/>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(213,232)</w:t>
            </w:r>
          </w:p>
        </w:tc>
      </w:tr>
      <w:tr>
        <w:trPr>
          <w:trHeight w:val="230"/>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common stock warrant liability</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27,054</w:t>
            </w:r>
          </w:p>
        </w:tc>
      </w:tr>
      <w:tr>
        <w:trPr>
          <w:trHeight w:val="23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equity securities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(19,933)</w:t>
            </w:r>
          </w:p>
        </w:tc>
      </w:tr>
      <w:tr>
        <w:trPr>
          <w:trHeight w:val="230"/>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liabilities associated with redeemable convertible preferred stock (related party)</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50,631</w:t>
            </w:r>
          </w:p>
        </w:tc>
      </w:tr>
      <w:tr>
        <w:trPr>
          <w:trHeight w:val="229"/>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w:t>
            </w:r>
          </w:p>
        </w:tc>
      </w:tr>
      <w:tr>
        <w:trPr>
          <w:trHeight w:val="23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30"/>
        </w:trPr>
        <w:tc>
          <w:tcPr>
            <w:tcW w:w="8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(366,171)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(680,859)</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(366,171)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(680,859)</w:t>
            </w:r>
          </w:p>
        </w:tc>
      </w:tr>
      <w:tr>
        <w:trPr>
          <w:trHeight w:val="20"/>
        </w:trPr>
        <w:tc>
          <w:tcPr>
            <w:tcW w:w="8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expenses were $98.0 million and $68.8 million for the three months ended March 31, 2025 and 2024,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long-lived assets by geographic area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tcPr>
          <w:p>
            <w:pPr>
              <w:spacing w:after="0"/>
              <w:rPr>
                <w:sz w:val="17"/>
                <w:szCs w:val="17"/>
                <w:color w:val="auto"/>
              </w:rPr>
            </w:pPr>
          </w:p>
        </w:tc>
        <w:tc>
          <w:tcPr>
            <w:tcW w:w="5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3,306,384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3,314,720</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5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246,671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159,778</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long-lived assets</w:t>
            </w:r>
          </w:p>
        </w:tc>
        <w:tc>
          <w:tcPr>
            <w:tcW w:w="5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3,553,055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3,474,498</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jc w:val="right"/>
              <w:ind w:right="289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58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580" w:type="dxa"/>
            <w:vAlign w:val="bottom"/>
            <w:tcBorders>
              <w:bottom w:val="single" w:sz="8" w:color="9A9A9A"/>
            </w:tcBorders>
          </w:tcPr>
          <w:p>
            <w:pPr>
              <w:spacing w:after="0"/>
              <w:rPr>
                <w:sz w:val="11"/>
                <w:szCs w:val="11"/>
                <w:color w:val="auto"/>
              </w:rPr>
            </w:pPr>
          </w:p>
        </w:tc>
        <w:tc>
          <w:tcPr>
            <w:tcW w:w="51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connection with the preparation of the condensed consolidated financial statements for the three months ended March 31, 2025, the Company evaluated subsequent events and concluded there were no subsequent events that required recognition in the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2030 Notes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April 8, 2025, the Company issued $1.10 billion aggregate principal amount of 5.00% convertible senior notes due in April 2030 in a private offering. The net proceeds from the offering were approximately $1.08 billion, after deducting debt issuance costs. In connection with the 2030 Notes offering, the Company paid approximately $118.3 million to enter into privately negotiated capped call transactions with certain financial institutions to increase the effective conversion premium to $4.80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of 2026 Notes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Contemporaneously with the 2030 Notes offering, the Company entered into privately negotiated transactions with certain holders of the 2026 Notes to repurchase approximately $1,052.5 million aggregate principal amount of the 2026 Notes, using approximately $935.6 million of the net proceeds of the 2030 Notes.</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(the “Quarterly Report”) and our Annual Report on Form 10-K for the year ended December 31, 2024, filed with the SEC on February 25, 2025. This discussion may contain forward-looking statements based upon Lucid’s current expectation, estimates and projections that involve risks and uncertainties. Our actual results could differ materially from those anticipated in these forward-looking statements as a result of various factors, including those set forth under “Risk Factors”, in Part II, Item 1A of this Quarterly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a technology company with a mission to advance the state-of-the-art of EV technology for the benefit of all. We are setting new standards with the world’s most advanced EVs, the award-winning Lucid Air and all-new Lucid Gravity. Our focus on in-house hardware and software innovation, vertical integration, and a “clean sheet” approach to engineering and design led to the development of the award-winning Lucid Air and Lucid Gravity.</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sell vehicles directly to consumers through our retail sales network and through direct online sales, including utilizing Lucid Financial Services. We believe that owning and operating our sales network provides an opportunity to closely manage the customer experience, gather direct customer feedback, and ensure that customer interactions are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in some cases as repair hubs for our mobile service offerings.</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began delivering the Lucid Air to customers in October 2021. We have leveraged and expanded the technological advancements from the Lucid Air to the Lucid Gravity, which offers an unprecedented combination of performance, interior space, and efficiency, and started commercial production in December 2024. Beyond the Lucid Air and the Lucid Gravity, we plan to expand our vehicle lineup with the upcoming Midsize platform, which is scheduled for start of production in late 2026. Introducing a new vehicle is challenging and complex, particularly at our accelerated pace, and we are leveraging insights gained from our Lucid Air and Lucid Gravity production ramps while planning for our Midsize production. The highly uncertain macroeconomic environment and swift-moving trade policies further complicate these efforts. We are diligently working to optimize our supply chain and manufacturing plans for our Midsize platform in response.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2030 Notes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April 8, 2025, we issued $1.10 billion aggregate principal amount of 5.00% convertible senior notes due in April 2030 (the “2030 Notes”) in a private offering. The net proceeds from the offering were approximately $1.08 billion, after deducting debt issuance costs. In connection with the 2030 Notes offering, we paid approximately $118.3 million to enter into privately negotiated capped call transactions with certain financial institutions to increase the effective conversion premium to $4.80 per share.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of 2026 Notes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Contemporaneously with the 2030 Notes offering, we entered into privately negotiated transactions with certain holders of the 2026 Notes to repurchase approximately $1,052.5 million aggregate principal amount of our 1.25% convertible senior notes due 2026 (the “2026 notes”), using approximately $935.6 million of the net proceeds of the 2030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Acquisition</w:t>
      </w:r>
    </w:p>
    <w:p>
      <w:pPr>
        <w:spacing w:after="0" w:line="21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April 2025, we reached an agreement and acquired select facilities and assets in Arizona previously belonging to Nikola Corporation. Additionally, we completed extending employment offers to more than 300 former Nikola employees in roles across our Arizona facilities. This acquisition is expected to expand our manufacturing footprint and support scaling of our EV production capabilities.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Potential Impact of an Economic Downturn or Adverse Economic Conditions on our Business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 global economic recession, downturn or other adverse economic conditions, whether due to changes or uncertainties in trade policies, the imposition or proposed imposition of tariffs, threat of trade war, persistent inflation, global conflicts or other geopolitical events, public health crises, interest rate increases or other policy actions by major central banks, government closures of banks and liquidity concerns at other financial institutions, or other factors, may have an adverse impact on our business, prospects, financial condition and results of operations. Adverse economic conditions as well as uncertainty about current and future domestic and global economic conditions may cause our customers to defer purchases or cancel their orders in response to higher interest rates, limited availability of consumer credit, decreased cash availability, fluctuations in foreign currency exchange rates, and weakened consumer confidence. Reduced demand for our products may result in significant decreases in our product sales, which in turn would have a material adverse impact on our business, prospects, financial condition and results of operations. Due to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 economic recession, downturn or other adverse economic conditions, as well as uncertainties surrounding domestic and foreign tariffs, could also cause supply chain or logistical challenges and uncertainties and other operational risks if any of our suppliers, sub-suppliers or partners become insolvent or are otherwise unable to continue their operations, fulfill their obligations to us, or meet our future demand. In addition, the deterioration of conditions in global credit markets may limit our ability to obtain external financing to fund our operations and capital expenditures on terms favorable to us, if at all. See “Risk Factors” in Part II, Item 1A of this Quarterly Report for more information regarding risks associated with a global economic downturn or recession, changes or uncertainties in trade policies, or the imposition or proposed imposition of tariffs, including under the captions </w:t>
      </w:r>
      <w:r>
        <w:rPr>
          <w:rFonts w:ascii="Times New Roman" w:cs="Times New Roman" w:eastAsia="Times New Roman" w:hAnsi="Times New Roman"/>
          <w:sz w:val="18"/>
          <w:szCs w:val="18"/>
          <w:i w:val="1"/>
          <w:iCs w:val="1"/>
          <w:color w:val="auto"/>
        </w:rPr>
        <w:t>“A global economic recession,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closures of banks and liquidity concerns at other financial institutions, or other downturn may have a material adverse impact on our business, prospects, results of operations and financial condition.” and “Changes in U.S. trade policy, including the imposition of or uncertainties surrounding tariffs or revocation of normal trade relations and the resulting consequences, could adversely affect our business, prospects,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believe that our future success and financial performance depend on a number of factors that present significant opportunities for our business, but also pose risks and challenges, including those discussed below and in the section entitled “Risk Factors” in Part II, Item 1A of this Quarterly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and Technology Leadership</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believe that we are positioned to be a leader in the electric vehicle market by unlocking the potential for advanced, high-performance, and long-range electric vehicles to co-exist. We design the Lucid Air and the Lucid Gravity with race-proven battery and powertrain technologies, offering robust performance together with a sleek exterior design and expansive interior space due to our miniaturized key drivetrain components. The Lucid Gravity is a groundbreaking new class of SUV, conceived from the ground up. Enabled by our revolutionary technology, the Lucid Gravity provides the interior space and practicality of a full-size SUV within the exterior footprint of a mid-size SUV. As a result, it provides a sophisticated space for up to seven adults, game-changing versatility, and an unparalleled driving experience.</w:t>
      </w:r>
    </w:p>
    <w:p>
      <w:pPr>
        <w:spacing w:after="0" w:line="18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Lucid Air and the Lucid Gravity are true software-defined vehicles, designed to improve over time, with OTA software updates and key hardware already in place in the vehicle. This holistic systems approach to the integration of hardware and software is what allows us to provide these value-add updates and is what sets us apart in the automotive industry.</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Lucid Gravity is designed to share components with the Lucid Air where possible, and we continue to evaluate opportunities to apply components developed for the Lucid Gravity to the Lucid Air, further expanding the number of common parts while also enhancing the customer experience in the Lucid Air. We anticipate that all of these measures will enable efficiency in design, engineering, and capital expenditure deployment for the Lucid Gravity. We anticipate continued consumer demand for the Lucid Air based on its luxurious design, high-performance technology, sustainability leadership, and the growing acceptance of and demand for electric vehicles as substitutes for gasoline-fueled vehicles. We also expect that these attributes will drive customer demand for the Lucid Gravity, and our future models, including our upcoming Midsize platform.</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Direct-to-Consumer Model</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operate a direct-to-consumer sales and service model, which we believe allows us to offer a personalized experience for our customers based on their purchase and ownership preferences. We expect to continue to incur significant expenses in our sales, service and marketing operations for sales of the Lucid Air, the Lucid Gravity, and other electric vehicles that we may offer over the coming decade, including to open additional studios, expand our sales force, grow marketing and brand awareness, and establish a robust service center operation. As of March 31, 2025, we have opened 57 studios and service centers (excluding temporary and satellite service centers): 37 in the United States (12 in California, four in each of Florida and New York, two in each of Arizona, Illinois, Massachusetts, Texas, Virginia and Washington, and one in each of Colorado, Georgia, Michigan, New Jersey and Pennsylvania), five in Canada, seven in Germany, two in Switzerland, one in Netherlands, one in Norway, three in Saudi Arabia, and one in the United Arab Emirates. We also plan to hire additional sales, customer service, and service center personnel. We believe that investing in our direct-to-consumer sales and service model will be critical to delivering and servicing the Lucid electric vehicles we manufacture and sell.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and Improving Manufacturing Capacity and Processes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Achieving commercialization and growth for each generation of our electric vehicles requires us to make significant capital expenditures to scale our production capacity and improve our supply chain processes in the United States and internationally. We expect our capital expenditures to increase as we continue constructing the completely-built-up (“CBU”) portion of AMP-2 and expanding AMP-1.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meet customer demand at anticipated levels, our ability to utilize planned capacity in our existing facilities and our ability to enter new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Innovation</w:t>
      </w:r>
    </w:p>
    <w:p>
      <w:pPr>
        <w:spacing w:after="0" w:line="2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We develop in-house battery, powertrain, and software technology, which requires significant capital investment in research and development. The electric vehicle market is highly competitive, including both established automotive manufacturers and new entrants. To establish market position and attract customers, we plan to continue making substantial investments in research and development for the commercialization and continued enhancements of the Lucid Air and the Lucid Gravity, the development of our Midsize platform, as well as future generations of our electric vehicles and other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periods presented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235,048</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172,740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62,308</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recognize revenue from vehicle sales when the customer obtains control of the vehicle, which is upon delivery. We also generate revenue from non-warranty after-sales vehicle services and parts, sales of battery pack systems, powertrain kits, retail merchandise, and regulatory credits. We generate regulatory credits revenue from the sale of tradable credits we earn under various regulations. This include credits related to zero emission vehicles and greenhouse gas, and the Corporate Average Fuel Economy credits.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Revenue increased by $62.3 million or 36% for the three months ended March 31, 2025, as compared to the same period in the prior year. The increase was primarily driven by an increase of $26.1 million in regulatory credit sales and higher delivery volume of the Lucid Air vehicles, partially offset by a lower average selling price of vehicles for the three months ended March 31, 2025, as compared to the same period in the prior year.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cost of revenue for the periods presented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8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463,560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404,796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58,764</w:t>
            </w: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(228,512)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(232,056)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3,544</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 Cost of vehicle sales also includes depreciation of operating lease vehicles. Manufacturing credits earned are recorded as a reduction to cost of vehicle sales.</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Cost of other revenue includes direct parts, material and labor costs, manufacturing overhead, including depreciation of tooling costs, shipping and logistic costs. Cost of other revenue also includes costs associated with providing non-warranty after-sales services and costs for retail merchandise.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Cost of revenue increased by $58.8 million or 15% for the three months ended March 31, 2025, as compared to the same period in the prior year, primarily due to higher delivery volume of the Lucid Air vehicles and an increase in inventory write-downs including losses from firm purchase commitments, partially offset by lower material cost. We expect the ramping of our production volumes to positively impact our cost per vehicle in fiscal year 2025. In the near term, we expect our production volume of vehicles to continue to be less than our manufacturing capacity.</w:t>
      </w:r>
    </w:p>
    <w:p>
      <w:pPr>
        <w:spacing w:after="0" w:line="20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We recorded write-downs of $151.6 million and $137.8 million for the three months ended March 31, 2025 and 2024, respectively, to reduce our inventories to their net realizable values, for any excess or obsolete inventories, and losses from firm purchase commitments. The increase in the write-downs was primarily due to higher inventory and firm purchase commitments in anticipation of the Lucid Gravity production ramp-up for the three months ended March 31, 2025, compared to the same period in the prior year. While the final scope and application of recently announced changes in trade policy remain uncertain at this time, higher tariffs on imports and subsequent retaliatory tariffs could adversely impact our financial results. We expect inventory write-downs could negatively affect our costs of vehicle sales in upcoming periods in the near term as we ramp production volumes up toward our manufacturing capacity.</w:t>
      </w:r>
    </w:p>
    <w:p>
      <w:pPr>
        <w:spacing w:after="0" w:line="1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“IRA”) was enacted with clean energy incentives. For the three months ended March 31, 2025 and 2024, the impact of the IRA on our results of operations was not material. We will continue to evaluate the expected future impact of the IRA on our business and financial statements upon issuance of additional regulatory guidance.</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Gross margin improved to (97.2)% for the three months ended March 31, 2025, as compared to (134.3)% for the same period in the prior year, primarily driven by an increase in regulatory credit sales and our continuous effort to improve the gross margin, partially offset by an increase in inventory write-downs and losses from firm purchase commitments and a lower average selling price of vehicles.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periods presented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30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251,246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(33,381)</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212,175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213,232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7"/>
        </w:trPr>
        <w:tc>
          <w:tcPr>
            <w:tcW w:w="6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463,421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497,859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(34,438)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research and development efforts have primarily focused on the development of our battery and powertrain technology, the Lucid Air, the Lucid Gravity, and future generations of our electric vehicles, including our Midsize platform. Research and development expenses primarily consist of materials, supplies and personnel-related expenses for employees involved in the engineering, designing, and testing of electric vehicles. Personnel-related expenses primarily include salaries, benefits and stock-based compensation. In addition, research and development expenses include prototype material, engineering, design and testing services, and allocated facilities costs, such as office and rent expense and depreciation expense.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decreased by $33.4 million, or 12% for the three months ended March 31, 2025, as compared to the same period in the prior year. The decrease was primarily attributable to a decrease of $41.3 million in engineering, design and testing services, and prototype materials related to the Lucid Gravity, partially offset by an increase of $10.8 million in payroll related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sales and marketing expenses and other general corporate expenses. As we continue to grow as a company, build out our sales force, and commercialize the Lucid Air and Lucid Gravity, and future generations of our electric vehicles, including our Midsize platform, we expect that our selling, general and administrative costs will increase.</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remained relatively flat for the three months ended March 31, 2025, as compared to the same period in the prior year. The change was primarily attributable to a reversal of $35.4 million related to previously recognized stock-based compensation expenses for the former-CEO’s unvested time-based RSUs, which was largely offset by increases of $13.5 million in payroll related expenses, $11.9 million in allocated facilities costs, $3.5 million in sales and marketing expenses, and $3.0 million in other general corporate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other income (expense), net for the periods presented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30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common stock warrant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27,054</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9"/>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equity securities of a related party</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62"/>
        </w:trPr>
        <w:tc>
          <w:tcPr>
            <w:tcW w:w="62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 in fair value of derivative liabilities associated with redeemable convertible</w:t>
            </w: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281,700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281,700</w:t>
            </w:r>
          </w:p>
        </w:tc>
        <w:tc>
          <w:tcPr>
            <w:tcW w:w="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13"/>
        </w:trPr>
        <w:tc>
          <w:tcPr>
            <w:tcW w:w="6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(related party)</w:t>
            </w:r>
          </w:p>
        </w:tc>
        <w:tc>
          <w:tcPr>
            <w:tcW w:w="1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13"/>
        </w:trPr>
        <w:tc>
          <w:tcPr>
            <w:tcW w:w="6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11"/>
        </w:trPr>
        <w:tc>
          <w:tcPr>
            <w:tcW w:w="6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324,399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49,244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275,155</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*nm </w:t>
      </w:r>
      <w:r>
        <w:rPr>
          <w:rFonts w:ascii="Times New Roman" w:cs="Times New Roman" w:eastAsia="Times New Roman" w:hAnsi="Times New Roman"/>
          <w:sz w:val="14"/>
          <w:szCs w:val="14"/>
          <w:color w:val="auto"/>
        </w:rPr>
        <w:t>- not meaningful</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Change in Fair Value of Common Stock Warrant Liability</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Our common stock warrant liability relates to the privately placed common stock warrants (the “Private Placement Warrants”) to purchase shares of our common stock that were effectively issued upon the closing in connection with the merger. Our common stock warrant liability is subject to remeasurement to fair value at each reporting period.</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Private Placement Warrants remained unexercised as of March 31, 2025. The liability was remeasured to a fair value of $6.7 million and $19.5 million as of March 31, 2025 and December 31, 2024, respectively. The change in fair value resulted in unrealized gains of $12.9 million and $27.1 million for the three months ended March 31, 2025 and 2024, respectively. The change in fair value was classified within change in fair value of common stock warrant liability in the condensed consolidated statements of operations and comprehensive loss. See Note 7 “Common Stock Warrant Liability” to our condensed consolidated financial statements included elsewhere in this Quarterly Report for more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Equity Securities of a Related Party</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electric vehicle chassis, and supply powertrain and battery components to Aston Martin (collectively, the “Strategic Technology Arrangement”). In connection with the commencement of the Strategic Technology Arrangement with Aston Martin, we received 28,352,273 ordinary shares of Aston Martin (subject to a lock-up provision of 365 days from its issuance). The ordinary shares of Aston Martin are subject to remeasurement to fair value at each reporting period. Such shares were remeasured to a fair value of $25.6 million and $37.8 million as of March 31, 2025 and December 31, 2024, respectively. The change in fair value resulted in unrealized losses of $13.5 million and $19.9 million for the three months ended March 31, 2025 and 2024, respectively, and was classified within change in fair value of equity securities of a related party in the condensed consolidated statements of operations and comprehensive loss. See Note 5 “Fair Value Measurements and Financial Instruments” and Note 16 “Related Party Transactions” to our condensed consolidated financial statements included elsewhere in this Quarterly Report for more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Liabilities Associated with Redeemable Convertible Preferred Stock (Related Party)</w:t>
      </w:r>
    </w:p>
    <w:p>
      <w:pPr>
        <w:spacing w:after="0" w:line="241"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In March 2024, we entered into a subscription agreement (the “Series A Subscription Agreement”) with Ayar Third Investment Company, the controlling stockholder of the Company (“Ayar”). Pursuant to the Series A Subscription Agreement, Ayar agreed to purchase from us 100,000 shares of our Series A convertible preferred stock, par value $0.0001 per share (the “Series A Redeemable Convertible Preferred Stock”) for an aggregate purchase price of $1.0 billion in a private placement. Subsequently, in March 2024, we issued the shares to Ayar pursuant to the Series A Subscription Agreement and received aggregate net proceeds of $997.6 million after deducting issuance costs of $2.4 million.</w:t>
      </w:r>
    </w:p>
    <w:p>
      <w:pPr>
        <w:spacing w:after="0" w:line="185"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In August 2024, we entered into a subscription agreement (the “Series B Subscription Agreement”) with Ayar. Pursuant to the Series B Subscription Agreement, Ayar agreed to purchase from us 75,000 shares of our Series B convertible preferred stock, par value $0.0001 per share (the “Series B Redeemable Convertible Preferred Stock”), for an aggregate purchase price of $750.0 million in a private placement. Subsequently, in August 2024, we issued the shares to Ayar pursuant to the Series B Subscription Agreement and received aggregate net proceeds of $749.4 million after deducting issuance costs of $0.6 million.</w:t>
      </w:r>
    </w:p>
    <w:p>
      <w:pPr>
        <w:spacing w:after="0" w:line="184"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We concluded that the conversion features, inclusive of all settlement outcomes where the pay-off is indexed to the if-converted value, meets all the requirements to be separately accounted for as a bifurcated derivative. As a result, we bifurcated the Series A Redeemable Convertible Preferred Stock and Series B Redeemable Convertible Preferred Stock (the “Redeemable Convertible Preferred Stock”) between (i) the host contracts which are accounted for within mezzanine equity, and (ii) the bifurcated derivative liabilities related to the conversion features. The bifurcated derivatives are remeasured to fair value at each reporting period with changes in fair value recorded in the condensed consolidated statement of operations and comprehensive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 liabilities of the Redeemable Convertible Preferred Stock were remeasured to a fair value of $357.7 million and $639.4 million as of</w:t>
      </w:r>
    </w:p>
    <w:p>
      <w:pPr>
        <w:spacing w:after="0" w:line="1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March 31, 2025 and December 31, 2024, respectively. We recognized a gain of $281.7 million for the three months ended March 31, 2025, primarily driven by a decrease in our stock price, within change in fair value of derivative liabilities associated with redeemable convertible preferred stock (related party) in the condensed consolidated statements of operations and comprehensive loss. See Note 8 “Redeemable Convertible Preferred Stock” to our condensed consolidated financial statements included elsewhere in this Quarterly Report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Interest income increased by $1.6 million, or 3% for the three months ended March 31, 2025, as compared to the same period in the prior year, primarily due to higher average balances and higher interest rates on our available-for-sale securities.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 xml:space="preserve">Interest expense primarily consists of contractual interest and amortization of debt discounts and debt issuance costs incurred related to the 2026 Notes issued in December 2021, commitment fees and amortization of deferred issuance costs from the five-year senior secured asset-based revolving credit facility (“ABL Credit Facility”) and the five-year unsecured delayed draw term loan credit facility (the “DDTL Credit Facility”), interest on borrowings from the committed revolving credit facility with </w:t>
      </w:r>
      <w:r>
        <w:rPr>
          <w:rFonts w:ascii="Times New Roman" w:cs="Times New Roman" w:eastAsia="Times New Roman" w:hAnsi="Times New Roman"/>
          <w:sz w:val="18"/>
          <w:szCs w:val="18"/>
          <w:color w:val="231F20"/>
        </w:rPr>
        <w:t>Gulf International Bank</w:t>
      </w:r>
      <w:r>
        <w:rPr>
          <w:rFonts w:ascii="Times New Roman" w:cs="Times New Roman" w:eastAsia="Times New Roman" w:hAnsi="Times New Roman"/>
          <w:sz w:val="18"/>
          <w:szCs w:val="18"/>
          <w:color w:val="auto"/>
        </w:rPr>
        <w:t xml:space="preserve"> (the “2025 GIB Credit Facility”) and on our finance leases, and capitalized interest on construction in progress related to significant capital asset construction.</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expense increased by $4.4 million, or 58% for the three months ended March 31, 2025, as compared to the same period in the prior year. The increase was primarily due to higher interest expense of $2.1 million from the GIB credit facility resulting from higher average borrowings and commitment fees related to the DDTL Credit Facility, and a decrease of $2.4 million in interest capitalized on construction in progress related to significant capital asset construction during the three months ended March 31, 2025, respectively, as compared to the same period in the prior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Other income (expense), net primarily consists of foreign currency gains and losses. Our foreign currency exchange gains and losses relate to transactions and monetary asset and liability balances denominated in currencies other than the U.S. dollar. We expect our foreign currency gains and losses to continue to fluctuate in the future due to changes in foreign currency exchange rates.</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Other income (expense), net increased by $4.0 million for the three months ended March 31, 2025, as compared to the same period in the prior year, primarily due to changes in foreign exchange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provision for (benefit from) income taxes for the periods presented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*nm </w:t>
      </w:r>
      <w:r>
        <w:rPr>
          <w:rFonts w:ascii="Times New Roman" w:cs="Times New Roman" w:eastAsia="Times New Roman" w:hAnsi="Times New Roman"/>
          <w:sz w:val="14"/>
          <w:szCs w:val="14"/>
          <w:color w:val="auto"/>
        </w:rPr>
        <w:t>- not meaningful</w:t>
      </w:r>
    </w:p>
    <w:p>
      <w:pPr>
        <w:spacing w:after="0" w:line="22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provision for (benefit from) income taxes consists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March 31, 2025, we had $4,532.5 million of cash, cash equivalents and investments and $25.6 million of investment in equity securities of a related party. We also had $750.0 million, $140.1 million, and $312.8 million of unused available credit amounts from the DDTL Credit Facility, the ABL Credit Facility, and the 2025 GIB Credit Facility, respectively, as of March 31, 2025. Our existing sources of liquidity include cash, cash equivalents, investments, and credit facilities. We funded operations primarily with issuances of common stock, convertible preferred stock and convertible notes.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expect that our current sources of liquidity together with our projection of cash flows from operating activities will provide us with adequate liquidity for at least the next 12 months, including investment in funding (i) ongoing operations, (ii) research and development projects for new products/ technologies, (iii) further construction of AMP-1 phase 2 in Casa Grande, Arizona, (iv) construction of the CBU portion of AMP-2 in Saudi Arabia, (v) vendor tooling, (vi) expansion of retail studios and service centers, and (vii) other initiatives related to the sale of vehicles and/or technology.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46" w:name="page47"/>
    <w:bookmarkEnd w:id="46"/>
    <w:p>
      <w:pPr>
        <w:ind w:right="80"/>
        <w:spacing w:after="0" w:line="254" w:lineRule="auto"/>
        <w:rPr>
          <w:sz w:val="20"/>
          <w:szCs w:val="20"/>
          <w:color w:val="auto"/>
        </w:rPr>
      </w:pPr>
      <w:r>
        <w:rPr>
          <w:rFonts w:ascii="Times New Roman" w:cs="Times New Roman" w:eastAsia="Times New Roman" w:hAnsi="Times New Roman"/>
          <w:sz w:val="18"/>
          <w:szCs w:val="18"/>
          <w:color w:val="auto"/>
        </w:rPr>
        <w:t>We anticipate our cumulative spending on capital expenditures to be approximately $1.4 billion for the fiscal year 2025 to support our continued commercialization and growth objectives as we strategically invest in manufacturing capacity and capabilities, our retail studios and service center capabilities throughout North America and across the globe, development of different products and technologies, and other areas supporting the growth of Lucid’s business. We expect to continue to receive financing and support for certain capital expenditures in connection with AMP-2 construction and purchases of machinery, tooling, and equipment. Refer to Note 6 “Debt” and Note 16 “Related Party Transactions” to the condensed consolidated financial statements included elsewhere in this Quarterly Report for more information. Our future capital expenditures may vary and will depend on many factors including the timing and extent of spending and other growth initiatives. In addition, we expect our operating expenses to increase in order to grow and support the operations of a global technology automotive company targeting volumes in line with Lucid’s aspirations.</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March 31, 2025, our total minimum lease payments are $486.0 million, of which $57.3 million is due in fiscal year 2025. We also have non-cancellable long-term commitments of approximately $2.6 billion, primarily relating to certain inventory component purchases. For details regarding these obligations, refer to Note 11 “Leases” and Note 12 “Commitments and Contingencies” to the condensed consolidated financial statements included elsewhere in this Quarterly Report for more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December 2021, we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elect at any time to convert their Notes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18.2548 shares of common stock per $1,000 principal amount of Notes, which represents an initial conversion price of approximately $54.78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As of March 31, 2025 and December 31, 2024, we were in compliance with applicable covenants under the indenture governing the 2026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April 8, 2025, we issued $1.10 billion aggregate principal amount of 5.00% convertible senior notes due in April 2030 in a private offering. The net proceeds from the offering were approximately $1.08 billion, after deducting debt issuance costs. In connection with the 2030 Notes offering, we paid approximately $118.3 million to enter into privately negotiated capped call transactions with certain financial institutions to increase the effective conversion premium to $4.80 per share.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2026 Notes</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Contemporaneously with the 2030 Notes offering, we entered into privately negotiated transactions with certain holders of the 2026 Notes to repurchase approximately $1,052.5 million aggregate principal amount of the 2026 Notes, using approximately $935.6 million of the net proceeds of the 2030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Manufacturing Expansion</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February 27, 2022, we announced the selection of King Abdullah Economic City (“KAEC”) in Saudi Arabia as the location of our first international manufacturing plant and signed related agreements with the Ministry of Investment of Saudi Arabia, the Saudi Industrial Development Fund, and the Economic City at KAEC. We started the AMP-2 operations with re-assembly of the Lucid Air vehicle “kits” pre-manufactured in the U.S. and, over time, will commence production of complete vehicles.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Saudi Industrial Development Fund (“SIDF”) Loan Agreement</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February 27, 2022, Lucid LLC, a limited liability company established in Saudi Arabia and our subsidiary (“Lucid LLC”) entered into a loan agreement (as subsequently amended, the “SIDF Loan Agreement”) with SIDF, a related party of the Public Investment Fund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us or any of our other subsidiaries.</w:t>
      </w:r>
    </w:p>
    <w:p>
      <w:pPr>
        <w:sectPr>
          <w:pgSz w:w="11900" w:h="16838" w:orient="portrait"/>
          <w:cols w:equalWidth="0" w:num="1">
            <w:col w:w="11240"/>
          </w:cols>
          <w:pgMar w:left="320" w:top="985"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47" w:name="page48"/>
    <w:bookmarkEnd w:id="47"/>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SIDF Loans will not bear interest. Instead, Lucid LLC will be required to pay SIDF service fees, consisting of follow-up and technical evaluation fees, ranging, in aggregate, from SAR 415 million (approximately $110.6 million) to SAR 1.77 billion (approximately $471.9 million), over the term of the SIDF Loans. SIDF Loans will be secured by security interests in the equipment, machines and assets funded thereby.</w:t>
      </w:r>
    </w:p>
    <w:p>
      <w:pPr>
        <w:spacing w:after="0" w:line="17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March 31, 2025 and December 31, 2024, no amount was outstanding under the SIDF Loan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Ministry of Investment of Saudi Arabia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MISA”) Agreements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February 2022, Lucid LLC entered into agreements with MISA, a related party of the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Pursuant to the agreements, MISA has the right to require Lucid LLC to transfer the ownership of AMP-2 to MISA, at the fair market value thereof, reduced by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we received support of SAR 366 million (approximately $97.5 million) in cash, of which $62.5 million was recorded as deferred liability within other long-term liabilities and $35.0 million was recorded as a deduction in calculating the carrying amount of the related assets in the consolidated balance sheet as of December 31, 2023. As of December 31, 2024, we recorded $97.5 million as a deduction in calculating the carrying amount of the related assets in the condensed consolidated balance sheet. During the three months ended March 31, 2025, there were no further deductions to the carrying value of the related assets in the condensed consolidated balance sheet. There were no unfulfilled conditions and contingencies attached to the payments received.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42424"/>
        </w:rPr>
        <w:t>GIB Facility Agreement</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April 29, 2022, Lucid LLC entered into a revolving credit facility agreement (the “GIB Facility Agreement”) with GIB, maturing on February 28, 2025. GIB is a related party of the PIF, which is an affiliate of Ayar. The GIB Facility Agreement provided for two committed revolving credit facilities in an aggregate principal amount of SAR 1.0 billion (approximately $266.1 million). SAR 650 million (approximately $173.0 million) under the GIB Facility Agreement was available as bridge financing (the “Bridge Facility”) of Lucid LLC’s capital expenditures in connection with AMP-2. The remaining SAR 350 million (approximately $93.1 million) might be used for general corporate purposes (the “Working Capital Facility”). Loans under the Bridge Facility and the Working Capital Facility had a maturity of no more than 12 months. The Bridge Facility incurred interest at a rate of 1.25% per annum over 3-month SAIBOR and the Working Capital Facility incurred interest at a rate of 1.70% per annum over 1~3-month SAIBOR and associated fees.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12, 2023, Lucid LLC entered into an amendment of the GIB Facility Agreement (together with the GIB Facility Agreement, the “2023 Amended GIB Facility Agreement”) to combine the Bridge Facility and the Working Capital Facility into a committed SAR 1.0 billion (approximately</w:t>
      </w:r>
    </w:p>
    <w:p>
      <w:pPr>
        <w:ind w:right="80"/>
        <w:spacing w:after="0" w:line="253" w:lineRule="auto"/>
        <w:rPr>
          <w:sz w:val="20"/>
          <w:szCs w:val="20"/>
          <w:color w:val="auto"/>
        </w:rPr>
      </w:pPr>
      <w:r>
        <w:rPr>
          <w:rFonts w:ascii="Times New Roman" w:cs="Times New Roman" w:eastAsia="Times New Roman" w:hAnsi="Times New Roman"/>
          <w:sz w:val="18"/>
          <w:szCs w:val="18"/>
          <w:color w:val="auto"/>
        </w:rPr>
        <w:t>$266.1 million) revolving credit facility (the “2023 GIB Credit Facility”) which may be used for general corporate purposes. Loans under the 2023 Amended GIB Credit Facility Agreement had a maturity of no more than 12 months and bore interest at a rate of 1.40% per annum over SAIBOR (based on the term of borrowing) and associated fees. Under the 2023 Amended GIB Credit Facility Agreement, we were required to pay a quarterly commitment fee of 0.15% per annum based on the unutilized portion of the 2023 GIB Credit Facility.</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February 24, 2025, Lucid LLC entered into an agreement to renew the 2023 GIB Credit Facility (the “2025 GIB Credit Facility”) maturing on February 24, 2028 to increase the credit facility committed amount from SAR 1.0 billion (approximately $266.1 million) to SAR 1.9 billion (approximately $506.5 million). Loans under the 2025 GIB Credit Facility may be used for general corporate purposes, have a maturity of no more than 12 months, and bear interest at a rate of 1.40% per annum over SAIBOR (based on the term of borrowing) and associated fees. We are required to pay a quarterly commitment fee of 0.25% per annum based on the unutilized portion of the 2025 GIB Credit Facility. Commitments under the 2025 GIB Credit Facility will terminate, and all amounts then outstanding thereunder would become payable, on the maturity date of the 2025 GIB Credit Facility.</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2025 GIB Credit Facility contains certain conditions precedent to drawdowns, representations and warranties and covenants of Lucid LLC and events of default.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8" w:name="page49"/>
    <w:bookmarkEnd w:id="48"/>
    <w:p>
      <w:pPr>
        <w:ind w:right="180"/>
        <w:spacing w:after="0" w:line="256" w:lineRule="auto"/>
        <w:rPr>
          <w:sz w:val="20"/>
          <w:szCs w:val="20"/>
          <w:color w:val="auto"/>
        </w:rPr>
      </w:pPr>
      <w:r>
        <w:rPr>
          <w:rFonts w:ascii="Times New Roman" w:cs="Times New Roman" w:eastAsia="Times New Roman" w:hAnsi="Times New Roman"/>
          <w:sz w:val="18"/>
          <w:szCs w:val="18"/>
          <w:color w:val="auto"/>
        </w:rPr>
        <w:t>As of March 31, 2025 and December 31, 2024, we had outstanding borrowings of SAR 725 million (approximately $193.3 million) and SAR 475 million (approximately $126.4 million), respectively. The outstanding borrowings were recorded within other current liabilities in the condensed consolidated balance sheets. The weighted average interest rate on the outstanding borrowings was 6.84% and 7.04% as of March 31, 2025 and December 31, 2024, respectively. As of March 31, 2025 and December 31, 2024, availability under the GIB credit facility was SAR 1,174 million (approximately $312.8 million) and SAR 523 million (approximately $139.2 million), respectively, after giving effect to the outstanding letters of credit. As of March 31, 2025 and December 31, 2024, we were in compliance with applicable covenants under the GIB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Credit Facility</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June 2022, we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w:t>
      </w:r>
      <w:r>
        <w:rPr>
          <w:rFonts w:ascii="Times New Roman" w:cs="Times New Roman" w:eastAsia="Times New Roman" w:hAnsi="Times New Roman"/>
          <w:sz w:val="18"/>
          <w:szCs w:val="18"/>
          <w:color w:val="242424"/>
        </w:rPr>
        <w:t>In June 2024, we amended the ABL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Facility to update the Canadian reference rate. </w:t>
      </w:r>
      <w:r>
        <w:rPr>
          <w:rFonts w:ascii="Times New Roman" w:cs="Times New Roman" w:eastAsia="Times New Roman" w:hAnsi="Times New Roman"/>
          <w:sz w:val="18"/>
          <w:szCs w:val="18"/>
          <w:color w:val="000000"/>
        </w:rPr>
        <w:t>Availability under the ABL Credit Facility is subject to the value of eligible assets in the borrowing base and</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is reduced by outstanding loan borrowings and issuances of letters of credit which bear customary letter of credit fees. Subject to certain terms and conditions, we may request one or more increases in the amount of credit commitments under the ABL Credit Facility in an aggregate amount up to the sum of $500.0 million plus certain other amounts. We are required to pay a quarterly commitment fee of 0.25% per annum based on the unutilized portion of the ABL Credit Facility.</w:t>
      </w:r>
    </w:p>
    <w:p>
      <w:pPr>
        <w:spacing w:after="0" w:line="18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ABL Credit Facility contains customary covenants that limit our ability and our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our option following satisfaction of certain pre-conditions, may be replaced with a springing, minimum fixed charge coverage ratio financial covenant, in each case on terms set forth in the credit agreement governing the ABL Credit Facility. As of March 31, 2025 and December 31, 2024, we were in compliance with applicable covenants under the ABL Credit Facility.</w:t>
      </w:r>
    </w:p>
    <w:p>
      <w:pPr>
        <w:spacing w:after="0" w:line="187"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we had no outstanding borrowings under the ABL Credit Facility. Outstanding letters of credit under the ABL Credit Facility were $58.3 million and $56.9 million as of March 31, 2025 and December 31, 2024, respectively. Availability under the ABL Credit Facility was $333.2 million (including $193.1 million cash and cash equivalents) and $354.9 million (including $191.1 million cash and cash equivalents) as of March 31, 2025 and December 31, 2024, respectively, after giving effect to the borrowing base and the outstanding letters of credit.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DDTL Credit Facility</w:t>
      </w:r>
    </w:p>
    <w:p>
      <w:pPr>
        <w:spacing w:after="0" w:line="227"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In August 2024, we entered into the DDTL Credit Facility with Ayar that may be used for working capital and general corporate purposes. The DDTL Credit Facility provides for a delayed draw term loan credit facility in an aggregate principal amount of $750.0 million and has a stated maturity date of August 4, 2029. Borrowings under the DDTL Credit Facility bear interest at the applicable interest rates specified in the credit agreement governing the DDTL Credit Facility. We are required to pay a quarterly undrawn fee of 0.50% per annum based on the unutilized portion of the DDTL Credit Facility.</w:t>
      </w:r>
    </w:p>
    <w:p>
      <w:pPr>
        <w:spacing w:after="0" w:line="1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DDTL Credit Facility contains customary covenants that limit our ability and our restricted subsidiaries to, among other activities, pay dividends, incur debt, create liens and encumbrances, redeem or repurchase stock, dispose of certain assets, consummate acquisitions or other investments, prepay certain debt, engage in sale and leaseback transactions or consummate mergers and other fundamental changes. The DDTL Credit Facility also includes a minimum liquidity covenant. As of March 31, 2025 and December 31, 2024, we were in compliance with applicable covenants under the DDTL Credit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we had no outstanding borrowings under the DDTL Credit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Subscription Agreements and Underwriting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2023, we completed the public offering pursuant to the 2023 Underwriting Agreement for aggregate net proceeds of $1.2 billion and also consummated a private placement of shares to Ayar pursuant to the 2023 Subscription Agreement for aggregate net proceeds of $1.8 billion after deducting issuance costs.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2024, we issued 100,000 shares of our Series A Redeemable Convertible Preferred Stock to Ayar pursuant to the Series A Subscription Agreement and received aggregate net proceeds of $997.6 million after deducting issuance costs. In August 2024, we also issued 75,000 shares of our Series B Redeemable Convertible Preferred Stock to Ayar pursuant to the Series B Subscription Agreement and received aggregate net proceeds of $749.4 million after deducting issuance costs. See Note 8 “Redeemable Convertible Preferred Stock” to the condensed consolidated financial statements included elsewhere in this Quarterly Report, for more information.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2024, we completed the public offering pursuant to the 2024 Underwriting Agreement and received net proceeds of $718.4 million and also consummated the private placement of shares to Ayar pursuant to the 2024 Subscription Agreement for net proceeds of $1,025.7 million after deducting issuance costs. See Note 16 “Related Party Transactions” to the condensed consolidated financial statements included elsewhere in this Quarterly Report, for more information.</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generated significant losses from our operations as reflected in our accumulated deficit of $13.3 billion and $12.9 billion as of March 31, 2025 and December 31, 2024, respectively. Additionally, we have generated significant negative cash flows from operations and investing activities as we continue to support the growth of our business.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and therefore, may affect the timing and magnitude of these anticipated expenditures. These risk and uncertainties are described in more detail in the section entitled “Risk Factors” in Part II, Item 1A of this Quarterly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4"/>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7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rPr>
              <w:t>(516,745)</w:t>
            </w:r>
          </w:p>
        </w:tc>
      </w:tr>
      <w:tr>
        <w:trPr>
          <w:trHeight w:val="229"/>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18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614,021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center"/>
              <w:ind w:left="181"/>
              <w:spacing w:after="0"/>
              <w:rPr>
                <w:sz w:val="20"/>
                <w:szCs w:val="20"/>
                <w:color w:val="auto"/>
              </w:rPr>
            </w:pPr>
            <w:r>
              <w:rPr>
                <w:rFonts w:ascii="Times New Roman" w:cs="Times New Roman" w:eastAsia="Times New Roman" w:hAnsi="Times New Roman"/>
                <w:sz w:val="16"/>
                <w:szCs w:val="16"/>
                <w:color w:val="auto"/>
              </w:rPr>
              <w:t>317,546</w:t>
            </w:r>
          </w:p>
        </w:tc>
      </w:tr>
      <w:tr>
        <w:trPr>
          <w:trHeight w:val="23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62,731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181"/>
              <w:spacing w:after="0"/>
              <w:rPr>
                <w:sz w:val="20"/>
                <w:szCs w:val="20"/>
                <w:color w:val="auto"/>
              </w:rPr>
            </w:pPr>
            <w:r>
              <w:rPr>
                <w:rFonts w:ascii="Times New Roman" w:cs="Times New Roman" w:eastAsia="Times New Roman" w:hAnsi="Times New Roman"/>
                <w:sz w:val="16"/>
                <w:szCs w:val="16"/>
                <w:color w:val="auto"/>
              </w:rPr>
              <w:t>997,202</w:t>
            </w:r>
          </w:p>
        </w:tc>
      </w:tr>
      <w:tr>
        <w:trPr>
          <w:trHeight w:val="21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248,139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center"/>
              <w:ind w:left="181"/>
              <w:spacing w:after="0"/>
              <w:rPr>
                <w:sz w:val="20"/>
                <w:szCs w:val="20"/>
                <w:color w:val="auto"/>
              </w:rPr>
            </w:pPr>
            <w:r>
              <w:rPr>
                <w:rFonts w:ascii="Times New Roman" w:cs="Times New Roman" w:eastAsia="Times New Roman" w:hAnsi="Times New Roman"/>
                <w:sz w:val="16"/>
                <w:szCs w:val="16"/>
                <w:color w:val="auto"/>
              </w:rPr>
              <w:t>798,003</w:t>
            </w:r>
          </w:p>
        </w:tc>
      </w:tr>
      <w:tr>
        <w:trPr>
          <w:trHeight w:val="20"/>
        </w:trPr>
        <w:tc>
          <w:tcPr>
            <w:tcW w:w="8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Operating Activities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decreased by $88.1 million to $428.6 million during the three months ended March 31, 2025, as compared to the same period in the prior year. The decrease was primarily due to an improvement in net loss excluding non-cash expenses and gains of $62.5 million, and an improvement in net operating assets and liabilities of $25.6 million during the three months ended March 31, 2025, as compared to the same period in the prior year. The improvement in net operating assets and liabilities was primarily attributable to a decrease in accounts receivable, net of $97.0 million resulted from higher vehicle sales during the last month of the quarter for the three months ended March 31, 2024 and payment term associated with the EV purchase Agreement, partially offset by higher inventory purchases in anticipation of the Lucid Gravity ramp-up.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Investing Activities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cash flows provided by investing activities primarily relate to proceeds from maturities of investments, net of purchases of investments and capital expenditures to support our growth.</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increased by $296.5 million to $614.0 million during the three months ended March 31, 2025, as compared to the same period in the prior year. The increase was primarily attributable to higher volume of investment maturities compared to investment purchases during the three months ended March 31, 2025, compared to the same period in the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Financing Activities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Since inception, we have financed our operations primarily from the issuances of equity securities, including the At-the-Market Offering, the private placements to Ayar, convertible preferred stock, the proceeds of the merger, and the 2026 Notes.</w:t>
      </w:r>
    </w:p>
    <w:p>
      <w:pPr>
        <w:sectPr>
          <w:pgSz w:w="11900" w:h="16838" w:orient="portrait"/>
          <w:cols w:equalWidth="0" w:num="1">
            <w:col w:w="11240"/>
          </w:cols>
          <w:pgMar w:left="320" w:top="769"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50" w:name="page51"/>
    <w:bookmarkEnd w:id="50"/>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decreased by $934.5 million to $62.7 million during the three months ended March 31, 2025, as compared to the same period in the prior year. We received gross proceeds of $1.0 billion from the issuance of Series A Redeemable Convertible Preferred Stock during the three months ended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and the related notes thereto included elsewhere in this Quarterly Report are prepared in accordance with generally accepted accounting principles in the United States (“U.S. GAAP”). The preparation of our condensed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believe that the following accounting policies involve a high degree of judgment and complexity. Accordingly, these are the policies we believe are the most critical to aid in fully understanding and evaluating our condensed consolidated financial condition and results of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follow a five-step process in which we identify the contract, identify the related performance obligations, determine the transaction price, allocate the transaction price to the identified performance obligations, and recognize revenue when (or as) the performance obligations are satisfied.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Sales without Residual Value Guarantee</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Vehicle sales revenue is generated from the sale of electric vehicles to customers. There are two performance obligations identified in vehicle sale arrangements. These are the vehicle including an onboard advanced driver assistance system (“ADAS”), and the right to unspecified over-the-air (“OTA”) software updates to be provided as and when available over the term of the basic vehicle warranty, which is generally four years. Shipping and handling provided by us is considered a fulfillment activity.</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Payment is typically received at the time of delivery or shortly after delivery of the vehicle to the customer, except for vehicle sales under the EV Purchase Agreement. Generally, control transfers to the customer at the time of delivery when the customer takes physical possession of the vehicle, which may be at a Lucid studio or other destination chosen by the customer. Our vehicle contracts do not contain a significant financing component. We have elected to exclude sales taxes from the measurement of the transaction price. We estimate the standalone selling price of all performance obligations by considering costs used to develop and deliver the good or service, third-party pricing of similar goods or services and other information that may be available. The transaction price is allocated among the performance obligations in proportion to the standalone selling price of our performance obligations.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recognize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the time of revenue recognition, we reduce the transaction price and record a sales return reserve against revenue for estimated variable consideration related to future product returns. Such return rate estimates are based on historical experience.</w:t>
      </w:r>
    </w:p>
    <w:p>
      <w:pPr>
        <w:spacing w:after="0" w:line="16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We provide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The estimated cost of the assurance-type warranty is accrued at the time of vehicle sale.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Vehicle Sales with Residual Value Guarantee</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provide a residual value guarantee (“RVG”) to our commercial banking partners in connection with its vehicle leasing program. Under the vehicle leasing program, we generally receive payment for the vehicle sales price at the time of delivery or shortly after delivery, do not bear casualty and credit risks during the lease term, and are contractually obligated (or entitled) to share a portion of the shortfall (or excess) between the resale value realized by the commercial banking partners and a predetermined resale value. At the lease inception, we are required to deposit cash collateral equal to a contractual percentage of the residual value of the leased vehicles with the commercial banking partners. The cash collateral is held in a restricted bank account owned by the commercial banking partner until it is used, as applicable, in settlement of the RVG at the end of the lease term. Cash collateral is recorded in other noncurrent assets, subject to an asset impairment review at each reporting period.</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We account for the vehicle leasing program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and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We are the lessor at inception of a lease and immediately transfer the lease as well as the underlying vehicle to our commercial banking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partners, with the transaction being accounted for as a sale under ASC 606. We recognize revenue when control transfers upon delivery when the consumer-lessee takes physical possession of the vehicle, and bifurcate the RVG at fair value and account for it as a guarantee liability. The remaining amount of the transaction price is allocated among the performance obligations, including the vehicle, the right to unspecified </w:t>
      </w:r>
      <w:r>
        <w:rPr>
          <w:rFonts w:ascii="Times New Roman" w:cs="Times New Roman" w:eastAsia="Times New Roman" w:hAnsi="Times New Roman"/>
          <w:sz w:val="18"/>
          <w:szCs w:val="18"/>
          <w:color w:val="333333"/>
        </w:rPr>
        <w:t>OTA</w:t>
      </w:r>
      <w:r>
        <w:rPr>
          <w:rFonts w:ascii="Times New Roman" w:cs="Times New Roman" w:eastAsia="Times New Roman" w:hAnsi="Times New Roman"/>
          <w:sz w:val="18"/>
          <w:szCs w:val="18"/>
          <w:color w:val="auto"/>
        </w:rPr>
        <w:t xml:space="preserve"> software updates and remarketing activities, in proportion to the standalone selling price of our performance obligations. Any fees or incentives that are paid or payable by us to commercial banking partners are recognized as a reduction to vehicle sales revenue.</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guarantee liability represents the estimated amount we expect to pay at the end of the lease term. We are released from residual risk upon either expiration or settlement of the RVG. We evaluate variables such as third-party residual value publications, risk of future price deterioration due to changes in market conditions and reconditioning costs to determine the estimated residual value guarantee liability. As we accumulate more data related to the resale value of our vehicles or as market conditions change, there could be material changes to the estimated guarantee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Operating Lease Revenue</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account for sales of vehicles with repurchase obligations as operating leases. We sell vehicles primarily to rental companies with an obligation to repurchase the vehicles at an agreed upon repurchase price. We record the difference between the proceeds received and the agreed upon repurchase price as vehicle leasing revenue on a straight-line basis over the term of the lease. Deferred leasing revenue and repurchase obligation were recorded in other current liabilities and other long-term liabilities in the condensed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and Leaseback Transactions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enter into sales and leaseback transactions in which we transfer control of vehicles to rental companies and simultaneously lease them back as operating leases. We recognize revenue related to the vehicles under the arrangement when the rental companies obtain control of the vehicles and separately recognize the leaseback obligations based on the present value of the future payments to the rental companies. We also record right-of-use assets which are amortized over the term of the leaseback. Operating lease expense is recognized on a straight-line basis over the term of the leaseback.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computed using standard cost for vehicles, which approximates actual cost on a first-in, first-out basis. We record inventory write-downs for excess or obsolete inventories based upon assumptions about current and future demand forecasts. If inventory on-hand is in excess of future demand forecast and market conditions, the excess amounts are written-off.</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Inventory is also reviewed to determine whether its carrying value exceeds the net amount realizable upon the ultimate sale of the inventory. This requires an assessment to determine the selling price of the vehicles less the estimated cost to convert the inventory on-hand into a finished product. Once inventory is written down, a new lower cost basis for that inventory is established and subsequent changes in facts and circumstances do not result in the restoration or increase in that newly established cost basis.</w:t>
      </w:r>
    </w:p>
    <w:p>
      <w:pPr>
        <w:spacing w:after="0" w:line="18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the event there are changes in our estimates of future selling prices or production costs, we might be required to record additional and potentially material write-downs. A small change in our estimates may result in a material change in our reported financial results.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52" w:name="page53"/>
    <w:bookmarkEnd w:id="52"/>
    <w:p>
      <w:pPr>
        <w:spacing w:after="0" w:line="258" w:lineRule="auto"/>
        <w:rPr>
          <w:sz w:val="20"/>
          <w:szCs w:val="20"/>
          <w:color w:val="auto"/>
        </w:rPr>
      </w:pPr>
      <w:r>
        <w:rPr>
          <w:rFonts w:ascii="Times New Roman" w:cs="Times New Roman" w:eastAsia="Times New Roman" w:hAnsi="Times New Roman"/>
          <w:sz w:val="18"/>
          <w:szCs w:val="18"/>
          <w:color w:val="auto"/>
        </w:rPr>
        <w:t>We periodically review and record write-downs for excess or obsolete inventories based upon assumptions about current and future demand forecasts, considering shelf-life and technological obsolescence of certain inventories. Our current and future demand forecasts are based on our historical sales, market share performance, macroeconomic factors and trends in quantities or prices of orders for our products. We evaluate whether raw materials are approaching the end of their shelf-lives or becoming technologically obsolete, and the likelihood that we will be able to use the raw materials in production. If our inventory on-hand is in excess of future demand forecast and market conditions, the excess amounts are provisioned or written-down.</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Once inventory is written-down, a new lower cost basis for that inventory is established and subsequent changes in facts and circumstances do not result in the restoration or increase in that newly established cost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Accounting for the redeemable convertible preferred stock requires an evaluation to determine if liability classification is required under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Securities that do not meet the scoping criteria to be classified as a liability under ASC 480 are subject to redeemable equity guidance, which prescribes securities that may be subject to redemption upon an event not solely within the control of the issuer to be classified as temporary equity. Securities classified in temporary equity are initially measured at the proceeds received, net of issuance costs and excluding the fair value of bifurcated embedded derivatives, if any. Subsequent measurement of the carrying value of the redeemable convertible preferred stock is required as the instrument is probable of becoming redeemable. We accrete the redeemable convertible preferred stock to its redemption value. In certain circumstances, the redemption price may vary based on changes in stock price, in which case we will recognize changes in the redemption value immediately as they occur and adjust the carrying value of the security to equal the then current maximum redemption value at the end of each reporting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the redeemable convertible preferred stock, we evaluated the instruments for any features that must be bifurcated and separately accounted for as embedded derivatives. We concluded that the conversion features, inclusive of all settlement outcomes where the pay-off is indexed to the if-converted value, meets all the requirements to be separately accounted for as a bifurcated derivative. As a result, we bifurcated the redeemable convertible preferred stock between (i) the host contracts which are accounted for within mezzanine equity, and (ii) the bifurcated derivative liabilities. The proceeds from issuance are first allocated to the fair value of the bifurcated derivatives with the residual being allocated to the host contracts. The bifurcated derivatives are remeasured to fair value each reporting period with changes in fair value recorded in earnings. We estimated the fair value of the derivative liabilities using a binomial lattice model. Inherent in a binomial lattice model are unobservable inputs and assumptions. The inputs for the valuation of the derivative liabilities included the volatility, credit spread, and term. Assumptions used in the valuation also consider the contractual terms as well as the quoted price of our common stock in an active market. Significant changes in any of those inputs in isolation would result in significant changes to the fair value measurement. We remeasure the derivative liabilities at each reporting period and recognize the changes in fair value in the condensed consolidated statement of operations and comprehensive loss.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equity price and inflationary pressure.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applicable to our cash and cash equivalents, and investments. We had cash, cash equivalents, and investments totaling approximately $4.5 billion as of March 31, 2025. Our investment policy is focused on the preservation of capital and supporting our liquidity needs. Under the policy, we invest in highly rated securities, primarily issued by the U.S. government or liquid money market funds. We do not invest in financial instruments for trading or speculative purposes. We utilize external investment managers who adhere to the guidelines of our investment policy. Based on investment positions as of March 31, 2025, a hypothetical 100 basis point increase in interest rates would result in $22.9 million incremental decline in the fair market value of our portfolio.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hold equity securities of Aston Martin Lagonda Global Holdings plc (together with its subsidiaries, “Aston Martin”). The fair value of these equity securities was $25.6 million as of March 31, 2025. Changes in fair value of these equity securities are impacted by the volatility of the stock market and changes in general economic conditions, among other factors. A hypothetical 10% decrease in the stock price of these equity securities would not be material as of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Risk</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dependent on our suppliers, the majority of which are single-source suppliers. The inability of these suppliers to deliver necessary components of its products according to the schedule and at prices, quality levels and volumes acceptable to us, whether due to changes or uncertainties in trade policies, the imposition or proposed imposition of tariffs, threat of trade war or otherwise, or its inability to efficiently manage these components, or the unavailability of stable domestic suppliers, could have a material adverse effect on our results of operations and financial condition.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the design and operation of our disclosure controls and procedures (as defined in Rules 13a-15(e) and 15d-15(e) under the Securities Exchange Act of 1934, as amended (the “Exchange Act”)) as of the end of the period covered by this Quarterly Report on Form 10-Q.</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Based on their evaluation, our principal executive officer and principal financial officer concluded that as of March 31, 2025, our disclosure controls and procedures are designed to, and are effective to, provide reasonable assurance that the information we are required to disclose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15d-15(f) under the Exchange Act) that occurred during the fiscal quarter ended March 31, 2025,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description of our legal proceedings, please see the description set forth in the “Legal Matters” section in Note 12 “Commitments and Contingencies” in the notes to the condensed consolidated financial statements in Item 1 of Part I of this Quarterly Report,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A description of the risks and uncertainties associated with our business is set forth below. Investors should carefully consider the risks and uncertainties 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our stockholders could lose all or part of their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spacing w:after="0" w:line="7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evaluating our business and future prospects difficult and may increase the risk of stockholders’ investment.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net losses each year since our inception and expect to incur increasing expenses and substantial losses for the foreseeable future.</w:t>
      </w:r>
    </w:p>
    <w:p>
      <w:pPr>
        <w:spacing w:after="0" w:line="12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control the substantial costs associated with our operations.</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customers, failure to complete the purchase process with customers, and customer cancellation of orders may have a material adverse impact on our business, prospects, results of operations and financial condition.</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economic recession, government closures of banks and liquidity concerns at other financial institutions, or other downturn may have a material adverse impact on our business, prospects, results of operations and financial condition.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primarily on revenue generated from a limited number of models and anticipate continuing to be significantly dependent on a limited number of models in the foreseeable future.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prospects depend significantly on our brand.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third-party retail product distribution and full-service network.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challenges providing charging solutions for our vehicles, both domestically and internationally.</w:t>
      </w:r>
    </w:p>
    <w:p>
      <w:pPr>
        <w:spacing w:after="0" w:line="117" w:lineRule="exact"/>
        <w:rPr>
          <w:rFonts w:ascii="Times New Roman" w:cs="Times New Roman" w:eastAsia="Times New Roman" w:hAnsi="Times New Roman"/>
          <w:sz w:val="18"/>
          <w:szCs w:val="18"/>
          <w:color w:val="auto"/>
        </w:rPr>
      </w:pPr>
    </w:p>
    <w:p>
      <w:pPr>
        <w:ind w:left="660" w:right="8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future growth effectively, we may not be able to develop, manufacture, distribute, market and sell our vehicles successfully.</w:t>
      </w:r>
    </w:p>
    <w:p>
      <w:pPr>
        <w:spacing w:after="0" w:line="5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international operations, including unfavorable regulatory, political, tax and labor conditions, which could harm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automotive industry has significant barriers to entry that we must overcome in order to manufacture and sell electric vehicles at scale.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automotive market is highly competitive, and we may not be successful in competing in this industry.</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may in the future experience significant delays in the design, manufacture, launch and financing of our vehicles, including the Lucid Air, the Lucid Gravity and our Midsize platform, which could harm our business and prospects.</w:t>
      </w:r>
    </w:p>
    <w:p>
      <w:pPr>
        <w:spacing w:after="0" w:line="53"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56" w:name="page57"/>
    <w:bookmarkEnd w:id="56"/>
    <w:p>
      <w:pPr>
        <w:ind w:left="328" w:right="260" w:hanging="328"/>
        <w:spacing w:after="0" w:line="261" w:lineRule="auto"/>
        <w:tabs>
          <w:tab w:leader="none" w:pos="3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changes of supply or shortage of materials, in particular for lithium-ion battery cells, could harm our business.</w:t>
      </w:r>
    </w:p>
    <w:p>
      <w:pPr>
        <w:spacing w:after="0" w:line="117" w:lineRule="exact"/>
        <w:rPr>
          <w:rFonts w:ascii="Times New Roman" w:cs="Times New Roman" w:eastAsia="Times New Roman" w:hAnsi="Times New Roman"/>
          <w:sz w:val="18"/>
          <w:szCs w:val="18"/>
          <w:color w:val="auto"/>
        </w:rPr>
      </w:pPr>
    </w:p>
    <w:p>
      <w:pPr>
        <w:ind w:left="328" w:right="140" w:hanging="328"/>
        <w:spacing w:after="0" w:line="282" w:lineRule="auto"/>
        <w:tabs>
          <w:tab w:leader="none" w:pos="3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successfully construct or tool our manufacturing facilities or if our manufacturing facilities become inoperable, we will be unable to produce our vehicles and our business will be harmed.</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high volume manufacture of our vehicles.</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vehicles fail to perform as expected, our ability to develop, market and sell or lease our products could be harmed.</w:t>
      </w:r>
    </w:p>
    <w:p>
      <w:pPr>
        <w:spacing w:after="0" w:line="117" w:lineRule="exact"/>
        <w:rPr>
          <w:rFonts w:ascii="Times New Roman" w:cs="Times New Roman" w:eastAsia="Times New Roman" w:hAnsi="Times New Roman"/>
          <w:sz w:val="18"/>
          <w:szCs w:val="18"/>
          <w:color w:val="auto"/>
        </w:rPr>
      </w:pPr>
    </w:p>
    <w:p>
      <w:pPr>
        <w:ind w:left="328" w:right="600" w:hanging="328"/>
        <w:spacing w:after="0" w:line="282" w:lineRule="auto"/>
        <w:tabs>
          <w:tab w:leader="none" w:pos="3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53" w:lineRule="exact"/>
        <w:rPr>
          <w:rFonts w:ascii="Times New Roman" w:cs="Times New Roman" w:eastAsia="Times New Roman" w:hAnsi="Times New Roman"/>
          <w:sz w:val="18"/>
          <w:szCs w:val="18"/>
          <w:color w:val="auto"/>
        </w:rPr>
      </w:pPr>
    </w:p>
    <w:p>
      <w:pPr>
        <w:ind w:left="328" w:right="340" w:hanging="328"/>
        <w:spacing w:after="0" w:line="282" w:lineRule="auto"/>
        <w:tabs>
          <w:tab w:leader="none" w:pos="3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53"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67" w:lineRule="exact"/>
        <w:rPr>
          <w:rFonts w:ascii="Times New Roman" w:cs="Times New Roman" w:eastAsia="Times New Roman" w:hAnsi="Times New Roman"/>
          <w:sz w:val="18"/>
          <w:szCs w:val="18"/>
          <w:color w:val="auto"/>
        </w:rPr>
      </w:pPr>
    </w:p>
    <w:p>
      <w:pPr>
        <w:ind w:left="328" w:right="100" w:hanging="328"/>
        <w:spacing w:after="0" w:line="266" w:lineRule="auto"/>
        <w:tabs>
          <w:tab w:leader="none" w:pos="3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control, manipulation, interruption or compromise of or access to our products or information technology systems or networks could result in loss of confidence in us and our products, harm our business and materially adversely affect our financial performance, results of operations or prospects.</w:t>
      </w:r>
    </w:p>
    <w:p>
      <w:pPr>
        <w:spacing w:after="0" w:line="67" w:lineRule="exact"/>
        <w:rPr>
          <w:rFonts w:ascii="Times New Roman" w:cs="Times New Roman" w:eastAsia="Times New Roman" w:hAnsi="Times New Roman"/>
          <w:sz w:val="18"/>
          <w:szCs w:val="18"/>
          <w:color w:val="auto"/>
        </w:rPr>
      </w:pPr>
    </w:p>
    <w:p>
      <w:pPr>
        <w:jc w:val="both"/>
        <w:ind w:left="328" w:right="280" w:hanging="328"/>
        <w:spacing w:after="0" w:line="266" w:lineRule="auto"/>
        <w:tabs>
          <w:tab w:leader="none" w:pos="3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evolving laws, regulations, standards, policies, and contractual obligations related to data privacy and cybersecurity, and any actual or perceived failure to comply with such obligations could harm our reputation and brand, subject us to significant fines and liability, or otherwise adversely affect our business.</w:t>
      </w:r>
    </w:p>
    <w:p>
      <w:pPr>
        <w:spacing w:after="0" w:line="6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an inability to attract, retain and motivate qualified personnel may impair our ability to expand our business.</w:t>
      </w:r>
    </w:p>
    <w:p>
      <w:pPr>
        <w:spacing w:after="0" w:line="117"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67" w:lineRule="exact"/>
        <w:rPr>
          <w:rFonts w:ascii="Times New Roman" w:cs="Times New Roman" w:eastAsia="Times New Roman" w:hAnsi="Times New Roman"/>
          <w:sz w:val="18"/>
          <w:szCs w:val="18"/>
          <w:color w:val="auto"/>
        </w:rPr>
      </w:pPr>
    </w:p>
    <w:p>
      <w:pPr>
        <w:ind w:left="328" w:right="500" w:hanging="328"/>
        <w:spacing w:after="0" w:line="282" w:lineRule="auto"/>
        <w:tabs>
          <w:tab w:leader="none" w:pos="3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regulatory limitations on our ability to sell vehicles directly, which could materially and adversely affect our ability to sell our vehicles.</w:t>
      </w:r>
    </w:p>
    <w:p>
      <w:pPr>
        <w:spacing w:after="0" w:line="53" w:lineRule="exact"/>
        <w:rPr>
          <w:rFonts w:ascii="Times New Roman" w:cs="Times New Roman" w:eastAsia="Times New Roman" w:hAnsi="Times New Roman"/>
          <w:sz w:val="18"/>
          <w:szCs w:val="18"/>
          <w:color w:val="auto"/>
        </w:rPr>
      </w:pPr>
    </w:p>
    <w:p>
      <w:pPr>
        <w:ind w:left="328" w:right="20" w:hanging="328"/>
        <w:spacing w:after="0" w:line="266" w:lineRule="auto"/>
        <w:tabs>
          <w:tab w:leader="none" w:pos="3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6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support business growth, and this capital might not be available on commercially reasonable terms, or at all.</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anticipated benefits of our agreement with Aston Martin.</w:t>
      </w:r>
    </w:p>
    <w:p>
      <w:pPr>
        <w:spacing w:after="0" w:line="117" w:lineRule="exact"/>
        <w:rPr>
          <w:rFonts w:ascii="Times New Roman" w:cs="Times New Roman" w:eastAsia="Times New Roman" w:hAnsi="Times New Roman"/>
          <w:sz w:val="18"/>
          <w:szCs w:val="18"/>
          <w:color w:val="auto"/>
        </w:rPr>
      </w:pPr>
    </w:p>
    <w:p>
      <w:pPr>
        <w:ind w:left="328" w:right="200" w:hanging="328"/>
        <w:spacing w:after="0" w:line="266" w:lineRule="auto"/>
        <w:tabs>
          <w:tab w:leader="none" w:pos="3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67" w:lineRule="exact"/>
        <w:rPr>
          <w:rFonts w:ascii="Times New Roman" w:cs="Times New Roman" w:eastAsia="Times New Roman" w:hAnsi="Times New Roman"/>
          <w:sz w:val="18"/>
          <w:szCs w:val="18"/>
          <w:color w:val="auto"/>
        </w:rPr>
      </w:pPr>
    </w:p>
    <w:p>
      <w:pPr>
        <w:ind w:left="328" w:right="660" w:hanging="328"/>
        <w:spacing w:after="0" w:line="282" w:lineRule="auto"/>
        <w:tabs>
          <w:tab w:leader="none" w:pos="3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shares of our common stock or other equity or equity-linked securities, including our Redeemable Convertible Preferred Stock, or sales of a significant portion of our common stock, could depress the market price of our common stock.</w:t>
      </w:r>
    </w:p>
    <w:p>
      <w:pPr>
        <w:spacing w:after="0" w:line="53" w:lineRule="exact"/>
        <w:rPr>
          <w:rFonts w:ascii="Times New Roman" w:cs="Times New Roman" w:eastAsia="Times New Roman" w:hAnsi="Times New Roman"/>
          <w:sz w:val="18"/>
          <w:szCs w:val="18"/>
          <w:color w:val="auto"/>
        </w:rPr>
      </w:pPr>
    </w:p>
    <w:p>
      <w:pPr>
        <w:jc w:val="both"/>
        <w:ind w:left="328" w:right="600" w:hanging="328"/>
        <w:spacing w:after="0" w:line="266" w:lineRule="auto"/>
        <w:tabs>
          <w:tab w:leader="none" w:pos="3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spacing w:after="0" w:line="67" w:lineRule="exact"/>
        <w:rPr>
          <w:rFonts w:ascii="Times New Roman" w:cs="Times New Roman" w:eastAsia="Times New Roman" w:hAnsi="Times New Roman"/>
          <w:sz w:val="18"/>
          <w:szCs w:val="18"/>
          <w:color w:val="auto"/>
        </w:rPr>
      </w:pPr>
    </w:p>
    <w:p>
      <w:pPr>
        <w:ind w:left="328" w:right="340" w:hanging="328"/>
        <w:spacing w:after="0" w:line="282" w:lineRule="auto"/>
        <w:tabs>
          <w:tab w:leader="none" w:pos="3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PIF and Ayar beneficially own a significant equity interest in us and have significant influence over us, which could decrease the relative ownership interest and voting power other holders of our common stock have over us.</w:t>
      </w:r>
    </w:p>
    <w:p>
      <w:pPr>
        <w:spacing w:after="0" w:line="189"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90170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8"/>
          </w:cols>
          <w:pgMar w:left="652" w:top="877" w:right="399" w:bottom="1440" w:gutter="0" w:footer="0" w:header="0"/>
        </w:sectPr>
      </w:pPr>
    </w:p>
    <w:bookmarkStart w:id="57" w:name="page58"/>
    <w:bookmarkEnd w:id="57"/>
    <w:p>
      <w:pPr>
        <w:ind w:left="660" w:right="10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our Redeemable Convertible Preferred Stock are entitled to vote their shares of the Redeemable Convertible Preferred Stock on an as-converted to common stock basis and have rights to approve certain actions, which reduces the relative voting power of the holders of our common stock. The settlement of our obligations upon conversion, redemption, or repurchase of our Redeemable Convertible Preferred Stock is expected to dilute the ownership of common stockholders and may adversely affect the market price of our common stock.</w:t>
      </w:r>
    </w:p>
    <w:p>
      <w:pPr>
        <w:spacing w:after="0" w:line="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Redeemable Convertible Preferred Stock has rights, preferences and privileges that are not held by, and are senior to the rights of, our common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Business and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limited operating history makes evaluating our business and future prospects difficult and may increase the risk of stockholders’ investment.</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231F20"/>
        </w:rPr>
        <w:t>We are an early-stage company with a limited operating history, operating in a rapidly evolving and highly regulated market. Furthermore, we have only released two commercially available vehicles, and we have limited experience manufacturing or selling a commercial product at scale. We have yet to generate significant revenue from the sale of electric vehicles, and as a result of the capital-intensive nature of our business, we expect to continue to incur substantial operating losses for the foreseeable future.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We have encountered and expect to continue to encounter risks and uncertainties frequently experienced by early-stage companies in rapidly changing markets, including risks relating to our ability to, among other things:</w:t>
      </w:r>
    </w:p>
    <w:p>
      <w:pPr>
        <w:spacing w:after="0" w:line="5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hire, integrate and retain professional and technical talent, including key members of management;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to make significant investments in research, development, manufacturing, marketing and sales;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successfully design, build, manufacture and market new variants and models of electric vehicles, such as our upcoming Midsize platform;</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build a well-recognized and respected brand;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implement, refine and scale our commercial manufacturing capabilities and distribution infrastructure;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and maintain satisfactory arrangements with third-party suppliers;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and expand a customer base;</w:t>
      </w:r>
    </w:p>
    <w:p>
      <w:pPr>
        <w:spacing w:after="0" w:line="117" w:lineRule="exact"/>
        <w:rPr>
          <w:rFonts w:ascii="Times New Roman" w:cs="Times New Roman" w:eastAsia="Times New Roman" w:hAnsi="Times New Roman"/>
          <w:sz w:val="18"/>
          <w:szCs w:val="18"/>
          <w:color w:val="231F20"/>
        </w:rPr>
      </w:pPr>
    </w:p>
    <w:p>
      <w:pPr>
        <w:ind w:left="660" w:right="34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anticipate and adapt to changing market conditions, including consumer demand for certain vehicle types, models or trim levels, technological developments and changes in competitive landscape;</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navigate an evolving and complex regulatory environment; and</w:t>
      </w:r>
    </w:p>
    <w:p>
      <w:pPr>
        <w:spacing w:after="0" w:line="117" w:lineRule="exact"/>
        <w:rPr>
          <w:rFonts w:ascii="Times New Roman" w:cs="Times New Roman" w:eastAsia="Times New Roman" w:hAnsi="Times New Roman"/>
          <w:sz w:val="18"/>
          <w:szCs w:val="18"/>
          <w:color w:val="231F20"/>
        </w:rPr>
      </w:pPr>
    </w:p>
    <w:p>
      <w:pPr>
        <w:ind w:left="660" w:right="4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successfully obtain, maintain, protect, defend and enforce our intellectual property and defend against claims of intellectual property infringement, misappropriation or other violation.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incurred net losses each year since our inception and expect to incur increasing expenses and substantial losses for the foreseeable future.</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have incurred net losses each year since our inception, including net loss of $366.2 million for the three months ended March 31, 2025. As of March 31, 2025, our accumulated deficit was $13.3 billion. We expect to continue to incur substantial losses and increasing expenses in the foreseeable future as we:</w:t>
      </w:r>
    </w:p>
    <w:p>
      <w:pPr>
        <w:spacing w:after="0" w:line="6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to design, develop and manufacture our vehicles;</w:t>
      </w:r>
    </w:p>
    <w:p>
      <w:pPr>
        <w:spacing w:after="0" w:line="117" w:lineRule="exact"/>
        <w:rPr>
          <w:rFonts w:ascii="Times New Roman" w:cs="Times New Roman" w:eastAsia="Times New Roman" w:hAnsi="Times New Roman"/>
          <w:sz w:val="18"/>
          <w:szCs w:val="18"/>
          <w:color w:val="231F20"/>
        </w:rPr>
      </w:pPr>
    </w:p>
    <w:p>
      <w:pPr>
        <w:ind w:left="660" w:right="26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equip and expand our research, service, battery, powertrain, and manufacturing facilities to produce our vehicles in Arizona and in international locations such as Saudi Arabia;</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build up inventories of parts and components for our vehicles;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manufacture and store an available inventory of our vehicles;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 and deploy geographically dispersed vehicle charging partnerships;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 our design, research, development, maintenance and repair capabilities and facilities;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 our sales, service and marketing activities and develop our distribution infrastructure;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 our general and administrative functions to support our growing operations and status as a public company.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ind w:right="220"/>
        <w:spacing w:after="0" w:line="266" w:lineRule="auto"/>
        <w:rPr>
          <w:sz w:val="20"/>
          <w:szCs w:val="20"/>
          <w:color w:val="auto"/>
        </w:rPr>
      </w:pPr>
      <w:r>
        <w:rPr>
          <w:rFonts w:ascii="Times New Roman" w:cs="Times New Roman" w:eastAsia="Times New Roman" w:hAnsi="Times New Roman"/>
          <w:sz w:val="18"/>
          <w:szCs w:val="18"/>
          <w:color w:val="231F20"/>
        </w:rPr>
        <w:t>If our product development or commercialization of future vehicles is delayed, our costs and expenses may be significantly higher than we currently expect. We will incur the costs and expenses from these efforts before we receive any incremental revenues with respect thereto; therefore, we anticipate our losses in future periods will be significant.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unable to adequately control the substantial costs associated with our operations.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will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constructing, tooling and expanding our manufacturing facilities; research and development expenses (including expenses related to the development of the Lucid Air, the Lucid Gravity, our Midsize platform and other future products); raw material procurement costs; and general and administrative expenses as we scale our operations and continue to incur the costs of being a public company. Increased competition and adverse economic conditions have in the past and may continue in the future to require us to spend additional resources to attract customers, which in turn may result in higher marketing and incentive expenses. Furthermore, lower production and sales volumes have in the past and may in the future result in an inability to fully utilize our purchase commitments with suppliers which could result in increased costs and excess inventory as well as potential inventory write-offs. We periodically review and record write-downs for excess or obsolete inventories based upon assumptions about current and future demand forecasts, considering shelf-life and technological obsolescence of certain inventories. Our current and future demand forecasts are based on our historical sales, market share performance, macroeconomic factors and trends in quantities or prices of orders for our products. We evaluate whether raw materials are approaching the end of their shelf-lives or becoming technologically obsolete, and the likelihood that we will be able to use the raw materials in production. If our inventory on-hand is in excess of future demand forecast and market conditions, the excess amounts are provisioned or written-down.</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31F20"/>
        </w:rPr>
        <w:t>In addition, we have incurred and expect to continue to incur significant costs servicing and maintaining customers’ vehicles, including establishing our service operations and facilities and undertaking product recalls. As a company, we have limited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longer term, our ability to become profitable in the future will depend on our ability not only to effectively manage our capital expenditures and control costs on a timely basis, but also to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Failure to attract customers, failure to complete the purchase process with customers, and customer cancellation of orders may have a material adverse impact on our business, prospects, results of operations and financial condition.</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Delays in customer deliveries, delays in the availability of options, potential changes in customer preferences, competitive developments, increased interest rates, negative publicity, decreased demand for electric vehicles, and other factors could result in failure to attract customers, failure to complete the purchase process with customers, and customer cancellation. Increases in interest rates could make financing unaffordable for segments of our customer base and any event or incident which generates negative media coverage about us or the safety or quality of our vehicles could result in failure to attract customers, failure to complete the purchase process, and customer cancellations. In addition, if we encounter delays in customer deliveries of our vehicles that further lengthen wait times or in the event of negative media coverage, a significant number of orders may be cancelled. As such, no assurance can be given that the purchase process will be completed, orders will not be cancelled, and orders will ultimately result in the final purchase, delivery and sale or lease of vehicles.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9" w:name="page60"/>
    <w:bookmarkEnd w:id="59"/>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 global economic recession, government closures of banks and liquidity concerns at other financial institutions, or other downturn may have a material adverse impact on our business, prospects, results of operations and financial condition.</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global economic recession, downturn or other adverse economic conditions, whether due to changes or uncertainties in trade policies, the imposition or proposed imposition of tariffs, threat of trade war, persistent inflation, political uncertainty, global conflicts or other geopolitical events including the evolving conflicts in the Middle East, public health crises, interest rate increases or other policy actions by major central banks, government closures of banks and liquidity concerns at other financial institutions, or other factors, may have an adverse impact on our business, prospects, financial condition and results of operations. Adverse economic conditions as well as uncertainty about current and future domestic and global economic conditions may cause our customers to defer purchases or cancel their orders in response to higher interest rates, limited availability of consumer credit, decreased cash availability, fluctuations in foreign currency exchange rates, and weakened consumer confidence. Reduced demand for our products may result in significant decreases in our product sales, which in turn would have a material adverse impact on our business, prospects, financial condition and results of operations. Due to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addition, the deterioration of conditions in global credit markets may limit our ability to obtain external financing to fund our operations and capital expenditures on terms favorable to us, if at all.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 See “—Risks Related to Financing and Strategic Transactions — </w:t>
      </w:r>
      <w:r>
        <w:rPr>
          <w:rFonts w:ascii="Times New Roman" w:cs="Times New Roman" w:eastAsia="Times New Roman" w:hAnsi="Times New Roman"/>
          <w:sz w:val="18"/>
          <w:szCs w:val="18"/>
          <w:i w:val="1"/>
          <w:iCs w:val="1"/>
          <w:color w:val="auto"/>
        </w:rPr>
        <w:t>We will require additional capital to support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growth, and this capital might not be available on commercially reasonable terms, or at all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primarily on revenue generated from a limited number of models and anticipate continuing to be significantly dependent on a limited number of models in the foreseeable future.</w:t>
      </w:r>
    </w:p>
    <w:p>
      <w:pPr>
        <w:spacing w:after="0" w:line="15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currently depend primarily on revenue generated from the Lucid Air, and in the foreseeable future will be significantly dependent on a limited number of models. Although we have started production of the Lucid Gravity and have other vehicle models on our product roadmap, we are not scheduled to introduce another vehicle model for sale until late 2026. We expect to rely on sales from the Lucid Air and the Lucid Gravity, among other sources of financing, for the capital that will be required to develop and commercialize future models on our product roadmap. To the extent that production of our current or future models is delayed or reduced, or if our current or future models are not well-received by the market for any reason, our revenue and cash flow would be adversely affected, we may need to seek additional financing earlier than we expect, and such financing may not be available to us on commercially reasonable terms, or at all.</w:t>
      </w:r>
    </w:p>
    <w:p>
      <w:pPr>
        <w:spacing w:after="0" w:line="185"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fulfill the orders from the Government of Saudi Arabia or if the Government of Saudi Arabia purchases significantly fewer vehicles than we anticipate for any reason, our business, prospects, results of operations and financial condition could be materially and adversely affected.</w:t>
      </w:r>
    </w:p>
    <w:p>
      <w:pPr>
        <w:spacing w:after="0" w:line="1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August 2023, we entered into an EV purchase agreement with the Government of Saudi Arabia as represented by the Ministry of Finance (the “EV Purchase Agreement”), which supersedes the letter of undertaking that we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we fail to deliver within six months from the date of the applicable purchase order. The Purchaser also has the sole and absolute discretion to decide whether to exercise the option to purchase the additional 50,000 vehicles. See Note 16 “Related Party Transactions” to the condensed consolidated financial statements included elsewhere in this Quarterly Report for more information.</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we experience delays in manufacturing and delivering vehicles ordered by the Purchaser, fail to or experience delays in complying with Saudi Arabian regulations or the requirements of the EV Purchase Agreement, fail to provide adequate service or support for the vehicles, or fail to set the appropriate purchase price for such vehicles, our revenue, cash flow and results of operations and financial condition could be adversely affected. Furthermore, if the Purchaser reduces the minimum vehicle purchase quantity, delays the purchase of vehicles, does not exercise its option to purchase additional vehicles, or purchases significantly fewer vehicles than we currently anticipate for any reason, including for reasons beyond our control, our business, prospects, results of operations and financial condition could be materially and adversely affected.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prospects depend significantly on our brand.</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business and prospects will heavily depend on our ab</w:t>
      </w:r>
      <w:r>
        <w:rPr>
          <w:rFonts w:ascii="Times New Roman" w:cs="Times New Roman" w:eastAsia="Times New Roman" w:hAnsi="Times New Roman"/>
          <w:sz w:val="18"/>
          <w:szCs w:val="18"/>
          <w:color w:val="242424"/>
        </w:rPr>
        <w:t>ility to develop, maintain, protect and strengthen the “Lucid” brand association with luxury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technological excellence. Promoting and positioning our brand will likely depend significantly on our ability to provide a consistently high-quality customer experience, an area in which we have limited experience. To promote our brand, we will be required to invest in, and over time change our customer development and branding practices, which could result in substantially increased expenses, including the need to use public relations and advertising firms.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42424"/>
        </w:rPr>
        <w:t>In particular, any negative publicity, whether or not factual, can quickly proliferate on social media and harm consumer perception and confidence in our brand. The growing use of social media increases the speed with which information and opinions can be shared and, thus, accelerate the impact on a company’s reputation. If we fail to correct or mitigate misinformation or negative information, including information proliferated through social media or traditional media channels, about us, the products we offer, our customer experience, or any aspect of our brand, our business, sales and results of operations could adversely impact us. From time-to-time, our vehicles or those of our competitors may be evaluated and reviewed by third parties. Perceptions of our offerings in the marketplace may be significantly influenced by these reviews, which are disseminated via various media, including the internet.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Our sales will depend in part on our ability to establish and maintain confidence in our long-term business prospects among consumers, the investment community and others within our industry.</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42424"/>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the investment community and other parties with respect to our liquidity and long-term business prospects.</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242424"/>
        </w:rPr>
        <w:t>Maintaining such confidence may be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Certain of these new entrants or other traditional automotive manufacturers now producing electric vehicles have become insolvent, and if additional manufacturers producing electric vehicles become insolvent or are perceived to likely become insolvent, discontinue production of electric vehicles, produce vehicles that do not perform as expected or otherwise fail to meet expectations, such failures may have the effect of increasing scrutiny of others in the industry, including us, and further challenging customer, supplier and the investment community’s confidence in our long-term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42424"/>
        </w:rPr>
        <w:t>We do not have a third-party retail product distribution and full-service network.</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42424"/>
        </w:rPr>
        <w:t>Third-party dealer networks are the traditional method of vehicle sales distribution and service. Currently, we sell directly to consumers; therefore, we do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We have experienced delays in the construction and opening of our Lucid studios and service centers and any significant delays to establish Lucid studios and service centers in key markets in the future could have an adverse effect on our business, results of operations, prospects and financial condition. In addition,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To the extent we are unable to successfully execute on such plans in all markets, we may be required to develop a third-party dealer distribution and service network, including developing and implementing the necessary information technology infrastructure to support them, which may prove costly, time-consuming or ineffective. If our use of an in-house sales, marketing and service team is not effective, our results of operations and financial conditions could be adversely affected.</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242424"/>
        </w:rPr>
        <w:t>Our ability to generate meaningful product revenue will depend on consumer adoption of electric vehicles.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42424"/>
        </w:rPr>
        <w:t>We are developing and producing only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these factors may harm our business, prospects, financial condition and results of operations.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42424"/>
        </w:rPr>
        <w:t>In addition, demand for electric vehicles may be affected by factors directly impacting automobile prices or the cost of purchasing and operating automobiles such as sales and financing incentives including tax credits, prices of raw materials and parts and components, cost of fuel, availability of consumer credit, interest rates, and governmental regulatio</w:t>
      </w:r>
      <w:r>
        <w:rPr>
          <w:rFonts w:ascii="Times New Roman" w:cs="Times New Roman" w:eastAsia="Times New Roman" w:hAnsi="Times New Roman"/>
          <w:sz w:val="18"/>
          <w:szCs w:val="18"/>
          <w:color w:val="000000"/>
        </w:rPr>
        <w:t>ns, including tariffs, i</w:t>
      </w:r>
      <w:r>
        <w:rPr>
          <w:rFonts w:ascii="Times New Roman" w:cs="Times New Roman" w:eastAsia="Times New Roman" w:hAnsi="Times New Roman"/>
          <w:sz w:val="18"/>
          <w:szCs w:val="18"/>
          <w:color w:val="242424"/>
        </w:rPr>
        <w:t>mport regulation and other taxes. Volatility in demand may lead to lower vehicle unit sales, which may result in downward price pressure and adversely affect our business, prospects, financial condition and results of operations. Further, sa</w:t>
      </w:r>
      <w:r>
        <w:rPr>
          <w:rFonts w:ascii="Times New Roman" w:cs="Times New Roman" w:eastAsia="Times New Roman" w:hAnsi="Times New Roman"/>
          <w:sz w:val="18"/>
          <w:szCs w:val="18"/>
          <w:color w:val="231F20"/>
        </w:rPr>
        <w:t>les of vehicles in the automotive industry tend to be cyclical in many markets, which may expose us to increased volatility, especially as we</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231F20"/>
        </w:rPr>
        <w:t>expand and adjust our operations and retail strategies. Specifically, it is uncertain how such macroeconomic factors will impact us as a new entrant in an industry that has globally been experiencing a recent decline in sales.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Other factors that may influence the adoption of electric vehicles include:</w:t>
      </w:r>
    </w:p>
    <w:p>
      <w:pPr>
        <w:spacing w:after="0" w:line="11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perceptions about electric vehicle quality, safety, design, performance and cost;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perceptions about the limited range over which electric vehicles may be driven on a single battery charge;</w:t>
      </w:r>
    </w:p>
    <w:p>
      <w:pPr>
        <w:spacing w:after="0" w:line="117" w:lineRule="exact"/>
        <w:rPr>
          <w:rFonts w:ascii="Times New Roman" w:cs="Times New Roman" w:eastAsia="Times New Roman" w:hAnsi="Times New Roman"/>
          <w:sz w:val="18"/>
          <w:szCs w:val="18"/>
          <w:color w:val="231F20"/>
        </w:rPr>
      </w:pPr>
    </w:p>
    <w:p>
      <w:pPr>
        <w:ind w:left="660" w:right="200" w:hanging="328"/>
        <w:spacing w:after="0" w:line="312" w:lineRule="auto"/>
        <w:tabs>
          <w:tab w:leader="none" w:pos="655"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31" w:lineRule="exact"/>
        <w:rPr>
          <w:rFonts w:ascii="Times New Roman" w:cs="Times New Roman" w:eastAsia="Times New Roman" w:hAnsi="Times New Roman"/>
          <w:sz w:val="17"/>
          <w:szCs w:val="17"/>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concerns about electric grid capacity and reliability;</w:t>
      </w:r>
    </w:p>
    <w:p>
      <w:pPr>
        <w:spacing w:after="0" w:line="117" w:lineRule="exact"/>
        <w:rPr>
          <w:rFonts w:ascii="Times New Roman" w:cs="Times New Roman" w:eastAsia="Times New Roman" w:hAnsi="Times New Roman"/>
          <w:sz w:val="18"/>
          <w:szCs w:val="18"/>
          <w:color w:val="231F20"/>
        </w:rPr>
      </w:pPr>
    </w:p>
    <w:p>
      <w:pPr>
        <w:ind w:left="660" w:right="360" w:hanging="328"/>
        <w:spacing w:after="0" w:line="282" w:lineRule="auto"/>
        <w:tabs>
          <w:tab w:leader="none" w:pos="65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other alternative fuel vehicles, including plug-in hybrid electric vehicles;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improvements in the fuel economy of the internal combustion engine;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quality and availability of service for electric vehicles, especially in international markets;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volatility in the cost of oil and gasoline;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government regulations and economic incentives promoting fuel efficiency and alternate forms of energy;</w:t>
      </w:r>
    </w:p>
    <w:p>
      <w:pPr>
        <w:spacing w:after="0" w:line="117" w:lineRule="exact"/>
        <w:rPr>
          <w:rFonts w:ascii="Times New Roman" w:cs="Times New Roman" w:eastAsia="Times New Roman" w:hAnsi="Times New Roman"/>
          <w:sz w:val="18"/>
          <w:szCs w:val="18"/>
          <w:color w:val="231F20"/>
        </w:rPr>
      </w:pPr>
    </w:p>
    <w:p>
      <w:pPr>
        <w:ind w:left="660" w:right="340" w:hanging="328"/>
        <w:spacing w:after="0" w:line="282" w:lineRule="auto"/>
        <w:tabs>
          <w:tab w:leader="none" w:pos="65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access to charging stations compatible with our vehicles and cost to charge an electric vehicle, especially in international markets, and related infrastructure costs and standardization;</w:t>
      </w:r>
    </w:p>
    <w:p>
      <w:pPr>
        <w:spacing w:after="0" w:line="53" w:lineRule="exact"/>
        <w:rPr>
          <w:rFonts w:ascii="Times New Roman" w:cs="Times New Roman" w:eastAsia="Times New Roman" w:hAnsi="Times New Roman"/>
          <w:sz w:val="18"/>
          <w:szCs w:val="18"/>
          <w:color w:val="231F20"/>
        </w:rPr>
      </w:pPr>
    </w:p>
    <w:p>
      <w:pPr>
        <w:ind w:left="660" w:right="160" w:hanging="328"/>
        <w:spacing w:after="0" w:line="282" w:lineRule="auto"/>
        <w:tabs>
          <w:tab w:leader="none" w:pos="65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tax and other governmental incentives to purchase and operate electric vehicles or future regulation requiring increased use of nonpolluting vehicles; and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macroeconomic factors.</w:t>
      </w:r>
    </w:p>
    <w:p>
      <w:pPr>
        <w:spacing w:after="0" w:line="225"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231F20"/>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challenges providing charging solutions for our vehicles, both domestically and internationally.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Demand for our vehicles will depend in part on the availability of charging infrastructure both domestically and internationally. While the prevalence of charging stations has been increasing, public charging station locations are significantly less widespread than gas stations. Furthermore, public charging stations often experience downtime, leading to customer dissatisfaction. Although we have partnered with third-party electric vehicle charging providers to offer charging stations to our customers, the public charging infrastructure available to our customers may be insufficient to meet their needs or expectations, especially in certain international markets. Some potential customers may choose not to purchase our vehicles because of the lack of more widespread and reliable public charging infrastructure. In addition, although we have agreed to join Tesla’s Supercharger network, there may be delays in making changes to our vehicles or the network necessary for Lucid vehicles to charge at Tesla Superchargers, and there is no guarantee that our customers will not experience performance, access or other issues with this or other charging networks. In addition, although the prior U.S. presidential administration proposed a plan to deploy 500,000 additional public charging stations across the United States by 2030, the current administration has issued an executive order pausing the disbursement of funds appropriated through the Inflation Reduction Act of 2022 or the Infrastructure Investment and Jobs Act, including funds designated for electric vehicle charging stations through the National Electric Vehicle Infrastructure Formula Program and the Charging and Fueling Infrastructure Discretionary Grant Program. Consequently, the deployment of public charging stations may not occur at planned levels, which could limit the development of public charging infrastructure and decrease the attractiveness of electric vehicles.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fail to manage our future growth effectively, we may not be able to develop, manufacture, distribute, market and sell our vehicles successfully.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Any failure to manage our growth effectively could materially and adversely affect our business, prospects, results of operations and financial condition.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are expanding our operations significantly and our current and future expansion plans include:</w:t>
      </w:r>
    </w:p>
    <w:p>
      <w:pPr>
        <w:spacing w:after="0" w:line="9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expanding our management team;</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ramping up the production of our current vehicles and releasing new models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or expanding design, manufacturing, distribution, sales and service facilities;</w:t>
      </w:r>
    </w:p>
    <w:p>
      <w:pPr>
        <w:spacing w:after="0" w:line="117" w:lineRule="exact"/>
        <w:rPr>
          <w:rFonts w:ascii="Times New Roman" w:cs="Times New Roman" w:eastAsia="Times New Roman" w:hAnsi="Times New Roman"/>
          <w:sz w:val="18"/>
          <w:szCs w:val="18"/>
          <w:color w:val="231F20"/>
        </w:rPr>
      </w:pPr>
    </w:p>
    <w:p>
      <w:pPr>
        <w:ind w:left="660" w:right="38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implementing and enhancing administrative and business infrastructure, governance, systems and processes, including in connection with our maturation as a public company; and</w:t>
      </w:r>
    </w:p>
    <w:p>
      <w:pPr>
        <w:spacing w:after="0" w:line="53" w:lineRule="exact"/>
        <w:rPr>
          <w:rFonts w:ascii="Times New Roman" w:cs="Times New Roman" w:eastAsia="Times New Roman" w:hAnsi="Times New Roman"/>
          <w:sz w:val="18"/>
          <w:szCs w:val="18"/>
          <w:color w:val="231F20"/>
        </w:rPr>
      </w:pPr>
    </w:p>
    <w:p>
      <w:pPr>
        <w:ind w:left="660" w:right="60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expanding into new markets and establishing sales, service, administrative, distribution, and/or manufacturing operations in many of those markets.</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We require qualified personnel, including design and manufacturing personnel and service technicians for our vehicles.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in supply chain management and logistics as well as designing, engineering, manufacturing, producing, selling, and servicing electric vehicles is intense, and we may not be able to identify, attract, train, motivate or retain sufficient highly qualified personnel in the future. Furthermore, we announced a restructuring plan in the second quarter of 2024, which involved the reduction of our employee workforce and may adversely affect our internal programs and initiatives as well as our ability to recruit and retain skilled and motivated personnel in the future. Any such restructuring plan may also be distracting to employees and management and may negatively impact our business operations, reputation, or ability to serve customers. We cannot provide any assurances that we will not have to undertake additional workforce reductions in the future. The failure to identify, attract, train, motivate and retain these employees could seriously harm our business and pros</w:t>
      </w:r>
      <w:r>
        <w:rPr>
          <w:rFonts w:ascii="Times New Roman" w:cs="Times New Roman" w:eastAsia="Times New Roman" w:hAnsi="Times New Roman"/>
          <w:sz w:val="18"/>
          <w:szCs w:val="18"/>
          <w:color w:val="000000"/>
        </w:rPr>
        <w:t>pects. In addition, our employee equity program is a key factor in our ability to attract and retain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talent and continue to support the growth of the company. If </w:t>
      </w:r>
      <w:r>
        <w:rPr>
          <w:rFonts w:ascii="Times New Roman" w:cs="Times New Roman" w:eastAsia="Times New Roman" w:hAnsi="Times New Roman"/>
          <w:sz w:val="18"/>
          <w:szCs w:val="18"/>
          <w:color w:val="231F20"/>
        </w:rPr>
        <w:t>we are unable to grant equity awards, or if we are forced to reduce the value of equity awards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to be received by the employees for any reason, we may not be able to attract, hire and retain the personnel necessary for our business, which would have a material adverse effect on our business, prospects financial condition and results of operations. In addition, our success is substantially dependent upon the continued service and performance of our senior management team and key technical and vehicle management personnel. If any key employees were to separate their employment with us, such separation would likely increase the difficulty of managing our current operations and future growth and heighten the foregoing risks.</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3" w:name="page64"/>
    <w:bookmarkEnd w:id="63"/>
    <w:p>
      <w:pPr>
        <w:ind w:right="120"/>
        <w:spacing w:after="0" w:line="269" w:lineRule="auto"/>
        <w:rPr>
          <w:sz w:val="20"/>
          <w:szCs w:val="20"/>
          <w:color w:val="auto"/>
        </w:rPr>
      </w:pPr>
      <w:r>
        <w:rPr>
          <w:rFonts w:ascii="Times New Roman" w:cs="Times New Roman" w:eastAsia="Times New Roman" w:hAnsi="Times New Roman"/>
          <w:sz w:val="17"/>
          <w:szCs w:val="17"/>
          <w:color w:val="231F20"/>
        </w:rPr>
        <w:t>We also have limited experience to date in high volume manufacturing of our vehicles. We cannot assure our investors that we will be able to develop and implement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We have also experienced, and may continue to experience, internal and external logistics challenges with respect to our manufacturing and warehousing facilities, including disruption to manufacturing operations due to the consolidation of our logistics operations with our manufacturing operations at AMP-1 and AMP-2. Any failure to develop and implement such manufacturing processes and capabilities within our projected costs and timelines could impact our future growth and impair our ability to produce, market, service and sell or lease our vehicles successfully. In addition, our rapid growth, competitive real estate markets, and increasing rental rates, may hinder our ability to obtain suitable space to accommodate our growing operations or to renew existing leases on terms favorable to us, if at all. Any failure to obtain or renew leases for real property on terms favorable to us when we need them may limit our growth, impact our operations and have an adverse impact on our financial condition. If we fail to manage our growth effectively, such failure could result in negative publicity and damage to our brand and have a material adverse effect on our business, prospects, financial condition and results of operations.</w:t>
      </w:r>
    </w:p>
    <w:p>
      <w:pPr>
        <w:spacing w:after="0" w:line="17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face risks associated with international operations, including unfavorable regulatory, political, tax and labor conditions, which could harm our business.</w:t>
      </w:r>
    </w:p>
    <w:p>
      <w:pPr>
        <w:spacing w:after="0" w:line="15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231F20"/>
        </w:rPr>
        <w:t>As we expand our international presence and operations, we will be increasingly subject to the legal, political, regulatory and social requirements and economic conditions in these jurisdictions. Additionally, as part of our growth strategy, we have been expanding and may continue to expand our sales, maintenance and repair services outside of the United States. We are also continuing the construction of AMP-2 in Saudi Arabia and may continue to further expand our manufacturing activities outside the United States. However, we have limited experience to date manufacturing our vehicles outside of the United States, and such expansion has and will continue to require us to make significant expenditures, including the hiring of local employees and establishing facilities and related systems and processes, in advance of generating any significant revenue. We are subject to a number of risks associated with international business activities that may increase our costs, impact our ability to sell, service and manufacture our vehicles, and require significant management attention. These risks include:</w:t>
      </w:r>
    </w:p>
    <w:p>
      <w:pPr>
        <w:spacing w:after="0" w:line="8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conforming our vehicles to various international regulatory and homologation requirements where our vehicles are sold;</w:t>
      </w:r>
    </w:p>
    <w:p>
      <w:pPr>
        <w:spacing w:after="0" w:line="117" w:lineRule="exact"/>
        <w:rPr>
          <w:rFonts w:ascii="Times New Roman" w:cs="Times New Roman" w:eastAsia="Times New Roman" w:hAnsi="Times New Roman"/>
          <w:sz w:val="18"/>
          <w:szCs w:val="18"/>
          <w:color w:val="231F20"/>
        </w:rPr>
      </w:pPr>
    </w:p>
    <w:p>
      <w:pPr>
        <w:ind w:left="660" w:right="20" w:hanging="328"/>
        <w:spacing w:after="0" w:line="282" w:lineRule="auto"/>
        <w:tabs>
          <w:tab w:leader="none" w:pos="655"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localized supply chains and managing international supply chain and logistics costs, including the shipping and delivery of kits for the SKD facility;</w:t>
      </w:r>
    </w:p>
    <w:p>
      <w:pPr>
        <w:spacing w:after="0" w:line="53" w:lineRule="exact"/>
        <w:rPr>
          <w:rFonts w:ascii="Times New Roman" w:cs="Times New Roman" w:eastAsia="Times New Roman" w:hAnsi="Times New Roman"/>
          <w:sz w:val="18"/>
          <w:szCs w:val="18"/>
          <w:color w:val="231F20"/>
        </w:rPr>
      </w:pPr>
    </w:p>
    <w:p>
      <w:pPr>
        <w:ind w:left="660" w:right="520" w:hanging="328"/>
        <w:spacing w:after="0" w:line="282" w:lineRule="auto"/>
        <w:tabs>
          <w:tab w:leader="none" w:pos="655"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sufficient charging points for our customers in those jurisdictions, via partnerships or, if necessary, via development of our own charging networks or accessing those of third parties;</w:t>
      </w:r>
    </w:p>
    <w:p>
      <w:pPr>
        <w:spacing w:after="0" w:line="53" w:lineRule="exact"/>
        <w:rPr>
          <w:rFonts w:ascii="Times New Roman" w:cs="Times New Roman" w:eastAsia="Times New Roman" w:hAnsi="Times New Roman"/>
          <w:sz w:val="18"/>
          <w:szCs w:val="18"/>
          <w:color w:val="231F20"/>
        </w:rPr>
      </w:pPr>
    </w:p>
    <w:p>
      <w:pPr>
        <w:ind w:left="660" w:right="280" w:hanging="328"/>
        <w:spacing w:after="0" w:line="282" w:lineRule="auto"/>
        <w:tabs>
          <w:tab w:leader="none" w:pos="655"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staffing and managing foreign operations, especially in jurisdictions where no EV ecosystem exists and qualified personnel must be hired and relocated;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attracting customers in new jurisdictions;</w:t>
      </w:r>
    </w:p>
    <w:p>
      <w:pPr>
        <w:spacing w:after="0" w:line="117" w:lineRule="exact"/>
        <w:rPr>
          <w:rFonts w:ascii="Times New Roman" w:cs="Times New Roman" w:eastAsia="Times New Roman" w:hAnsi="Times New Roman"/>
          <w:sz w:val="18"/>
          <w:szCs w:val="18"/>
          <w:color w:val="231F20"/>
        </w:rPr>
      </w:pPr>
    </w:p>
    <w:p>
      <w:pPr>
        <w:jc w:val="both"/>
        <w:ind w:left="660" w:right="44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controlling costs and potential loss of funding, including as a result of delays in the construction or ramp-up of operations at AMP-2;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or delays caused by local jurisdictions in implementing infrastructure improvements for manufacturing facilities;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spacing w:after="0" w:line="53" w:lineRule="exact"/>
        <w:rPr>
          <w:rFonts w:ascii="Times New Roman" w:cs="Times New Roman" w:eastAsia="Times New Roman" w:hAnsi="Times New Roman"/>
          <w:sz w:val="18"/>
          <w:szCs w:val="18"/>
          <w:color w:val="231F20"/>
        </w:rPr>
      </w:pPr>
    </w:p>
    <w:p>
      <w:pPr>
        <w:ind w:left="660" w:right="340" w:hanging="328"/>
        <w:spacing w:after="0" w:line="282" w:lineRule="auto"/>
        <w:tabs>
          <w:tab w:leader="none" w:pos="655"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inflation as well as fluctuations in foreign currency exchange rates and interest rates, including risks related to any forward currency contracts, interest rate swaps or other hedging activities we may undertake;</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currency fluctuations or localized inflationary pressure;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United States and foreign government trade restrictions, tariffs and price or exchange controls;</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threat of a trade war among the United States, Canada, Mexico, China, the European Union (“EU”) and other countries could impede the transition to electric vehicles, disrupt global supply chains, and delay the implementation of economic competitiveness policies;</w:t>
      </w:r>
    </w:p>
    <w:p>
      <w:pPr>
        <w:spacing w:after="0" w:line="53" w:lineRule="exact"/>
        <w:rPr>
          <w:rFonts w:ascii="Times New Roman" w:cs="Times New Roman" w:eastAsia="Times New Roman" w:hAnsi="Times New Roman"/>
          <w:sz w:val="18"/>
          <w:szCs w:val="18"/>
          <w:color w:val="231F20"/>
        </w:rPr>
      </w:pPr>
    </w:p>
    <w:p>
      <w:pPr>
        <w:ind w:left="660" w:right="160" w:hanging="328"/>
        <w:spacing w:after="0" w:line="282" w:lineRule="auto"/>
        <w:tabs>
          <w:tab w:leader="none" w:pos="655"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laws, regulations and restrictions, including in the areas of supply chain, labor, sales, service, environment, social, governance and health and safety, and related compliance costs;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increasingly restrictive and complex foreign data privacy and cybersecurity laws, regulations and obligations;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diplomatic and trade relationships, including political risk and customer perceptions based on such changes and risks;</w:t>
      </w:r>
    </w:p>
    <w:p>
      <w:pPr>
        <w:sectPr>
          <w:pgSz w:w="11900" w:h="16838" w:orient="portrait"/>
          <w:cols w:equalWidth="0" w:num="1">
            <w:col w:w="11240"/>
          </w:cols>
          <w:pgMar w:left="320" w:top="985"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64" w:name="page65"/>
    <w:bookmarkEnd w:id="64"/>
    <w:p>
      <w:pPr>
        <w:ind w:left="660" w:right="160" w:hanging="328"/>
        <w:spacing w:after="0" w:line="312" w:lineRule="auto"/>
        <w:tabs>
          <w:tab w:leader="none" w:pos="655" w:val="left"/>
        </w:tabs>
        <w:numPr>
          <w:ilvl w:val="0"/>
          <w:numId w:val="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political instability, natural disasters, pandemics, wars, global conflicts or other geopolitical events (including the war in Ukraine and the conflict in the Middle East, which affect global energy prices and disrupt shipping routes both regionally and globally), or events of terrorism; and</w:t>
      </w:r>
    </w:p>
    <w:p>
      <w:pPr>
        <w:spacing w:after="0" w:line="31" w:lineRule="exact"/>
        <w:rPr>
          <w:rFonts w:ascii="Times New Roman" w:cs="Times New Roman" w:eastAsia="Times New Roman" w:hAnsi="Times New Roman"/>
          <w:sz w:val="17"/>
          <w:szCs w:val="17"/>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strength of international economies.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If we fail to successfully address these risks, they could materially harm our business, prospects, results of operations and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42424"/>
        </w:rPr>
        <w:t>The automotive industry has significant barriers to entry that we must overcome in order to manufacture and sell electric vehicles at scale.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42424"/>
        </w:rPr>
        <w:t xml:space="preserve">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and started producing our first electric sedan and SUV and have completed </w:t>
      </w:r>
      <w:r>
        <w:rPr>
          <w:rFonts w:ascii="Times New Roman" w:cs="Times New Roman" w:eastAsia="Times New Roman" w:hAnsi="Times New Roman"/>
          <w:sz w:val="18"/>
          <w:szCs w:val="18"/>
          <w:color w:val="000000"/>
        </w:rPr>
        <w:t>the first two phases of construction of AMP-1 and the SKD portion of AMP-2, we have not finished</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tooling all production lines at AMP-1. If </w:t>
      </w:r>
      <w:r>
        <w:rPr>
          <w:rFonts w:ascii="Times New Roman" w:cs="Times New Roman" w:eastAsia="Times New Roman" w:hAnsi="Times New Roman"/>
          <w:sz w:val="18"/>
          <w:szCs w:val="18"/>
          <w:color w:val="242424"/>
        </w:rPr>
        <w:t>we are not able to overcome these barriers, our business, prospects, results of operations and financial condition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42424"/>
        </w:rPr>
        <w:t>will be negatively impacted, and it will harm our ability to grow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42424"/>
        </w:rPr>
        <w:t>The automotive market is highly competitive, and we may not be successful in competing in this industry.</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242424"/>
        </w:rPr>
        <w:t>The global automotive market, particularly for electric and alternative fuel vehicles, is highly competitive, and we expect it will become even more so in the future. In recent years, the electric vehicle industry has grown, with the emergence of several companies that focus completely or partially on the electric vehicle market. In addition, traditional automotive manufacturers are also producing and selling electric and alternative fuel vehicles. We expect additional companies to enter this market within the next several years. Electric vehicle manufacturers with which we compete include Tesla, an increasing number of U.S.-based and international entrants and traditional automotive manufacturers, many of which have begun, or announced plans to begin, selling their own electric vehicles in the near-term. We also compete with established automobile manufacturers in the luxury vehicle segment, many of which have entered or have announced plans to enter the alternative fuel and electric vehicle market with either fully electric or plug-in hybrid versions of their vehicles. We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including the ability to significantly reduce prices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changing market conditions and new technologies and may be able to design, develop, market and sell their products more effectively than we do. For example, some of our competitors have announced vehicle price reductions, which may result in downward price pressure and reduced demand for our vehicles. However, we may not be able to adjust our pricing strategies effectively, and there can be no assurance that such adjustments will allow us to successfully compete against our competitors, which may have a material adverse effect on our brand, business, prospects, inventory levels, results of operations and financial conditions. In addition, increased competition has in the past and may continue to require us to increase marketing and incentive expenses, which may have a material adverse effect on our operating results and financial condition. We expect competition in our industry to significantly intensify in the future in light of increased demand for alternative fuel vehicles, global competitors, macroeconomic uncertainty,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Developments in electric vehicle or alternative fuel technology or improvements in the internal combustion engine may adversely affect the demand for our vehicles.</w:t>
      </w:r>
    </w:p>
    <w:p>
      <w:pPr>
        <w:spacing w:after="0" w:line="15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242424"/>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performance and software, and improvements in the technology offered by competitors could reduce demand for our current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spacing w:after="0" w:line="19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The unavailability, reduction or elimination of certain government and economic programs could have a material adverse effect on our business, prospects, financial condition and results of operations.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42424"/>
        </w:rPr>
        <w:t>We may benefit from government and economic programs that encourage the development, manufacture or purchase of electric vehicles, such as zero emission vehicle credits, production tax credits, greenhouse gas credits and similar regulatory credits, the loss of which could harm our ability to generate revenue from the sale of such credits to other manufacturers; tax credits and other incentives to consumers, without which the net cost to consumers of our vehicles could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Michigan and Arizona. We may also benefit from government loan programs. Any reduction, elimination or selective application of tax and other governmental programs and economic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w:t>
      </w:r>
      <w:r>
        <w:rPr>
          <w:rFonts w:ascii="Times New Roman" w:cs="Times New Roman" w:eastAsia="Times New Roman" w:hAnsi="Times New Roman"/>
          <w:sz w:val="18"/>
          <w:szCs w:val="18"/>
          <w:color w:val="000000"/>
        </w:rPr>
        <w:t>s. For example, the current U.S. presidential administration has issued executive orders that revoke</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certain executive orders from the prior administration, which directed federal agencies to review and potentially revise vehicle fuel efficiency and emissions standards. The revocation of these executive orders may decrease the demand and reduce the value of the greenhouse gas credits and similar regulatory credits, which we may sell to other manufacturers. </w:t>
      </w:r>
      <w:r>
        <w:rPr>
          <w:rFonts w:ascii="Times New Roman" w:cs="Times New Roman" w:eastAsia="Times New Roman" w:hAnsi="Times New Roman"/>
          <w:sz w:val="18"/>
          <w:szCs w:val="18"/>
          <w:color w:val="242424"/>
        </w:rPr>
        <w:t>Further, the current governmental incentives and subsidies available for purchasers of electric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42424"/>
        </w:rPr>
        <w:t>vehicles may not remain available. For example, beginning in 2023, the Inflation Reduction Act of 2022 eliminated the $7,500 federal sales tax credit for sedans that have a manufacturer’s suggested retail price over $55,000 and for SUVs that have a manufacturer’s suggested retail price over $80,000, although a tax credit remains available for vehicles that are leased rather than purchased. In addition, the current U.S. presidential administration has issued a policy statement aimed at eliminating the “electric vehicle mandate,” which targets state emissions waivers and governmental subsidies. Corresponding executive orders and regulatory actions may be further issued to implement this policy. See “</w:t>
      </w:r>
      <w:r>
        <w:rPr>
          <w:rFonts w:ascii="Times New Roman" w:cs="Times New Roman" w:eastAsia="Times New Roman" w:hAnsi="Times New Roman"/>
          <w:sz w:val="18"/>
          <w:szCs w:val="18"/>
          <w:i w:val="1"/>
          <w:iCs w:val="1"/>
          <w:color w:val="242424"/>
        </w:rPr>
        <w:t>— Failure to attract customers, failure to complete the</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i w:val="1"/>
          <w:iCs w:val="1"/>
          <w:color w:val="242424"/>
        </w:rPr>
        <w:t>purchase process with customers, and customer cancellation of orders may have a material adverse impact on our business, prospects, results of operations and financial condition.</w:t>
      </w:r>
      <w:r>
        <w:rPr>
          <w:rFonts w:ascii="Times New Roman" w:cs="Times New Roman" w:eastAsia="Times New Roman" w:hAnsi="Times New Roman"/>
          <w:sz w:val="18"/>
          <w:szCs w:val="18"/>
          <w:color w:val="242424"/>
        </w:rPr>
        <w:t>”</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42424"/>
        </w:rPr>
        <w:t>While certain tax credits and other incentives for alternative energy production, alternative fuels and electric vehicles have been available in the United States, Canada and the EU, there is no guarantee that these programs or incentives will be available in the future. For instance, the current U.S. presidential administration could seek to modify or rescind policies and regulations promoting the development, manufacture, or purchase of electric vehicles, such as tax credits under the Inflation Reduction Act. Such actions could diminish incentives for the production and purchase of electric vehicles and impede the expansion of the EV market. If current tax incentives are not available in the future, our business, prospects, financial position and results of operations could be affected adversely.</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We may be unable to offer attractive leasing and financing options for our current and future vehicles, which would adversely affect consumer demand. In addition, offering leasing and financing options to customers could expose us to credit and residual value risk.</w:t>
      </w:r>
    </w:p>
    <w:p>
      <w:pPr>
        <w:spacing w:after="0" w:line="1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242424"/>
        </w:rPr>
        <w:t xml:space="preserve">We offer leasing and financing of our vehicles to potential customers through third-party financing partners and intend to do the same in new markets, but we cannot provide any assurance that such third-party financing partners will continue, or would be able or willing, to provide such services on terms acceptable to us or our customers. Furthermore, because we have only sold a limited number of vehicles and only a limited secondary market for our vehicles exists, the future resale value of our vehicles is difficult to predict, and, if the actual resale value of our vehicles is lower than anticipated, it would make providing leasing terms that appeal to potential customers through such third-party financing partners more difficult. We believe that the ability to offer attractive leasing and financing options—whether due to the availability or reduction of tax incentives and certain governmental or economic programs, the availability of agreements with our third-party financing partners on terms acceptable to us or our customers, or other reasons—is particularly relevant to customers in the luxury vehicle segments in which we compete, and if we are unable to offer our customers an attractive option to finance the purchase of or lease the Lucid Air, the Lucid Gravity or planned future vehicles, such failure could substantially reduce the population of potential customers and decrease demand for our vehicles. See “— </w:t>
      </w:r>
      <w:r>
        <w:rPr>
          <w:rFonts w:ascii="Times New Roman" w:cs="Times New Roman" w:eastAsia="Times New Roman" w:hAnsi="Times New Roman"/>
          <w:sz w:val="18"/>
          <w:szCs w:val="18"/>
          <w:i w:val="1"/>
          <w:iCs w:val="1"/>
          <w:color w:val="242424"/>
        </w:rPr>
        <w:t>The unavailability, reduction or elimination of certain government and economic</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i w:val="1"/>
          <w:iCs w:val="1"/>
          <w:color w:val="242424"/>
        </w:rPr>
        <w:t>programs could have a material adverse effect on our business, prospects, financial condition and results of operations</w:t>
      </w:r>
      <w:r>
        <w:rPr>
          <w:rFonts w:ascii="Times New Roman" w:cs="Times New Roman" w:eastAsia="Times New Roman" w:hAnsi="Times New Roman"/>
          <w:sz w:val="18"/>
          <w:szCs w:val="18"/>
          <w:color w:val="242424"/>
        </w:rPr>
        <w:t>.”</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42424"/>
        </w:rPr>
        <w:t>Furthermore, offering leasing and financing alternatives to customers could expose us to regulatory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whether due to inflation, global conflicts or other geopolitical events, or public crises. If we are unable to provide leasing and financing arrangements that appeal to potential customers in a timely manner, or if the provision of such arrangements exposes us to excessive consumer credit risk or regulatory risk, our business, competitive position, results of operations and financial condition could be adversely affected.</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242424"/>
        </w:rPr>
        <w:t>In addition, we provide a residual value guarantee to our commercial banking partner in connection with our vehicle leasing program, under which we are contractually obligated to share a portion of the shortfall between the resale value realized by the commercial banking partner and a predetermined resale value. However, actual resale values are subject to fluctuations from various factors such as the condition of the leased vehicle, market price of new vehicles, and general economic conditions. If the resale values of leased vehicles pursuant to the vehicle leasing program are materially lower than our estimates, we may be required to cover some or all of such difference and our results of operations could be negatively impacted.</w:t>
      </w:r>
    </w:p>
    <w:p>
      <w:pPr>
        <w:spacing w:after="0" w:line="17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We may not be able to obtain or agree on acceptable terms and conditions for all or a significant portion of the government grants, loans and other incentives for which we may apply. As a result, our business and prospects may be adversely affected.</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42424"/>
        </w:rPr>
        <w:t>We may apply for federal, state and foreign grants, loans and tax incentives under government programs designed to stimulate the economy and support the production of alternative fuel and electric vehicles and related technologies. We anticipate that in the future there may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guarantee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spacing w:after="0" w:line="18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spacing w:after="0" w:line="15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242424"/>
        </w:rPr>
        <w:t>We design our vehicles with advanced driver assistance system (“ADAS”) hardware and softw</w:t>
      </w:r>
      <w:r>
        <w:rPr>
          <w:rFonts w:ascii="Times New Roman" w:cs="Times New Roman" w:eastAsia="Times New Roman" w:hAnsi="Times New Roman"/>
          <w:sz w:val="17"/>
          <w:szCs w:val="17"/>
          <w:color w:val="000000"/>
        </w:rPr>
        <w:t>are. The Lucid Air and Lucid Gravity are equipped with</w:t>
      </w:r>
      <w:r>
        <w:rPr>
          <w:rFonts w:ascii="Times New Roman" w:cs="Times New Roman" w:eastAsia="Times New Roman" w:hAnsi="Times New Roman"/>
          <w:sz w:val="17"/>
          <w:szCs w:val="17"/>
          <w:color w:val="242424"/>
        </w:rPr>
        <w:t xml:space="preserve"> </w:t>
      </w:r>
      <w:r>
        <w:rPr>
          <w:rFonts w:ascii="Times New Roman" w:cs="Times New Roman" w:eastAsia="Times New Roman" w:hAnsi="Times New Roman"/>
          <w:sz w:val="17"/>
          <w:szCs w:val="17"/>
          <w:color w:val="000000"/>
        </w:rPr>
        <w:t xml:space="preserve">Level 2 (partial automation) ADAS functionality. </w:t>
      </w:r>
      <w:r>
        <w:rPr>
          <w:rFonts w:ascii="Times New Roman" w:cs="Times New Roman" w:eastAsia="Times New Roman" w:hAnsi="Times New Roman"/>
          <w:sz w:val="17"/>
          <w:szCs w:val="17"/>
          <w:color w:val="242424"/>
        </w:rPr>
        <w:t>We plan over time to upgrade our vehicles with additional capabilities. ADAS technologies are emerging</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42424"/>
        </w:rPr>
        <w:t>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non-Lucid vehicles, including alleged failures or misuse of such features, have generated significant negative media attention and government investigations. We and others in our industry are subject to a Standing General Order issued by the National Highway Traffic Safety Administration (“NHTSA”) that requires us to report any crashes in which certain ADAS features were active, and these crash reports will become publicly available. To the extent accidents associated with our ADAS technologies occur, we could be subject to significant liability, negative publicity, government scrutiny and further regulation. Any of the foregoing could materially and adversely affect our results of operations, financial condition and growth prospects.</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7" w:name="page68"/>
    <w:bookmarkEnd w:id="67"/>
    <w:p>
      <w:pPr>
        <w:ind w:right="60"/>
        <w:spacing w:after="0" w:line="258" w:lineRule="auto"/>
        <w:rPr>
          <w:sz w:val="20"/>
          <w:szCs w:val="20"/>
          <w:color w:val="auto"/>
        </w:rPr>
      </w:pPr>
      <w:r>
        <w:rPr>
          <w:rFonts w:ascii="Times New Roman" w:cs="Times New Roman" w:eastAsia="Times New Roman" w:hAnsi="Times New Roman"/>
          <w:sz w:val="18"/>
          <w:szCs w:val="18"/>
          <w:color w:val="242424"/>
        </w:rPr>
        <w:t>In addition, we face substantial competition in the development and deployment of ADAS technologies. Many of our competitors, including established automakers and technology companies, have devoted significant time and resources to developing self-driving technologies. If we are unable to develop or improve competitive Level 2 or more advanced ADAS technologies in-house or acquire access to such technologies via partnerships or investments in other companies or assets, we may be unable to equip our vehicles with competitive ADAS features, which could damage our brand, reduce consumer demand for our vehicles and could have a material adverse effect on our business, results of operations, prospects and financial condition.</w:t>
      </w:r>
    </w:p>
    <w:p>
      <w:pPr>
        <w:spacing w:after="0" w:line="181"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color w:val="242424"/>
        </w:rPr>
        <w:t xml:space="preserve">ADAS technology is also subject to regulatory uncertainty, which exposes us to additional risks. See “— Risks Related to Litigation and Regulation </w:t>
      </w:r>
      <w:r>
        <w:rPr>
          <w:rFonts w:ascii="Times New Roman" w:cs="Times New Roman" w:eastAsia="Times New Roman" w:hAnsi="Times New Roman"/>
          <w:sz w:val="18"/>
          <w:szCs w:val="18"/>
          <w:i w:val="1"/>
          <w:iCs w:val="1"/>
          <w:color w:val="242424"/>
        </w:rPr>
        <w:t>—</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i w:val="1"/>
          <w:iCs w:val="1"/>
          <w:color w:val="242424"/>
        </w:rPr>
        <w:t>ADAS technology is subject to uncertain and evolving regulations.</w:t>
      </w:r>
      <w:r>
        <w:rPr>
          <w:rFonts w:ascii="Times New Roman" w:cs="Times New Roman" w:eastAsia="Times New Roman" w:hAnsi="Times New Roman"/>
          <w:sz w:val="18"/>
          <w:szCs w:val="18"/>
          <w:color w:val="242424"/>
        </w:rPr>
        <w:t>”</w:t>
      </w:r>
    </w:p>
    <w:p>
      <w:pPr>
        <w:spacing w:after="0" w:line="15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Uninsured or underinsured losses could result in payment of substantial damages, which would decrease our cash reserves and could harm our cash flow and financial condition.</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In the ordinary course of business, we may be subject to losses resulting from claims such as product liability, significant accidents, acts of God or other claims brought against us, for which we may have no or insufficient insurance coverage. While we currently carry insurance that is customary for a company of our size and operations, we may not maintain as much insurance coverage as other original equipment manufacturers, and in some cases, we may not maintain any at all. Additionally, the policies that we have in place may include significant deductibles or exclusions, and we cannot be certain that our insurance coverage will be sufficient to cover all or any future claims. A loss that is uninsured or exceeds existing policy limits may require us to pay unexpected and substantial amounts, which could adversely affect our financial condition and results of operations. Further, insurance coverage may not continue to be available to us or, if available, may be at a significantly higher cost based on insurance market conditions or changes in our risk profile. This may require a change in our insurance purchasing philosophy and strategy which can result in the assumption of greater risks to offset insurance market fluctuations.</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Extended periods of low gasoline or other petroleum-based fuel prices could adversely affect demand for our vehicles, which would adversely affect our business, prospects, results of operations and financial condition.</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42424"/>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 For example, the current U.S. presidential administration has issued an executive order to declare a national energy emergency and facilitate the production and supply of domestic energy resources, including oil.</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42424"/>
        </w:rPr>
        <w:t>Gasoline and other petroleum-based fuel prices have historically been extremely volatile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spacing w:after="0" w:line="17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Changing and at times, conflicting, expectations from global regulations, our investors, customers and employees with respect to ESG matters may impose additional costs on us or expose us to new or additional risks.</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42424"/>
        </w:rPr>
        <w:t>Attention from governmental organizations and our investors, customers and employees, on ESG issues and disclosure, as well as growing anti-ESG sentiment among certain stakeholders, may cause us to incur additional costs or expose us to additional risks. There can be no certainty that we will be able to meet varying or conflicting stakeholder expectations regarding ESG matters to our various stakeholders’ satisfaction. Negative public perception, adverse publicity or negative comments in social media about us could damage our reputation. Any harm to our reputation could impact our employees’ engagement and retention and the willingness of our customers and partners to do business with us.</w:t>
      </w:r>
    </w:p>
    <w:p>
      <w:pPr>
        <w:spacing w:after="0" w:line="1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242424"/>
        </w:rPr>
        <w:t>Additionally, we may not be able to comply with increasing global regulations on ESG topics, such as human rights and sustainability reporting. We could also incur additional costs and require additional resources to monitor, report, and comply with ESG regulations in various jurisdictions. Actual or perceived shortcomings or dissatisfaction with our ESG practices and reporting may subject us to litigation and could negatively impact our business. In addition, a variety of organizations have developed ratings to measure the performance of companies on ESG topics, and the results of these assessments are widely publicized. Unfavorable or downgraded ratings of our company or our industries, as well as non-inclusion or removal of our stock on ESG-oriented investment funds or indexes, may lead to negative investor sentiment and the diversion of investment to other companies or industries, which could have a negative impact on our stock price.</w:t>
      </w:r>
    </w:p>
    <w:p>
      <w:pPr>
        <w:sectPr>
          <w:pgSz w:w="11900" w:h="16838" w:orient="portrait"/>
          <w:cols w:equalWidth="0" w:num="1">
            <w:col w:w="11220"/>
          </w:cols>
          <w:pgMar w:left="320" w:top="985" w:right="359" w:bottom="1440" w:gutter="0" w:footer="0" w:header="0"/>
        </w:sect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231F20"/>
        </w:rPr>
        <w:t>Risks Related to Manufacturing and Supply Chain</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We have experienced and may in the future experience significant delays in the design, launch and manufacture of our vehicles, including the Lucid Air, the </w:t>
      </w:r>
      <w:r>
        <w:rPr>
          <w:rFonts w:ascii="Times New Roman" w:cs="Times New Roman" w:eastAsia="Times New Roman" w:hAnsi="Times New Roman"/>
          <w:sz w:val="18"/>
          <w:szCs w:val="18"/>
          <w:b w:val="1"/>
          <w:bCs w:val="1"/>
          <w:i w:val="1"/>
          <w:iCs w:val="1"/>
          <w:color w:val="000000"/>
        </w:rPr>
        <w:t>Lucid</w:t>
      </w:r>
      <w:r>
        <w:rPr>
          <w:rFonts w:ascii="Times New Roman" w:cs="Times New Roman" w:eastAsia="Times New Roman" w:hAnsi="Times New Roman"/>
          <w:sz w:val="18"/>
          <w:szCs w:val="18"/>
          <w:b w:val="1"/>
          <w:bCs w:val="1"/>
          <w:i w:val="1"/>
          <w:iCs w:val="1"/>
          <w:color w:val="231F20"/>
        </w:rPr>
        <w:t xml:space="preserve"> Gravity and our upcoming Midsize platform, which could harm our business and prospects.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Our plan to scale our manufacturing capacity and increase sales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as well as in ramping up production, and we have experienced in the past, and may experience in the future, such delays with regard to our vehicles. For example, we have experienced delays in the engineering of certain of our vehicle systems, including as a result of design changes to components. Any future delays in the design, launch and manufacture of our vehicles and variants could materially damage our business, prospects, financial condition and results of operations.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31F20"/>
        </w:rPr>
        <w:t>O</w:t>
      </w:r>
      <w:r>
        <w:rPr>
          <w:rFonts w:ascii="Times New Roman" w:cs="Times New Roman" w:eastAsia="Times New Roman" w:hAnsi="Times New Roman"/>
          <w:sz w:val="18"/>
          <w:szCs w:val="18"/>
          <w:color w:val="000000"/>
        </w:rPr>
        <w:t>ur Midsize platform is still in the development and/or testing phase, and ma</w:t>
      </w:r>
      <w:r>
        <w:rPr>
          <w:rFonts w:ascii="Times New Roman" w:cs="Times New Roman" w:eastAsia="Times New Roman" w:hAnsi="Times New Roman"/>
          <w:sz w:val="18"/>
          <w:szCs w:val="18"/>
          <w:color w:val="231F20"/>
        </w:rPr>
        <w:t>y occur later than expected or not at all. Additionally, prior to mass production of our electric vehicles, we will also need the vehicles to be fully approved for sale according to differing requirements, including but not limited to regulatory requirements, in the different geographies where we intend to launch our vehicles. Likewise, we have encountered and may continue to encounter delays with the design, construction, and regulatory or other approvals necessary to bring online our future expansions of our Arizona and Saudi Arabia manufacturing facilities, or other future manufacturing facilities.</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31F20"/>
        </w:rPr>
        <w:t>Furthermore, we rely on third party suppliers for the development, manufacture, and/or provision and development of many of the key components and materials used in our vehicles, as well as provisioning and servicing equipment in our manufacturing facilities. We have been affected by ongoing, industry-wide challenges in logistics and supply chains, such as increased supplier lead times and unavailability of reliable third-party suppliers. These challenges have affected our ability, and the ability of our suppliers, to obtain parts, components and manufacturing equipment on a timely basis, and in some instances have resulted in increased costs and delays to the construction and expansion of our facilities as well as ramp-up production of our vehicles. We expect that the risk of unexpected disruptions will continue for the foreseeable future. To the extent our suppliers experience any delays in providing us with or developing necessary components, we could experience delays in delivering on our timelines.</w:t>
      </w:r>
    </w:p>
    <w:p>
      <w:pPr>
        <w:spacing w:after="0" w:line="189"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231F20"/>
        </w:rPr>
        <w:t>Any significant delay or complication in the design of our vehicles, or in the launch, manufacture, and production ramp of our products, features and services, including those related to expanding our production capacity and supply chain, obtaining or maintaining necessary regulatory approvals, or managing such ramps cost-effectively, could materially damage our brand, business, prospects, financial condition and results of operations.</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231F20"/>
        </w:rPr>
        <w:t xml:space="preserve">The continued development, manufacturing and production ramp of our vehicles, including the Lucid Air, the </w:t>
      </w:r>
      <w:r>
        <w:rPr>
          <w:rFonts w:ascii="Times New Roman" w:cs="Times New Roman" w:eastAsia="Times New Roman" w:hAnsi="Times New Roman"/>
          <w:sz w:val="18"/>
          <w:szCs w:val="18"/>
          <w:color w:val="000000"/>
        </w:rPr>
        <w:t>Lucid</w:t>
      </w:r>
      <w:r>
        <w:rPr>
          <w:rFonts w:ascii="Times New Roman" w:cs="Times New Roman" w:eastAsia="Times New Roman" w:hAnsi="Times New Roman"/>
          <w:sz w:val="18"/>
          <w:szCs w:val="18"/>
          <w:color w:val="231F20"/>
        </w:rPr>
        <w:t xml:space="preserve"> Gravity and our upcoming Midsize platform, are and will be subject to risks, including with respect to:</w:t>
      </w:r>
    </w:p>
    <w:p>
      <w:pPr>
        <w:spacing w:after="0" w:line="54" w:lineRule="exact"/>
        <w:rPr>
          <w:sz w:val="20"/>
          <w:szCs w:val="20"/>
          <w:color w:val="auto"/>
        </w:rPr>
      </w:pPr>
    </w:p>
    <w:p>
      <w:pPr>
        <w:ind w:left="660" w:right="600" w:hanging="328"/>
        <w:spacing w:after="0" w:line="282" w:lineRule="auto"/>
        <w:tabs>
          <w:tab w:leader="none" w:pos="655"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ensure ongoing readiness of firmware features and functions to be integrated into the Lucid Air as planned and on the desired timeline;</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finalize release candidate specifications for our future vehicles as planned and on the desired timeline;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delays by us in delivering final component designs to our suppliers or any changes to such component designs;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or our suppliers’ ability to successfully tool manufacturing facilities as planned and on the desired timeline;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ensure a working and reliable supply chain and desired supplier part quality and quantity as planned and on the desired timeline;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accurately manufacture vehicles within specified design tolerances;</w:t>
      </w:r>
    </w:p>
    <w:p>
      <w:pPr>
        <w:spacing w:after="0" w:line="117" w:lineRule="exact"/>
        <w:rPr>
          <w:rFonts w:ascii="Times New Roman" w:cs="Times New Roman" w:eastAsia="Times New Roman" w:hAnsi="Times New Roman"/>
          <w:sz w:val="18"/>
          <w:szCs w:val="18"/>
          <w:color w:val="231F20"/>
        </w:rPr>
      </w:pPr>
    </w:p>
    <w:p>
      <w:pPr>
        <w:ind w:left="660" w:right="420" w:hanging="328"/>
        <w:spacing w:after="0" w:line="282" w:lineRule="auto"/>
        <w:tabs>
          <w:tab w:leader="none" w:pos="655"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our ability to establish, implement, </w:t>
      </w:r>
      <w:r>
        <w:rPr>
          <w:rFonts w:ascii="Times New Roman" w:cs="Times New Roman" w:eastAsia="Times New Roman" w:hAnsi="Times New Roman"/>
          <w:sz w:val="18"/>
          <w:szCs w:val="18"/>
          <w:color w:val="000000"/>
        </w:rPr>
        <w:t>refine and scale, as well as make significant investments in manufacturing, supply chain management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logistics functions, including the related information technology systems and software applications;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reduce and control the costs of key parts and materials;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significantly reduce freight costs, including in-bound freight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any transitions or changes in our production process, planned or unplanned;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product defects that cannot be remedied without adversely affecting the production;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neces</w:t>
      </w:r>
      <w:r>
        <w:rPr>
          <w:rFonts w:ascii="Times New Roman" w:cs="Times New Roman" w:eastAsia="Times New Roman" w:hAnsi="Times New Roman"/>
          <w:sz w:val="18"/>
          <w:szCs w:val="18"/>
          <w:color w:val="231F20"/>
        </w:rPr>
        <w:t>sary funding;</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negotiate and execute definitive agreements with various suppliers for hardware, software, or services necessary to engineer or manufacture our vehicles;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obtain required regulatory approvals and certifications;</w:t>
      </w:r>
    </w:p>
    <w:p>
      <w:pPr>
        <w:sectPr>
          <w:pgSz w:w="11900" w:h="16838" w:orient="portrait"/>
          <w:cols w:equalWidth="0" w:num="1">
            <w:col w:w="11240"/>
          </w:cols>
          <w:pgMar w:left="320" w:top="981"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69" w:name="page70"/>
    <w:bookmarkEnd w:id="69"/>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comply with environmental, safety, and similar regulations and in a timely manner;</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secure necessary components, services, or licenses on acceptable terms and in a timely manner;</w:t>
      </w:r>
    </w:p>
    <w:p>
      <w:pPr>
        <w:spacing w:after="0" w:line="117"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attract, recruit, hire, retain and train skilled employees including supply chain management, supplier quality, manufacturing and logistics personnel;</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design and implement effective and efficient quality control and inventory management processes;</w:t>
      </w:r>
    </w:p>
    <w:p>
      <w:pPr>
        <w:spacing w:after="0" w:line="117" w:lineRule="exact"/>
        <w:rPr>
          <w:rFonts w:ascii="Times New Roman" w:cs="Times New Roman" w:eastAsia="Times New Roman" w:hAnsi="Times New Roman"/>
          <w:sz w:val="18"/>
          <w:szCs w:val="18"/>
          <w:color w:val="231F20"/>
        </w:rPr>
      </w:pPr>
    </w:p>
    <w:p>
      <w:pPr>
        <w:ind w:left="660" w:right="220" w:hanging="328"/>
        <w:spacing w:after="0" w:line="282"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disruptions or other changes in our supply chain, including raw material supplies and availability and cost-effectiveness in domestic and international sourcing;</w:t>
      </w:r>
    </w:p>
    <w:p>
      <w:pPr>
        <w:spacing w:after="0" w:line="53" w:lineRule="exact"/>
        <w:rPr>
          <w:rFonts w:ascii="Times New Roman" w:cs="Times New Roman" w:eastAsia="Times New Roman" w:hAnsi="Times New Roman"/>
          <w:sz w:val="18"/>
          <w:szCs w:val="18"/>
          <w:color w:val="231F20"/>
        </w:rPr>
      </w:pPr>
    </w:p>
    <w:p>
      <w:pPr>
        <w:ind w:left="660" w:right="700" w:hanging="328"/>
        <w:spacing w:after="0" w:line="282"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maintain arrangements on commercially reasonable terms with our suppliers, delivery and other partners, after sales service providers, and other operationally significant third parties;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delays, backlog in manufacturing and research and development of new mo</w:t>
      </w:r>
      <w:r>
        <w:rPr>
          <w:rFonts w:ascii="Times New Roman" w:cs="Times New Roman" w:eastAsia="Times New Roman" w:hAnsi="Times New Roman"/>
          <w:sz w:val="18"/>
          <w:szCs w:val="18"/>
          <w:color w:val="000000"/>
        </w:rPr>
        <w:t>dels, and cost overruns;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risks identified herein.</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Risks Related to Financing and Strategic Transactions </w:t>
      </w:r>
      <w:r>
        <w:rPr>
          <w:rFonts w:ascii="Times New Roman" w:cs="Times New Roman" w:eastAsia="Times New Roman" w:hAnsi="Times New Roman"/>
          <w:sz w:val="18"/>
          <w:szCs w:val="18"/>
          <w:i w:val="1"/>
          <w:iCs w:val="1"/>
          <w:color w:val="auto"/>
        </w:rPr>
        <w:t>— We will require additional capital to support business growth, and this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might not be available on commercially reasonable terms, or at all.”</w:t>
      </w:r>
    </w:p>
    <w:p>
      <w:pPr>
        <w:spacing w:after="0" w:line="179" w:lineRule="exact"/>
        <w:rPr>
          <w:sz w:val="20"/>
          <w:szCs w:val="20"/>
          <w:color w:val="auto"/>
        </w:rPr>
      </w:pPr>
    </w:p>
    <w:p>
      <w:pPr>
        <w:jc w:val="both"/>
        <w:ind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ability to continue production and our future growth depends upon our ability to </w:t>
      </w:r>
      <w:r>
        <w:rPr>
          <w:rFonts w:ascii="Times New Roman" w:cs="Times New Roman" w:eastAsia="Times New Roman" w:hAnsi="Times New Roman"/>
          <w:sz w:val="17"/>
          <w:szCs w:val="17"/>
          <w:b w:val="1"/>
          <w:bCs w:val="1"/>
          <w:i w:val="1"/>
          <w:iCs w:val="1"/>
          <w:color w:val="231F20"/>
        </w:rPr>
        <w:t>maintain relationships with our existing suppliers and source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i w:val="1"/>
          <w:iCs w:val="1"/>
          <w:color w:val="231F20"/>
        </w:rPr>
        <w:t>suppliers for our critical components, and to complete building out our supply chain, while effectively managing the risks due to such relationships.</w:t>
      </w:r>
    </w:p>
    <w:p>
      <w:pPr>
        <w:spacing w:after="0" w:line="13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231F20"/>
        </w:rPr>
        <w:t>Our success, including our ability to continue production of the Lucid Air and ramp up of the Lucid Gravity, will depend on our ability to enter into supplier agreements and maintain our relationships with hundreds of suppliers that are critical to the output and production of our vehicles. To date, we have not secured long-term supply agreements for all of our components, and for some components, our supply agreements do not guarantee sufficient quantities of components for our vehicle production ramp curve. We plan to seek opportunities to secure long-term committed supply agreements for certain of these components. The supplier agreements we have or may enter into with key suppliers in the future may not be renewed or may contain provisions under which suppliers may refuse to supply.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and/or currency values. Substantial increases in the costs for such components, materials and equipment, whether due to supply chain or logistics issues, adverse economic conditions, changes in trade policies or agreements, the uncertainties surrounding domestic and foreign tariffs, inflation, or increased energy or natural gas costs, would increase our operating costs and could reduce our margins if we cannot offset these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231F20"/>
        </w:rPr>
        <w:t>We may also be at a disadvantage in negotiating supply agreements for the production of our vehicles as well as for the design and construction of our manufacturing facilities due to our limited operating history. In addition, given that in many cases we are an aggregator of automotive parts produced by third-party manufacturers, there is the possibility that supply agreements for the parts and components for our vehicles could be at costs that make it difficult for us to operate profitably.</w:t>
      </w:r>
    </w:p>
    <w:p>
      <w:pPr>
        <w:spacing w:after="0" w:line="17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We rely on hundreds of third-party suppliers for the provision and development of many key components and materials used in our vehicles. While we plan to obtain components from multiple sources whenever possible, many components used in our vehicles will be custom-designed and purchased by us from a single source. Our limited, and in many cases single-source, supply chain exposes us to delivery failure or component shortages for our production, including continued production of the Lucid Air and ramp up of the Lucid Gravity.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70" w:name="page71"/>
    <w:bookmarkEnd w:id="70"/>
    <w:p>
      <w:pPr>
        <w:ind w:right="160"/>
        <w:spacing w:after="0" w:line="258" w:lineRule="auto"/>
        <w:rPr>
          <w:sz w:val="20"/>
          <w:szCs w:val="20"/>
          <w:color w:val="auto"/>
        </w:rPr>
      </w:pPr>
      <w:r>
        <w:rPr>
          <w:rFonts w:ascii="Times New Roman" w:cs="Times New Roman" w:eastAsia="Times New Roman" w:hAnsi="Times New Roman"/>
          <w:sz w:val="18"/>
          <w:szCs w:val="18"/>
          <w:color w:val="231F20"/>
        </w:rPr>
        <w:t>We have been affected by ongoing, industry-wide challenges in logistics and supply chains, such as increased supplier lead times and unavailability of reliable third-party suppliers. We expect that these industry-wide trends may continue to affect the ability of us and our suppliers to obtain parts, components and manufacturing equipment, including for the expansion of AMP-1 and the construction of AMP-2, on a timely basis for the foreseeable future, and may result in increased costs. Changes in our supply chain or production needs in order to meet our quality targets, development timelines and production volumes as well as due to design changes and model updates have resulted in cost increases from our suppliers.</w:t>
      </w:r>
    </w:p>
    <w:p>
      <w:pPr>
        <w:spacing w:after="0" w:line="18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231F20"/>
        </w:rPr>
        <w:t>Any significant increases in our production, such as production ramp of the Lucid Gravity, may require us to procure additional components in a short amount of time and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 Alternatively, if our production decreases significantly below our projections for any reason, we may not meet all of our purchase commitments with suppliers with whom we have non-cancelable long-term purchase commitments. In cases where we are unable to fully utilize our purchase commitments, we have in the past and may continue to face fees, penalties, increased prices, excess inventory or inventory write-offs, and there could be a material adverse effect on our results of operations.</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In addition, we have experienced, and in the future could continue to experience, delays if our suppliers do not meet agreed-upon timelines and volumes, experience capacity constraints, or deliver components that do not meet our quality standards or other requirements. Any disruption in the supply of components, including battery cells and semiconductors,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situations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spacing w:after="0" w:line="1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231F20"/>
        </w:rPr>
        <w:t>Furthermore, as we scale our vehicle production, we will need to accurately forecast, purchase, warehouse and transport components to our manufacturing facilities and servicing locations internationally and at much higher volumes. We are only beginning to scale production in our manufacturing facilities and in the process we have experienced challenges associated with such activities. If our production decreases significantly below our projections for any reason, we may incur loss due to inventory write-downs or assets impairment. In addition, we have not yet begun servicing vehicles at significant volumes. Accordingly, we have not thoroughly tested our ability to scale production and vehicle servicing and mitigate risks associated with these activities. In addition, our current systems and processes are not mature, which may affect our ability to timely initiate critical and time sensitive projects and increase project costs. If we continue to experience logistics challenges, are unable to accurately match the timing and quantities of component purchases to our actual needs, successfully recruit and retain personnel with relevant experience, timely comply with applicable regulations,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Furthermore, unexpected changes in business conditions, materials pricing, labor issues, wars, global conflicts or other geopolitical events, governmental changes, political uncertainty, trade policies and agreements, the uncertainties surrounding domestic and foreign tariffs, natural disasters, health epidemics, and other factors beyond our and our suppliers’ control could also affect these suppliers’ ability to deliver components to us on a timely basis. For example, some of the shipping routes in the Red Sea have been affected by the conflict in the Middle East resulting in delays in delivery of components and an increase in shipping costs globally. Additionally, governmental and policy changes may continue to result in new or increased tariffs on imported components. Our ability to mitigate these cost increases may be limited by the lack of alternative suppliers from unaffected countries or domestic suppliers with production capabilities to meet our requirements. Such disruptions or increase in costs could have a material adverse impact on our business, including our ability to timely manufacture and distribute our products in a cost-effective manner and adversely affect our results of operations and financial condition.</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1" w:name="page72"/>
    <w:bookmarkEnd w:id="71"/>
    <w:p>
      <w:pPr>
        <w:spacing w:after="0" w:line="254" w:lineRule="auto"/>
        <w:rPr>
          <w:sz w:val="20"/>
          <w:szCs w:val="20"/>
          <w:color w:val="auto"/>
        </w:rPr>
      </w:pPr>
      <w:r>
        <w:rPr>
          <w:rFonts w:ascii="Times New Roman" w:cs="Times New Roman" w:eastAsia="Times New Roman" w:hAnsi="Times New Roman"/>
          <w:sz w:val="18"/>
          <w:szCs w:val="18"/>
          <w:color w:val="231F20"/>
        </w:rPr>
        <w:t>In addition, we have identified certain of our suppliers, 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we may be required to provide substantial financial support to ensure supply continuity, which could have an additional adverse effect on our liquidity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costs, changes of supply or shortage of materials, in particular for lithium-ion battery cells, could harm our business.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the expansion of AMP-1 and the construction of AMP-2, we have experienced increases in material and infrastructure equipment prices and cost of construction labor. In addition, we use various materials in our business, including aluminum, steel, lithium, nickel, copper, cobalt, neodymium, terbium, praseodymium and manganese, as well as lithium-ion battery cells and semiconductors from suppliers. The prices for these materials fluctuate, and their available supply may be unstable, depending on market conditions, trade policies and tariffs, inflationary pressure and global demand for these materials, including as a result of increased production of electric vehicles, energy storage products by our competitors and the global supply chain crisis, and could adversely affect our business and results of operations. For instance, we are exposed to multiple risks relating to lithium-ion battery cells. These risks include:</w:t>
      </w:r>
    </w:p>
    <w:p>
      <w:pPr>
        <w:spacing w:after="0" w:line="8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change in the cost, or changes in the available supply, of materials, such as cobalt, used in lithium-ion battery cells;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disruption in the supply of lithium-ion battery cells due to quality issues or recalls by manufacturers;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manage our supply and inventory of lithium-ion battery cells; and</w:t>
      </w:r>
    </w:p>
    <w:p>
      <w:pPr>
        <w:spacing w:after="0" w:line="117" w:lineRule="exact"/>
        <w:rPr>
          <w:rFonts w:ascii="Times New Roman" w:cs="Times New Roman" w:eastAsia="Times New Roman" w:hAnsi="Times New Roman"/>
          <w:sz w:val="18"/>
          <w:szCs w:val="18"/>
          <w:color w:val="231F20"/>
        </w:rPr>
      </w:pPr>
    </w:p>
    <w:p>
      <w:pPr>
        <w:ind w:left="660" w:right="92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the value of any foreign currencies, in which lithium-ion battery cells and related raw material purchases are or may be denominated against the U.S. dollar.</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 xml:space="preserve">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In addition, </w:t>
      </w:r>
      <w:r>
        <w:rPr>
          <w:rFonts w:ascii="Times New Roman" w:cs="Times New Roman" w:eastAsia="Times New Roman" w:hAnsi="Times New Roman"/>
          <w:sz w:val="18"/>
          <w:szCs w:val="18"/>
          <w:color w:val="000000"/>
        </w:rPr>
        <w:t>we have entered into amended agreements with Panasonic Energy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 Ltd. and certain of its affiliates for the supply of lithium-ion battery cells, pursuant to which we have made certain </w:t>
      </w:r>
      <w:r>
        <w:rPr>
          <w:rFonts w:ascii="Times New Roman" w:cs="Times New Roman" w:eastAsia="Times New Roman" w:hAnsi="Times New Roman"/>
          <w:sz w:val="18"/>
          <w:szCs w:val="18"/>
          <w:color w:val="231F20"/>
        </w:rPr>
        <w:t>non-can</w:t>
      </w:r>
      <w:r>
        <w:rPr>
          <w:rFonts w:ascii="Times New Roman" w:cs="Times New Roman" w:eastAsia="Times New Roman" w:hAnsi="Times New Roman"/>
          <w:sz w:val="18"/>
          <w:szCs w:val="18"/>
          <w:color w:val="000000"/>
        </w:rPr>
        <w:t xml:space="preserve">celable long-term purchase commitments. If our production decreases significantly below our projections for any reason, we may not meet all of our purchase commitments. In cases where we are unable to fully utilize our purchase commitments, we have in the past and may continue to face fees, penalties, increased prices, excess inventory or inventory write-offs, and there could be a </w:t>
      </w:r>
      <w:r>
        <w:rPr>
          <w:rFonts w:ascii="Times New Roman" w:cs="Times New Roman" w:eastAsia="Times New Roman" w:hAnsi="Times New Roman"/>
          <w:sz w:val="18"/>
          <w:szCs w:val="18"/>
          <w:color w:val="231F20"/>
        </w:rPr>
        <w:t>material adverse effect on our results of operations.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we have experienced in the past and may experience another semiconductor supply shortage, and such shortage could in the future impact us or our suppliers, which could delay or reduce planned production levels of our current and future vehicles and have an adverse effect on our business, prospects and results of operations. In addition, foreign currency fluctuations, tariffs or shortages in petroleum or natural gas and other economic or political conditions have contributed to and may continue to result in significant increases in freight charges and raw material costs. These risks could be further magnified by geographical developments, global conflicts or other geopolitical events, including the conflict in the Middle East, which affects shipping routes both regionally and globally. Substantial increases in the prices for our raw materials or components would increase our operating costs and could reduce our margins. Any attempts to raise product prices in response to increased material costs could lead to reduced demand for our vehicles and materially and adversely affect our brand, image, business, results of operations, prospects and financial condition. In addition, a growth in popularity of electric vehicles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w:t>
      </w:r>
    </w:p>
    <w:p>
      <w:pPr>
        <w:spacing w:after="0" w:line="18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must develop complex software and technology systems, including in coordination with vendors and suppliers, in order to produce our electric vehicles, and there can be no assurance such systems will be successfully developed.</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Our vehicles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electric vehicles and ensure it interoperates with other complex technology as designed and as expected.</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2" w:name="page73"/>
    <w:bookmarkEnd w:id="72"/>
    <w:p>
      <w:pPr>
        <w:ind w:right="260"/>
        <w:spacing w:after="0" w:line="282" w:lineRule="auto"/>
        <w:rPr>
          <w:sz w:val="20"/>
          <w:szCs w:val="20"/>
          <w:color w:val="auto"/>
        </w:rPr>
      </w:pPr>
      <w:r>
        <w:rPr>
          <w:rFonts w:ascii="Times New Roman" w:cs="Times New Roman" w:eastAsia="Times New Roman" w:hAnsi="Times New Roman"/>
          <w:sz w:val="18"/>
          <w:szCs w:val="18"/>
          <w:color w:val="231F20"/>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spacing w:after="0" w:line="54"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delayed production and delivery of our vehicles;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delayed market acceptance of our vehicles;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of customers or inability to attract new customers;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diversion of engineering or other resources for remedying the defect or error;</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damage to our brand or reputation;</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increased service and warranty costs;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legal action by customers or third parties, including product liability claims;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penalties imposed by regulatory authorities.</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31F20"/>
        </w:rPr>
        <w:t>In addition, if we are unable to develop the software and technology systems necessary to operate our vehicles, it will harm our competitive position.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spacing w:after="0" w:line="17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successfully construct or tool our manufacturing facilities or if our manufacturing facilities become inoperable, we will be unable to produce our vehicles and our business will be harmed.</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231F20"/>
        </w:rPr>
        <w:t>While we have completed the initial and second phases of construction at AMP-1 and the SKD portion of AMP-2, tooling our facilities for production of our vehicles and our future expansion plans are complicated and present significant challe</w:t>
      </w:r>
      <w:r>
        <w:rPr>
          <w:rFonts w:ascii="Times New Roman" w:cs="Times New Roman" w:eastAsia="Times New Roman" w:hAnsi="Times New Roman"/>
          <w:sz w:val="18"/>
          <w:szCs w:val="18"/>
          <w:color w:val="000000"/>
        </w:rPr>
        <w:t>nges and may require us to take vehicle production offline.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addition, certain o</w:t>
      </w:r>
      <w:r>
        <w:rPr>
          <w:rFonts w:ascii="Times New Roman" w:cs="Times New Roman" w:eastAsia="Times New Roman" w:hAnsi="Times New Roman"/>
          <w:sz w:val="18"/>
          <w:szCs w:val="18"/>
          <w:color w:val="231F20"/>
        </w:rPr>
        <w:t>f our suppliers may be unable to complete tooling with respect to finalized components of our vehicles in the planned timeframe after we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deliver final component specifications, which could adversely affect our ability to continue commercial production of the Lucid Air and ramp up production of the Lucid Gravity on the expected timing and at the quality levels we require. As with any large-scale capital project, these efforts could be subject to delays, cost overruns or other complications. In addition, we may encounter problems or disputes with our vendors for a variety of reasons, including for reasons beyond our control, and such disputes, with or without merit, could also cause significant delays and cost overruns. These risks could be increased because we are building our facilities from the ground up to support our electric vehicle production processes, which differ substantially from traditional automobile production processes for which expertise is more readily available. In connection with the commencement of commercial production at AMP-1 and SKD production at AMP-2, we have hired and trained and continue to hire, retain, and train a significant number of employees and integrate a yet-to-be-fully-developed supply chain. Any failure to continue commercial or SKD production on schedule would lead to additional costs and would delay our ability to generate meaningful revenues. In addition, it could prevent us from gaining the confidence of potential customers, spur cancellations of orders and open the door to increased competition. All of the foregoing could hinder our ability to successfully launch and grow our business and achieve a competitive position in the market.</w:t>
      </w:r>
    </w:p>
    <w:p>
      <w:pPr>
        <w:spacing w:after="0" w:line="19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231F20"/>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our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Although we do not currently expect that we will be required to take vehicle production offline or reduce our planned manufacturing volumes, any such repairs or remediation could entail significant costs, and we may be unable to recover some or all of such costs from the applicable contractor(s).</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The construction of our facilities and our operations are also subject to review and inspection by officials in the jurisdictions where our facilities are located, including without limitation, fire officials and building construction officials. We have received in the past, and could in the future receive, results from inspections by local officials at our facilities, both existing and currently under construction, citing failing marks. When such results have arisen, we actively engaged with the local authorities to address all of the specific issues identified by those officials as well as to devise means and methods that help ensure a safe and compliant work environment. Any future results will be addressed in a similar manner. Failure to address issues raised by local authorities may result in government-ordered temporary cessation of our construction and/or production operations, which could require us to take vehicle production offline or reduce our planned manufacturing volumes, all of which could have a material adverse effect on our business, results of operations, cash flows, financial condition or prospects.</w:t>
      </w:r>
    </w:p>
    <w:p>
      <w:pPr>
        <w:sectPr>
          <w:pgSz w:w="11900" w:h="16838" w:orient="portrait"/>
          <w:cols w:equalWidth="0" w:num="1">
            <w:col w:w="11240"/>
          </w:cols>
          <w:pgMar w:left="320" w:top="985"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73" w:name="page74"/>
    <w:bookmarkEnd w:id="73"/>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complex machinery for our operations, and production involves a significant degree of risk and uncertainty in terms of operational performance, safety, security and costs.</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231F20"/>
        </w:rPr>
        <w:t>We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31F20"/>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time-to-time and will depend on repairs and spare parts that may not be available when needed. Furthermore, AMP-1 and AMP-2 and the equipment we use to manufacture our vehicles will be costly to repair or replace and could require substantial lead-time to repair or replace and qualify for use.</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sandstorms, environmental hazards and remediation, costs associated with decommissioning of equipment, labor disputes and strikes, lack of availability of qualified construction labor, difficulty or delays in obtaining governmental permits and licenses, damages or defects in electronic systems, industrial accidents or health epidemics,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this insurance may not be sufficient to cover all of our potential losses and may not continue to be available to us on acceptable terms, if at all, based on insurance market conditions or our evolving risk profile.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of which could have a material adverse effect on our business, results of operations, cash flows, financial condition or prospects.</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31F20"/>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limited experience in high volume manufacture of our vehicles.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 xml:space="preserve">We cannot provide any assurance as to whether we will be able to develop and implement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and ramp up production of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global conflicts or other geopolitical events or force majeure events, or in time to meet our commercialization schedules, or to store and deliver parts in sufficient quantities to the manufacturing lines in a manner that enables us to maintain our production ramp curve and rates, satisfy the requirements of customers and potential customers or fully utilize our purchase commitments with suppliers. For example, as result of the conflict in the Middle East, we have experienced an impact on our shipping routes in the Red Sea, which has resulted in shipping delays and increased shipping costs globally. Any failure to develop, implement and maintain such logistics, production, quality control, and inventory management processes and capabilities within our projected costs and timelines could have a material adverse effect on our business, results of operations, prospects and financial condition. Moreover, we have experienced logistics challenges as we continue to refine our manufacturing, logistics and inventory management processes, and efforts to implement or improve such processes may cause halts or delays in production and result in additional costs. Bottlenecks and other unexpected challenges have and may continue to arise as we continue commercial production of the Lucid Air and ramp up production of the </w:t>
      </w:r>
      <w:r>
        <w:rPr>
          <w:rFonts w:ascii="Times New Roman" w:cs="Times New Roman" w:eastAsia="Times New Roman" w:hAnsi="Times New Roman"/>
          <w:sz w:val="18"/>
          <w:szCs w:val="18"/>
          <w:color w:val="000000"/>
        </w:rPr>
        <w:t>Lucid</w:t>
      </w:r>
      <w:r>
        <w:rPr>
          <w:rFonts w:ascii="Times New Roman" w:cs="Times New Roman" w:eastAsia="Times New Roman" w:hAnsi="Times New Roman"/>
          <w:sz w:val="18"/>
          <w:szCs w:val="18"/>
          <w:color w:val="231F20"/>
        </w:rPr>
        <w:t xml:space="preserve"> Gravity,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and/or sustaining our production ramps or be unable to meet our related cost and profitability targets.</w:t>
      </w:r>
    </w:p>
    <w:p>
      <w:pPr>
        <w:sectPr>
          <w:pgSz w:w="11900" w:h="16838" w:orient="portrait"/>
          <w:cols w:equalWidth="0" w:num="1">
            <w:col w:w="11240"/>
          </w:cols>
          <w:pgMar w:left="320" w:top="981" w:right="339"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231F20"/>
        </w:rPr>
        <w:t>If our vehicles fail to perform as expected, our ability to develop, market and sell or lease our products could be harmed.</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 xml:space="preserve">Our vehicles or the components installed therein have in the past and may in the future contain defects in design or manufacture, including components designed or manufactured by suppliers, that may cause them not to perform as expected or that may require repairs, recalls, or design changes, any of which would require significant financial and other resources to successfully navigate and resolve. Our vehicles use a substantial amount of software code to operate, and software products are inherently complex and may </w:t>
      </w:r>
      <w:r>
        <w:rPr>
          <w:rFonts w:ascii="Times New Roman" w:cs="Times New Roman" w:eastAsia="Times New Roman" w:hAnsi="Times New Roman"/>
          <w:sz w:val="18"/>
          <w:szCs w:val="18"/>
          <w:color w:val="000000"/>
        </w:rPr>
        <w:t>when first introduced</w:t>
      </w:r>
      <w:r>
        <w:rPr>
          <w:rFonts w:ascii="Times New Roman" w:cs="Times New Roman" w:eastAsia="Times New Roman" w:hAnsi="Times New Roman"/>
          <w:sz w:val="18"/>
          <w:szCs w:val="18"/>
          <w:color w:val="231F20"/>
        </w:rPr>
        <w:t xml:space="preserve"> contain defects and </w:t>
      </w:r>
      <w:r>
        <w:rPr>
          <w:rFonts w:ascii="Times New Roman" w:cs="Times New Roman" w:eastAsia="Times New Roman" w:hAnsi="Times New Roman"/>
          <w:sz w:val="18"/>
          <w:szCs w:val="18"/>
          <w:color w:val="000000"/>
        </w:rPr>
        <w:t>errors. If our vehicles contain defects in design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or manufacture that cause them not to perform as expected or that require repair, or if certain features of our vehicles take longer than expected to become available, are legally restricted or become subject to additional regulations, our ability to develop, market and sell our products and services could be adversely affected. In addition, our over-the-air software updates may fail to achieve its intended repair and performance goals, expose our customers’ vehicles to vulnerabilities, or have unintended consequences, and may require our customers to bring their vehicles to our service centers.</w:t>
      </w:r>
    </w:p>
    <w:p>
      <w:pPr>
        <w:spacing w:after="0" w:line="19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231F20"/>
        </w:rPr>
        <w:t xml:space="preserve">Any defects, delays or legal restrictions on vehicle features, failed over-the-air software updates, or other failure of our vehicles to perform as expected, could harm our brand and reputation and result in delivery delays, product recalls, product liability claims, breach of warranty claims or significant warranty and other expenses, and could have a material adverse impact on our business, results of operations, prospects and financial condition. </w:t>
      </w:r>
      <w:r>
        <w:rPr>
          <w:rFonts w:ascii="Times New Roman" w:cs="Times New Roman" w:eastAsia="Times New Roman" w:hAnsi="Times New Roman"/>
          <w:sz w:val="18"/>
          <w:szCs w:val="18"/>
          <w:color w:val="000000"/>
        </w:rPr>
        <w:t>Any such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defects or noncompliance with legal requirements could also result in safety recalls. See “— Risks Related to Litigation and Regulation — </w:t>
      </w:r>
      <w:r>
        <w:rPr>
          <w:rFonts w:ascii="Times New Roman" w:cs="Times New Roman" w:eastAsia="Times New Roman" w:hAnsi="Times New Roman"/>
          <w:sz w:val="18"/>
          <w:szCs w:val="18"/>
          <w:i w:val="1"/>
          <w:iCs w:val="1"/>
          <w:color w:val="000000"/>
        </w:rPr>
        <w:t>We have in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past and may choose in the future, or we may be compelled, to undertake product recalls or take other actions, which could adversely affect our business, prospects, results of operations, reputation and financial condition.” </w:t>
      </w:r>
      <w:r>
        <w:rPr>
          <w:rFonts w:ascii="Times New Roman" w:cs="Times New Roman" w:eastAsia="Times New Roman" w:hAnsi="Times New Roman"/>
          <w:sz w:val="18"/>
          <w:szCs w:val="18"/>
          <w:color w:val="231F20"/>
        </w:rPr>
        <w:t>As a new entrant to the industry attempting to build customer relationships and earn</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trust, these effects could be significantly detrimental to us. Additionally, problems and defects experienced by other electric consumer vehicles could by association have a negative impact on perception and customer demand for our vehicles.</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231F20"/>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We have limited experience servicing or repairing our vehicles and their integrated software. Servicing electric vehicles is different than servicing vehicles with internal combustion engines and requires specialized skills, including high voltage training and servicing techniques. Furthermore, some vehicle repairs may be done via over-the-air software updates, which poses additional risks to the vehicles’ software if any issues arise during an update. In addition, we may partner with certain third parties to perform some of the service on our vehicles, and there can be no assurance that we will be able to enter into acceptable arrangements with any such third-party providers or develop and implement the necessary information technology infrastructure to support them. Further, although such servicing partners may have experience in servicing other electric vehicles, they will initially have no experience in servicing our vehicles. We also have a limited network of locations to perform service and may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31F20"/>
        </w:rPr>
        <w:t>Further, the motor vehicle industry laws in some states require that service facilities be available to service vehicles physically sold from locations in the state.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5" w:name="page76"/>
    <w:bookmarkEnd w:id="75"/>
    <w:p>
      <w:pPr>
        <w:ind w:right="140"/>
        <w:spacing w:after="0" w:line="254" w:lineRule="auto"/>
        <w:rPr>
          <w:sz w:val="20"/>
          <w:szCs w:val="20"/>
          <w:color w:val="auto"/>
        </w:rPr>
      </w:pPr>
      <w:r>
        <w:rPr>
          <w:rFonts w:ascii="Times New Roman" w:cs="Times New Roman" w:eastAsia="Times New Roman" w:hAnsi="Times New Roman"/>
          <w:sz w:val="18"/>
          <w:szCs w:val="18"/>
          <w:color w:val="231F20"/>
        </w:rPr>
        <w:t>Our customers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or service.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spacing w:after="0" w:line="18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We provide a new vehicle limited warranty on all new vehicles and a genuine spare parts and accessories limited warranty on Lucid genuine spare parts and accessories we sell. We maintain warranty reserves to cover part replacement and other vehicle repair needs, including any potential software upgrades or warranty claims. In addition, we expect to provide a manufacturer’s warranty on any future products we sell and may provide additional warranties on installation workmanship or performance guarantees. Warranty reserves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this could materially and adversely affect our business, prospects, financial condition and results of operations. We may become subject to significant and unexpected expenses as well as claims from our customers, including loss of revenue or damages. There can be no assurances that then-existing reserves will be sufficient to cover all claims. In addition, future laws or regulations may impose additional warranty obligations on us that go beyond our manufacturer’s warranty, which may expose us to materially higher warranty, parts replacement and repair expenses than we expect, and our reserves may be insufficient to cover such expenses.</w:t>
      </w:r>
    </w:p>
    <w:p>
      <w:pPr>
        <w:spacing w:after="0" w:line="188"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limited historical basis for making judgments about the demand for our vehicles or our ability to develop, manufacture, and deliver vehicles, or our profitability in the future. If we overestimate our requirements, our suppliers may have excess inventory, which has in the past and may continue to indirectly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or fail to establish the delivery processes and infrastructure to make deliveries, the delivery of vehicles to our customers could be delayed, which would harm our business, financial condition and results of operations.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6" w:name="page77"/>
    <w:bookmarkEnd w:id="76"/>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facilities or operations could be adversely affected by events outside of our control, such as natural disasters, wars, global conflicts or other geopolitical events, health epidemics or pandemics, or security incidents.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 xml:space="preserve">We and our suppliers may be impacted by weather events, natural disasters, wars, global conflicts or other geopolitical events, health epidemics or pandemics, security incidents or other events outside of our control. For example, our corporate headquarters are located in seismically active regions in Northern California, and our manufacturing facilities in Arizona and Saudi Arabia are located in sandstorm-, flood- and/or tornado-prone areas. If major disasters such as earthquakes, wildfires, floods, tornadoes or other events occur, or our information technology systems or communication networks break down or operate improperly, our headquarters and manufacturing facilities may be seriously damaged, or we may have to stop or delay production and shipment of our products.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Times New Roman" w:cs="Times New Roman" w:eastAsia="Times New Roman" w:hAnsi="Times New Roman"/>
          <w:sz w:val="18"/>
          <w:szCs w:val="18"/>
          <w:i w:val="1"/>
          <w:iCs w:val="1"/>
          <w:color w:val="231F20"/>
        </w:rPr>
        <w:t>A failure to properly comply with foreign trade zone laws and regulations could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increase the cost of our duties and tariffs.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In addition, global conflicts or other geopolitical events may increase the likelihood of supply chain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 xml:space="preserve">interruptions and may impair our ability to compete in current or future markets, or otherwise subject us to potential liability. See “—Risks Related to Manufacturing and Supply Chain — </w:t>
      </w:r>
      <w:r>
        <w:rPr>
          <w:rFonts w:ascii="Times New Roman" w:cs="Times New Roman" w:eastAsia="Times New Roman" w:hAnsi="Times New Roman"/>
          <w:sz w:val="18"/>
          <w:szCs w:val="18"/>
          <w:i w:val="1"/>
          <w:iCs w:val="1"/>
          <w:color w:val="000000"/>
        </w:rPr>
        <w:t>if we fail to successfully tool our manufacturing facilities or if our manufacturing facilities become inoperable, we will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be unable to produce our vehicles and our business will be harmed.” </w:t>
      </w:r>
      <w:r>
        <w:rPr>
          <w:rFonts w:ascii="Times New Roman" w:cs="Times New Roman" w:eastAsia="Times New Roman" w:hAnsi="Times New Roman"/>
          <w:sz w:val="18"/>
          <w:szCs w:val="18"/>
          <w:color w:val="000000"/>
        </w:rPr>
        <w:t>and “— Risks Related to Litigation and Regulation —</w:t>
      </w:r>
      <w:r>
        <w:rPr>
          <w:rFonts w:ascii="Times New Roman" w:cs="Times New Roman" w:eastAsia="Times New Roman" w:hAnsi="Times New Roman"/>
          <w:sz w:val="18"/>
          <w:szCs w:val="18"/>
          <w:i w:val="1"/>
          <w:iCs w:val="1"/>
          <w:color w:val="000000"/>
        </w:rPr>
        <w:t xml:space="preserve"> Changes in U.S. trade policy, including the imposition of or uncertainties surrounding tariffs or revocation of normal trade relations and the resulting consequences, could adversely affect our business, prospects, results of operations and financial condition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We may incur significant expenses or delays relating to such events outside of</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our control, which could have a material adverse impact on our business, results of operations and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vehicles make use of lithium-ion battery cells, which have been observed to catch fire or vent smoke and flame.</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231F20"/>
        </w:rPr>
        <w:t>The battery packs within our vehicles make use of, and any future energy storage systems may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battery cells for automotive applications, disposal and recycling of lithium-ion battery cells, or any future incident involving lithium-ion battery cells, such as a vehicle or other fire, even if such incident does not involve our vehicles, could seriously harm our business and reputation.</w:t>
      </w:r>
    </w:p>
    <w:p>
      <w:pPr>
        <w:spacing w:after="0" w:line="194"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231F20"/>
        </w:rPr>
        <w:t>In addition, as we expand our service network, increase our recycling practices and scale the manufacturing of our vehicles and any future energy storage products, we will need to store lithium-ion battery cells at our facilities and we have experienced, and may in the future experience, thermal events.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Cybersecurity and Data Privacy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Any unauthorized control, manipulation, interruption or compromise of or access to our products or information technology systems or networks could result in loss of confidence in us and our products, harm our business and materially adversely affect our financial performance, results of operations or prospects.</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231F20"/>
        </w:rPr>
        <w:t>Our products contain complex information technology systems. For example, our vehicles are designed with built-in data connectivity to accept and securely install periodic remote updates to improve their functionality.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7" w:name="page78"/>
    <w:bookmarkEnd w:id="77"/>
    <w:p>
      <w:pPr>
        <w:ind w:right="100"/>
        <w:spacing w:after="0" w:line="254" w:lineRule="auto"/>
        <w:rPr>
          <w:sz w:val="20"/>
          <w:szCs w:val="20"/>
          <w:color w:val="auto"/>
        </w:rPr>
      </w:pPr>
      <w:r>
        <w:rPr>
          <w:rFonts w:ascii="Times New Roman" w:cs="Times New Roman" w:eastAsia="Times New Roman" w:hAnsi="Times New Roman"/>
          <w:sz w:val="18"/>
          <w:szCs w:val="18"/>
          <w:color w:val="231F20"/>
        </w:rPr>
        <w:t>In addition, we collect, store, transmit and otherwise process data from vehicles, customers, employees and other third parties as part of our business operations, some of which includes personal, or confidential or proprietary information. We also work with third-party service providers and vendors that collect, store and process such data and information on our behalf. We have taken certain measures designed to prevent unauthorized access to our information technology systems, networks and information (including personal data) and plan to continue to deploy additional measures as we grow. Our third-party service providers and vendors also take steps designed to protect the security and integrity of our and their information technology systems and networks and our and their customers’ information (including personal data). However, there can be no assurance that such systems, networks and measures will not be compromised, including as a result of intentional misconduct by employees, contractors, vendors, or other third parties as well as a result of software bugs, human error, or technical malfunctions.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Furthermore, cyber threat actors may in the future attempt to gain unauthorized access to, modify, alter and/or use our vehicles, products, systems and networks to (i) gain control of, (ii) change the functionality, user interface or performance characteristics of and/or (iii) gain access to data stored in or generated by, our vehicles, products, systems and networks. Advances in technology, such as artificial intelligence,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open-source software, which can create additional risks, including potential security vulnerabilities. We and our third-party service providers’ systems have in the past and may in the future be affected by security incidents. Our systems and networks are also vulnerable to damage or interruption from, among other things, software bugs, server malfunctions, software or hardware failure, computer viruses, malware, ransomware, killware, wiperware, computer denial or degradation of service attacks, telecommunications failures, social engineering schemes (such as vishing, phishing or smishing), domain name spoofing, insider theft, physical theft, fire, terrorist attacks, natural disasters, power loss, war, misuse, mistake, fraud, misconduct or other events that may harm our vehicles, products, systems and networks. Our data center and our third-party service providers’ or vendors’ data centers could be subject to break-ins, sabotage and intentional acts of vandalism causing potential disruptions. We implement comprehensive measures to prevent, mitigate and resolve identified exposures and vulnerabilities, and maintain layered security practices designed to prevent or reduce the likelihood of a cybersecurity incident. We may also be subject to certain laws and regulations, such as “right to repair” laws, including a recent ruling on the initiative in Massachusetts, that could require us to provide third-party access to certain vehicle and vehicle-connected systems. Some of our systems will not be fully redundant, and our disaster recovery planning cannot account for all eventualities. Any problems at our or our third-party service providers’ or vendors’ data centers 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spacing w:after="0" w:line="19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These risks have been heightened in connection with ongoing global conflicts and other geopolitical events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personal, confidential or proprietary information (including our proprietary software code), products, systems and networks, resulting in a data breach, or disruption, modification or destruction to our systems and networks. As a result, we may suffer monetary losses, business interruption, and long-lasting operational issues, damage to our reputation and brand or loss of our intellectual property (including trade secrets).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If we are unable to protect our personal, confidential or proprietary information (including our proprietary software code), products, systems and networks from unauthorized access, use, disclosure, disruption, modification, destruction or other breach, such threats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(including trade secrets). In addition, regardless of their veracity, reports of unauthorized access to our vehicles, products, systems and networks, as well as other factors that may result in the perception that our vehicles, products, systems and networks are vulnerable to being “hacked,” could negatively affect our brand.</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8" w:name="page79"/>
    <w:bookmarkEnd w:id="78"/>
    <w:p>
      <w:pPr>
        <w:ind w:right="60"/>
        <w:spacing w:after="0" w:line="252" w:lineRule="auto"/>
        <w:rPr>
          <w:sz w:val="20"/>
          <w:szCs w:val="20"/>
          <w:color w:val="auto"/>
        </w:rPr>
      </w:pPr>
      <w:r>
        <w:rPr>
          <w:rFonts w:ascii="Times New Roman" w:cs="Times New Roman" w:eastAsia="Times New Roman" w:hAnsi="Times New Roman"/>
          <w:sz w:val="18"/>
          <w:szCs w:val="18"/>
          <w:color w:val="231F20"/>
        </w:rPr>
        <w:t>Furthermore, we are continuously expanding and improving our information technology systems. In particular, our volume production of our current and planned future vehicles will necessitate continued development, maintenance and improvement of our information technology and communication systems and networks in the United States and abroad, such as systems and networks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and financial, tax and regulatory compliance. Our ability to operate our business will depend on the availability and effectiveness of these systems and networks and could be impacted by system outages or similar events. The implementation, maintenance, segregation, and improvement of these systems and networks require significant management time, support and cost. Moreover, there are inherent risks associated with developing, improving and expanding our core systems and networks as well as implementing new systems and networks, including the disruption of our data management, procurement, manufacturing execution, finance, supply chain, inventory management, and sales and service processes. We cannot be certain that these systems and networks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and networks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spacing w:after="0" w:line="1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In addition, our vehicles depend on the ability of software and hardware to store, retrieve, process and manage immense amounts of data. Our software and hardware, including any over-the-air or other updates, may contain, errors, bugs, design defects or other vulnerabilities, and our systems may be subject to technical limitations that may compromise our ability to meet our objectives. Some errors, bugs, design defects or other vulnerabilities may reside in third-party intellectual property or open-source software and/or be inherently difficult to detect and may only be discovered after code has been released for external or internal use. We attempt to remedy any issues we observe in our vehicles as effectively and rapidly as possible, including issuing patches for zero-day vulnerabilities and deploying over-the-air updates to resolve errors, bugs, design defects or other vulnerabilities in our vehicle software, but such efforts may not be timely, may hamper production or may not be to the satisfaction of our customers. Additionally, if we deploy software updates to address any issues but our over-the-air update procedures fail, our customers will need to work with our service personnel to install these updates, and their vehicle will remain vulnerable until installation of the updates. Any compromise of our personal, confidential or proprietary information (including our proprietary software code), products, systems or networks or inability to prevent or effectively remedy errors, bugs, design defects or other vulnerabilities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prospects, results of operations and financial condition.</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may not have adequate insurance coverage, if any, to cover losses associated with any of the foregoing. The costs of investing and remediating a large data breach, or the successful assertion of one or more large claims against us that exceeds our available insurance coverage, or results in changes to our insurance policies (including premium increases, imposition of large deductible, exclusions or co-insurance requirements), could have an adverse effect on our business. In addition, we cannot be certain that our existing insurance coverage will continue to be available on acceptable terms or at all or that our insurers will not deny coverage as to any future claim.</w:t>
      </w:r>
    </w:p>
    <w:p>
      <w:pPr>
        <w:spacing w:after="0" w:line="17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evolving laws, regulations, standards, policies, and contractual obligations related to data privacy and cybersecurity, and any actual or perceived failure to comply with such obligations could harm our reputation and brand, subject us to significant fines and liability, or otherwise adversely affect our business.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31F20"/>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transaction-related information. Additionally, we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9" w:name="page80"/>
    <w:bookmarkEnd w:id="79"/>
    <w:p>
      <w:pPr>
        <w:ind w:right="100"/>
        <w:spacing w:after="0" w:line="253" w:lineRule="auto"/>
        <w:rPr>
          <w:sz w:val="20"/>
          <w:szCs w:val="20"/>
          <w:color w:val="auto"/>
        </w:rPr>
      </w:pPr>
      <w:r>
        <w:rPr>
          <w:rFonts w:ascii="Times New Roman" w:cs="Times New Roman" w:eastAsia="Times New Roman" w:hAnsi="Times New Roman"/>
          <w:sz w:val="18"/>
          <w:szCs w:val="18"/>
          <w:color w:val="231F20"/>
        </w:rPr>
        <w:t>Accordingly, we are subject to or affected by a number of federal, state, local and international laws and regulations, as well as contractual obligations and industry standards, that impose certain obligations and restrictions with respect to data privacy and cybersecurity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The global data protection landscape is rapidly evolving, and implementation standards and enforcement practices are likely to remain uncertain for the foreseeable future. We may not be able to monitor and react to all developments in a timely manner. For</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example, at the international level, the EU adopted the General Data Protection Regulation (“GDPR”)</w:t>
      </w:r>
      <w:r>
        <w:rPr>
          <w:rFonts w:ascii="Times New Roman" w:cs="Times New Roman" w:eastAsia="Times New Roman" w:hAnsi="Times New Roman"/>
          <w:sz w:val="21"/>
          <w:szCs w:val="21"/>
          <w:i w:val="1"/>
          <w:iCs w:val="1"/>
          <w:color w:val="231F20"/>
        </w:rPr>
        <w:t>,</w:t>
      </w:r>
      <w:r>
        <w:rPr>
          <w:rFonts w:ascii="Times New Roman" w:cs="Times New Roman" w:eastAsia="Times New Roman" w:hAnsi="Times New Roman"/>
          <w:sz w:val="18"/>
          <w:szCs w:val="18"/>
          <w:color w:val="231F20"/>
        </w:rPr>
        <w:t xml:space="preserve"> which became effective in May 2018, as well as the European Data Act, the Artificial Intelligence Act, and the Cyber Resilience Act in 2024. Canada adopted and continued to amend the Personal Information Protection and Electronic Documents Act (“PIPEDA”) in addition to applicable provincial laws. The United Arab Emirates adopted the Data Protection Law (“DPL”), which became effective in January 2022. Saudi Arabia enacted the Personal Data Protection Law (“PDPL”) which came into effect in September 2023. Similarly, China’s Data Security Law (“DSL”) and Personal Information Protection Law (“PIPL”) have been effective since 2021. Additionally, following the withdrawal of the United Kingdom (“UK”) from the EU, we may also be subject to the UK General Data Protection Regulation (“UK GDPR”) (i.e., a version of the GDPR as implemented into UK law). Each of these regulations impose additional obligations on companies regarding the handling of personal data and provide certain individual privacy rights to persons whose data is collected. Compliance with existing, proposed and recently enacted laws and regulations (including implementation of the privacy and process enhancements called for under applicable laws and regulations) can be costly, and any failure to comply with these regulatory standards could subject us to legal and reputational risks.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For example, failure to comply with the GDPR and the UK GDPR can result in significant fines and other liability, including fines of up to EUR 20 million (or GBP 17.5 million under the UK GDPR) or four percent (4%) of global revenue, whichever is greater. European data protection authorities have already imposed fines for GDPR violations up to, in some cases, hundreds of millions of Euros. The cost of compliance, and the potential for fines and penalties for non-compliance, with the GDPR and the UK GDPR may have a significant adverse effect on our business and operations. While the UK GDPR currently imposes substantially the same obligations as the GDPR, the UK GDPR will not automatically incorporate changes to the GDPR going forward (which would need to be specifically incorporated by the UK government) and may deviate in a way that creates a risk of divergent parallel regimes and related uncertainty, along with the potential for increased compliance costs and risks for affected businesses. Legal developments in the European Economic Area (“EEA”), including rulings from the Court of Justice of the European Union and from various EU member state data protection authorities, have also created complexity and uncertainty regarding transfers of personal data from the EEA to the United States and other so-called third countries outside the EEA. Similar complexities and uncertainties also apply to transfers from the UK to third countries. While we have taken steps to mitigate the impact on us, the efficacy and longevity of these mechanisms remains uncertain. Additionally, we are monitoring our compliance obligations with a final rule adopted by the U.S. Department of Justice, which prohibits and restricts certain covered data transactions that result in the transfer or access to bulk U.S. sensitive personal data by countries of concern or covered persons, effective April 8, 2025, as well as a final rule adopted by the Bureau of Industry and Security that prohibits specific transactions involving the import or sale of connected vehicles and certain hardware and software with a sufficient nexus to China, applicable to vehicles from model year 2030. These regulations may impact our potential future business operations in China.</w:t>
      </w:r>
    </w:p>
    <w:p>
      <w:pPr>
        <w:spacing w:after="0" w:line="19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231F20"/>
        </w:rPr>
        <w:t>At the U.S.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with respect to data privacy and cybersecurity) (“FTC”) and the Gramm Leach Bliley Act (which regulates the confidentiality and security of customer information obtained by financial institutions, including non-banking financial institutions such as mortgage brokers, motor vehicle dealers, and payday lenders). Our financial services program, for example, will be subject to, among other applicable laws and regulations, the Safeguards Rule, as recently amended by the FTC (the “FTC Safeguards Rule”), which, among other things, requires non-banking financial institutions to design and implement safeguards to protect customer information, and the financial data collected as part of the financial services program consequently requires additional security and administrative controls. Additionally, there has been increasing regulatory scrutiny from the SEC with respect to adequately disclosing risks concerning cybersecurity and data privacy, which increases the risk of investigations into the cybersecurity practices, and related disclosures, of companies within its jurisdiction, which at a minimum can result in distraction of management and diversion of resources for targeted businesses. On July 26, 2023, the SEC adopted new cybersecurity disclosure rules (the “SEC Cybersecurity Disclosure Rules”) for public companies that require disclosure regarding cybersecurity risk management (including the corporate board’s role in overseeing cybersecurity risks, management’s role and expertise in assessing and managing cybersecurity risks, and processes for assessing, identifying and managing cybersecurity risks) in annual reports.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0" w:name="page81"/>
    <w:bookmarkEnd w:id="80"/>
    <w:p>
      <w:pPr>
        <w:spacing w:after="0" w:line="253" w:lineRule="auto"/>
        <w:rPr>
          <w:sz w:val="20"/>
          <w:szCs w:val="20"/>
          <w:color w:val="auto"/>
        </w:rPr>
      </w:pPr>
      <w:r>
        <w:rPr>
          <w:rFonts w:ascii="Times New Roman" w:cs="Times New Roman" w:eastAsia="Times New Roman" w:hAnsi="Times New Roman"/>
          <w:sz w:val="18"/>
          <w:szCs w:val="18"/>
          <w:color w:val="231F20"/>
        </w:rPr>
        <w:t>At the U.S. state level, we are subject to laws and regulations such as the California Consumer Privacy Act of 2018 (as amended by the California Privacy Rights Act of 2020, collectively, the “CCPA”). The CCPA establishes a privacy framework for covered businesses, including an expansive definition of personal information and data privacy rights for California residents, including expanded rights with respect to certain sensitive personal information. The CCPA includes a framework with potentially severe statutory damages for violations and a private right of action for certain data breaches. The CCPA requires covered businesses to provide California residents with certain privacy-related disclosures and rights related to their personal information. As we expand our operations, the CCPA may increase our compliance costs and potential liability. The California Privacy Rights Act also established a state agency, the California Privacy Protection Agency, vested with the authority to implement and enforce the CCPA. Some observers have noted that the CCPA marked the beginning of a trend toward more stringent privacy legislation in the United States, and a number of other states have enacted or are in the process of enacting, or considering similar laws. Complian</w:t>
      </w:r>
      <w:r>
        <w:rPr>
          <w:rFonts w:ascii="Times New Roman" w:cs="Times New Roman" w:eastAsia="Times New Roman" w:hAnsi="Times New Roman"/>
          <w:sz w:val="18"/>
          <w:szCs w:val="18"/>
          <w:color w:val="000000"/>
        </w:rPr>
        <w:t>ce with these state statutes, other similar state or federal laws that may be enacted in the future,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other applicable data privacy and cybersecurity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w:t>
      </w:r>
    </w:p>
    <w:p>
      <w:pPr>
        <w:spacing w:after="0" w:line="19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231F20"/>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applicable privacy notices or applicable data privacy laws, regulations, standards, policies, or contractual obligations could, even if we are not found liable, be expensive and time-consuming to defend and could result in adverse publicity that could harm our business.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Most jurisdictions have enacted laws requiring companies to notify individuals, regulatory authorities and other third parties of security breaches involving certain types of data. For example, laws in all 50 U.S. states generally require businesses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Furthermore, the SEC Cybersecurity Disclosure Rules require the disclosure of material cybersecurity incidents in a Form 8-K, generally within four business days of determining an incident is material. Additionally, upon discovery of an incident in which the unencrypted customer information of at least 500 consumers is acquired without authorization by the consumers to whom the information pertains, the FTC Safeguards Rule requires notifying the FTC as soon as possible, and no later than 30 days after discovery of such incident.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We are also impacted by regulations obligating us to share vehicle repair-related information, including location information, with third parties, including repair shops and repair tool hardware developers, under what are commonly called “right-to-repair” laws, including Massachusetts. Other state, federal, and foreign jurisdictions are exploring expanding right-to-repair obligations in this area as well. Furthermore, some entities within the U.S. federal government, including certain members of Congress and the NHTSA, have recently focused attention on automotive cybersecurity issues and may in the future propose or implement regulations specific to automotive cybersecurity. In addition, the United Nations Economic Commission for Europe (“UNECE”) has introduced regulations governing connected vehicle cybersecurity in the EU which are mandatory for all new vehicle types from July 2022 and all new vehicles produced from July 2024. Similar regulations are also in effect, or expected to come into effect, in certain other international jurisdictions. These and other regulations could adversely affect our business in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regulations.</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New products, services and business lines may face scrutiny from regulators as well. As our engagement with artificial intelligence tools and technologies increases, we may be impacted by emerging artificial intelligence rules, regulations, and frameworks globally, including the EU’s Artificial Intelligence Act. Other nascent data privacy and cybersecurity laws and regulations are still subject to a high degree of uncertainty as to their interpretation and application. If such laws and regulations are implemented, interpreted or applied in a manner inconsistent with our current or future practices or policies, or if we fail to comply with applicable laws or regulations, as well as contractual obligations, policies and industry standards, or to secure personal information, we could be subject to investigations, enforcement actions and other proceedings, which could result in substantial fines, damages, injunctions, orders to change our business practices, and other liability as well as damage to our reputation and credibility, which could have a negative impact on revenues and profits. Any of the foregoing could materially adversely affect our business, prospects, results of operations and financial condition.</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231F20"/>
        </w:rPr>
        <w:t>Risks Related to Our Employees and Human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loss of key employees or an inability to attract, retain and motivate qualified personnel may impair our ability to expand our business.</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231F20"/>
        </w:rPr>
        <w:t>Our success is substantially dependent upon the continued service and performance of our senior management team and workforce. Our employees, including our senior management team, are generally at-will employees, and therefore may terminate employment with us at any time with no advance notice. We could lose some key employees, especially if we are unable to grant sufficient or competitive compensation, including equity awards and bonuses, or if the volatility of our stock price continues to increase.</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future success also depends, in part, on our ability to continue to attract and retain highly skilled personnel. Competition for personnel is frequently intense, especially in the San Francisco Bay Area, where we have a substantial presence and require highly skilled personnel, including, in particular, software and automotive engineers, and Arizona, where we also have a substantial presence and need a large workforce skilled in repair, logistics, supply chain, and manufacturing. As with any company with finite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expertise or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global conflicts and other geopolitical events. Any failure to attract and retain key employees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any restructuring plan may also be distracting to employees and management and may negatively impact our ability to continue to attract and retain highly skilled personnel. In 2024, we conducted a restructuring plan, which involved the reduction of our employee workforce. We cannot provide any assurances that we will not have to undertake additional workforce reductions in the future. Any such plan may adversely affect our business operations, reputation, or ability to serve customers. The replacement of any members of our senior management team or other key employees could involve significant time and costs and may significantly delay or prevent the achievement of our business objectives.</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February 21, 2025, our former Chief Executive Officer and Chief Technology Officer, Peter Rawlinson, resigned from his positions and as a member of our Board of Directors. Our Board of Directors appointed our Chief Operating Officer, Marc Winterhoff, to serve as Interim CEO until a qualified replacement is found. Mr. Rawlinson will be available as Strategic Technical Advisor to the Chairman of the Board through February 21, 2027.</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currently conducting a search for a new CEO. Although we intend to hire a qualified candidate for CEO, no assurance can be given that we will be able to attract and retain a suitable CEO. An extended period of delay in hiring such candidate could potentially have an adverse effect on our operations or financial condition. Furthermore, in the event we are unable to transition seamlessly from our Interim CEO to a new CEO, or if a new CEO should unexpectedly prove to be unsuitable for our Company, the resulting disruption could have an adverse effect on our operations or financial condition or impede our ability to execute our strategic plan.</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will need to hire, retain, and train a </w:t>
      </w:r>
      <w:r>
        <w:rPr>
          <w:rFonts w:ascii="Times New Roman" w:cs="Times New Roman" w:eastAsia="Times New Roman" w:hAnsi="Times New Roman"/>
          <w:sz w:val="18"/>
          <w:szCs w:val="18"/>
          <w:b w:val="1"/>
          <w:bCs w:val="1"/>
          <w:i w:val="1"/>
          <w:iCs w:val="1"/>
          <w:color w:val="231F20"/>
        </w:rPr>
        <w:t>significant number of employees for our business operations, and our business could be adversely affected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31F20"/>
        </w:rPr>
        <w:t>labor and union activities.</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231F20"/>
        </w:rPr>
        <w:t>We will need to hire, retain, and train a significant number of employees to engage in full capacity commercial manufacturing operations and for us to scale commercial production and sales and service operations. There are various risks and challenges associated with hiring, retaining, training and managing a large workforce, such as establishing and maintaining efficient communication channels, procedures and rules of conduct, hiring an adequate number of experienced manufacturing, supply chain management and logistics managerial personnel and creating and maintaining an eff</w:t>
      </w:r>
      <w:r>
        <w:rPr>
          <w:rFonts w:ascii="Times New Roman" w:cs="Times New Roman" w:eastAsia="Times New Roman" w:hAnsi="Times New Roman"/>
          <w:sz w:val="17"/>
          <w:szCs w:val="17"/>
          <w:color w:val="000000"/>
        </w:rPr>
        <w:t>ective company culture.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Although the area surrounding our AMP-1 facility in Casa Grande, Arizona and the area surrounding our AMP-2 facility in King Abdullah Economic City (“KAEC”) are home to highly trained workforces with experience in engineering and manufacturing, these workforces do not have significant experience with electric vehicle manufacturing, and related processes such as inventory management, logistics and quality. Many jobs will require significant training and we may need to spend significant resources to ensure employees obtain and adhere to such training. Further, competition for employees in the Casa Grande, Arizona area has increased and may continue to increase in the future, which may impact the ability or cost to hire in the area; this same competition for talent may eventually intensify in KAEC as well. In addition, as we progress in constructing our AMP-2 facility in Saudi Arabia, we will need to hire, retain, and train a significantly larger number of employees in the local region to fully support the facility’s manufacturing operations. Any failure to comply with local labor laws and customs could have an adverse effect on our business or operations. If we are unsuccessful in hiring</w:t>
      </w:r>
      <w:r>
        <w:rPr>
          <w:rFonts w:ascii="Times New Roman" w:cs="Times New Roman" w:eastAsia="Times New Roman" w:hAnsi="Times New Roman"/>
          <w:sz w:val="17"/>
          <w:szCs w:val="17"/>
          <w:color w:val="231F20"/>
        </w:rPr>
        <w:t>, retaining</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and training a workforce in a timely and cost-effective manner, our business, financial condition and results of operations could be adversely affected.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2" w:name="page83"/>
    <w:bookmarkEnd w:id="82"/>
    <w:p>
      <w:pPr>
        <w:ind w:right="60"/>
        <w:spacing w:after="0" w:line="253" w:lineRule="auto"/>
        <w:rPr>
          <w:sz w:val="20"/>
          <w:szCs w:val="20"/>
          <w:color w:val="auto"/>
        </w:rPr>
      </w:pPr>
      <w:r>
        <w:rPr>
          <w:rFonts w:ascii="Times New Roman" w:cs="Times New Roman" w:eastAsia="Times New Roman" w:hAnsi="Times New Roman"/>
          <w:sz w:val="18"/>
          <w:szCs w:val="18"/>
          <w:color w:val="231F20"/>
        </w:rPr>
        <w:t>Furthermore, although none of either our United States or international based employees are currently represented by a labor union that we are aware of at this time, it is common throughout the automobile industry generally for many employees at automobile companies to belong to a union, which can result in higher employee costs and increased risk of work stoppages. Some unions may attempt and have announced to attempt to organize non-union automakers in the U.S., including us. Moreover, regulations in some jurisdictions outside of the U.S. mandate employee participation in industrial collective bargaining agreements, work councils, or similar activities with certain consultation rights with respect to the relevant companies’ operations, or companies are required to apply collective bargaining agreements, implement works councils or similar bodies with certain consultation rights related to the activities of the companies involved. In the event our employees seek to join or form a labor union, we could be subject to risks as we engage in an attempt to address such organizing and/or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spacing w:after="0" w:line="18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Misconduct by our employees and independent contractors during and before their employment with us could expose us to potentially significant legal liabilities, reputational harm and/or other damages to our business.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31F20"/>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guarantee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information, proprietary information, know-how or trade secrets, we and such employees could be subject to legal claims and liabilities and our reputation and business could be adversely affected as a result.</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In addition, while we have screening procedures during the recruitment process, we cannot guarantee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231F20"/>
        </w:rPr>
        <w:t>Risks Related to Litigation and Regulation</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in U.S. trade policy, including the imposition of or uncertainties surrounding tariffs or revocation of normal trade relations and the resulting consequences, could adversely affect our business, prospects, results of operations and financial condition.</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The U.S. government has adopted an evolving approach to trade policy and, in some cases, has attempted to renegotiate or terminate certain existing bilateral or multi-lateral trade agreements. The current U.S. presidential administration has issued executive orders to review U.S. trade policies, practices and agreements to address trade deficits and other economic security matters. It has also imposed, or proposed to impose, blanket import tariffs or tariffs on imports, in many cases significantly, including steel, certain vehicle parts and software, which have resulted in increased costs for imports and may cause shortages and delays in the supply of certain components, materials, tooling and equipment necessary to produce our vehicles. In response to these tariffs, a number of U.S. trading partners have imposed or threatened to impose retaliatory tariffs on a wide range of U.S. products, which could make it costlier for us to export our vehicles to those countries. For example, Canada has announced countermeasure tariffs on certain U.S.-made vehicles imported from the United States. Further, the administration has announced tariffs on goods imported from China, in addition to existing tariffs, which has resulted in uncertainty regarding the future of international trade between the U.S. and China. U.S.-China trade relations remain volatile and uncertain, and there can be no assurance that further actions by the U.S., China or another country will not have an adverse impact on our business, operations and access to products manufactured in China or elsewhere outside the U.S.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The exact scope of any such tariffs that may be ultimately implemented remains uncertain at this time. We cannot predict whether, or to what extent, international trade agreements may be altered, nor can we predict whether, or to what extent, duties, additional tariffs, export controls, or other trade restrictions will be modified or imposed by the United States or other countries. If we are unable to pass the costs of such tariffs on to our customer base or otherwise mitigate such costs, or if demand for our exported vehicles decreases due to the higher cost or preferences in foreign countries for domestically manufactured products, our results of operations could be materially adversely affected. Additionally, the threat of retaliatory tariffs and trade wars between the United States and foreign countries could further impede the transition to electric vehicles, disrupt global supply chains, and delay the implementation of economic competitiveness policies. Further, while the administration has recently issued an executive order to reduce certain previously announced tariffs on automobiles and auto parts, there can be no assurance that there will not be further changes. Taken together, these uncertainties surrounding domestic and foreign tariffs and the resulting environment of retaliatory trade practices could increase costs and harm our ability to obtain necessary inputs or sell our vehicles at prices customers are willing to pay, which could have a material adverse effect on our business, prospects, results of operations and financial condition.</w:t>
      </w:r>
    </w:p>
    <w:p>
      <w:pPr>
        <w:spacing w:after="0" w:line="1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 December 2021, the United States adopted the Uyghur Forced Labor Prevention Act (“UFLPA”)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came into effect on June 21, 2022. While we are not presently aware of any direct impacts these restrictions will have on our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 </w:t>
      </w:r>
      <w:r>
        <w:rPr>
          <w:rFonts w:ascii="Times New Roman" w:cs="Times New Roman" w:eastAsia="Times New Roman" w:hAnsi="Times New Roman"/>
          <w:sz w:val="18"/>
          <w:szCs w:val="18"/>
          <w:color w:val="231F20"/>
        </w:rPr>
        <w:t>and could have an adverse effect on our business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operations</w:t>
      </w:r>
      <w:r>
        <w:rPr>
          <w:rFonts w:ascii="Times New Roman" w:cs="Times New Roman" w:eastAsia="Times New Roman" w:hAnsi="Times New Roman"/>
          <w:sz w:val="18"/>
          <w:szCs w:val="18"/>
          <w:color w:val="000000"/>
        </w:rPr>
        <w:t>.</w:t>
      </w:r>
    </w:p>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2022, in response to actions taken by Russia against Ukraine, the United States and other countries around the world undertook rapidly evolving and escalating campaigns targeting Russia and Belarus, and Russian and Belarussian entities and persons, with significant new economic sanctions designations and embargoes, financial restrictions, trade controls and other government restrictions.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Although we are not aware of any company-related operations or activities in these jurisdictions, these economic sanctions and other laws and regulations could disrupt our supply chains, impair our ability to compete in current or future markets, or otherwise subject us to potential liability. While we have implemented certain procedures to facilitate compliance with applicable laws and regulations in connection with the growing sanctions and trade control programs around the globe related to Russia and Belarus,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also have negative consequences for us, including reputational harm, government investigations, loss of export privileges, and penalties or fines. These economic sanctions and other restrictions continue to evolve, and the long-term potential impact on our operations and business is still unclear.</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4" w:name="page85"/>
    <w:bookmarkEnd w:id="84"/>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the United States enacted federal regulations that significantly constrain trade relations with Russia and Belarus. As a result of this and executive action increasing import duty rates on certain Russia-origin products, imports of merchandise that is of Russian- or Belarussian-origin are subject to potentially higher import duty rates. To the extent such merchandise is found in our cross-border supply chains and subject to higher duties, the suspension of normal trade relations with Russian and Belarus could increase our input costs, which could have adverse impacts on our business and financial condition.</w:t>
      </w:r>
    </w:p>
    <w:p>
      <w:pPr>
        <w:spacing w:after="0" w:line="179"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231F20"/>
        </w:rPr>
        <w:t>We are subject to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3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31F20"/>
        </w:rPr>
        <w:t>At various jurisdictional levels, we are or will be subject to complex and evolving environmental, manufacturing, health and safety laws and regulations, including laws relating to the use, handling, storage, recycling, disposal and human exposure to lithium-ion batteries and hazardous materials and with respect to constructing, expanding and maintaining our facilities. The costs of compliance, including remediating contamination, if any, for our properties and any changes to our operations mandated by new or amended laws, may be significant. We may also face unexpected delays in obtaining permits and approvals required by such laws in connection with our facilities, which could affect our ability to continue our operations. Such costs and delays may adversely impact our business prospects and operations. Furthermore, any violations of these laws may result in substantial fines and penalties, remediation costs, third party damages, or a suspension or cessation of our operations.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 xml:space="preserve">In addition, motor vehicles and associated service activities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w:t>
      </w:r>
      <w:r>
        <w:rPr>
          <w:rFonts w:ascii="Times New Roman" w:cs="Times New Roman" w:eastAsia="Times New Roman" w:hAnsi="Times New Roman"/>
          <w:sz w:val="18"/>
          <w:szCs w:val="18"/>
          <w:color w:val="000000"/>
        </w:rPr>
        <w:t>Lucid</w:t>
      </w:r>
      <w:r>
        <w:rPr>
          <w:rFonts w:ascii="Times New Roman" w:cs="Times New Roman" w:eastAsia="Times New Roman" w:hAnsi="Times New Roman"/>
          <w:sz w:val="18"/>
          <w:szCs w:val="18"/>
          <w:color w:val="231F20"/>
        </w:rPr>
        <w:t xml:space="preserve"> Gravity and any future vehicle programs will be subject to such regulation under international, federal, state and local laws and standards. These regulations include those promulgated by the U.S. Environmental Protection Agency, NHTSA, other federal agencies, various state agencies and various state boards; and compliance certification is required for each individual vehicle we manufacture for sale. These laws and standards are subject to change from time-to-time, and we could become subject to additional regulations in the future, which could increase the effort and expense of compliance. If compliance results in delays or substantial expenses, this could adversely affect our business. Laws and industrial standards for electric vehicles continue to evolve, and we face risks associated with changes to these regulations, which could have an impact on the adoption of electric vehicles. In addition, increased sensitivity by regulators to the needs of established automobile manufacturers with large employment bases, high fixed costs and business models based on the internal combustion engine could lead them to adopt regulations that could reduce the compliance costs of such established manufacturers or mitigate the effects of government efforts to promote electric vehicles.</w:t>
      </w:r>
    </w:p>
    <w:p>
      <w:pPr>
        <w:spacing w:after="0" w:line="187"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231F20"/>
        </w:rPr>
        <w:t>We currently are, and expect to become, subject to laws and regulations applicable to the supply chain, manufacture, import, sale and service of automobiles in an increasing number of international jurisdictions. Applicable regulations in countries outside of the U.S., such as standards relating to vehicle safety, transportation of dangerous goods, fuel economy and emissions, battery recycling, among other things, are often materially different from requirements in the United States and also e</w:t>
      </w:r>
      <w:r>
        <w:rPr>
          <w:rFonts w:ascii="Times New Roman" w:cs="Times New Roman" w:eastAsia="Times New Roman" w:hAnsi="Times New Roman"/>
          <w:sz w:val="18"/>
          <w:szCs w:val="18"/>
          <w:color w:val="000000"/>
        </w:rPr>
        <w:t>volving. For example, the EU has enacted a battery regulation that affects Lucid vehicles and batteries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delivered in Europe with increasing requirements for the durability, marking and recycled content of the high-voltage batteries in our vehicles each year, among other requirements. Compliance with such regulations will require additional time and resources</w:t>
      </w:r>
      <w:r>
        <w:rPr>
          <w:rFonts w:ascii="Times New Roman" w:cs="Times New Roman" w:eastAsia="Times New Roman" w:hAnsi="Times New Roman"/>
          <w:sz w:val="18"/>
          <w:szCs w:val="18"/>
          <w:color w:val="231F20"/>
        </w:rPr>
        <w:t>. This process may include official review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verification of our batteries and related documentation prior to market entry.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face regulatory limitations on our ability to sell vehicles directly, which could materially and adversely affect our ability to sell our vehicles.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31F20"/>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Currently, we are licensed as a motor vehicle dealer in several states. In some states, we have also opened or expect to open Lucid studios to educate and inform customers about our vehicles, but those Lucid studios will not actually transact in the sale of vehicles. The application of these state laws to our operations continues to be difficult to predict. Laws in some states have limited our ability to obtain dealer licenses from state motor vehicle regulators and may continue to do so.</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5" w:name="page86"/>
    <w:bookmarkEnd w:id="85"/>
    <w:p>
      <w:pPr>
        <w:spacing w:after="0" w:line="253" w:lineRule="auto"/>
        <w:rPr>
          <w:sz w:val="20"/>
          <w:szCs w:val="20"/>
          <w:color w:val="auto"/>
        </w:rPr>
      </w:pPr>
      <w:r>
        <w:rPr>
          <w:rFonts w:ascii="Times New Roman" w:cs="Times New Roman" w:eastAsia="Times New Roman" w:hAnsi="Times New Roman"/>
          <w:sz w:val="18"/>
          <w:szCs w:val="18"/>
          <w:color w:val="231F20"/>
        </w:rPr>
        <w:t xml:space="preserve">We may face legal challenges to this distribution model. For example, in states where direct sales are not permitted, dealers and their lobbying organizations may complain to the government or regulatory agencies that we are acting in the capacity of a dealer without a license. Alternatively, we have and may continue to initiate legal action against such states that prohibit direct sales, which may be protracted and expensive, and the results are difficult to predict. See “— Risks Related to Litigation and Regulation — </w:t>
      </w:r>
      <w:r>
        <w:rPr>
          <w:rFonts w:ascii="Times New Roman" w:cs="Times New Roman" w:eastAsia="Times New Roman" w:hAnsi="Times New Roman"/>
          <w:sz w:val="18"/>
          <w:szCs w:val="18"/>
          <w:i w:val="1"/>
          <w:iCs w:val="1"/>
          <w:color w:val="231F20"/>
        </w:rPr>
        <w:t>We are subject to legal proceedings, regulatory disputes and governmental inquiries that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could cause us to incur significant expenses, divert our management’s attention, and adversely affect our business, results of operations, cash flows and financial condition</w:t>
      </w:r>
      <w:r>
        <w:rPr>
          <w:rFonts w:ascii="Times New Roman" w:cs="Times New Roman" w:eastAsia="Times New Roman" w:hAnsi="Times New Roman"/>
          <w:sz w:val="18"/>
          <w:szCs w:val="18"/>
          <w:color w:val="231F20"/>
        </w:rPr>
        <w:t>.” In some states, regulators may restrict or prohibit us from directly providing warranty repair service, or from contracting with third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state-to-state, our distribution model must be carefully established, and our sales and service processes must be continually monitored for compliance with the various state requirements, which change from time-to-time. Regulatory compliance and likely challenges to the distribution model may add to the cost of our business.</w:t>
      </w:r>
    </w:p>
    <w:p>
      <w:pPr>
        <w:spacing w:after="0" w:line="18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in the past and may choose in the future, or we may be compelled, to undertake product recalls or take other actions, which could adversely affect our business, prospects, results of operations, reputation and financial condition.</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231F20"/>
        </w:rPr>
        <w:t>Product recalls may result in adverse publicity, damage our reputation and adversely affect our business, prospects, results of operations and financial condition. For example, we have conducted several vehicle recalls due to a number of potential issues in the past and we may in the future voluntarily or involuntarily initiate additional recalls if any of our electric vehicles or components (including our batteries) prove to be defective or noncompliant with applicable federal motor vehicle safety standards. If a large number 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markets and our business, prospects, results of operations and financial condition.</w:t>
      </w:r>
    </w:p>
    <w:p>
      <w:pPr>
        <w:spacing w:after="0" w:line="18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 xml:space="preserve">From time-to-time, we may be subject to claims, lawsuits, government investigations and other proceedings involving product liability, consumer protection, competition and antitrust, intellectual property, data privacy, cybersecurity, securities, tax, labor and employment, health and safety, our direct distribution model, motor vehicle dealership licenses and state licensing laws, environmental claims, contractual and commercial disputes and other matters that could adversely affect our business, brand, reputation, results of operations, cash flows, financial condition, and the trading price of our common stock. These claims could be asserted against us by individuals, either acting individually or through class actions, by governmental entities in civil or criminal investigations and proceedings, or by other entities. For example, we are currently the subject of a class action filed against us and our former CEO, alleging violations of securities laws. We are also the subject of multiple shareholder derivative lawsuits alleging breaches of fiduciary duties and related claims against certain of our former and current directors. For details regarding these legal proceedings, refer to Note </w:t>
      </w:r>
      <w:r>
        <w:rPr>
          <w:rFonts w:ascii="Times New Roman" w:cs="Times New Roman" w:eastAsia="Times New Roman" w:hAnsi="Times New Roman"/>
          <w:sz w:val="18"/>
          <w:szCs w:val="18"/>
          <w:color w:val="000000"/>
        </w:rPr>
        <w:t>12</w:t>
      </w:r>
      <w:r>
        <w:rPr>
          <w:rFonts w:ascii="Times New Roman" w:cs="Times New Roman" w:eastAsia="Times New Roman" w:hAnsi="Times New Roman"/>
          <w:sz w:val="18"/>
          <w:szCs w:val="18"/>
          <w:color w:val="231F20"/>
        </w:rPr>
        <w:t xml:space="preserve"> “Commitments and Contingencies” to the condensed consolidated financial statements included elsewhere in this Quarterly Report for more information.</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Litigation and regulatory proceedings may be protracted an</w:t>
      </w:r>
      <w:r>
        <w:rPr>
          <w:rFonts w:ascii="Times New Roman" w:cs="Times New Roman" w:eastAsia="Times New Roman" w:hAnsi="Times New Roman"/>
          <w:sz w:val="18"/>
          <w:szCs w:val="18"/>
          <w:color w:val="231F20"/>
        </w:rPr>
        <w:t>d expensive, and the results are difficult to predict. Additionally, our litigation and legal defense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costs could be significant, even if we achieve favorable outcomes. Adverse outcomes with respect to litigation or any other legal proceedings may result in significant settlement costs or judgments, criminal and civil penalties and fines, or injunctive relief, including suspension or revocation of licenses to conduct business or other changes to our business practices, all of which could negatively affect our sales and revenue growth and adversely affect our business, prospects, results of operations, cash flows and financial condition. See Part II, Item 1 “Legal Proceedings.”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6" w:name="page87"/>
    <w:bookmarkEnd w:id="86"/>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product liability and warranty-related claims, which could harm our financial condition and liquidity if we are not able to successfully defend or insure against such claims.</w:t>
      </w:r>
    </w:p>
    <w:p>
      <w:pPr>
        <w:spacing w:after="0" w:line="15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231F20"/>
        </w:rPr>
        <w:t xml:space="preserve">We may become subject to product liability and warranty-related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w:t>
      </w:r>
      <w:r>
        <w:rPr>
          <w:rFonts w:ascii="Times New Roman" w:cs="Times New Roman" w:eastAsia="Times New Roman" w:hAnsi="Times New Roman"/>
          <w:sz w:val="18"/>
          <w:szCs w:val="18"/>
          <w:i w:val="1"/>
          <w:iCs w:val="1"/>
          <w:color w:val="231F20"/>
        </w:rPr>
        <w:t>ADAS</w:t>
      </w:r>
      <w:r>
        <w:rPr>
          <w:rFonts w:ascii="Times New Roman" w:cs="Times New Roman" w:eastAsia="Times New Roman" w:hAnsi="Times New Roman"/>
          <w:sz w:val="18"/>
          <w:szCs w:val="18"/>
          <w:color w:val="231F20"/>
        </w:rPr>
        <w:t xml:space="preserve"> features in our vehicles. See “— Risks Related to Litigation and Regulation — </w:t>
      </w:r>
      <w:r>
        <w:rPr>
          <w:rFonts w:ascii="Times New Roman" w:cs="Times New Roman" w:eastAsia="Times New Roman" w:hAnsi="Times New Roman"/>
          <w:sz w:val="18"/>
          <w:szCs w:val="18"/>
          <w:i w:val="1"/>
          <w:iCs w:val="1"/>
          <w:color w:val="231F20"/>
        </w:rPr>
        <w:t>ADAS technology is subject to uncertain and evolving regulations</w:t>
      </w:r>
      <w:r>
        <w:rPr>
          <w:rFonts w:ascii="Times New Roman" w:cs="Times New Roman" w:eastAsia="Times New Roman" w:hAnsi="Times New Roman"/>
          <w:sz w:val="18"/>
          <w:szCs w:val="18"/>
          <w:color w:val="231F20"/>
        </w:rPr>
        <w:t>.” 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 Furthermore, if our products contain design defects, manufacturing defects, or other defects in materials or workmanship that cause them to not conform to applicable express or implied warranties, and/or we are unable to service or repair nonconforming vehicles within a reasonable period of time or number of repair attempts, we may be subject to breach of warranty, lemon law, and other consumer protection claims.</w:t>
      </w:r>
    </w:p>
    <w:p>
      <w:pPr>
        <w:spacing w:after="0" w:line="19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31F20"/>
        </w:rPr>
        <w:t>A successful product liability or warranty-related claim against us could result in a substantial monetary loss. Our risks in this area are particularly pronounced in light of the limited field experience of our vehicles. Moreover, a product liability or warranty-related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and warranty-related claims, and insurance coverage may not continue to be available to us or, if available, may be at a significantly higher cost. Any lawsuit seeking significant monetary damages or other product liability or warranty-related claims may have a material adverse effect on our reputation, business and financial condition.</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exposed to delays, limitations and risks related to the environmental permits and other operating permits required to construct and operate our manufacturing facilities.</w:t>
      </w:r>
    </w:p>
    <w:p>
      <w:pPr>
        <w:spacing w:after="0" w:line="1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231F20"/>
        </w:rPr>
        <w:t xml:space="preserve">Construction and operation of an automobile manufacturing facility requires land use and environmental permits and other construction and operating permits from federal, state and local government entities. While we believe that we have the permits necessary to carry out and perform our current plans and operations at our Casa Grande, Arizona and Saudi Arabia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hazardous materials, construction and land use permits and certificates of occupancy necessary for the commercial operation of such expanded and additional facilities. Delays, denials or restrictions on any of the applications for or assignment of the permits to construct or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Times New Roman" w:cs="Times New Roman" w:eastAsia="Times New Roman" w:hAnsi="Times New Roman"/>
          <w:sz w:val="18"/>
          <w:szCs w:val="18"/>
          <w:i w:val="1"/>
          <w:iCs w:val="1"/>
          <w:color w:val="231F20"/>
        </w:rPr>
        <w:t>We have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experienced and may in the future experience significant delays in the design, manufacture, launch and financing of our vehicles, including the Lucid Air, the Lucid Gravity and our Midsize platform, which could harm our business and prospects.</w:t>
      </w:r>
      <w:r>
        <w:rPr>
          <w:rFonts w:ascii="Times New Roman" w:cs="Times New Roman" w:eastAsia="Times New Roman" w:hAnsi="Times New Roman"/>
          <w:sz w:val="18"/>
          <w:szCs w:val="18"/>
          <w:color w:val="231F20"/>
        </w:rPr>
        <w:t>”</w:t>
      </w:r>
    </w:p>
    <w:p>
      <w:pPr>
        <w:spacing w:after="0" w:line="190"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various environmental, health and safety laws and regulations that could impose substantial costs on us and cause delays in expanding our production facilities.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Our operations are subject to international, federal, state and local environmental laws and regulations relating to the use, handling, storage, disposal of and exposure to hazardous materials and batteries. Environmental, health and safety laws and regulations are complex and evolving. For example, regulations regarding battery storage, recycling, disposal and processing are relatively new and the current lack of consistent standards may increase our cost of compliance. Moreover, we may be affected by future amendments to such laws or other new environmental, health and safety laws and regulations which may require a change in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7" w:name="page88"/>
    <w:bookmarkEnd w:id="87"/>
    <w:p>
      <w:pPr>
        <w:ind w:right="440"/>
        <w:spacing w:after="0" w:line="256" w:lineRule="auto"/>
        <w:rPr>
          <w:sz w:val="20"/>
          <w:szCs w:val="20"/>
          <w:color w:val="auto"/>
        </w:rPr>
      </w:pPr>
      <w:r>
        <w:rPr>
          <w:rFonts w:ascii="Times New Roman" w:cs="Times New Roman" w:eastAsia="Times New Roman" w:hAnsi="Times New Roman"/>
          <w:sz w:val="18"/>
          <w:szCs w:val="18"/>
          <w:color w:val="231F20"/>
        </w:rPr>
        <w:t>If contamination is discovered at properties we own or operate, properties we formerly owned or operated or properties to which we sent hazardous substances, we may be subject to liability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31F20"/>
        </w:rPr>
        <w:t>Our operations are also subject to international, federal, state, and local workplace safety laws and regulations, including, but not limited to, the Occupational Safety and Health Act and the rules promulgated by the Occupational Safety and Health Administration, which require compliance with various workplace safety requirements.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our vehicles, which could have a material adverse effect on our business, prospects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ADAS technology is subject to uncertain and evolving regulations.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We expect to introduce certain ADAS technologies into our vehicles over time. ADAS technology is subject to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Currently, there are no federal U.S. regulations in effect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Both the U.S. and Europe have proposed new rules for ADAS technologies that are expected to come into effect in future years.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U.S. and foreign anti-corruption, anti-money laundering and anti-boycott laws and regulations. We can face criminal liability and other serious consequences for violations, which can harm our business.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as well as the antiboycott regulations of the U.S. Export Administration regulations.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Anti-money laundering laws and regulations of the U.S. and other countries may require additional due diligence of counterparties and for us to provide ownership and financial information to counterparties. The antiboycott regulations of the U.S. Export Administration require us to refuse to comply with the Arab League boycott of Israel and report any requests to do so.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subject to governmental export and import controls and laws that could subject us to liability if we are not in compliance with such laws.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31F20"/>
        </w:rPr>
        <w:t>Our vehicles and the equipment we use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our existing and future international operations for the reassembly or manufacture of our vehicles may subject us to additional constraints under applicable export and import controls and laws.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8" w:name="page89"/>
    <w:bookmarkEnd w:id="88"/>
    <w:p>
      <w:pPr>
        <w:ind w:right="20"/>
        <w:spacing w:after="0" w:line="256" w:lineRule="auto"/>
        <w:rPr>
          <w:sz w:val="20"/>
          <w:szCs w:val="20"/>
          <w:color w:val="auto"/>
        </w:rPr>
      </w:pPr>
      <w:r>
        <w:rPr>
          <w:rFonts w:ascii="Times New Roman" w:cs="Times New Roman" w:eastAsia="Times New Roman" w:hAnsi="Times New Roman"/>
          <w:sz w:val="18"/>
          <w:szCs w:val="18"/>
          <w:color w:val="231F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 failure to properly comply with foreign trade zone laws and regulations could increase the cost of our duties and tariffs.</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231F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Intellectual Property</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Our ability to compete effectively is dependent in part upon our ability to obtain, maintain, enforce, defend and protect our intellectual property and proprietary technology.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rights, as well as through patent, trademark, copyright and trade secret laws in the United States and other jurisdictions. Monitoring unauthorized use of our intellectual property is costly and challenging, and the steps we have taken or will take to prevent infringement, misappropriation and other violations may not be successful.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defend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The measures we take to obtain, maintain, protect, defend and enforce our intellectual property, including preventing unauthorized use by third parties, may not be effective for various reasons, including the following:</w:t>
      </w:r>
    </w:p>
    <w:p>
      <w:pPr>
        <w:spacing w:after="0" w:line="54"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trademark or patent applications we file may not result in the issuance of trademarks or patents;</w:t>
      </w:r>
    </w:p>
    <w:p>
      <w:pPr>
        <w:spacing w:after="0" w:line="117" w:lineRule="exact"/>
        <w:rPr>
          <w:rFonts w:ascii="Times New Roman" w:cs="Times New Roman" w:eastAsia="Times New Roman" w:hAnsi="Times New Roman"/>
          <w:sz w:val="18"/>
          <w:szCs w:val="18"/>
          <w:color w:val="231F20"/>
        </w:rPr>
      </w:pPr>
    </w:p>
    <w:p>
      <w:pPr>
        <w:ind w:left="660" w:right="240" w:hanging="328"/>
        <w:spacing w:after="0" w:line="282" w:lineRule="auto"/>
        <w:tabs>
          <w:tab w:leader="none" w:pos="655"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not be the first inventor of the subject matter to which we have filed a particular patent application, and we may not be the first party to file such a patent application;</w:t>
      </w:r>
    </w:p>
    <w:p>
      <w:pPr>
        <w:spacing w:after="0" w:line="53"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claims under any of our issued patents may not be broad enough to (i) protect our inventions and proprietary technology nor (ii) prevent third parties from creating, developing, or implementing technologies that are similar to ours or offer similar performance;</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issued patents may be challenged or invalidated by our competitors or other third parties;</w:t>
      </w:r>
    </w:p>
    <w:p>
      <w:pPr>
        <w:spacing w:after="0" w:line="117" w:lineRule="exact"/>
        <w:rPr>
          <w:rFonts w:ascii="Times New Roman" w:cs="Times New Roman" w:eastAsia="Times New Roman" w:hAnsi="Times New Roman"/>
          <w:sz w:val="18"/>
          <w:szCs w:val="18"/>
          <w:color w:val="231F20"/>
        </w:rPr>
      </w:pPr>
    </w:p>
    <w:p>
      <w:pPr>
        <w:ind w:left="660" w:right="300" w:hanging="328"/>
        <w:spacing w:after="0" w:line="282" w:lineRule="auto"/>
        <w:tabs>
          <w:tab w:leader="none" w:pos="655"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patents have a finite term, and competitors and other third parties may offer identical or similar products after the expiration of our patents that cover such products;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employees, contractors or business partners may breach their confidentiality, non-disclosure and non-use obligations;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competitors and other third parties may independently develop technologies that are the same or similar to ours;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intellectual property rights of others could also bar us from licensing and exploiting any patents that issue from our pending applications;</w:t>
      </w:r>
    </w:p>
    <w:p>
      <w:pPr>
        <w:spacing w:after="0" w:line="117" w:lineRule="exact"/>
        <w:rPr>
          <w:rFonts w:ascii="Times New Roman" w:cs="Times New Roman" w:eastAsia="Times New Roman" w:hAnsi="Times New Roman"/>
          <w:sz w:val="18"/>
          <w:szCs w:val="18"/>
          <w:color w:val="231F20"/>
        </w:rPr>
      </w:pPr>
    </w:p>
    <w:p>
      <w:pPr>
        <w:ind w:left="660" w:right="8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associated with enforcing patents or other intellectual property rights, or confidentiality and invention assignment agreements may make enforcement impracticable;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competitors and other third parties may circumvent or otherwise design around our patents or other intellectual property.</w:t>
      </w:r>
    </w:p>
    <w:p>
      <w:pPr>
        <w:sectPr>
          <w:pgSz w:w="11900" w:h="16838" w:orient="portrait"/>
          <w:cols w:equalWidth="0" w:num="1">
            <w:col w:w="11220"/>
          </w:cols>
          <w:pgMar w:left="320" w:top="985" w:right="35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89" w:name="page90"/>
    <w:bookmarkEnd w:id="89"/>
    <w:p>
      <w:pPr>
        <w:ind w:right="80"/>
        <w:spacing w:after="0" w:line="255" w:lineRule="auto"/>
        <w:rPr>
          <w:sz w:val="20"/>
          <w:szCs w:val="20"/>
          <w:color w:val="auto"/>
        </w:rPr>
      </w:pPr>
      <w:r>
        <w:rPr>
          <w:rFonts w:ascii="Times New Roman" w:cs="Times New Roman" w:eastAsia="Times New Roman" w:hAnsi="Times New Roman"/>
          <w:sz w:val="18"/>
          <w:szCs w:val="18"/>
          <w:color w:val="231F20"/>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31F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 For example, in June 2024, we reached an agreement with Gravity, Inc. to settle a claim before the USPTO that opposed and requested cancellation of our trademark application and registration for the use of “Gravity.”</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It is our policy to enter into confidentiality and invention assignment agreements with our employees and contractors that have developed material intellectual property for us, but these agreements may not be self-executing and may not otherwise adequately protect our intellectual property, particularly with respect to conflicts of ownership relating to work product generated by the employees and contractors. Furthermore, we cannot be certain that we have entered into these agreements with every such employee and contractor, that these agreements will not be breached or that third parties will not gain access to our trade secrets, know-how or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We have licensed and plan to further license patents and other intellectual property from third parties, including, but not limited to, suppliers and service providers, and we may face claims that our use of this in-licensed intellectual property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 The resolution of such disputes could narrow what we believe to be the scope of our rights to the relevant intellectual property or increase what we believe to be our financial or other obligations under the relevant agreement. If we are unable to renew our key license or other intellectual property-related agreements on acceptable terms, or our current and future licensors conclude that we have materially breached our obligations under our license agreements and terminate such license agreements, we may lose the legal right to use some of the intellectual property we employ to manufacture certain products or only be able to maintain such right at a substantially higher cost. In some circumstances, we may not have the right to control the maintenance, prosecution, preparation, filing, enforcement, defense or litigation of patents and patent applications that we license from third parties and are reliant on our licensors to do so. We cannot be certain that activities such as patent maintenance and prosecution by our licensors have been or will be conducted consistent with our best interests or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spacing w:after="0" w:line="19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231F20"/>
        </w:rPr>
        <w:t>To prevent unauthorized use of our intellectual property, it may be necessary to prosecute actions for infringement, misappropriation or other violation of our intellectual property against third parties. Any such action may be time-consuming and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0" w:name="page91"/>
    <w:bookmarkEnd w:id="90"/>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sued by third parties for alleged infringement, misappropriation or other violation of their intellectual property, which could be time-consuming and costly and result in significant legal liability.</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There are considerable issued patents, pending patent applications, and other intellectual property development, ownership, and activity in our industry. 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time-to-time,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Patent and other types of intellectual property litigation can involve complex factual and legal questions, and their outcome is uncertain. Even if we believe such claims are without merit, a court of competent jurisdiction could hold that such third-party intellectual property is valid, enforceable and infringed, which could adversely affect our ability to commercialize our products or technologies. Accordingly, we may consider entering into license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spacing w:after="0" w:line="88"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pay substantial damages, including treble damages for willful infringement, or ongoing royalty payments;</w:t>
      </w:r>
    </w:p>
    <w:p>
      <w:pPr>
        <w:spacing w:after="0" w:line="117"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cease developing, selling, leasing, using or incorporating certain components into vehicles or offering goods or services that incorporate or use the asserted intellectual property;</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seek a license from the owner of the asserted intellectual property, which license may not be available on reasonable terms, or at all;</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comply with other unfavorable terms; or</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and maintain alternative branding for our products and services.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may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employees from our business operations. Such disputes, with or without merit, could also cause potential customers to refrain from purchasing our products or otherwise cause us reputational harm and negative publicity.</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231F20"/>
        </w:rPr>
        <w:t>Furthermore, many of our employees were previously employed by other automotive companies or by suppliers to automotive companies, or related industries.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be enjoined from using certain technology, product, services, or knowledge or, we may lose valuable intellectual property or employees. A loss of key employees,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Some of our products contain open-source software, which may pose particular risks to our proprietary software, products and services in a manner that could harm our business.</w:t>
      </w:r>
    </w:p>
    <w:p>
      <w:pPr>
        <w:spacing w:after="0" w:line="15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231F20"/>
        </w:rPr>
        <w:t>We use open-source software, available from third parties, in our products and anticipate using open-source software in the future.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as well as our third-party software suppliers’ use of open-source software and compliance with open-source licenses and try to ensure that none is used in a manner that would require us to disclose our proprietary source code or that would otherwise breach the terms of an open-source license, such use could inadvertently occur or be claimed to have occurred. Additionally, we could face claims from third parties claiming ownership of, or demanding release of, the open-source software or derivative works that we developed using such software, which could include our proprietary source code, or otherwise seeking to enforce, or alleging non-compliance with the terms of the applicable open-source license. These claims could result in litigation and could require us to make our proprietary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spacing w:after="0" w:line="19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Additionally, the use of certain open-source software can lead to greater risks than use of third-party commercial software, as open-source licensors generally do not provide warranties or controls on the origin of software or other contractual protections regarding infringement claims or the quality of the code, including with respect to security vulnerabilities. Moreover, some open-source projects have known security and other vulnerabilities and architectural instabilities, or are otherwise subject to security attacks due to their wide availability, and are provided on an “as-is” basis.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prospects, results of operations and financial condition.</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231F20"/>
        </w:rPr>
        <w:t>Risks Related to Financing and Strategic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will require additional capital to support business growth, and this capital might not be available on commercially reasonable terms, or at 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have funded our operations since inception primarily through equity and debt financings. For example, we issued $2.0 billion of 1.25% convertible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senior notes due 2026 in December 2021 (the “2026 Notes”), entered into a credit agreement that provides for a $1.0 billion senior secured asset-based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revolving credit facility in June 2022 (the “ABL Credit Facility”), completed an “at-the-market” equity offering program for aggregate net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$594.3 million after deducting commissions and other issuance costs and consummated a private placement of common stock to Ayar for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proceeds of $915.0 million in December 2022. In addition, we have, through our subsidiary, entered into a loan agreement with the Saudi Industrial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Development Fund for an aggregate principal amount of up to SAR 5.19 billion in February 2022 (the “SIDF Loan Agreement”), entered into a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credit facility agreement with Gulf International Bank for an aggregate principal amount of SAR 1.0 billion in April 2022, which was amended in March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2023 and renewed in February 2025 to increase the principal amount to SAR 1.9 billion (as renewed, the “2025 GIB Credit Facility”), and also entered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$750 million unsecured delayed draw term loan credit facility (the “DDTL Credit Facility”) in August 2024. In June 2023, we completed an underwritten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public offering of common stock for aggregate net proceeds of $1.2 billion and consummated a private placement to Ayar for aggregate net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$1.8 billion, after deducting issuance costs. We also consummated private placements of Redeemable Convertible Preferred Stock to Ayar for aggregate net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proceeds of $997.6 million after deducting issuance cost in March 2024 and aggregate net proceeds of $749.4 million after deducting issuance costs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August 2024. In addition, in October 2024, we completed an underwritten public offering of common stock for aggregate net proceeds of $718.4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after deducting issuance costs and consummated a private placement to Ayar for aggregate net proceeds of approximately $1.0 billion after deducting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issuance costs. In April 2025, we also issued $1.1 billion of </w:t>
      </w:r>
      <w:r>
        <w:rPr>
          <w:rFonts w:ascii="Times New Roman" w:cs="Times New Roman" w:eastAsia="Times New Roman" w:hAnsi="Times New Roman"/>
          <w:sz w:val="18"/>
          <w:szCs w:val="18"/>
          <w:color w:val="000000"/>
        </w:rPr>
        <w:t>5.00%</w:t>
      </w:r>
      <w:r>
        <w:rPr>
          <w:rFonts w:ascii="Times New Roman" w:cs="Times New Roman" w:eastAsia="Times New Roman" w:hAnsi="Times New Roman"/>
          <w:sz w:val="18"/>
          <w:szCs w:val="18"/>
          <w:color w:val="231F20"/>
        </w:rPr>
        <w:t xml:space="preserve"> convertible senior notes due 2030 (the “2030 Notes” and, together with the 2026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“Convertible Senior Notes”) for aggregate net proceeds of approximately $1.08 billion after deducting debt issuance costs, of which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$935.6 million was used to repurchase approximately $1,052.5 million in principal amount of the 2026 Notes. We anticipate that we will continue to need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to raise additional funds through equity, equity-linked or debt financings. Our business is capital-intensive, and we expect the costs and expenses associated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with our planned operations will continue to increase in the near term. We do not expect to achieve positive cash flow from operations for several years,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at all. In addition, we have and we expect to settle tax withholding obligations in connection with vesting of the restricted stock units granted to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employees through “net settlement,” i.e., by remitting the Company’s cash to satisfy the tax withholding obligation and simultaneously withholding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number of the vested shares on each vesting date with a value equal to that remitted cash. The amount of the tax withholding due on each vesting date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be based on the fair value of our common stock on such vesting date. Depending on the fair value of our common stock and the number of restricted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units vesting on any applicable vesting date, such net settlement could require us to expend substantial funds to satisfy tax withholding.</w:t>
      </w:r>
    </w:p>
    <w:p>
      <w:pPr>
        <w:spacing w:after="0" w:line="2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31F20"/>
        </w:rPr>
        <w:t xml:space="preserve">Our plan to continue the commercial production of our vehicles and grow our business is dependent upon the timely availability of funds and further investment in design, engineering, component procurement, testing, and the build-out of manufacturing capabilities. </w:t>
      </w:r>
      <w:r>
        <w:rPr>
          <w:rFonts w:ascii="Times New Roman" w:cs="Times New Roman" w:eastAsia="Times New Roman" w:hAnsi="Times New Roman"/>
          <w:sz w:val="18"/>
          <w:szCs w:val="18"/>
          <w:color w:val="000000"/>
        </w:rPr>
        <w:t>For example, we have entered into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amended agreements with Panasonic Energy Co., Ltd. and certain of its affiliates. As of March 31, 2025, pursuant to the terms of the amended agreements, we have remaining minimum purchase commitments of an aggregate of approximately $2.6 billion of lithium-ion battery cells using the current base prices, which could vary period-to-period primarily as a result of changes in raw material indexes. </w:t>
      </w:r>
      <w:r>
        <w:rPr>
          <w:rFonts w:ascii="Times New Roman" w:cs="Times New Roman" w:eastAsia="Times New Roman" w:hAnsi="Times New Roman"/>
          <w:sz w:val="18"/>
          <w:szCs w:val="18"/>
          <w:color w:val="231F20"/>
        </w:rPr>
        <w:t>In addition, the fact that we have a limited operating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history means that we have limited historical data on the demand for our vehicles. As a result, our future capital requirements are uncertain, and actual capital requirements may be greater than what we currently anticipate.</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231F20"/>
        </w:rPr>
        <w:t>If we raise additional funds through further issuances of equity or equity-linked securities, our stockholders could experience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 xml:space="preserve">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inflation, government closures of banks and liquidity concerns at other financial institutions, interest rate changes, global conflicts or other geopolitical events, or investor acceptance of our business model. These factors may </w:t>
      </w:r>
      <w:r>
        <w:rPr>
          <w:rFonts w:ascii="Times New Roman" w:cs="Times New Roman" w:eastAsia="Times New Roman" w:hAnsi="Times New Roman"/>
          <w:sz w:val="18"/>
          <w:szCs w:val="18"/>
          <w:color w:val="000000"/>
        </w:rPr>
        <w:t>make the timing, amount, terms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the anticipated benefits of our agreement with Aston Martin.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June 2023, we entered into an agreement (the “Implementation Agreement”) with Aston Martin Lagonda Global Holdings plc (together with its subsidiaries, “Aston Martin”) under which we and Aston Martin have established a long-term strategic technology arrangement. 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electric vehicle chassis, and supply powertrain and battery components to Aston Martin (collectively, the “Strategic Technology</w:t>
      </w:r>
    </w:p>
    <w:p>
      <w:pPr>
        <w:spacing w:after="0" w:line="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Arrangement”). See Note 16 “Related Party Transactions” to the condensed consolidated financial statements included elsewhere in this Quarterly Report for more information.</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may not be able to realize the anticipated benefits of the Strategic Technology Arrangement if we experience delays, fail to successfully integrate our powertrain and battery components with Aston Martin’s vehicles, or fail to enter into a long form supply agreement on terms acceptable to us, or if we experience delays or fail to deliver the components ordered by Aston Martin. Any such delay or failure for any reason, including for reasons beyond our control, may have an adverse effect on our brand and reputation, and our business, prospects, results of operations and financial condition.</w:t>
      </w:r>
    </w:p>
    <w:p>
      <w:pPr>
        <w:spacing w:after="0" w:line="176"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reflecting the Convertible Senior Notes on our consolidated balance sheet, accruing interest expense for the Convertible Senior Notes and reflecting the underlying shares of our common stock in our reported diluted earnings per share may adversely affect our reported earnings and financial condition.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August 2020, the Financial Accounting Standards Board published an Accounting Standards Update, which we refer to as ASU 2020-06, which simplifies certain of the accounting standards that apply to convertible debt such as the Convertible Senior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accordance with ASU 2020-06, we accounted for the issuance of the Convertible Senior Notes as a liability on our balance sheets, with the initial carrying amount equal to the principal amount of the Convertible Senior Notes, net of issuance costs. The issuance costs will be treated as a debt discount for accounting purposes, which will be amortized into interest expense over the term of the Convertible Senior Notes. As a result of this amortization, the interest expense that we expect to recognize for the Convertible Senior Notes for accounting purposes will be greater than the cash interest payments we will pay on the Convertible Senior Notes, which will result in a higher reported loss.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shares underlying the Convertible Senior Notes will be reflected in our diluted earnings per share using the “if converted” method, in accordance with ASU 2020-06. Under that method, diluted earnings per share would generally be calculated assuming that all the Convertible Senior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Furthermore, if any of the conditions to the convertibility of the Convertible Senior Notes is satisfied, then we may be required under applicable accounting standards to reclassify the liability carrying value of the Convertible Senior Notes as a current, rather than a long-term liability. This reclassification could be required even if no noteholders convert their Convertible Senior Notes and could materially reduce our reported working capital.</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4" w:name="page95"/>
    <w:bookmarkEnd w:id="94"/>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Servicing our current and future debt and potential payment obligations in certain circumstances under the terms of our Redeemable Convertible Preferred Stock may require a significant amount of cash, and we may not have sufficient cash flow from our business to pay our indebtedness or satisfy our payment obligations. Our payment obligations under such indebtedness and, if applicable, our Redeemable Convertible Preferred Stock may limit the funds available to us, and the terms of our debt agreements may restrict our flexibility in operating our business or otherwise adversely affect our results of operations.</w:t>
      </w:r>
    </w:p>
    <w:p>
      <w:pPr>
        <w:spacing w:after="0" w:line="18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We issued $2.0 billion principal amount of 2026 Notes in December 2021, issued $1.1 billion principal amount of 2030 Notes in April 2025, and have entered into several credit facilities since 2022. See Note 6 “Debt” to the condensed consolidated financial statements included elsewhere in this Quarterly Report for further information on our outstanding debt obligations. Our ability to make scheduled payments of the principal of, to pay interest on or to refinance our indebtedness from time-to-time depends on our future performance, which is subject to economic, financial, competitive and other factors beyond our control. Our business may not generate cash flow from operations in the future sufficient to service our debt, our obligations under the Redeemable Convertible Preferred Stock and make necessary capital expenditures. If we are unable to generate such cash flow, we may be required to adopt one or more alternatives, such as selling assets, restructuring debt or preferred stock or obtaining additional debt financing or equity capital on terms that may be onerous or highly dilutive. For instance, in February 2025, we used approximately </w:t>
      </w:r>
      <w:r>
        <w:rPr>
          <w:rFonts w:ascii="Times New Roman" w:cs="Times New Roman" w:eastAsia="Times New Roman" w:hAnsi="Times New Roman"/>
          <w:sz w:val="18"/>
          <w:szCs w:val="18"/>
          <w:color w:val="231F20"/>
        </w:rPr>
        <w:t>$935.6 million</w:t>
      </w:r>
      <w:r>
        <w:rPr>
          <w:rFonts w:ascii="Times New Roman" w:cs="Times New Roman" w:eastAsia="Times New Roman" w:hAnsi="Times New Roman"/>
          <w:sz w:val="18"/>
          <w:szCs w:val="18"/>
          <w:color w:val="auto"/>
        </w:rPr>
        <w:t xml:space="preserve"> of the net proceeds of the offering of 2030 Notes to repurchase approximately </w:t>
      </w:r>
      <w:r>
        <w:rPr>
          <w:rFonts w:ascii="Times New Roman" w:cs="Times New Roman" w:eastAsia="Times New Roman" w:hAnsi="Times New Roman"/>
          <w:sz w:val="18"/>
          <w:szCs w:val="18"/>
          <w:color w:val="231F20"/>
        </w:rPr>
        <w:t>$1,052.5 million</w:t>
      </w:r>
      <w:r>
        <w:rPr>
          <w:rFonts w:ascii="Times New Roman" w:cs="Times New Roman" w:eastAsia="Times New Roman" w:hAnsi="Times New Roman"/>
          <w:sz w:val="18"/>
          <w:szCs w:val="18"/>
          <w:color w:val="auto"/>
        </w:rPr>
        <w:t xml:space="preserve"> aggregate principal amount of 2026 Notes. Our ability to refinance any current or future indebtedness or preferred stock will depend on the capital markets and our financial condition at such time. Our obligations to the holders of our Redeemable Convertible Preferred Stock could also limit our ability to obtain additional financing, which could have an adverse effect on our financial condition. We may not be able to engage in any of these activities or engage in these activities on desirable terms, which could result in a default on our debt obligations. In addition, our existing debt agreements contain, and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9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our indebtedness and our obligations under our Redeemable Convertible Preferred Stock, combined with our other existing and future financial obligations and contractual commitments, could have other important consequences. For example, it could:</w:t>
      </w:r>
    </w:p>
    <w:p>
      <w:pPr>
        <w:spacing w:after="0" w:line="54" w:lineRule="exact"/>
        <w:rPr>
          <w:sz w:val="20"/>
          <w:szCs w:val="20"/>
          <w:color w:val="auto"/>
        </w:rPr>
      </w:pPr>
    </w:p>
    <w:p>
      <w:pPr>
        <w:ind w:left="660" w:right="60" w:hanging="328"/>
        <w:spacing w:after="0" w:line="282" w:lineRule="auto"/>
        <w:tabs>
          <w:tab w:leader="none" w:pos="579"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make us more vulnerable to adverse changes in general U.S. and worldwide economic, industry and competitive conditions and adverse changes in government regulation;</w:t>
      </w:r>
    </w:p>
    <w:p>
      <w:pPr>
        <w:spacing w:after="0" w:line="53"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our competitors who have less debt or other obligations;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or raise additional amounts to fund acquisitions, for working capital and for other general corporate purposes;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acquisition of our company less attractive or more difficult.</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under the SIDF Loan Agreement, the 2025 GIB Credit Facility, the ABL Credit Facility, and the DDTL Credit Facility, we are subject to customary affirmative and negative covenants regarding our business and operations, including limitations on our ability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sale and leaseback transactions, consummate mergers and other fundamental changes, enter in to restrictive agreements or modify their organizational documents. Any debt financing secured by us in the future could also involve such covenants as well as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 shares of our common stock are subordinate in right of payment to all of our current and future debt and Redeemable Convertible Preferred Stock. We cannot assure that there would be any remaining funds for any distribution to our stockholders after the payment of all of our debt or, in the case of our Redeemable Convertible Preferred Stock, payment of all of our obligations upon liquidation or, in certain limited circumstances where cash settlement is required, our obligations upon mandatory conversion, optional redemption or a fundamental change. See “—</w:t>
      </w:r>
      <w:r>
        <w:rPr>
          <w:rFonts w:ascii="Times New Roman" w:cs="Times New Roman" w:eastAsia="Times New Roman" w:hAnsi="Times New Roman"/>
          <w:sz w:val="18"/>
          <w:szCs w:val="18"/>
          <w:i w:val="1"/>
          <w:iCs w:val="1"/>
          <w:color w:val="auto"/>
        </w:rPr>
        <w:t>We may be unable to raise the funds necessary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pay the cash amounts due upon mandatory conversion, redeem our Redeemable Convertible Preferred Stock or repurchase the Redeemable Convertible Preferred Stock upon a fundamental change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Any of these factors could harm our business, results of operations and financial condition. In addition, if we incur additional indebtedness or issue additional Redeemable Convertible Preferred Stock, the risks related to our business and our ability to service or repay our indebtedness would increase.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may still incur substantially more debt.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and our subsidiaries have incurred and may need to incur substantial additional debt in the future, subject to the restrictions contained in our debt instruments, some of which may be secured debt. The ABL Credit Facility and Certificate of Designations impose certain restrictions on our ability to incur additional debt, but we are not restricted under the terms of the indentures governing our Convertible Senior Notes from incurring additional debt, securing existing or future debt, recapitalizing our debt or taking a number of other actions that are not limited by the terms of such indentures governing our Convertible Senior Notes that could have the effect of diminishing our ability to make payments on our Convertible Senior Notes when due.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Convertible Senior Notes, if triggered, may adversely affect our financial condition and operating results.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For the 2026 Notes, before the close of business on the business day immediately before September 15, 2026, noteholders will have the right to convert their 2026 Notes upon the occurrence of certain events, and they may elect to convert their 2026 Notes regardless of the occurrence of such events from and after September 15, 2026 until the close of business on the second scheduled trading day immediately before December 15, 2026. For the 2030 Notes, before the close of business on the business day immediately preceding January 1, 2030, noteholders will have the right to convert their 2030 Notes upon the occurrence of certain events, and they may elect to convert their 2030 Notes regardless of the occurrence of such events from and after January 1, 2030 until the close of business on the second scheduled trading day immediately before April 1, 2030. If holders of the Convertible Senior Notes elect to convert their 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Convertible Senior Notes as a current rather than long-term liability, which would result in a material reduction of our net working capital.</w:t>
      </w:r>
    </w:p>
    <w:p>
      <w:pPr>
        <w:spacing w:after="0" w:line="19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the funds necessary to repurchase the Convertible Senior Notes for cash following a fundamental change, or to pay any cash amounts due upon conversion, and our other indebtedness may limit our ability to repurchase the Convertible Senior Notes or pay cash upon their conversion.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Noteholders may, subject to a limited exception, require us to repurchase their Convertible Senior Notes following a fundamental change at a cash repurchase price generally equal to the principal amount of the Convertible Senior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Convertible Senior Notes or pay any cash amounts due upon conversion. In addition, applicable law, regulatory authorities and the agreements governing our other indebtedness, such as the covenants in the ABL Credit Facility and Certificate of Designations, may restrict our ability to repurchase the Convertible Senior Notes or pay any cash amounts due upon conversion. Our failure to repurchase the Convertible Senior Notes or pay any cash amounts due upon conversion when required will constitute a default under the indentures. A default under the indentures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Convertible Senior Notes.</w:t>
      </w:r>
    </w:p>
    <w:p>
      <w:pPr>
        <w:spacing w:after="0" w:line="190"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the funds necessary should any cash amounts become payable upon mandatory conversion or in connection with a fundamental change or optional redemption in relation to our Redeemable Convertible Preferred Stock.</w:t>
      </w:r>
    </w:p>
    <w:p>
      <w:pPr>
        <w:spacing w:after="0" w:line="15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March 2024, we issued 100,000 shares of our Series A Redeemable Convertible Preferred Stock and in August 2024, we issued 75,000 shares of our Series B Redeemable Convertible Preferred Stock. The holders of our Redeemable Convertible Preferred Stock have the right to receive payment in cash upon a mandatory conversion or redemption at our option, or upon the occurrence of a fundamental change (as defined in the Certificate of Designations), if certain liquidity conditions are not satisfied. In general, we are entitled to exercise a mandatory conversion right regarding the Redeemable Convertible Preferred Stock to convert into shares of common stock after the third anniversary of the date of original issuance if the daily VWAP (as defined in the Certificate of Designations) has been at least 200% of the Conversion Price (as defined above) for at least twenty (20) trading days (whether or not consecutive) during any thirty (30) consecutive trading day period (including the last day of such period), and we are entitled to redeem all or any portion of the Redeemable Convertible Preferred Stock on or after the fifth anniversary of the date of original issuance at a redemption price specified in the Certificate of Designations.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6" w:name="page97"/>
    <w:bookmarkEnd w:id="96"/>
    <w:p>
      <w:pPr>
        <w:spacing w:after="0" w:line="254" w:lineRule="auto"/>
        <w:rPr>
          <w:sz w:val="20"/>
          <w:szCs w:val="20"/>
          <w:color w:val="auto"/>
        </w:rPr>
      </w:pPr>
      <w:r>
        <w:rPr>
          <w:rFonts w:ascii="Times New Roman" w:cs="Times New Roman" w:eastAsia="Times New Roman" w:hAnsi="Times New Roman"/>
          <w:sz w:val="18"/>
          <w:szCs w:val="18"/>
          <w:color w:val="auto"/>
        </w:rPr>
        <w:t>The holders of our Redeemable Convertible Preferred Stock also have the right to receive certain Minimum Consideration (as defined below) upon a mandatory conversion, optional redemption, fundamental change or liquidation event. While we largely can control the occurrence of such events, if we are required to cash settle any of these obligations as a result of the liquidity conditions not being met, the amount of such cash settlement is subject to factors beyond our control and we cannot presently predict the amount of such cash settlement, which increases over time is not subject to any cap or limitation. A requirement to cash settle any obligations in relation to the Redeemable Convertible Preferred Stock may have a material adverse effect on our business, prospects, results of operations and financial condition. See “—</w:t>
      </w:r>
      <w:r>
        <w:rPr>
          <w:rFonts w:ascii="Times New Roman" w:cs="Times New Roman" w:eastAsia="Times New Roman" w:hAnsi="Times New Roman"/>
          <w:sz w:val="18"/>
          <w:szCs w:val="18"/>
          <w:i w:val="1"/>
          <w:iCs w:val="1"/>
          <w:color w:val="auto"/>
        </w:rPr>
        <w:t>The settlement of our obligations upon conversion, optional redemption or 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repurchase of our Redeemable Convertible Preferred Stock is expected to dilute the ownership of common stockholders and the number of shares of common stock issuable upon mandatory conversion, optional redemption or fundamental change is presently indeterminable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settlement of our obligations upon conversion, optional redemption or required repurchase of our Series A or Series B Redeemable Convertible Preferred Stock is expected to dilute the ownership of common stockholders and the number of shares of common stock issuable upon mandatory conversion, optional redemption or fundamental change is presently indeterminable.</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Series A Redeemable Convertible Preferred Stock and the Series B Redeemable Convertible Preferred Stock are convertible into our common stock at an initial conversion price of $3.5952 per share and $4.3799 per share, respectively (the “Conversion Price”). The Conversion Price is subject to customary anti-dilution adjustments, including in the event of any stock split, stock dividend, recapitalization or similar event. Dividends on the Redeemable Convertible Preferred Stock are payable at an initial rate of 9% per annum in the form of dividends compounding on a quarterly basis. Such compounded dividends are not subject to any cap or sunset provisions and can accrue into perpetuity. At issuance, the Series A Redeemable Convertible Preferred Stock was initially convertible into 278.15 million shares of common stock, representing approximately 12% of our then issued and outstanding common stock. Upon entry into the Series B Subscription Agreement, the Series B Redeemable Convertible Preferred Stock is expected to be initially convertible into</w:t>
      </w:r>
    </w:p>
    <w:p>
      <w:pPr>
        <w:spacing w:after="0" w:line="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171.24 million shares of common stock, representing approximately 7% of our then issued and outstanding common stock. Holders of the Redeemable Convertible Preferred Stock may convert their shares (a) at any time that the closing price per share of our common stock on the trading day immediately preceding the date of the relevant notice of conversion is at least $5.50 (subject to certain adjustments), unless we otherwise consent to such conversion in our sole discretion, or (b) in all events during certain specified periods relating to a fundamental change or optional redemption by us. The number of shares of common stock issuable upon conversion (other than a mandatory conversion) in the future, subject to certain exceptions, is determined by dividing (i) the applicable Accrued Value (as defined in the Certificate of Designations) as of the conversion date by (ii) the applicable Conversion Price in effect as of such conversion date. As such, the number of shares of common stock issuable upon conversion may continue to increase in perpetuity as each of the compounded dividends increases the Accrued Value. Meeting these conversion obligations could impact our financial condition, liquidity, ability to obtain additional financing, or ability to allocate resources to addressing other aspects of our business including addressing the interests of the holders of our common stock. Except in the case of a mandatory conversion for which we elect (or are required) to satisfy our conversion obligation in cash (as further described under “—</w:t>
      </w:r>
      <w:r>
        <w:rPr>
          <w:rFonts w:ascii="Times New Roman" w:cs="Times New Roman" w:eastAsia="Times New Roman" w:hAnsi="Times New Roman"/>
          <w:sz w:val="18"/>
          <w:szCs w:val="18"/>
          <w:i w:val="1"/>
          <w:iCs w:val="1"/>
          <w:color w:val="auto"/>
        </w:rPr>
        <w:t>We may be unable to raise the funds necessary should any cash amounts become payable upon mandatory conversion or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a fundamental change in relation to our Redeemable Convertible Preferred Stock, or to optionally redeem our Redeemable Convertible Preferred Stock</w:t>
      </w:r>
      <w:r>
        <w:rPr>
          <w:rFonts w:ascii="Times New Roman" w:cs="Times New Roman" w:eastAsia="Times New Roman" w:hAnsi="Times New Roman"/>
          <w:sz w:val="18"/>
          <w:szCs w:val="18"/>
          <w:color w:val="auto"/>
        </w:rPr>
        <w:t>”), any conversion of the Redeemable Convertible Preferred Stock will also increase the number of shares of our common stock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public trading, which could adversely affect prevailing market prices of our common stock.</w:t>
      </w:r>
    </w:p>
    <w:p>
      <w:pPr>
        <w:spacing w:after="0" w:line="19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the holders of the Redeemable Convertible Preferred Stock may also be entitled to receive “Minimum Consideration” in certain situations in the case the Company exercises its rights in respect of a mandatory conversion or optional redemption or in the case of a fundamental change (as defined in the Certificate of Designations). Such Minimum Consideration is determined by multiplying the Accrued Value by the relevant percentage set forth in the Certificate of Designations based on the number of months that have elapsed since the initial issuance of the Redeemable Convertible Preferred Stock. In the event that the Minimum Consideration exceeds the Accrued Value, we would be required to pay or deliver, as the case may be, consideration having a value in excess of Accrued Value in order to redeem or refinance the Redeemable Convertible Preferred Stock. If an event occurs that requires us to deliver Minimum Consideration, the number of shares of common stock issuable to satisfy such obligation is presently indeterminable and, in particular if our stock price is substantially below the initial conversion price, meeting such common stock issuance obligation may result in significant dilution to the common stockholders which could have a material adverse effect on the market prices of our common stock and on our financial condition, liquidity, and ability to obtain additional financing. In addition, the holders of the Redeemable Convertible Preferred Stock may also be entitled to receive Minimum Consideration in the event of our liquidation, dissolution or winding up, which may reduce or eliminate the value of any remaining assets for distribution to common stockholders in such an event.</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holders of our Redeemable Convertible Preferred Stock are entitled to vote on an as-converted to common stock basis and have rights to approve certain actions, which reduces the relative voting power of the holders of our common stock.</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holders of our Redeemable Convertible Preferred Stock are entitled to vote, on an as-converted basis together with holders of our common stock, the number of votes (subject to a voting cap in accordance with Nasdaq listing rules) equal to the number of whole shares of common stock into which the shares of the Redeemable Convertible Preferred Stock held by such holder are convertible on the record date for determining stockholders entitled to vote on such matter, which reduces the relative voting power of our common stockholders.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97" w:name="page98"/>
    <w:bookmarkEnd w:id="97"/>
    <w:p>
      <w:pPr>
        <w:ind w:right="200"/>
        <w:spacing w:after="0" w:line="256" w:lineRule="auto"/>
        <w:rPr>
          <w:sz w:val="20"/>
          <w:szCs w:val="20"/>
          <w:color w:val="auto"/>
        </w:rPr>
      </w:pPr>
      <w:r>
        <w:rPr>
          <w:rFonts w:ascii="Times New Roman" w:cs="Times New Roman" w:eastAsia="Times New Roman" w:hAnsi="Times New Roman"/>
          <w:sz w:val="18"/>
          <w:szCs w:val="18"/>
          <w:color w:val="auto"/>
        </w:rPr>
        <w:t>In addition, as long as at least 10% of the aggregate number of shares of the Series A and Series B Redeemable Convertible Preferred Stock originally issued remain outstanding, respectively, and subject to certain other conditions, holders of such Redeemable Convertible Preferred Stock are entitled to a separate class vote with respect to, among other things, amendments to our organizational documents that have an adverse effect on the respective Redeemable Convertible Preferred Stock, authorizations or issuances by us of capital stock that ranks senior or equal to the respective Redeemable Convertible Preferred Stock with respect to dividends or distributions on liquidation or the terms of which provide for cash dividends (other than the common stock), winding-up or dissolution, and decreases in the number of authorized shares of the Redeemable Convertible Preferred Stock.</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a result of these consent and voting rights of the Redeemable Convertible Preferred Stock, holders of the Redeemable Convertible Preferred Stock have significant power to influence the outcome over any matter submitted for the vote of the holders of our common stock and to influence certain matters affecting our governance and capitalization.</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Redeemable Convertible Preferred Stock has rights, preferences and privileges that are not held by, and are senior to the rights of, our common stockholders.</w:t>
      </w:r>
    </w:p>
    <w:p>
      <w:pPr>
        <w:spacing w:after="0" w:line="15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Redeemable Convertible Preferred Stock ranks senior to the common stock with respect to dividends and distributions of assets upon the Company’s liquidation, dissolution or winding up. In addition, the Redeemable Convertible Preferred Stock creates substantial obligations upon us in the case of a conversion, mandatory conversion, optional redemption, fundamental change or liquidation event that may have an adverse effect upon our financial condition and the interests of the holders of our common stock. The Redeemable Convertible Preferred Stock ranks senior to the common stock with respect to dividends substantially limits our ability to issue parity securities, junior securities or cash dividend securities, and may in some circumstances limit our ability to pay dividends on our common stock. Furthermore, the Certificate of Designations also provides that as long as Ayar owns at least 50% of the Redeemable Convertible Preferred Stock, we will comply with certain debt incurrence covenants in our ABL Credit Facility.</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Holders of the Redeemable Convertible Preferred Stock also have rights to a guaranteed Minimum Consideration in the event that the Company exercises its right to mandatory conversion or optional redemption of the Redeemable Convertible Preferred Stock, and in the event of a fundamental change or liquidation event. See “—</w:t>
      </w:r>
      <w:r>
        <w:rPr>
          <w:rFonts w:ascii="Times New Roman" w:cs="Times New Roman" w:eastAsia="Times New Roman" w:hAnsi="Times New Roman"/>
          <w:sz w:val="18"/>
          <w:szCs w:val="18"/>
          <w:i w:val="1"/>
          <w:iCs w:val="1"/>
          <w:color w:val="auto"/>
        </w:rPr>
        <w:t>The settlement of our obligations upon conversion, optional redemption or required repurchase of our Redeemable 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 Stock is expected to dilute the ownership of common stockholders and the number of shares of common stock issuable upon mandatory conversion, optional redemption or fundamental change is presently indeterminable</w:t>
      </w:r>
      <w:r>
        <w:rPr>
          <w:rFonts w:ascii="Times New Roman" w:cs="Times New Roman" w:eastAsia="Times New Roman" w:hAnsi="Times New Roman"/>
          <w:sz w:val="18"/>
          <w:szCs w:val="18"/>
          <w:color w:val="auto"/>
        </w:rPr>
        <w:t>.” In addition, holders of our Redeemable Convertible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right to receive payment in cash upon a mandatory conversion, optional redemption or a fundamental change if certain liquidity conditions are not satisfied. See “—</w:t>
      </w:r>
      <w:r>
        <w:rPr>
          <w:rFonts w:ascii="Times New Roman" w:cs="Times New Roman" w:eastAsia="Times New Roman" w:hAnsi="Times New Roman"/>
          <w:sz w:val="18"/>
          <w:szCs w:val="18"/>
          <w:i w:val="1"/>
          <w:iCs w:val="1"/>
          <w:color w:val="auto"/>
        </w:rPr>
        <w:t>Servicing our current and future debt and potential payment obligations in certain circumstances under our Redeemable 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 Stock may require a significant amount of cash, and we may not have sufficient cash flow from our business to pay our indebtedness. Our payment obligations under such indebtedness and, if applicable, our Redeemable Convertible Preferred Stock may limit the funds available to us, and the terms of our debt agreements may restrict our flexibility in operating our business or otherwise adversely affect our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We may be unable to raise the funds necessary should any cash amounts become payable upon mandatory conversion or in connection with a fundamental change or optional redemption in relation to our Redeemable Convertible Preferred Stock</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draw down the full amounts available under the ABL Credit Facility, the SIDF Loan Agreement, the 2025 GIB Credit Facility or the DDTL Credit Facility.</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ABL Credit Facility has an initial aggregate principal commitment amount of up to $1.0 billion. However, availability of the committed amounts under the ABL Credit Facility is subject to the value of the eligible borrowing base and certain debt compliance covenants in the Certificate of Designations. We are currently able to draw down only a portion of the full amount available under the ABL Credit Facility. In addition, there is no guarantee that we will have sufficient eligible borrowing base in the future to be able to draw down the full amount available under the ABL Credit Facility. In addition, amounts committed under the SIDF Loan Agreement and the 2025 GIB Credit Facility are only available for certain specific purposes and subject to conditions on drawdowns. The DDTL Credit Facility provides for a $750.0 million delayed draw term loan credit facility subject to drawdown conditions, including the requirement that there is no availability under the ABL Credit Facility. Any inability to draw down the full amounts committed under these facilities, should the need arise, may have an </w:t>
      </w:r>
      <w:r>
        <w:rPr>
          <w:rFonts w:ascii="Times New Roman" w:cs="Times New Roman" w:eastAsia="Times New Roman" w:hAnsi="Times New Roman"/>
          <w:sz w:val="18"/>
          <w:szCs w:val="18"/>
          <w:color w:val="231F20"/>
        </w:rPr>
        <w:t>adverse effect on our cash flows and liquidity.</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identify adequate strategic relationship opportunities or form strategic relationships, in the future.</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231F20"/>
        </w:rPr>
        <w:t xml:space="preserve">Strategic business relationships are and will continue to be an important factor in the growth and success of our business. From time-to-time, we explore opportunities to enter into strategic relationships, including partnerships with original equipment manufacturers. However, there are no assurances that we will be able to identify or secure suitable business relationship opportunities in the future or that </w:t>
      </w:r>
      <w:r>
        <w:rPr>
          <w:rFonts w:ascii="Times New Roman" w:cs="Times New Roman" w:eastAsia="Times New Roman" w:hAnsi="Times New Roman"/>
          <w:sz w:val="18"/>
          <w:szCs w:val="18"/>
          <w:color w:val="000000"/>
        </w:rPr>
        <w:t>we will be able to maintain such relationships. In addition,</w:t>
      </w:r>
      <w:r>
        <w:rPr>
          <w:rFonts w:ascii="Times New Roman" w:cs="Times New Roman" w:eastAsia="Times New Roman" w:hAnsi="Times New Roman"/>
          <w:sz w:val="18"/>
          <w:szCs w:val="18"/>
          <w:color w:val="231F20"/>
        </w:rPr>
        <w:t xml:space="preserve"> our competitors may capitalize on such opportunities before we do and we may not be able to offer similar benefits to other companies with which we would like to establish and maintain strategic relationships, which could impair our ability to establish such relationships. For example, we have partnered with third-party electric vehicle charging providers to provide our customers with access to charging infrastructure, and we will rely on ongoing access to such infrastructure to provide our customers with charging solutions. If third-party electric vehicle charging providers terminate their partnerships or otherwise fail to deliver the anticipated benefits of their partnerships, our ability to provide a satisfactory customer experience will be harmed. In addition, although we have agreed to join Tesla’s Supercharger network, there may be delays in making changes to our vehicles or the network necessary for Lucid vehicles to charge at Tesla Superchargers.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spacing w:after="0" w:line="19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231F20"/>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acquire other businesses, which could require significant management attention, disrupt our business, dilute stockholder value and adversely affect our results of operations.</w:t>
      </w:r>
    </w:p>
    <w:p>
      <w:pPr>
        <w:spacing w:after="0" w:line="15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231F20"/>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Further, the integration of acquired businesses, assets or personnel typically requires significant time and resources, which could result in a diversion of resources from our existing business, which could have an adverse effect on our operations, and we may not be able to manage the integration process successfully. For instance, in April 2025, we acquired select facilities and assets in Arizona previously belonging to Nikola Corporation, including Nikola’s former Coolidge manufacturing facility and the Phoenix facility, and we offered employment to certain former Nikola employees in roles across our Arizona facilities.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could result in increased fixed obligations and exposure to potential unknown liabilities of the acquired business and could also include covenants or other restrictions that could impede our ability to manage our operations.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9" w:name="page100"/>
    <w:bookmarkEnd w:id="99"/>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financial results may vary significantly from period-to-period due to fluctuations in our production levels, operating costs, product demand and other factors.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 xml:space="preserve">Our period-to-period financial results may vary based on our production levels, operating costs and product demand, which we anticipate will fluctuate as we continue to design, develop and manufacture new vehicles (which could also reduce sales of our existing vehicles), increase production capacity and establish or expand design, research and development, production, sales and service facilities. Our revenues from period-to-period may fluctuate as we identify and investigate areas of demand, adjust volumes and add new incentives or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timely deliver finished vehicles to customers. Lower production and sales volumes and an inability to fully utilize our purchase commitments with suppliers may result in increased costs and excess inventory as well as potential inventory write-offs. See “—Risks Related to Manufacturing and Supply Chain — </w:t>
      </w:r>
      <w:r>
        <w:rPr>
          <w:rFonts w:ascii="Times New Roman" w:cs="Times New Roman" w:eastAsia="Times New Roman" w:hAnsi="Times New Roman"/>
          <w:sz w:val="18"/>
          <w:szCs w:val="18"/>
          <w:i w:val="1"/>
          <w:iCs w:val="1"/>
          <w:color w:val="231F20"/>
        </w:rPr>
        <w:t>if we fail to successfully tool our manufacturing facilities or if our manufacturing facilities become inoperable, we will be unable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produce our vehicles and our business will be harmed.</w:t>
      </w:r>
      <w:r>
        <w:rPr>
          <w:rFonts w:ascii="Times New Roman" w:cs="Times New Roman" w:eastAsia="Times New Roman" w:hAnsi="Times New Roman"/>
          <w:sz w:val="18"/>
          <w:szCs w:val="18"/>
          <w:color w:val="231F20"/>
        </w:rPr>
        <w:t>” In addition, automotive manufacturers typically experience significant seasonality, with</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comparatively low sales in the first quarter and comparatively high sales in the fourth quarter, and we expect to experience similar seasonality as we scale commercial production and sale of our current and future vehicles. Our period-to-period results of operations may also fluctuate because of other factors including labor availability and costs for hourly and management personnel; profitability of our vehicles in all of our markets, including price adjustments and/or incentives; changes in interest rates; impairment of long-lived assets; macroeconomic conditions, including changes in trade policies and imposition or proposed imposition of tariffs; negative publicity relating to our vehicles; changes in consumer preferences and competitive conditions; investment in expansion to new markets; or increase in our sales, service and marketing activities. See “— Risks Related to Litigation and Regulation — </w:t>
      </w:r>
      <w:r>
        <w:rPr>
          <w:rFonts w:ascii="Times New Roman" w:cs="Times New Roman" w:eastAsia="Times New Roman" w:hAnsi="Times New Roman"/>
          <w:sz w:val="18"/>
          <w:szCs w:val="18"/>
          <w:i w:val="1"/>
          <w:iCs w:val="1"/>
          <w:color w:val="231F20"/>
        </w:rPr>
        <w:t>Changes in U.S.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trade policy, including the imposition of or uncertainties surrounding tariffs or revocation of normal trade relations and the resulting consequences, could adversely affect our business, prospects, results of operations and financial condition.</w:t>
      </w:r>
      <w:r>
        <w:rPr>
          <w:rFonts w:ascii="Times New Roman" w:cs="Times New Roman" w:eastAsia="Times New Roman" w:hAnsi="Times New Roman"/>
          <w:sz w:val="18"/>
          <w:szCs w:val="18"/>
          <w:color w:val="231F20"/>
        </w:rPr>
        <w:t>” As a result of these factors, we believe that quarter-to-quarter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comparisons of our financial results, especially in the short-term, may have limited utility as an indicator of future performance. Significant variation in our quarterly performance could significantly and adversely affect the trading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use net operating loss carryforwards and certain other tax attributes may be limited.</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We have accumulated U.S. federal and state net operating loss (“NOL”) carryforwards and research and deve</w:t>
      </w:r>
      <w:r>
        <w:rPr>
          <w:rFonts w:ascii="Times New Roman" w:cs="Times New Roman" w:eastAsia="Times New Roman" w:hAnsi="Times New Roman"/>
          <w:sz w:val="18"/>
          <w:szCs w:val="18"/>
          <w:color w:val="000000"/>
        </w:rPr>
        <w:t>lopment credits which may be available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offset and reduce future taxable income. While our U.S. federal NOL carryforwards arising in taxable years beginning after December 31, 2017, will not be subject to expiration, some of our U.S. federal and state NOL carryforwards from taxable years prior to 2018 will begin to expire in 2028. As of March 31, 2025, we also had U.S. federal research and development credit carryforwards which will begin to expire in 2036 and state research and development credit carryforwards with no expiration. As of March 31, 2025, we had foreign net operating loss carryforwards, the majority of which will begin to expire in 2043. As of March 31, 2025, we maintain a full valuation allowance for our U.S. and the majority of our non-U.S. net deferred tax assets.</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U.S. federal and state NOL carryforwards and certain tax credits may be subject to significant limitations under Section 382 and Section 383 of the U.S. tax code, respectively, and similar provisions of state law. Un</w:t>
      </w:r>
      <w:r>
        <w:rPr>
          <w:rFonts w:ascii="Times New Roman" w:cs="Times New Roman" w:eastAsia="Times New Roman" w:hAnsi="Times New Roman"/>
          <w:sz w:val="18"/>
          <w:szCs w:val="18"/>
          <w:color w:val="231F20"/>
        </w:rPr>
        <w:t>der those sections of the U.S. tax code, if a corporation undergoes an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change,” the corporation’s ability to use its pre-change NOL carryforwards and other pre-change attributes, such as research tax credits, to offset its post-change income or tax may be limited.</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31F20"/>
        </w:rPr>
        <w:t>In general, an “ownership change” will occur if there is a cumulative change in our ownership by “5-percent shareholders” that exceeds 50 percentage poin</w:t>
      </w:r>
      <w:r>
        <w:rPr>
          <w:rFonts w:ascii="Times New Roman" w:cs="Times New Roman" w:eastAsia="Times New Roman" w:hAnsi="Times New Roman"/>
          <w:sz w:val="18"/>
          <w:szCs w:val="18"/>
          <w:color w:val="000000"/>
        </w:rPr>
        <w:t>ts over a rolling three-year period. Similar rules may apply under state tax laws. We have completed a formal Section 382 study of our equity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transactions through December 31, 2020. The study determined that we experienced an “ownership change” in 2016, and we will not be able to utilize $12 million of our U.S. federal NOL and $3 million of U.S. federal research and development tax credit carryforwards. Similar provisions of state law may also apply to limit our use of accumulated state tax attributes from the same period.</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not yet completed an analysis of whether the business combination between the Company and Legacy Lucid also caused an “ownership change.” In addition, future changes in our stock ownership may be outside of our control. If we undergo an ownership change, we may be prevented from fully uti</w:t>
      </w:r>
      <w:r>
        <w:rPr>
          <w:rFonts w:ascii="Times New Roman" w:cs="Times New Roman" w:eastAsia="Times New Roman" w:hAnsi="Times New Roman"/>
          <w:sz w:val="18"/>
          <w:szCs w:val="18"/>
          <w:color w:val="231F20"/>
        </w:rPr>
        <w:t>lizing the NOL carryforwards and tax credits existing at the time of the ownership change prior to their expiration. Future regulatory changes could also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limit our ability to utilize NOL carryforwards and tax credits. To the extent we are not able to offset future taxable income with our NOL carryforwards and tax credits, our net income and cash flows may be adversely affected.</w:t>
      </w:r>
    </w:p>
    <w:p>
      <w:pPr>
        <w:spacing w:after="0" w:line="18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231F20"/>
        </w:rPr>
        <w:t>It is possible that we will not generate taxable income in time to use any of our NOL carryforwards and research and development credits before their expiration.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0" w:name="page101"/>
    <w:bookmarkEnd w:id="100"/>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Unanticipated tax laws or any change in the application of existing tax laws to us or our customers or any change to our corporate structure may adversely impact our profitability and business.</w:t>
      </w:r>
    </w:p>
    <w:p>
      <w:pPr>
        <w:spacing w:after="0" w:line="15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31F20"/>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 For example, the Tax Cuts and Jobs Act of 2017 introduced a Base Erosion and Anti-Abuse Tax which imposes a minimum tax on adjusted income of corporations with average applicable gross receipt of at least $500 million for prior three tax years and that make certain payments to related foreign persons. In addition, the Organization for Economic Cooperation and Development has issued model rules in connection with the Base Erosion and Profit Shifting integrated framework that determine multi-jurisdictional taxing rights and the rate of tax applicable to certain types of income.</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231F20"/>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cash flows and financial results in the current or future reporting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may change our corporate structure, our business operations or certain agreements that we have entered into relating to taxes in a particular jurisdiction.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These changes may materially and adversely impact our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warrants are accounted for as liabilities and the changes in value of our warrants could have a material effect on our financial results.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spacing w:after="0" w:line="187"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231F20"/>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231F20"/>
        </w:rPr>
        <w:t>Risks Related to Public Company Requirements</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requirements of being a public company may strain our resources and distract our management, which could make it difficult to manage our business.</w:t>
      </w:r>
    </w:p>
    <w:p>
      <w:pPr>
        <w:spacing w:after="0" w:line="15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231F20"/>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time-to-time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These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231F20"/>
        </w:rPr>
        <w:t xml:space="preserve">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w:t>
      </w:r>
      <w:r>
        <w:rPr>
          <w:rFonts w:ascii="Times New Roman" w:cs="Times New Roman" w:eastAsia="Times New Roman" w:hAnsi="Times New Roman"/>
          <w:sz w:val="18"/>
          <w:szCs w:val="18"/>
          <w:color w:val="000000"/>
        </w:rPr>
        <w:t>In addition, changing laws, regulations, and standards related to corporate governance and public disclosure are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 xml:space="preserve">To implement, maintain and improve the effectiveness of our disclosure controls and procedures, we will need to commit significant resources, hire additional staff and provide additional management oversight. </w:t>
      </w:r>
      <w:r>
        <w:rPr>
          <w:rFonts w:ascii="Times New Roman" w:cs="Times New Roman" w:eastAsia="Times New Roman" w:hAnsi="Times New Roman"/>
          <w:sz w:val="18"/>
          <w:szCs w:val="18"/>
          <w:color w:val="000000"/>
        </w:rPr>
        <w:t>To comply with the requirements of being a public company, we have undertaken,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expect to continue to further undertake in the future, various actions, such as hiring additional accounting staff and implementing new internal controls and procedures </w:t>
      </w:r>
      <w:r>
        <w:rPr>
          <w:rFonts w:ascii="Times New Roman" w:cs="Times New Roman" w:eastAsia="Times New Roman" w:hAnsi="Times New Roman"/>
          <w:sz w:val="18"/>
          <w:szCs w:val="18"/>
          <w:color w:val="231F20"/>
        </w:rPr>
        <w:t>for the purpose of addressing the standards and requirements applicable to public companies. Sustaining our growth also will require us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spacing w:after="0" w:line="185"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subject to the SEC’s internal control over financial reporting requirements. Internal control over financial reporting is complex and may be revised over time to adapt to changes in our business, or changes in applicable accounting rules.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part of such requirements, we are required to provide management’s attestation on the report on internal control over financial reporting by our independent registered public accounting firm. The design of internal controls over financial reporting for our business has required and will continue to require significant time and resources from management and other personnel.</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we are required to report any control deficiencies that constitute a “material weakness” in our internal control over financial reporting. We cannot guarantee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of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102" w:name="page103"/>
    <w:bookmarkEnd w:id="102"/>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required to take write-downs or write-offs, restructuring and impairment or other charges that could have a significant negative effect on our financial condition, results of operations and stock price, which could cause our stockholders to lose some or all of their investment.</w:t>
      </w:r>
    </w:p>
    <w:p>
      <w:pPr>
        <w:spacing w:after="0" w:line="15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31F20"/>
        </w:rPr>
        <w:t>We may be required to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Common Stock</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price of our common stock has been, and may continue to be, volatile, and this volatility may negatively impact the trading price of our common stock and the Convertible Senior Notes.</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31F20"/>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stockholders’ investment in our securities and our securities may trade at prices significantly below the price stockholders paid for them. In such circumstances, the trading price of our securities may not recover and may experience a further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Factors affecting the trading price of our securities may include:</w:t>
      </w:r>
    </w:p>
    <w:p>
      <w:pPr>
        <w:spacing w:after="0" w:line="117"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conditions in the broader stock market in general, or in our industry in particular;</w:t>
      </w:r>
    </w:p>
    <w:p>
      <w:pPr>
        <w:spacing w:after="0" w:line="117" w:lineRule="exact"/>
        <w:rPr>
          <w:rFonts w:ascii="Times New Roman" w:cs="Times New Roman" w:eastAsia="Times New Roman" w:hAnsi="Times New Roman"/>
          <w:sz w:val="18"/>
          <w:szCs w:val="18"/>
          <w:color w:val="231F20"/>
        </w:rPr>
      </w:pPr>
    </w:p>
    <w:p>
      <w:pPr>
        <w:ind w:left="660" w:right="600" w:hanging="328"/>
        <w:spacing w:after="0" w:line="282" w:lineRule="auto"/>
        <w:tabs>
          <w:tab w:leader="none" w:pos="65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fluctuations in our quarterly financial or operating results or the quarterly financial or operating results of companies perceived to be similar to ours;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market’s expectations about our operating results;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public’s reaction to financial projections and any other guidance or metrics that we may publicly disclose from time-to-time;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speculation in the press or investment community;</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developments in our business, competitors’ businesses or the competitive landscape generally;</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operating results failing to meet the expectation of securities analysts or investors in a particular period;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of the achievement of objectives under our business plan and the timing and amount of costs we incur in connection therewith;</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financial estimates and recommendations by securities analysts concerning us or the market in general;</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operating and stock price performance of other companies that investors deem comparable to ours;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laws and regulations affecting our business;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commencement of, or involvement in, litigation or investigations involving us;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our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volume of our common stock available for public sale, including as a result of conversion of our Convertible Senior Notes or our </w:t>
      </w:r>
      <w:r>
        <w:rPr>
          <w:rFonts w:ascii="Times New Roman" w:cs="Times New Roman" w:eastAsia="Times New Roman" w:hAnsi="Times New Roman"/>
          <w:sz w:val="18"/>
          <w:szCs w:val="18"/>
          <w:color w:val="000000"/>
        </w:rPr>
        <w:t>Redeemable</w:t>
      </w:r>
      <w:r>
        <w:rPr>
          <w:rFonts w:ascii="Times New Roman" w:cs="Times New Roman" w:eastAsia="Times New Roman" w:hAnsi="Times New Roman"/>
          <w:sz w:val="18"/>
          <w:szCs w:val="18"/>
          <w:color w:val="231F20"/>
        </w:rPr>
        <w:t xml:space="preserve"> Convertible Preferred Stock;</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any major change in our Board </w:t>
      </w:r>
      <w:r>
        <w:rPr>
          <w:rFonts w:ascii="Times New Roman" w:cs="Times New Roman" w:eastAsia="Times New Roman" w:hAnsi="Times New Roman"/>
          <w:sz w:val="18"/>
          <w:szCs w:val="18"/>
          <w:color w:val="000000"/>
        </w:rPr>
        <w:t>or management;</w:t>
      </w:r>
    </w:p>
    <w:p>
      <w:pPr>
        <w:spacing w:after="0" w:line="117" w:lineRule="exact"/>
        <w:rPr>
          <w:rFonts w:ascii="Times New Roman" w:cs="Times New Roman" w:eastAsia="Times New Roman" w:hAnsi="Times New Roman"/>
          <w:sz w:val="18"/>
          <w:szCs w:val="18"/>
          <w:color w:val="231F20"/>
        </w:rPr>
      </w:pPr>
    </w:p>
    <w:p>
      <w:pPr>
        <w:ind w:left="660" w:right="32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stock by our directors,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uncertainties in trade policies, the imposition or proposed imposition of tariffs, threat of trade war, recessions, interest rates, inflation, government closures of banks and liquidity concerns at other financial institutions, changes in diplomatic and trade relationships, fluctuations in foreign currency exchange rates, acts of war or terrorism, and natural disasters;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listed in this section “Risk Factors.”</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103" w:name="page104"/>
    <w:bookmarkEnd w:id="103"/>
    <w:p>
      <w:pPr>
        <w:ind w:right="40"/>
        <w:spacing w:after="0" w:line="271" w:lineRule="auto"/>
        <w:rPr>
          <w:sz w:val="20"/>
          <w:szCs w:val="20"/>
          <w:color w:val="auto"/>
        </w:rPr>
      </w:pPr>
      <w:r>
        <w:rPr>
          <w:rFonts w:ascii="Times New Roman" w:cs="Times New Roman" w:eastAsia="Times New Roman" w:hAnsi="Times New Roman"/>
          <w:sz w:val="17"/>
          <w:szCs w:val="17"/>
          <w:color w:val="auto"/>
        </w:rPr>
        <w:t xml:space="preserve">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w:t>
      </w:r>
      <w:r>
        <w:rPr>
          <w:rFonts w:ascii="Times New Roman" w:cs="Times New Roman" w:eastAsia="Times New Roman" w:hAnsi="Times New Roman"/>
          <w:sz w:val="17"/>
          <w:szCs w:val="17"/>
          <w:color w:val="231F20"/>
        </w:rPr>
        <w:t>Convertible Senior</w:t>
      </w:r>
      <w:r>
        <w:rPr>
          <w:rFonts w:ascii="Times New Roman" w:cs="Times New Roman" w:eastAsia="Times New Roman" w:hAnsi="Times New Roman"/>
          <w:sz w:val="17"/>
          <w:szCs w:val="17"/>
          <w:color w:val="auto"/>
        </w:rPr>
        <w:t xml:space="preserve"> Notes regardless of our business, prospects, financial conditions or results of operations. Broad market and industry factors, including global conflicts and other geopolitical events, natural disasters, and any other global pa</w:t>
      </w:r>
      <w:r>
        <w:rPr>
          <w:rFonts w:ascii="Times New Roman" w:cs="Times New Roman" w:eastAsia="Times New Roman" w:hAnsi="Times New Roman"/>
          <w:sz w:val="17"/>
          <w:szCs w:val="17"/>
          <w:color w:val="231F20"/>
        </w:rPr>
        <w:t>ndemics, as well as general economic, political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and market conditions such as recessions, inflation, </w:t>
      </w:r>
      <w:r>
        <w:rPr>
          <w:rFonts w:ascii="Times New Roman" w:cs="Times New Roman" w:eastAsia="Times New Roman" w:hAnsi="Times New Roman"/>
          <w:sz w:val="17"/>
          <w:szCs w:val="17"/>
          <w:color w:val="000000"/>
        </w:rPr>
        <w:t>government closures of banks and liquidity concerns at other financial institutions,</w:t>
      </w:r>
      <w:r>
        <w:rPr>
          <w:rFonts w:ascii="Times New Roman" w:cs="Times New Roman" w:eastAsia="Times New Roman" w:hAnsi="Times New Roman"/>
          <w:sz w:val="17"/>
          <w:szCs w:val="17"/>
          <w:color w:val="231F20"/>
        </w:rPr>
        <w:t xml:space="preserve"> 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spacing w:after="0" w:line="17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231F20"/>
        </w:rPr>
        <w:t>Furthermore, the stock markets in general, and the markets for technology and electric vehicle stocks in particular, have experienced extreme volatility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w:t>
      </w:r>
    </w:p>
    <w:p>
      <w:pPr>
        <w:spacing w:after="0" w:line="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231F20"/>
        </w:rPr>
        <w:t>These broad market and industry factors may seriously harm the market price of our common stock, regardless of our operating performance. In addition, hedging activity by holders of the Convertible Senior Notes may impact the market price of our common stock, in particular during any redemption conversion period in connection with a redemption of the Convertible Senior Notes or any observation period for a conversion of the Convertible Senior Notes.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issuance of additional shares of our common stock or other equity or equity-linked securities, or sales of a significant portion of our common stock, could depress the market price of our common stock.</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and</w:t>
      </w:r>
      <w:r>
        <w:rPr>
          <w:rFonts w:ascii="Times New Roman" w:cs="Times New Roman" w:eastAsia="Times New Roman" w:hAnsi="Times New Roman"/>
          <w:sz w:val="18"/>
          <w:szCs w:val="18"/>
          <w:color w:val="000000"/>
        </w:rPr>
        <w:t>/or the conversion of our</w:t>
      </w:r>
      <w:r>
        <w:rPr>
          <w:rFonts w:ascii="Times New Roman" w:cs="Times New Roman" w:eastAsia="Times New Roman" w:hAnsi="Times New Roman"/>
          <w:sz w:val="18"/>
          <w:szCs w:val="18"/>
          <w:color w:val="231F20"/>
        </w:rPr>
        <w:t xml:space="preserve"> Convertible Senior </w:t>
      </w:r>
      <w:r>
        <w:rPr>
          <w:rFonts w:ascii="Times New Roman" w:cs="Times New Roman" w:eastAsia="Times New Roman" w:hAnsi="Times New Roman"/>
          <w:sz w:val="18"/>
          <w:szCs w:val="18"/>
          <w:color w:val="000000"/>
        </w:rPr>
        <w:t>Notes or of our Redeemable Convertible Preferred Stock would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result in additional dilution to holders of our common stock. Similarly, the redemption or repurchase of our Redeemable Convertible Preferred Stock may result in additional dilution to holders of our common stock if, under the terms of our Redeemable Convertible Preferred Stock, we are then permitted, and elect, to satisfy our obligations in respect thereof by delivery of our common stock. In the future, we may issue additional shares of our common stock, or securities convertible into or exercisable for common stock, in </w:t>
      </w:r>
      <w:r>
        <w:rPr>
          <w:rFonts w:ascii="Times New Roman" w:cs="Times New Roman" w:eastAsia="Times New Roman" w:hAnsi="Times New Roman"/>
          <w:sz w:val="18"/>
          <w:szCs w:val="18"/>
          <w:color w:val="231F20"/>
        </w:rPr>
        <w:t>connection with generating additional capital, future acquisitions, repayment of outstanding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indebtedness, under our stock incentive plan, or for other reasons.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In addition, pursuant to the Investor Rights Agreement, Ayar, and certain other parties thereto are entitled to, among other things, certain registration rights, including demand, piggy-back and shelf registration rights with respect to its shares of common stock (including shares of common stock underlying the Redeemable Convertible Preferred Stock held by Ayar) and Ayar’s shares of the Redeemable Convertible Preferred Stock. If either pursuant to any registration statement filed pursuant to the Investor Rights Agreement or through another avenue, one or more of these stockholders were to sell a substantial portion of the securities they hold, including any common stock issued upon conversion, redemption or repurchase of our Redeemable Convertible Preferred Stock, it could cause the trading price of our common stock to decline. Furthermore, given Ayar’s substantial concentration in ownership of our common stock and the Redeemable Convertible Preferred Stock, if Ayar were to elect to sell in the open market or in private placement transactions, it could have the effect of increasing the volatility in our stock price or putting significant downward pressure on the price of our common stock.</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31F20"/>
        </w:rPr>
        <w:t>Pursuant to the Series A Subscription Agreement and the Series B Subscription Agreement, Ayar has agreed to restrictions on the sale or transfer of shares of Redeemable Convertible Preferred Stock or any shares of common stock issued pursuant to the terms thereof held by it for a period of twelve months following the closing of the transaction. However, following the expiration of the lock-up period, Ayar will not be restricted from selling applicable securities, other than by applicable securities laws.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04" w:name="page105"/>
    <w:bookmarkEnd w:id="104"/>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w:t>
      </w:r>
      <w:r>
        <w:rPr>
          <w:rFonts w:ascii="Times New Roman" w:cs="Times New Roman" w:eastAsia="Times New Roman" w:hAnsi="Times New Roman"/>
          <w:sz w:val="18"/>
          <w:szCs w:val="18"/>
          <w:b w:val="1"/>
          <w:bCs w:val="1"/>
          <w:i w:val="1"/>
          <w:iCs w:val="1"/>
          <w:color w:val="231F20"/>
        </w:rPr>
        <w:t>n the meaning of the applicable Nasdaq rules and, as a result, qualify for exemptions from certain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31F20"/>
        </w:rPr>
        <w:t>governance requirements. Our stockholders will not have the same protections afforded to stockholders of companies that are not controlled companies.</w:t>
      </w:r>
    </w:p>
    <w:p>
      <w:pPr>
        <w:spacing w:after="0" w:line="17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231F20"/>
        </w:rPr>
        <w:t>As of March 31, 2025, the PIF, both directly and indirectly through A</w:t>
      </w:r>
      <w:r>
        <w:rPr>
          <w:rFonts w:ascii="Times New Roman" w:cs="Times New Roman" w:eastAsia="Times New Roman" w:hAnsi="Times New Roman"/>
          <w:sz w:val="18"/>
          <w:szCs w:val="18"/>
          <w:color w:val="000000"/>
        </w:rPr>
        <w:t>yar, held over 50% of t</w:t>
      </w:r>
      <w:r>
        <w:rPr>
          <w:rFonts w:ascii="Times New Roman" w:cs="Times New Roman" w:eastAsia="Times New Roman" w:hAnsi="Times New Roman"/>
          <w:sz w:val="18"/>
          <w:szCs w:val="18"/>
          <w:color w:val="231F20"/>
        </w:rPr>
        <w:t>he voting power for the election of our directors</w:t>
      </w:r>
      <w:r>
        <w:rPr>
          <w:rFonts w:ascii="Times New Roman" w:cs="Times New Roman" w:eastAsia="Times New Roman" w:hAnsi="Times New Roman"/>
          <w:sz w:val="18"/>
          <w:szCs w:val="18"/>
          <w:color w:val="000000"/>
        </w:rPr>
        <w:t>. As a result,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we are a “controlled company” within the meaning of the Nasdaq rules, and as a result, we qualify for exemptions from ce</w:t>
      </w:r>
      <w:r>
        <w:rPr>
          <w:rFonts w:ascii="Times New Roman" w:cs="Times New Roman" w:eastAsia="Times New Roman" w:hAnsi="Times New Roman"/>
          <w:sz w:val="18"/>
          <w:szCs w:val="18"/>
          <w:color w:val="231F20"/>
        </w:rPr>
        <w:t>rtain corporate governance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w:t>
      </w:r>
      <w:r>
        <w:rPr>
          <w:rFonts w:ascii="Times New Roman" w:cs="Times New Roman" w:eastAsia="Times New Roman" w:hAnsi="Times New Roman"/>
          <w:sz w:val="18"/>
          <w:szCs w:val="18"/>
          <w:color w:val="000000"/>
        </w:rPr>
        <w:t>directors; and (d)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eight directors to our Board.</w:t>
      </w:r>
    </w:p>
    <w:p>
      <w:pPr>
        <w:spacing w:after="0" w:line="19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for so long as Ayar holds the Redeemable Convertible Preferred Stock and as result of the consent and voting rights of the Redeemable Convertible Preferred Stock, coupled with the voting rights associated with Ayar’s existing ownership of common stock in the Company, Ayar has significant power to influence the outcome over any matter submitted for the vote of the holders of our common stock and to influence certain matters affecting our governance and capitalization. This concentration of ownership and voting power allows Ayar to exercise control over certain decisions, in particular with regards to governance and capitalization matters,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interests of Ayar may differ from the interests of our other stockholders and, as such, Ayar’s voting power and influence over us may decrease the relative interests of our other stockholders or of the Company. Such concentration of voting power could also hav</w:t>
      </w:r>
      <w:r>
        <w:rPr>
          <w:rFonts w:ascii="Times New Roman" w:cs="Times New Roman" w:eastAsia="Times New Roman" w:hAnsi="Times New Roman"/>
          <w:sz w:val="18"/>
          <w:szCs w:val="18"/>
          <w:color w:val="231F20"/>
        </w:rPr>
        <w:t>e the effect of delaying, deterring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Convertible Senior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PIF and Ayar beneficially own a significant equity interest in us and may take actions that conflict with other stockholders’ interests.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31F20"/>
        </w:rPr>
        <w:t>The interests of the PIF and Ayar may not align with our interests and the interests of our other stockholders or securityholders. The PIF and Ayar are each in the business of making investments in companies and may acquire and hold interests in businesses that compete directly or indirectly with us. The PIF and Ayar and their respective affiliates, may also pursue acquisition opportunities that may be c</w:t>
      </w:r>
      <w:r>
        <w:rPr>
          <w:rFonts w:ascii="Times New Roman" w:cs="Times New Roman" w:eastAsia="Times New Roman" w:hAnsi="Times New Roman"/>
          <w:sz w:val="18"/>
          <w:szCs w:val="18"/>
          <w:color w:val="000000"/>
        </w:rPr>
        <w:t>omplementary to our business and, as a result, those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acquisition opportunities may not be available to us.</w:t>
      </w:r>
    </w:p>
    <w:p>
      <w:pPr>
        <w:spacing w:after="0" w:line="176" w:lineRule="exact"/>
        <w:rPr>
          <w:sz w:val="20"/>
          <w:szCs w:val="20"/>
          <w:color w:val="auto"/>
        </w:rPr>
      </w:pPr>
    </w:p>
    <w:p>
      <w:pPr>
        <w:jc w:val="both"/>
        <w:ind w:right="9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3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for the foreseeable future.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 xml:space="preserve">We have never declared or paid cash dividends on our capital stock, and we do not anticipate paying any cash dividends in the foreseeable future. In addition, the ABL Credit Facility, the DDTL Credit Facility and our </w:t>
      </w:r>
      <w:r>
        <w:rPr>
          <w:rFonts w:ascii="Times New Roman" w:cs="Times New Roman" w:eastAsia="Times New Roman" w:hAnsi="Times New Roman"/>
          <w:sz w:val="18"/>
          <w:szCs w:val="18"/>
          <w:color w:val="000000"/>
        </w:rPr>
        <w:t>Redeemable</w:t>
      </w:r>
      <w:r>
        <w:rPr>
          <w:rFonts w:ascii="Times New Roman" w:cs="Times New Roman" w:eastAsia="Times New Roman" w:hAnsi="Times New Roman"/>
          <w:sz w:val="18"/>
          <w:szCs w:val="18"/>
          <w:color w:val="231F20"/>
        </w:rPr>
        <w:t xml:space="preserve"> Convertible Preferred Stock limits our and certain of our subsidiaries’ ability to pay cash dividends. We currently intend to retain our future earnings, if any, for the foreseeable future, to fund the development and growth of our business.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31F20"/>
        </w:rPr>
        <w:t>Any future determination to pay cash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our stockholders’ only source of gain on an investment in our common stock.</w:t>
      </w:r>
    </w:p>
    <w:p>
      <w:pPr>
        <w:sectPr>
          <w:pgSz w:w="11900" w:h="16838" w:orient="portrait"/>
          <w:cols w:equalWidth="0" w:num="1">
            <w:col w:w="11220"/>
          </w:cols>
          <w:pgMar w:left="320" w:top="981" w:right="35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an active and liquid public market for our securities will be sustained.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liquid trading market for our common stock is not sustained:</w:t>
      </w:r>
    </w:p>
    <w:p>
      <w:pPr>
        <w:spacing w:after="0" w:line="117"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common stock may not be able to liquidate their investment in shares of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common stock may not be able to resell their shares of our common stock at favorable prices, or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shares of our common stock may experience significant price volatility;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less efficiency in carrying out purchase and sale orders with respect to our common stock.</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Our stockholders may be unable to sell their securities unless a market can be established or sustained.</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w:t>
      </w:r>
      <w:r>
        <w:rPr>
          <w:rFonts w:ascii="Times New Roman" w:cs="Times New Roman" w:eastAsia="Times New Roman" w:hAnsi="Times New Roman"/>
          <w:sz w:val="18"/>
          <w:szCs w:val="18"/>
          <w:b w:val="1"/>
          <w:bCs w:val="1"/>
          <w:i w:val="1"/>
          <w:iCs w:val="1"/>
          <w:color w:val="231F20"/>
        </w:rPr>
        <w:t>or disputes with us or with our directors, officers or employees and may discourage stockholders from bringing such claims.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Under our current bylaws, unless we consent in writing to the selection of an alternative forum, the sole and exclusive forum will be a state court within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State of Delaware (or, if no state court located within the State of Delaware has jurisdiction, the federal district court for the District of Delaware) for:</w:t>
      </w:r>
    </w:p>
    <w:p>
      <w:pPr>
        <w:spacing w:after="0" w:line="99"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derivative action or proceeding brought on our behalf;</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of breach of a fiduciary duty owed by any of our directors, officers or employees to us or our stockholders;</w:t>
      </w:r>
    </w:p>
    <w:p>
      <w:pPr>
        <w:spacing w:after="0" w:line="117" w:lineRule="exact"/>
        <w:rPr>
          <w:rFonts w:ascii="Times New Roman" w:cs="Times New Roman" w:eastAsia="Times New Roman" w:hAnsi="Times New Roman"/>
          <w:sz w:val="18"/>
          <w:szCs w:val="18"/>
          <w:color w:val="231F20"/>
        </w:rPr>
      </w:pPr>
    </w:p>
    <w:p>
      <w:pPr>
        <w:ind w:left="660" w:right="80" w:hanging="328"/>
        <w:spacing w:after="0" w:line="282" w:lineRule="auto"/>
        <w:tabs>
          <w:tab w:leader="none" w:pos="655"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or any of our directors or officers or other employees arising pursuant to any provision of the DGCL or our certificate of incorporation or bylaws (as either may be amended, restated, modified, supplemented or waived from time-to-time); or</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or any of our directors or officers or other employees governed by the internal affairs doctrine.</w:t>
      </w:r>
    </w:p>
    <w:p>
      <w:pPr>
        <w:spacing w:after="0" w:line="22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231F20"/>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92"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Some provisions of Delaware law, our current certificate of incorporation and our current bylaws, our Certificate of Designations and the indentures for the Convertible Senior Notes may deter third parties from acquiring us and diminish the value of our common stock, the Convertible Senior Notes and the </w:t>
      </w:r>
      <w:r>
        <w:rPr>
          <w:rFonts w:ascii="Times New Roman" w:cs="Times New Roman" w:eastAsia="Times New Roman" w:hAnsi="Times New Roman"/>
          <w:sz w:val="18"/>
          <w:szCs w:val="18"/>
          <w:b w:val="1"/>
          <w:bCs w:val="1"/>
          <w:i w:val="1"/>
          <w:iCs w:val="1"/>
          <w:color w:val="000000"/>
        </w:rPr>
        <w:t>Redeemable</w:t>
      </w:r>
      <w:r>
        <w:rPr>
          <w:rFonts w:ascii="Times New Roman" w:cs="Times New Roman" w:eastAsia="Times New Roman" w:hAnsi="Times New Roman"/>
          <w:sz w:val="18"/>
          <w:szCs w:val="18"/>
          <w:b w:val="1"/>
          <w:bCs w:val="1"/>
          <w:i w:val="1"/>
          <w:iCs w:val="1"/>
          <w:color w:val="231F20"/>
        </w:rPr>
        <w:t xml:space="preserve"> Convertible Preferred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Our current certificate of incorporation and our current bylaws provide for, among other things:</w:t>
      </w:r>
    </w:p>
    <w:p>
      <w:pPr>
        <w:spacing w:after="0" w:line="117" w:lineRule="exact"/>
        <w:rPr>
          <w:sz w:val="20"/>
          <w:szCs w:val="20"/>
          <w:color w:val="auto"/>
        </w:rPr>
      </w:pPr>
    </w:p>
    <w:p>
      <w:pPr>
        <w:ind w:left="660" w:right="560" w:hanging="328"/>
        <w:spacing w:after="0" w:line="282" w:lineRule="auto"/>
        <w:tabs>
          <w:tab w:leader="none" w:pos="655"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53" w:lineRule="exact"/>
        <w:rPr>
          <w:rFonts w:ascii="Times New Roman" w:cs="Times New Roman" w:eastAsia="Times New Roman" w:hAnsi="Times New Roman"/>
          <w:sz w:val="18"/>
          <w:szCs w:val="18"/>
          <w:color w:val="231F20"/>
        </w:rPr>
      </w:pPr>
    </w:p>
    <w:p>
      <w:pPr>
        <w:ind w:left="660" w:right="200" w:hanging="328"/>
        <w:spacing w:after="0" w:line="282" w:lineRule="auto"/>
        <w:tabs>
          <w:tab w:leader="none" w:pos="655"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Investor Rights Agreement, advance notice for nominations of directors by stockholders and for stockholders to include matters to be considered at stockholder meetings;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6" w:name="page107"/>
    <w:bookmarkEnd w:id="106"/>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limitations on convening special stockholder meetings.</w:t>
      </w:r>
    </w:p>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231F20"/>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68" w:lineRule="exact"/>
        <w:rPr>
          <w:sz w:val="20"/>
          <w:szCs w:val="20"/>
          <w:color w:val="auto"/>
        </w:rPr>
      </w:pPr>
    </w:p>
    <w:p>
      <w:pPr>
        <w:ind w:left="660" w:right="200" w:hanging="328"/>
        <w:spacing w:after="0" w:line="282" w:lineRule="auto"/>
        <w:tabs>
          <w:tab w:leader="none" w:pos="655"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prior to such time, the Board approved either the business combination or the transaction that resulted in the stockholder becoming an interested stockholder;</w:t>
      </w:r>
    </w:p>
    <w:p>
      <w:pPr>
        <w:spacing w:after="0" w:line="53" w:lineRule="exact"/>
        <w:rPr>
          <w:rFonts w:ascii="Times New Roman" w:cs="Times New Roman" w:eastAsia="Times New Roman" w:hAnsi="Times New Roman"/>
          <w:sz w:val="18"/>
          <w:szCs w:val="18"/>
          <w:color w:val="231F20"/>
        </w:rPr>
      </w:pPr>
    </w:p>
    <w:p>
      <w:pPr>
        <w:ind w:left="660" w:right="320" w:hanging="328"/>
        <w:spacing w:after="0" w:line="282" w:lineRule="auto"/>
        <w:tabs>
          <w:tab w:leader="none" w:pos="655"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53"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231F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31F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In addition, certain terms of our Redeemable Convertible Preferred Stock and the </w:t>
      </w:r>
      <w:r>
        <w:rPr>
          <w:rFonts w:ascii="Times New Roman" w:cs="Times New Roman" w:eastAsia="Times New Roman" w:hAnsi="Times New Roman"/>
          <w:sz w:val="18"/>
          <w:szCs w:val="18"/>
          <w:color w:val="231F20"/>
        </w:rPr>
        <w:t>Convertible Senior</w:t>
      </w:r>
      <w:r>
        <w:rPr>
          <w:rFonts w:ascii="Times New Roman" w:cs="Times New Roman" w:eastAsia="Times New Roman" w:hAnsi="Times New Roman"/>
          <w:sz w:val="18"/>
          <w:szCs w:val="18"/>
          <w:color w:val="auto"/>
        </w:rPr>
        <w:t xml:space="preserve"> Notes may make it more difficult for an entity to acquire us. As the current holder of our Convertible Preferred Stock, Ayar has certain repurchase, conversion and consent rights, including the right, at the option of Ayar, to require us to repurchase for cash or, if under the terms of our Redeemable Convertible Preferred Stock we are then permitted, and we so elect, shares of our common stock (or other securities to be received by a holder of common stock in such fundamental change) in connection with a fundamental change, based on the applicable Minimum Consideration. See “Risks Related to Financing and Strategic Transactions—</w:t>
      </w:r>
      <w:r>
        <w:rPr>
          <w:rFonts w:ascii="Times New Roman" w:cs="Times New Roman" w:eastAsia="Times New Roman" w:hAnsi="Times New Roman"/>
          <w:sz w:val="18"/>
          <w:szCs w:val="18"/>
          <w:i w:val="1"/>
          <w:iCs w:val="1"/>
          <w:color w:val="auto"/>
        </w:rPr>
        <w:t>Our Redeemable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Preferred Stock has rights, preferences and privileges that are not held by, and are senior to the rights of, our common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Similarly, the indentures governing the </w:t>
      </w:r>
      <w:r>
        <w:rPr>
          <w:rFonts w:ascii="Times New Roman" w:cs="Times New Roman" w:eastAsia="Times New Roman" w:hAnsi="Times New Roman"/>
          <w:sz w:val="18"/>
          <w:szCs w:val="18"/>
          <w:color w:val="231F20"/>
        </w:rPr>
        <w:t>Convertible Senior</w:t>
      </w:r>
      <w:r>
        <w:rPr>
          <w:rFonts w:ascii="Times New Roman" w:cs="Times New Roman" w:eastAsia="Times New Roman" w:hAnsi="Times New Roman"/>
          <w:sz w:val="18"/>
          <w:szCs w:val="18"/>
          <w:color w:val="auto"/>
        </w:rPr>
        <w:t xml:space="preserve"> Notes generally requires us, at the option of the holders, to repurchase the </w:t>
      </w:r>
      <w:r>
        <w:rPr>
          <w:rFonts w:ascii="Times New Roman" w:cs="Times New Roman" w:eastAsia="Times New Roman" w:hAnsi="Times New Roman"/>
          <w:sz w:val="18"/>
          <w:szCs w:val="18"/>
          <w:color w:val="231F20"/>
        </w:rPr>
        <w:t>Convertible Senior</w:t>
      </w:r>
      <w:r>
        <w:rPr>
          <w:rFonts w:ascii="Times New Roman" w:cs="Times New Roman" w:eastAsia="Times New Roman" w:hAnsi="Times New Roman"/>
          <w:sz w:val="18"/>
          <w:szCs w:val="18"/>
          <w:color w:val="auto"/>
        </w:rPr>
        <w:t xml:space="preserve"> Notes for cash upon the occurrence of a fundamental change and, in certain circumstances, to increase the conversion rate for a holder that converts its </w:t>
      </w:r>
      <w:r>
        <w:rPr>
          <w:rFonts w:ascii="Times New Roman" w:cs="Times New Roman" w:eastAsia="Times New Roman" w:hAnsi="Times New Roman"/>
          <w:sz w:val="18"/>
          <w:szCs w:val="18"/>
          <w:color w:val="231F20"/>
        </w:rPr>
        <w:t xml:space="preserve">Convertible Senior </w:t>
      </w:r>
      <w:r>
        <w:rPr>
          <w:rFonts w:ascii="Times New Roman" w:cs="Times New Roman" w:eastAsia="Times New Roman" w:hAnsi="Times New Roman"/>
          <w:sz w:val="18"/>
          <w:szCs w:val="18"/>
          <w:color w:val="000000"/>
        </w:rPr>
        <w:t>Notes in connection with a make-whole fundamental change, as defined in the indentures for the</w:t>
      </w:r>
      <w:r>
        <w:rPr>
          <w:rFonts w:ascii="Times New Roman" w:cs="Times New Roman" w:eastAsia="Times New Roman" w:hAnsi="Times New Roman"/>
          <w:sz w:val="18"/>
          <w:szCs w:val="18"/>
          <w:color w:val="231F20"/>
        </w:rPr>
        <w:t xml:space="preserve"> Convertible Senior </w:t>
      </w:r>
      <w:r>
        <w:rPr>
          <w:rFonts w:ascii="Times New Roman" w:cs="Times New Roman" w:eastAsia="Times New Roman" w:hAnsi="Times New Roman"/>
          <w:sz w:val="18"/>
          <w:szCs w:val="18"/>
          <w:color w:val="000000"/>
        </w:rPr>
        <w:t>Notes. These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provisions may make it more costly for a potential acquirer to engage in a business combination transaction with us.</w:t>
      </w:r>
    </w:p>
    <w:p>
      <w:pPr>
        <w:spacing w:after="0" w:line="1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These provisions in our current certificate of incorporation, our current bylaws, our Certificate of Designations and the indentures for the </w:t>
      </w:r>
      <w:r>
        <w:rPr>
          <w:rFonts w:ascii="Times New Roman" w:cs="Times New Roman" w:eastAsia="Times New Roman" w:hAnsi="Times New Roman"/>
          <w:sz w:val="18"/>
          <w:szCs w:val="18"/>
          <w:color w:val="231F20"/>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Senior </w:t>
      </w:r>
      <w:r>
        <w:rPr>
          <w:rFonts w:ascii="Times New Roman" w:cs="Times New Roman" w:eastAsia="Times New Roman" w:hAnsi="Times New Roman"/>
          <w:sz w:val="18"/>
          <w:szCs w:val="18"/>
          <w:color w:val="000000"/>
        </w:rPr>
        <w:t>Notes as well as D</w:t>
      </w:r>
      <w:r>
        <w:rPr>
          <w:rFonts w:ascii="Times New Roman" w:cs="Times New Roman" w:eastAsia="Times New Roman" w:hAnsi="Times New Roman"/>
          <w:sz w:val="18"/>
          <w:szCs w:val="18"/>
          <w:color w:val="231F20"/>
        </w:rPr>
        <w:t xml:space="preserve">elaware law could increase the cost and difficulty of acquiring us or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value of the Convertible Senior Notes or the </w:t>
      </w:r>
      <w:r>
        <w:rPr>
          <w:rFonts w:ascii="Times New Roman" w:cs="Times New Roman" w:eastAsia="Times New Roman" w:hAnsi="Times New Roman"/>
          <w:sz w:val="18"/>
          <w:szCs w:val="18"/>
          <w:color w:val="000000"/>
        </w:rPr>
        <w:t>Redeemable</w:t>
      </w:r>
      <w:r>
        <w:rPr>
          <w:rFonts w:ascii="Times New Roman" w:cs="Times New Roman" w:eastAsia="Times New Roman" w:hAnsi="Times New Roman"/>
          <w:sz w:val="18"/>
          <w:szCs w:val="18"/>
          <w:color w:val="231F20"/>
        </w:rPr>
        <w:t xml:space="preserve"> Convertible Preferred Stock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the Convertible Senior Notes or the </w:t>
      </w:r>
      <w:r>
        <w:rPr>
          <w:rFonts w:ascii="Times New Roman" w:cs="Times New Roman" w:eastAsia="Times New Roman" w:hAnsi="Times New Roman"/>
          <w:sz w:val="18"/>
          <w:szCs w:val="18"/>
          <w:color w:val="000000"/>
        </w:rPr>
        <w:t>Redeemable</w:t>
      </w:r>
      <w:r>
        <w:rPr>
          <w:rFonts w:ascii="Times New Roman" w:cs="Times New Roman" w:eastAsia="Times New Roman" w:hAnsi="Times New Roman"/>
          <w:sz w:val="18"/>
          <w:szCs w:val="18"/>
          <w:color w:val="231F20"/>
        </w:rPr>
        <w:t xml:space="preserve"> Convertible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2025, none of the Company’s directors or officers adopted, modified or terminated a Rule 10b5-1 trading arrangement or a non-Rule 10b5-1 trading arrangement, as such terms are defined under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exhibits listed on the Exhibit Index to this Form 10-Q are filed herewith or incorporated by reference herein:</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07" w:name="page108"/>
    <w:bookmarkEnd w:id="107"/>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32"/>
          </w:cols>
          <w:pgMar w:left="328" w:top="981"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34" w:lineRule="exact"/>
        <w:rPr>
          <w:sz w:val="20"/>
          <w:szCs w:val="20"/>
          <w:color w:val="auto"/>
        </w:rPr>
      </w:pPr>
    </w:p>
    <w:p>
      <w:pPr>
        <w:ind w:left="972" w:hanging="631"/>
        <w:spacing w:after="0" w:line="245" w:lineRule="auto"/>
        <w:tabs>
          <w:tab w:leader="none" w:pos="952"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color w:val="auto"/>
        </w:rPr>
        <w:t>Indenture, dated as of April 8, 2025, between Lucid Group, Inc. and U.S. Bank Trust Company, National Association,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5486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8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Form</w:t>
            </w:r>
          </w:p>
        </w:tc>
        <w:tc>
          <w:tcPr>
            <w:tcW w:w="98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File</w:t>
            </w:r>
          </w:p>
        </w:tc>
        <w:tc>
          <w:tcPr>
            <w:tcW w:w="118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Filing</w:t>
            </w:r>
          </w:p>
        </w:tc>
        <w:tc>
          <w:tcPr>
            <w:tcW w:w="84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84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Filed</w:t>
            </w:r>
          </w:p>
        </w:tc>
      </w:tr>
      <w:tr>
        <w:trPr>
          <w:trHeight w:val="195"/>
        </w:trPr>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r>
      <w:tr>
        <w:trPr>
          <w:trHeight w:val="209"/>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8, 2025</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40" w:type="dxa"/>
            <w:vAlign w:val="bottom"/>
          </w:tcPr>
          <w:p>
            <w:pPr>
              <w:spacing w:after="0"/>
              <w:rPr>
                <w:sz w:val="18"/>
                <w:szCs w:val="18"/>
                <w:color w:val="auto"/>
              </w:rPr>
            </w:pPr>
          </w:p>
        </w:tc>
      </w:tr>
    </w:tbl>
    <w:p>
      <w:pPr>
        <w:spacing w:after="0" w:line="186" w:lineRule="exact"/>
        <w:rPr>
          <w:sz w:val="20"/>
          <w:szCs w:val="20"/>
          <w:color w:val="auto"/>
        </w:rPr>
      </w:pPr>
    </w:p>
    <w:p>
      <w:pPr>
        <w:sectPr>
          <w:pgSz w:w="11900" w:h="16838" w:orient="portrait"/>
          <w:cols w:equalWidth="0" w:num="2">
            <w:col w:w="6452" w:space="360"/>
            <w:col w:w="4420"/>
          </w:cols>
          <w:pgMar w:left="328" w:top="981" w:right="339" w:bottom="1440" w:gutter="0" w:footer="0" w:header="0"/>
          <w:type w:val="continuous"/>
        </w:sectPr>
      </w:pPr>
    </w:p>
    <w:tbl>
      <w:tblPr>
        <w:tblLayout w:type="fixed"/>
        <w:tblInd w:w="132" w:type="dxa"/>
        <w:tblCellMar>
          <w:top w:w="0" w:type="dxa"/>
          <w:left w:w="0" w:type="dxa"/>
          <w:bottom w:w="0" w:type="dxa"/>
          <w:right w:w="0" w:type="dxa"/>
        </w:tblCellMar>
      </w:tblPr>
      <w:tr>
        <w:trPr>
          <w:trHeight w:val="184"/>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4.2</w:t>
            </w:r>
          </w:p>
        </w:tc>
        <w:tc>
          <w:tcPr>
            <w:tcW w:w="5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Form of certificate representing the 5.00% Convertible Senior Notes due 2030 (included</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001-39408</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8, 2025</w:t>
            </w:r>
          </w:p>
        </w:tc>
        <w:tc>
          <w:tcPr>
            <w:tcW w:w="1300" w:type="dxa"/>
            <w:vAlign w:val="bottom"/>
          </w:tcPr>
          <w:p>
            <w:pPr>
              <w:jc w:val="center"/>
              <w:ind w:right="419"/>
              <w:spacing w:after="0"/>
              <w:rPr>
                <w:sz w:val="20"/>
                <w:szCs w:val="20"/>
                <w:color w:val="auto"/>
              </w:rPr>
            </w:pPr>
            <w:r>
              <w:rPr>
                <w:rFonts w:ascii="Times New Roman" w:cs="Times New Roman" w:eastAsia="Times New Roman" w:hAnsi="Times New Roman"/>
                <w:sz w:val="16"/>
                <w:szCs w:val="16"/>
                <w:color w:val="auto"/>
                <w:w w:val="99"/>
              </w:rPr>
              <w:t>4.2</w:t>
            </w:r>
          </w:p>
        </w:tc>
      </w:tr>
      <w:tr>
        <w:trPr>
          <w:trHeight w:val="210"/>
        </w:trPr>
        <w:tc>
          <w:tcPr>
            <w:tcW w:w="840" w:type="dxa"/>
            <w:vAlign w:val="bottom"/>
          </w:tcPr>
          <w:p>
            <w:pPr>
              <w:spacing w:after="0"/>
              <w:rPr>
                <w:sz w:val="18"/>
                <w:szCs w:val="18"/>
                <w:color w:val="auto"/>
              </w:rPr>
            </w:pPr>
          </w:p>
        </w:tc>
        <w:tc>
          <w:tcPr>
            <w:tcW w:w="5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as Exhibit A to Exhibit 4.1)</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5"/>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10.1</w:t>
            </w:r>
          </w:p>
        </w:tc>
        <w:tc>
          <w:tcPr>
            <w:tcW w:w="58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Amendment to the Credit Facility Agreement, entered into on February 24, 2025 between</w:t>
            </w: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0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6"/>
              </w:rPr>
              <w:t>X</w:t>
            </w:r>
          </w:p>
        </w:tc>
      </w:tr>
      <w:tr>
        <w:trPr>
          <w:trHeight w:val="142"/>
        </w:trPr>
        <w:tc>
          <w:tcPr>
            <w:tcW w:w="840" w:type="dxa"/>
            <w:vAlign w:val="bottom"/>
          </w:tcPr>
          <w:p>
            <w:pPr>
              <w:spacing w:after="0"/>
              <w:rPr>
                <w:sz w:val="12"/>
                <w:szCs w:val="12"/>
                <w:color w:val="auto"/>
              </w:rPr>
            </w:pPr>
          </w:p>
        </w:tc>
        <w:tc>
          <w:tcPr>
            <w:tcW w:w="4960" w:type="dxa"/>
            <w:vAlign w:val="bottom"/>
            <w:tcBorders>
              <w:top w:val="single" w:sz="8" w:color="0000FF"/>
              <w:bottom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Lucid LLC and Gulf International Bank Saudi Arabia (English version only)</w:t>
            </w:r>
          </w:p>
        </w:tc>
        <w:tc>
          <w:tcPr>
            <w:tcW w:w="84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5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10.2^</w:t>
            </w:r>
          </w:p>
        </w:tc>
        <w:tc>
          <w:tcPr>
            <w:tcW w:w="58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Transition Agreement between Lucid Group, Inc. and Peter Rawlinson, dated February</w:t>
            </w: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0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6"/>
              </w:rPr>
              <w:t>X</w:t>
            </w:r>
          </w:p>
        </w:tc>
      </w:tr>
      <w:tr>
        <w:trPr>
          <w:trHeight w:val="142"/>
        </w:trPr>
        <w:tc>
          <w:tcPr>
            <w:tcW w:w="840" w:type="dxa"/>
            <w:vAlign w:val="bottom"/>
          </w:tcPr>
          <w:p>
            <w:pPr>
              <w:spacing w:after="0"/>
              <w:rPr>
                <w:sz w:val="12"/>
                <w:szCs w:val="12"/>
                <w:color w:val="auto"/>
              </w:rPr>
            </w:pPr>
          </w:p>
        </w:tc>
        <w:tc>
          <w:tcPr>
            <w:tcW w:w="5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6"/>
              </w:rPr>
              <w:t>21, 2025</w:t>
            </w:r>
          </w:p>
        </w:tc>
        <w:tc>
          <w:tcPr>
            <w:tcW w:w="28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5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10.3^</w:t>
            </w:r>
          </w:p>
        </w:tc>
        <w:tc>
          <w:tcPr>
            <w:tcW w:w="58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Offer of Promotion to Marc Winterhoff, dated February 21, 2025</w:t>
            </w: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0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6"/>
              </w:rPr>
              <w:t>X</w:t>
            </w:r>
          </w:p>
        </w:tc>
      </w:tr>
      <w:tr>
        <w:trPr>
          <w:trHeight w:val="285"/>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10.4</w:t>
            </w:r>
          </w:p>
        </w:tc>
        <w:tc>
          <w:tcPr>
            <w:tcW w:w="42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auto"/>
              </w:rPr>
              <w:t>Form of Capped Call Confirmation</w:t>
            </w:r>
          </w:p>
        </w:tc>
        <w:tc>
          <w:tcPr>
            <w:tcW w:w="1680" w:type="dxa"/>
            <w:vAlign w:val="bottom"/>
            <w:gridSpan w:val="7"/>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001-39408</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8, 2025</w:t>
            </w:r>
          </w:p>
        </w:tc>
        <w:tc>
          <w:tcPr>
            <w:tcW w:w="1300" w:type="dxa"/>
            <w:vAlign w:val="bottom"/>
          </w:tcPr>
          <w:p>
            <w:pPr>
              <w:jc w:val="center"/>
              <w:ind w:right="439"/>
              <w:spacing w:after="0"/>
              <w:rPr>
                <w:sz w:val="20"/>
                <w:szCs w:val="20"/>
                <w:color w:val="auto"/>
              </w:rPr>
            </w:pPr>
            <w:r>
              <w:rPr>
                <w:rFonts w:ascii="Times New Roman" w:cs="Times New Roman" w:eastAsia="Times New Roman" w:hAnsi="Times New Roman"/>
                <w:sz w:val="16"/>
                <w:szCs w:val="16"/>
                <w:color w:val="auto"/>
              </w:rPr>
              <w:t>10.1</w:t>
            </w:r>
          </w:p>
        </w:tc>
      </w:tr>
      <w:tr>
        <w:trPr>
          <w:trHeight w:val="222"/>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10.5^</w:t>
            </w:r>
          </w:p>
        </w:tc>
        <w:tc>
          <w:tcPr>
            <w:tcW w:w="5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Offer of Promotion to Gagan Dhingra, dated January 27, 2025</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001-39408</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25,</w:t>
            </w:r>
          </w:p>
        </w:tc>
        <w:tc>
          <w:tcPr>
            <w:tcW w:w="1300" w:type="dxa"/>
            <w:vAlign w:val="bottom"/>
          </w:tcPr>
          <w:p>
            <w:pPr>
              <w:jc w:val="center"/>
              <w:ind w:right="439"/>
              <w:spacing w:after="0"/>
              <w:rPr>
                <w:sz w:val="20"/>
                <w:szCs w:val="20"/>
                <w:color w:val="auto"/>
              </w:rPr>
            </w:pPr>
            <w:r>
              <w:rPr>
                <w:rFonts w:ascii="Times New Roman" w:cs="Times New Roman" w:eastAsia="Times New Roman" w:hAnsi="Times New Roman"/>
                <w:sz w:val="16"/>
                <w:szCs w:val="16"/>
                <w:color w:val="auto"/>
              </w:rPr>
              <w:t>10.36</w:t>
            </w:r>
          </w:p>
        </w:tc>
      </w:tr>
      <w:tr>
        <w:trPr>
          <w:trHeight w:val="210"/>
        </w:trPr>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300" w:type="dxa"/>
            <w:vAlign w:val="bottom"/>
          </w:tcPr>
          <w:p>
            <w:pPr>
              <w:spacing w:after="0"/>
              <w:rPr>
                <w:sz w:val="18"/>
                <w:szCs w:val="18"/>
                <w:color w:val="auto"/>
              </w:rPr>
            </w:pPr>
          </w:p>
        </w:tc>
      </w:tr>
      <w:tr>
        <w:trPr>
          <w:trHeight w:val="235"/>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31.1</w:t>
            </w:r>
          </w:p>
        </w:tc>
        <w:tc>
          <w:tcPr>
            <w:tcW w:w="58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Required Under Rule 13a-14(a) and 15d-</w:t>
            </w: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0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6"/>
              </w:rPr>
              <w:t>X</w:t>
            </w:r>
          </w:p>
        </w:tc>
      </w:tr>
      <w:tr>
        <w:trPr>
          <w:trHeight w:val="142"/>
        </w:trPr>
        <w:tc>
          <w:tcPr>
            <w:tcW w:w="840" w:type="dxa"/>
            <w:vAlign w:val="bottom"/>
          </w:tcPr>
          <w:p>
            <w:pPr>
              <w:spacing w:after="0"/>
              <w:rPr>
                <w:sz w:val="12"/>
                <w:szCs w:val="12"/>
                <w:color w:val="auto"/>
              </w:rPr>
            </w:pPr>
          </w:p>
        </w:tc>
        <w:tc>
          <w:tcPr>
            <w:tcW w:w="5520" w:type="dxa"/>
            <w:vAlign w:val="bottom"/>
            <w:tcBorders>
              <w:top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14(a) of the Securities Exchange Act of 1934, as amended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31.2</w:t>
            </w:r>
          </w:p>
        </w:tc>
        <w:tc>
          <w:tcPr>
            <w:tcW w:w="58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Required Under Rule 13a-14(a) and 15d-14(a)</w:t>
            </w: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0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6"/>
              </w:rPr>
              <w:t>X</w:t>
            </w:r>
          </w:p>
        </w:tc>
      </w:tr>
      <w:tr>
        <w:trPr>
          <w:trHeight w:val="142"/>
        </w:trPr>
        <w:tc>
          <w:tcPr>
            <w:tcW w:w="84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of the Securities Exchange Act of 1934, as amended</w:t>
            </w:r>
          </w:p>
        </w:tc>
        <w:tc>
          <w:tcPr>
            <w:tcW w:w="2440" w:type="dxa"/>
            <w:vAlign w:val="bottom"/>
            <w:tcBorders>
              <w:top w:val="single" w:sz="8" w:color="0000FF"/>
            </w:tcBorders>
            <w:gridSpan w:val="9"/>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5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32.1</w:t>
            </w:r>
          </w:p>
        </w:tc>
        <w:tc>
          <w:tcPr>
            <w:tcW w:w="58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w:t>
            </w: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0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6"/>
              </w:rPr>
              <w:t>X</w:t>
            </w:r>
          </w:p>
        </w:tc>
      </w:tr>
      <w:tr>
        <w:trPr>
          <w:trHeight w:val="142"/>
        </w:trPr>
        <w:tc>
          <w:tcPr>
            <w:tcW w:w="840" w:type="dxa"/>
            <w:vAlign w:val="bottom"/>
          </w:tcPr>
          <w:p>
            <w:pPr>
              <w:spacing w:after="0"/>
              <w:rPr>
                <w:sz w:val="12"/>
                <w:szCs w:val="12"/>
                <w:color w:val="auto"/>
              </w:rPr>
            </w:pPr>
          </w:p>
        </w:tc>
        <w:tc>
          <w:tcPr>
            <w:tcW w:w="5680" w:type="dxa"/>
            <w:vAlign w:val="bottom"/>
            <w:tcBorders>
              <w:top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906 of the Sarbanes-Oxley Act of 2002</w:t>
            </w:r>
          </w:p>
        </w:tc>
        <w:tc>
          <w:tcPr>
            <w:tcW w:w="200" w:type="dxa"/>
            <w:vAlign w:val="bottom"/>
            <w:gridSpan w:val="3"/>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3820" w:type="dxa"/>
            <w:vAlign w:val="bottom"/>
            <w:gridSpan w:val="4"/>
            <w:shd w:val="clear" w:color="auto" w:fill="0000FF"/>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32.2</w:t>
            </w:r>
          </w:p>
        </w:tc>
        <w:tc>
          <w:tcPr>
            <w:tcW w:w="58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w:t>
            </w: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0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6"/>
              </w:rPr>
              <w:t>X</w:t>
            </w:r>
          </w:p>
        </w:tc>
      </w:tr>
      <w:tr>
        <w:trPr>
          <w:trHeight w:val="142"/>
        </w:trPr>
        <w:tc>
          <w:tcPr>
            <w:tcW w:w="840" w:type="dxa"/>
            <w:vAlign w:val="bottom"/>
          </w:tcPr>
          <w:p>
            <w:pPr>
              <w:spacing w:after="0"/>
              <w:rPr>
                <w:sz w:val="12"/>
                <w:szCs w:val="12"/>
                <w:color w:val="auto"/>
              </w:rPr>
            </w:pPr>
          </w:p>
        </w:tc>
        <w:tc>
          <w:tcPr>
            <w:tcW w:w="5640" w:type="dxa"/>
            <w:vAlign w:val="bottom"/>
            <w:tcBorders>
              <w:top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906 of the Sarbanes-Oxley Act of 2002</w:t>
            </w:r>
          </w:p>
        </w:tc>
        <w:tc>
          <w:tcPr>
            <w:tcW w:w="240" w:type="dxa"/>
            <w:vAlign w:val="bottom"/>
            <w:gridSpan w:val="4"/>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3820" w:type="dxa"/>
            <w:vAlign w:val="bottom"/>
            <w:gridSpan w:val="4"/>
            <w:shd w:val="clear" w:color="auto" w:fill="0000FF"/>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101.INS</w:t>
            </w:r>
          </w:p>
        </w:tc>
        <w:tc>
          <w:tcPr>
            <w:tcW w:w="5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 does not appear in the</w:t>
            </w: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0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6"/>
              </w:rPr>
              <w:t>X</w:t>
            </w:r>
          </w:p>
        </w:tc>
      </w:tr>
      <w:tr>
        <w:trPr>
          <w:trHeight w:val="162"/>
        </w:trPr>
        <w:tc>
          <w:tcPr>
            <w:tcW w:w="840" w:type="dxa"/>
            <w:vAlign w:val="bottom"/>
          </w:tcPr>
          <w:p>
            <w:pPr>
              <w:spacing w:after="0"/>
              <w:rPr>
                <w:sz w:val="14"/>
                <w:szCs w:val="14"/>
                <w:color w:val="auto"/>
              </w:rPr>
            </w:pPr>
          </w:p>
        </w:tc>
        <w:tc>
          <w:tcPr>
            <w:tcW w:w="5880" w:type="dxa"/>
            <w:vAlign w:val="bottom"/>
            <w:gridSpan w:val="12"/>
          </w:tcPr>
          <w:p>
            <w:pPr>
              <w:spacing w:after="0" w:line="162" w:lineRule="exact"/>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 XBRL</w:t>
            </w: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0"/>
        </w:trPr>
        <w:tc>
          <w:tcPr>
            <w:tcW w:w="840" w:type="dxa"/>
            <w:vAlign w:val="bottom"/>
          </w:tcPr>
          <w:p>
            <w:pPr>
              <w:spacing w:after="0"/>
              <w:rPr>
                <w:sz w:val="18"/>
                <w:szCs w:val="18"/>
                <w:color w:val="auto"/>
              </w:rPr>
            </w:pPr>
          </w:p>
        </w:tc>
        <w:tc>
          <w:tcPr>
            <w:tcW w:w="5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document)</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101.SCH</w:t>
            </w:r>
          </w:p>
        </w:tc>
        <w:tc>
          <w:tcPr>
            <w:tcW w:w="5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Taxonomy Schema Linkbase Document</w:t>
            </w:r>
          </w:p>
        </w:tc>
        <w:tc>
          <w:tcPr>
            <w:tcW w:w="5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0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6"/>
              </w:rPr>
              <w:t>X</w:t>
            </w:r>
          </w:p>
        </w:tc>
      </w:tr>
      <w:tr>
        <w:trPr>
          <w:trHeight w:val="27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101.CAL</w:t>
            </w:r>
          </w:p>
        </w:tc>
        <w:tc>
          <w:tcPr>
            <w:tcW w:w="5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Taxonomy Calculation Linkbase Document</w:t>
            </w:r>
          </w:p>
        </w:tc>
        <w:tc>
          <w:tcPr>
            <w:tcW w:w="5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0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6"/>
              </w:rPr>
              <w:t>X</w:t>
            </w:r>
          </w:p>
        </w:tc>
      </w:tr>
      <w:tr>
        <w:trPr>
          <w:trHeight w:val="27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101.DEF</w:t>
            </w:r>
          </w:p>
        </w:tc>
        <w:tc>
          <w:tcPr>
            <w:tcW w:w="5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Taxonomy Definition Linkbase Document</w:t>
            </w:r>
          </w:p>
        </w:tc>
        <w:tc>
          <w:tcPr>
            <w:tcW w:w="5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0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6"/>
              </w:rPr>
              <w:t>X</w:t>
            </w:r>
          </w:p>
        </w:tc>
      </w:tr>
      <w:tr>
        <w:trPr>
          <w:trHeight w:val="27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101.LAB</w:t>
            </w:r>
          </w:p>
        </w:tc>
        <w:tc>
          <w:tcPr>
            <w:tcW w:w="5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Taxonomy Labels Linkbase Document</w:t>
            </w:r>
          </w:p>
        </w:tc>
        <w:tc>
          <w:tcPr>
            <w:tcW w:w="5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0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6"/>
              </w:rPr>
              <w:t>X</w:t>
            </w:r>
          </w:p>
        </w:tc>
      </w:tr>
      <w:tr>
        <w:trPr>
          <w:trHeight w:val="27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101.PRE</w:t>
            </w:r>
          </w:p>
        </w:tc>
        <w:tc>
          <w:tcPr>
            <w:tcW w:w="5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Taxonomy Presentation Linkbase Document</w:t>
            </w:r>
          </w:p>
        </w:tc>
        <w:tc>
          <w:tcPr>
            <w:tcW w:w="5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0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6"/>
              </w:rPr>
              <w:t>X</w:t>
            </w:r>
          </w:p>
        </w:tc>
      </w:tr>
      <w:tr>
        <w:trPr>
          <w:trHeight w:val="222"/>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104</w:t>
            </w:r>
          </w:p>
        </w:tc>
        <w:tc>
          <w:tcPr>
            <w:tcW w:w="5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0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6"/>
              </w:rPr>
              <w:t>X</w:t>
            </w:r>
          </w:p>
        </w:tc>
      </w:tr>
      <w:tr>
        <w:trPr>
          <w:trHeight w:val="210"/>
        </w:trPr>
        <w:tc>
          <w:tcPr>
            <w:tcW w:w="8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2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298" w:lineRule="exact"/>
        <w:rPr>
          <w:sz w:val="20"/>
          <w:szCs w:val="20"/>
          <w:color w:val="auto"/>
        </w:rPr>
      </w:pPr>
    </w:p>
    <w:p>
      <w:pPr>
        <w:ind w:left="272" w:hanging="272"/>
        <w:spacing w:after="0"/>
        <w:tabs>
          <w:tab w:leader="none" w:pos="2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5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81" w:right="339" w:bottom="1440" w:gutter="0" w:footer="0" w:header="0"/>
          <w:type w:val="continuous"/>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722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LUCID GROUP, INC.</w:t>
            </w:r>
          </w:p>
        </w:tc>
      </w:tr>
      <w:tr>
        <w:trPr>
          <w:trHeight w:val="48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72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  /s/ Taoufiq Boussaid</w:t>
            </w:r>
          </w:p>
        </w:tc>
      </w:tr>
      <w:tr>
        <w:trPr>
          <w:trHeight w:val="218"/>
        </w:trPr>
        <w:tc>
          <w:tcPr>
            <w:tcW w:w="2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Taoufiq Boussaid</w:t>
            </w:r>
          </w:p>
        </w:tc>
      </w:tr>
      <w:tr>
        <w:trPr>
          <w:trHeight w:val="234"/>
        </w:trPr>
        <w:tc>
          <w:tcPr>
            <w:tcW w:w="29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53"/>
        </w:trPr>
        <w:tc>
          <w:tcPr>
            <w:tcW w:w="2980" w:type="dxa"/>
            <w:vAlign w:val="bottom"/>
          </w:tcPr>
          <w:p>
            <w:pPr>
              <w:spacing w:after="0"/>
              <w:rPr>
                <w:sz w:val="24"/>
                <w:szCs w:val="24"/>
                <w:color w:val="auto"/>
              </w:rPr>
            </w:pPr>
          </w:p>
        </w:tc>
        <w:tc>
          <w:tcPr>
            <w:tcW w:w="7220" w:type="dxa"/>
            <w:vAlign w:val="bottom"/>
            <w:gridSpan w:val="2"/>
          </w:tcPr>
          <w:p>
            <w:pPr>
              <w:jc w:val="right"/>
              <w:ind w:right="4370"/>
              <w:spacing w:after="0"/>
              <w:rPr>
                <w:sz w:val="20"/>
                <w:szCs w:val="20"/>
                <w:color w:val="auto"/>
              </w:rPr>
            </w:pPr>
            <w:r>
              <w:rPr>
                <w:rFonts w:ascii="Times New Roman" w:cs="Times New Roman" w:eastAsia="Times New Roman" w:hAnsi="Times New Roman"/>
                <w:sz w:val="18"/>
                <w:szCs w:val="18"/>
                <w:color w:val="auto"/>
              </w:rPr>
              <w:t>109</w:t>
            </w:r>
          </w:p>
        </w:tc>
      </w:tr>
    </w:tbl>
    <w:p>
      <w:pPr>
        <w:sectPr>
          <w:pgSz w:w="11900" w:h="16838" w:orient="portrait"/>
          <w:cols w:equalWidth="0" w:num="1">
            <w:col w:w="11220"/>
          </w:cols>
          <w:pgMar w:left="320" w:top="981" w:right="35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Agreement has been executed in English and Arabic; Arabic version has been omitted for purposes of this filing.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24/02/2025G</w:t>
      </w:r>
    </w:p>
    <w:p>
      <w:pPr>
        <w:spacing w:after="0" w:line="18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Re: Amendment to the Credit Facility Agreement</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u w:val="single" w:color="auto"/>
          <w:color w:val="auto"/>
        </w:rPr>
        <w:t>Dated 27/07/1443H corresponding to 28/02/2022G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85" w:lineRule="exact"/>
        <w:rPr>
          <w:sz w:val="20"/>
          <w:szCs w:val="20"/>
          <w:color w:val="auto"/>
        </w:rPr>
      </w:pPr>
    </w:p>
    <w:p>
      <w:pPr>
        <w:jc w:val="both"/>
        <w:ind w:left="660" w:hanging="652"/>
        <w:spacing w:after="0" w:line="225" w:lineRule="auto"/>
        <w:tabs>
          <w:tab w:leader="none" w:pos="65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Gulf International Bank Saudi Arabia</w:t>
      </w:r>
      <w:r>
        <w:rPr>
          <w:rFonts w:ascii="Times New Roman" w:cs="Times New Roman" w:eastAsia="Times New Roman" w:hAnsi="Times New Roman"/>
          <w:sz w:val="18"/>
          <w:szCs w:val="18"/>
          <w:color w:val="auto"/>
        </w:rPr>
        <w:t>, a Saudi closed joint-stock company with a capital of SAR7,500,000,000; commercial registration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2052001920 and Unified No. 7001399042; P.O. Box 93; Al Khobar 31952 Kingdom of Saudi Arabia; telephone: +966138664000; website </w:t>
      </w:r>
      <w:r>
        <w:rPr>
          <w:rFonts w:ascii="Times New Roman" w:cs="Times New Roman" w:eastAsia="Times New Roman" w:hAnsi="Times New Roman"/>
          <w:sz w:val="18"/>
          <w:szCs w:val="18"/>
          <w:u w:val="single" w:color="auto"/>
          <w:color w:val="0000FF"/>
        </w:rPr>
        <w:t>www.gib.com</w:t>
      </w:r>
      <w:r>
        <w:rPr>
          <w:rFonts w:ascii="Times New Roman" w:cs="Times New Roman" w:eastAsia="Times New Roman" w:hAnsi="Times New Roman"/>
          <w:sz w:val="18"/>
          <w:szCs w:val="18"/>
          <w:color w:val="000000"/>
        </w:rPr>
        <w:t>; National Adress:5515 Cooperative Council Road - Al Khuzama Area, Unit No.54, Al Khobar 34721-8208; licensed by the Saudi</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Central Bank under number 2007 and operating under the Saudi Central Bank’s control and supervision. (the “</w:t>
      </w:r>
      <w:r>
        <w:rPr>
          <w:rFonts w:ascii="Times New Roman" w:cs="Times New Roman" w:eastAsia="Times New Roman" w:hAnsi="Times New Roman"/>
          <w:sz w:val="18"/>
          <w:szCs w:val="18"/>
          <w:b w:val="1"/>
          <w:bCs w:val="1"/>
          <w:color w:val="000000"/>
        </w:rPr>
        <w:t>Bank</w:t>
      </w:r>
      <w:r>
        <w:rPr>
          <w:rFonts w:ascii="Times New Roman" w:cs="Times New Roman" w:eastAsia="Times New Roman" w:hAnsi="Times New Roman"/>
          <w:sz w:val="18"/>
          <w:szCs w:val="18"/>
          <w:color w:val="000000"/>
        </w:rPr>
        <w: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181" w:lineRule="exact"/>
        <w:rPr>
          <w:sz w:val="20"/>
          <w:szCs w:val="20"/>
          <w:color w:val="auto"/>
        </w:rPr>
      </w:pPr>
    </w:p>
    <w:p>
      <w:pPr>
        <w:jc w:val="both"/>
        <w:ind w:left="660" w:hanging="652"/>
        <w:spacing w:after="0" w:line="227" w:lineRule="auto"/>
        <w:tabs>
          <w:tab w:leader="none" w:pos="65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Lucid Limited Company</w:t>
      </w:r>
      <w:r>
        <w:rPr>
          <w:rFonts w:ascii="Times New Roman" w:cs="Times New Roman" w:eastAsia="Times New Roman" w:hAnsi="Times New Roman"/>
          <w:sz w:val="18"/>
          <w:szCs w:val="18"/>
          <w:color w:val="auto"/>
        </w:rPr>
        <w:t>, Foreign Limited Liability company organized and existing and doing business under the laws of the Kingdom of Saudi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Arabia with Commercial Registration No. 1010716475 and unified No. 7023376614, dated 24/09/1442H, issued in Riyadh with its Head Office at Riyadh, Kingdom of Saudi Arabia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and the Borrower shall be referred to together as the Parties, each being a Party).</w:t>
      </w:r>
    </w:p>
    <w:p>
      <w:pPr>
        <w:spacing w:after="0" w:line="1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Have concluded a facilities letter dated 27/07/1443H corresponding to 28/02/2022G, (the “</w:t>
      </w:r>
      <w:r>
        <w:rPr>
          <w:rFonts w:ascii="Times New Roman" w:cs="Times New Roman" w:eastAsia="Times New Roman" w:hAnsi="Times New Roman"/>
          <w:sz w:val="18"/>
          <w:szCs w:val="18"/>
          <w:b w:val="1"/>
          <w:bCs w:val="1"/>
          <w:color w:val="auto"/>
        </w:rPr>
        <w:t>Facilities Letter</w:t>
      </w:r>
      <w:r>
        <w:rPr>
          <w:rFonts w:ascii="Times New Roman" w:cs="Times New Roman" w:eastAsia="Times New Roman" w:hAnsi="Times New Roman"/>
          <w:sz w:val="18"/>
          <w:szCs w:val="18"/>
          <w:color w:val="auto"/>
        </w:rPr>
        <w:t xml:space="preserve">”) pursuant to which the Bank extended to the Borrower committed revolving credit facilities in the aggregate maximum amount of </w:t>
      </w:r>
      <w:r>
        <w:rPr>
          <w:rFonts w:ascii="Times New Roman" w:cs="Times New Roman" w:eastAsia="Times New Roman" w:hAnsi="Times New Roman"/>
          <w:sz w:val="18"/>
          <w:szCs w:val="18"/>
          <w:b w:val="1"/>
          <w:bCs w:val="1"/>
          <w:color w:val="auto"/>
        </w:rPr>
        <w:t>SAR1,000,000,000/-</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and a master terms and conditions for the facilities dated 27/07/1443H corresponding to 28/02/2022G (the “</w:t>
      </w:r>
      <w:r>
        <w:rPr>
          <w:rFonts w:ascii="Times New Roman" w:cs="Times New Roman" w:eastAsia="Times New Roman" w:hAnsi="Times New Roman"/>
          <w:sz w:val="18"/>
          <w:szCs w:val="18"/>
          <w:b w:val="1"/>
          <w:bCs w:val="1"/>
          <w:color w:val="auto"/>
        </w:rPr>
        <w:t>Master Terms and Conditions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desire to amend and renew the Facilities Letter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have agreed to amend the Facilities Letter in accordance with the following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color w:val="auto"/>
        </w:rPr>
        <w:t>Borrower’s Signature</w:t>
      </w:r>
    </w:p>
    <w:p>
      <w:pPr>
        <w:spacing w:after="0" w:line="27"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Faisal Sultan</w:t>
      </w:r>
    </w:p>
    <w:p>
      <w:pPr>
        <w:sectPr>
          <w:pgSz w:w="11900" w:h="16838" w:orient="portrait"/>
          <w:cols w:equalWidth="0" w:num="1">
            <w:col w:w="11240"/>
          </w:cols>
          <w:pgMar w:left="320" w:top="117" w:right="339"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1409065</wp:posOffset>
            </wp:positionV>
            <wp:extent cx="71323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highlight w:val="lightGray"/>
        </w:rPr>
        <w:t>FIRST: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Recitals to this Amendment, written above, shall be considered an integral part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highlight w:val="lightGray"/>
        </w:rPr>
        <w:t>SECOND: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Amending item “</w:t>
      </w:r>
      <w:r>
        <w:rPr>
          <w:rFonts w:ascii="Times New Roman" w:cs="Times New Roman" w:eastAsia="Times New Roman" w:hAnsi="Times New Roman"/>
          <w:sz w:val="18"/>
          <w:szCs w:val="18"/>
          <w:b w:val="1"/>
          <w:bCs w:val="1"/>
          <w:color w:val="auto"/>
        </w:rPr>
        <w:t>Total Facilities Limit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Administration Fee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adding Commitment Fees</w:t>
      </w:r>
      <w:r>
        <w:rPr>
          <w:rFonts w:ascii="Times New Roman" w:cs="Times New Roman" w:eastAsia="Times New Roman" w:hAnsi="Times New Roman"/>
          <w:sz w:val="18"/>
          <w:szCs w:val="18"/>
          <w:color w:val="auto"/>
        </w:rPr>
        <w:t xml:space="preserve"> to Sub-Clause 1.1 General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Facilities Letter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Total Facilities Limit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 1,900,000,000/-.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years from the date of this Amendment.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 Fee</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shall pay the Bank Administration Fee at the rate of (0.10%) of the facility amount, payable once in advance.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Commitment Fees</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(0.25%) flat, payable quarterly in arrears, on the unutilized amount of the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highlight w:val="lightGray"/>
        </w:rPr>
        <w:t>THIRD: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Amending item (</w:t>
      </w:r>
      <w:r>
        <w:rPr>
          <w:rFonts w:ascii="Times New Roman" w:cs="Times New Roman" w:eastAsia="Times New Roman" w:hAnsi="Times New Roman"/>
          <w:sz w:val="18"/>
          <w:szCs w:val="18"/>
          <w:b w:val="1"/>
          <w:bCs w:val="1"/>
          <w:u w:val="single" w:color="auto"/>
          <w:color w:val="auto"/>
        </w:rPr>
        <w:t>Total Facility</w:t>
      </w:r>
      <w:r>
        <w:rPr>
          <w:rFonts w:ascii="Times New Roman" w:cs="Times New Roman" w:eastAsia="Times New Roman" w:hAnsi="Times New Roman"/>
          <w:sz w:val="18"/>
          <w:szCs w:val="18"/>
          <w:color w:val="auto"/>
        </w:rPr>
        <w:t xml:space="preserve">) of Clause (1-3) </w:t>
      </w:r>
      <w:r>
        <w:rPr>
          <w:rFonts w:ascii="Times New Roman" w:cs="Times New Roman" w:eastAsia="Times New Roman" w:hAnsi="Times New Roman"/>
          <w:sz w:val="18"/>
          <w:szCs w:val="18"/>
          <w:b w:val="1"/>
          <w:bCs w:val="1"/>
          <w:color w:val="auto"/>
        </w:rPr>
        <w:t>Working Capital Facilities</w:t>
      </w:r>
      <w:r>
        <w:rPr>
          <w:rFonts w:ascii="Times New Roman" w:cs="Times New Roman" w:eastAsia="Times New Roman" w:hAnsi="Times New Roman"/>
          <w:sz w:val="18"/>
          <w:szCs w:val="18"/>
          <w:color w:val="auto"/>
        </w:rPr>
        <w:t xml:space="preserve"> of the Facilities Letter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Total Facility</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 1,900,000,000/-.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highlight w:val="lightGray"/>
        </w:rPr>
        <w:t>FOURTH:</w:t>
      </w:r>
    </w:p>
    <w:p>
      <w:pPr>
        <w:spacing w:after="0" w:line="3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Amending items (</w:t>
      </w:r>
      <w:r>
        <w:rPr>
          <w:rFonts w:ascii="Times New Roman" w:cs="Times New Roman" w:eastAsia="Times New Roman" w:hAnsi="Times New Roman"/>
          <w:sz w:val="18"/>
          <w:szCs w:val="18"/>
          <w:b w:val="1"/>
          <w:bCs w:val="1"/>
          <w:u w:val="single" w:color="auto"/>
          <w:color w:val="auto"/>
        </w:rPr>
        <w:t>Sub-Limit</w:t>
      </w:r>
      <w:r>
        <w:rPr>
          <w:rFonts w:ascii="Times New Roman" w:cs="Times New Roman" w:eastAsia="Times New Roman" w:hAnsi="Times New Roman"/>
          <w:sz w:val="18"/>
          <w:szCs w:val="18"/>
          <w:color w:val="auto"/>
        </w:rPr>
        <w:t xml:space="preserve">) of Sub-clause </w:t>
      </w:r>
      <w:r>
        <w:rPr>
          <w:rFonts w:ascii="Times New Roman" w:cs="Times New Roman" w:eastAsia="Times New Roman" w:hAnsi="Times New Roman"/>
          <w:sz w:val="18"/>
          <w:szCs w:val="18"/>
          <w:b w:val="1"/>
          <w:bCs w:val="1"/>
          <w:color w:val="auto"/>
        </w:rPr>
        <w:t>(A) Short Term Advance Facility</w:t>
      </w:r>
      <w:r>
        <w:rPr>
          <w:rFonts w:ascii="Times New Roman" w:cs="Times New Roman" w:eastAsia="Times New Roman" w:hAnsi="Times New Roman"/>
          <w:sz w:val="18"/>
          <w:szCs w:val="18"/>
          <w:color w:val="auto"/>
        </w:rPr>
        <w:t xml:space="preserve"> of Clause (1-3) </w:t>
      </w:r>
      <w:r>
        <w:rPr>
          <w:rFonts w:ascii="Times New Roman" w:cs="Times New Roman" w:eastAsia="Times New Roman" w:hAnsi="Times New Roman"/>
          <w:sz w:val="18"/>
          <w:szCs w:val="18"/>
          <w:b w:val="1"/>
          <w:bCs w:val="1"/>
          <w:color w:val="auto"/>
        </w:rPr>
        <w:t>Working Capital Facilities</w:t>
      </w:r>
      <w:r>
        <w:rPr>
          <w:rFonts w:ascii="Times New Roman" w:cs="Times New Roman" w:eastAsia="Times New Roman" w:hAnsi="Times New Roman"/>
          <w:sz w:val="18"/>
          <w:szCs w:val="18"/>
          <w:color w:val="auto"/>
        </w:rPr>
        <w:t xml:space="preserve"> of the Facilities Letter as follows: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Sub-Limit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 1,900,000,000/-.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highlight w:val="lightGray"/>
        </w:rPr>
        <w:t>FIFTH:</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Amending item (</w:t>
      </w:r>
      <w:r>
        <w:rPr>
          <w:rFonts w:ascii="Times New Roman" w:cs="Times New Roman" w:eastAsia="Times New Roman" w:hAnsi="Times New Roman"/>
          <w:sz w:val="18"/>
          <w:szCs w:val="18"/>
          <w:b w:val="1"/>
          <w:bCs w:val="1"/>
          <w:u w:val="single" w:color="auto"/>
          <w:color w:val="auto"/>
        </w:rPr>
        <w:t>Sub-Limit</w:t>
      </w:r>
      <w:r>
        <w:rPr>
          <w:rFonts w:ascii="Times New Roman" w:cs="Times New Roman" w:eastAsia="Times New Roman" w:hAnsi="Times New Roman"/>
          <w:sz w:val="18"/>
          <w:szCs w:val="18"/>
          <w:color w:val="auto"/>
        </w:rPr>
        <w:t xml:space="preserve">) of Sub-clause </w:t>
      </w:r>
      <w:r>
        <w:rPr>
          <w:rFonts w:ascii="Times New Roman" w:cs="Times New Roman" w:eastAsia="Times New Roman" w:hAnsi="Times New Roman"/>
          <w:sz w:val="18"/>
          <w:szCs w:val="18"/>
          <w:b w:val="1"/>
          <w:bCs w:val="1"/>
          <w:color w:val="auto"/>
        </w:rPr>
        <w:t>(B) LC Facility</w:t>
      </w:r>
      <w:r>
        <w:rPr>
          <w:rFonts w:ascii="Times New Roman" w:cs="Times New Roman" w:eastAsia="Times New Roman" w:hAnsi="Times New Roman"/>
          <w:sz w:val="18"/>
          <w:szCs w:val="18"/>
          <w:color w:val="auto"/>
        </w:rPr>
        <w:t xml:space="preserve"> of Clause (1-3) </w:t>
      </w:r>
      <w:r>
        <w:rPr>
          <w:rFonts w:ascii="Times New Roman" w:cs="Times New Roman" w:eastAsia="Times New Roman" w:hAnsi="Times New Roman"/>
          <w:sz w:val="18"/>
          <w:szCs w:val="18"/>
          <w:b w:val="1"/>
          <w:bCs w:val="1"/>
          <w:color w:val="auto"/>
        </w:rPr>
        <w:t>Working Capital Facilities</w:t>
      </w:r>
      <w:r>
        <w:rPr>
          <w:rFonts w:ascii="Times New Roman" w:cs="Times New Roman" w:eastAsia="Times New Roman" w:hAnsi="Times New Roman"/>
          <w:sz w:val="18"/>
          <w:szCs w:val="18"/>
          <w:color w:val="auto"/>
        </w:rPr>
        <w:t xml:space="preserve"> of the Facilities Letter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Sub-Limit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 1,900,000,000/-.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highlight w:val="lightGray"/>
        </w:rPr>
        <w:t>SIXTH:</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Adding Sub-clause </w:t>
      </w:r>
      <w:r>
        <w:rPr>
          <w:rFonts w:ascii="Times New Roman" w:cs="Times New Roman" w:eastAsia="Times New Roman" w:hAnsi="Times New Roman"/>
          <w:sz w:val="18"/>
          <w:szCs w:val="18"/>
          <w:b w:val="1"/>
          <w:bCs w:val="1"/>
          <w:color w:val="auto"/>
        </w:rPr>
        <w:t>(C) Guarantees Facility</w:t>
      </w:r>
      <w:r>
        <w:rPr>
          <w:rFonts w:ascii="Times New Roman" w:cs="Times New Roman" w:eastAsia="Times New Roman" w:hAnsi="Times New Roman"/>
          <w:sz w:val="18"/>
          <w:szCs w:val="18"/>
          <w:color w:val="auto"/>
        </w:rPr>
        <w:t xml:space="preserve"> to Clause (13) </w:t>
      </w:r>
      <w:r>
        <w:rPr>
          <w:rFonts w:ascii="Times New Roman" w:cs="Times New Roman" w:eastAsia="Times New Roman" w:hAnsi="Times New Roman"/>
          <w:sz w:val="18"/>
          <w:szCs w:val="18"/>
          <w:b w:val="1"/>
          <w:bCs w:val="1"/>
          <w:color w:val="auto"/>
        </w:rPr>
        <w:t>Working Capital Facilities</w:t>
      </w:r>
      <w:r>
        <w:rPr>
          <w:rFonts w:ascii="Times New Roman" w:cs="Times New Roman" w:eastAsia="Times New Roman" w:hAnsi="Times New Roman"/>
          <w:sz w:val="18"/>
          <w:szCs w:val="18"/>
          <w:color w:val="auto"/>
        </w:rPr>
        <w:t xml:space="preserve"> of the Facilities Letter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Amend FLA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 of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Borrower’s Signature</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 Faisal Sultan</w:t>
      </w:r>
    </w:p>
    <w:p>
      <w:pPr>
        <w:sectPr>
          <w:pgSz w:w="11900" w:h="16838" w:orient="portrait"/>
          <w:cols w:equalWidth="0" w:num="3">
            <w:col w:w="4500" w:space="720"/>
            <w:col w:w="2400" w:space="720"/>
            <w:col w:w="2880"/>
          </w:cols>
          <w:pgMar w:left="320" w:top="1440" w:right="359" w:bottom="1440" w:gutter="0" w:footer="0" w:header="0"/>
          <w:type w:val="continuous"/>
        </w:sectPr>
      </w:pPr>
    </w:p>
    <w:bookmarkStart w:id="111" w:name="page112"/>
    <w:bookmarkEnd w:id="111"/>
    <w:p>
      <w:pPr>
        <w:spacing w:after="0" w:line="200" w:lineRule="exact"/>
        <w:rPr>
          <w:sz w:val="20"/>
          <w:szCs w:val="20"/>
          <w:color w:val="auto"/>
        </w:rPr>
      </w:pPr>
    </w:p>
    <w:p>
      <w:pPr>
        <w:spacing w:after="0" w:line="354" w:lineRule="exact"/>
        <w:rPr>
          <w:sz w:val="20"/>
          <w:szCs w:val="20"/>
          <w:color w:val="auto"/>
        </w:rPr>
      </w:pPr>
    </w:p>
    <w:p>
      <w:pPr>
        <w:ind w:left="440" w:hanging="432"/>
        <w:spacing w:after="0"/>
        <w:tabs>
          <w:tab w:leader="none" w:pos="4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Guarantees Facility </w:t>
      </w:r>
      <w:r>
        <w:rPr>
          <w:rFonts w:ascii="Times New Roman" w:cs="Times New Roman" w:eastAsia="Times New Roman" w:hAnsi="Times New Roman"/>
          <w:sz w:val="18"/>
          <w:szCs w:val="18"/>
          <w:color w:val="auto"/>
        </w:rPr>
        <w:t>(Payment Guarantee, Advance Payment Guarantee, Performance Guarantee, Customs Guarantee, Standby LC):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Sub-Limit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 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highlight w:val="lightGray"/>
        </w:rPr>
        <w:t>SEVENTH:</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Amending item (iii) of sub-clause (a) of clause (3) </w:t>
      </w:r>
      <w:r>
        <w:rPr>
          <w:rFonts w:ascii="Times New Roman" w:cs="Times New Roman" w:eastAsia="Times New Roman" w:hAnsi="Times New Roman"/>
          <w:sz w:val="18"/>
          <w:szCs w:val="18"/>
          <w:b w:val="1"/>
          <w:bCs w:val="1"/>
          <w:color w:val="auto"/>
        </w:rPr>
        <w:t>OTHER CONDITIONS</w:t>
      </w:r>
      <w:r>
        <w:rPr>
          <w:rFonts w:ascii="Times New Roman" w:cs="Times New Roman" w:eastAsia="Times New Roman" w:hAnsi="Times New Roman"/>
          <w:sz w:val="18"/>
          <w:szCs w:val="18"/>
          <w:color w:val="auto"/>
        </w:rPr>
        <w:t xml:space="preserve"> of the Facilities Letter as follows:</w:t>
      </w:r>
    </w:p>
    <w:p>
      <w:pPr>
        <w:spacing w:after="0" w:line="189" w:lineRule="exact"/>
        <w:rPr>
          <w:sz w:val="20"/>
          <w:szCs w:val="20"/>
          <w:color w:val="auto"/>
        </w:rPr>
      </w:pPr>
    </w:p>
    <w:p>
      <w:pPr>
        <w:ind w:left="500" w:hanging="492"/>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updates of Lucid Plant in KAEC project status and progression to be provided to the Bank, in a form to be agreed between the parties.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Aggregate value of undisbursed amounts under the SIDF &amp; MISA agreements, to provide, and may include other liquidity sources of Lucid Limited Company at the sole discretion of the Bank, at a minimum, 110% coverage of the limit and/or outstanding exposure. The Bank has the right, at its sole discretion, to start adjusting the Facility Limit downward as the aggregate amount of undisbursed SIDF/MISA facilities reduces below SAR 2,090 million, such that 110% coverage is always maintained.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highlight w:val="lightGray"/>
        </w:rPr>
        <w:t>EIGHTH:</w:t>
      </w:r>
    </w:p>
    <w:p>
      <w:pPr>
        <w:spacing w:after="0" w:line="3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Save as the Bank may otherwise agree, the Borrower may not deliver any Notice of Drawdown or Application under the Facilities Letter unless the Bank has received the following documents and each is in form and substance, satisfactory to the Bank:</w:t>
      </w:r>
    </w:p>
    <w:p>
      <w:pPr>
        <w:spacing w:after="0" w:line="108" w:lineRule="exact"/>
        <w:rPr>
          <w:sz w:val="20"/>
          <w:szCs w:val="20"/>
          <w:color w:val="auto"/>
        </w:rPr>
      </w:pPr>
    </w:p>
    <w:p>
      <w:pPr>
        <w:ind w:left="900" w:hanging="244"/>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each Annex, and any other Facility Document duly signed by the appropriate Obligor.</w:t>
      </w:r>
    </w:p>
    <w:p>
      <w:pPr>
        <w:spacing w:after="0" w:line="15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Note with respect to the amount of Total Facilities Limit</w:t>
      </w:r>
    </w:p>
    <w:p>
      <w:pPr>
        <w:spacing w:after="0" w:line="144" w:lineRule="exact"/>
        <w:rPr>
          <w:rFonts w:ascii="Times New Roman" w:cs="Times New Roman" w:eastAsia="Times New Roman" w:hAnsi="Times New Roman"/>
          <w:sz w:val="18"/>
          <w:szCs w:val="18"/>
          <w:color w:val="auto"/>
        </w:rPr>
      </w:pPr>
    </w:p>
    <w:p>
      <w:pPr>
        <w:ind w:left="1220" w:right="20" w:hanging="564"/>
        <w:spacing w:after="0" w:line="250" w:lineRule="auto"/>
        <w:tabs>
          <w:tab w:leader="none" w:pos="91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in form and substance satisfactory to the Bank that the person or persons signing this Amendment and any other documents to be delivered pursuant to this Amendment have the authority to do so, along with their specimen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Amend FLA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3 of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Borrower’s Signature</w:t>
      </w:r>
    </w:p>
    <w:p>
      <w:pPr>
        <w:spacing w:after="0" w:line="2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/s/ Faisal Sultan</w:t>
      </w:r>
    </w:p>
    <w:p>
      <w:pPr>
        <w:sectPr>
          <w:pgSz w:w="11900" w:h="16838" w:orient="portrait"/>
          <w:cols w:equalWidth="0" w:num="3">
            <w:col w:w="4500" w:space="720"/>
            <w:col w:w="2400" w:space="720"/>
            <w:col w:w="2900"/>
          </w:cols>
          <w:pgMar w:left="320" w:top="1440" w:right="339" w:bottom="1440" w:gutter="0" w:footer="0" w:header="0"/>
          <w:type w:val="continuous"/>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set out in the Master Terms and Conditions, not subject to this Amendment, shall remain unchanged.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has been executed in two (2) counterparts, and each Party shall receive an original copy to act accordingly.</w:t>
      </w:r>
    </w:p>
    <w:p>
      <w:pPr>
        <w:spacing w:after="0" w:line="19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and in the presence of the authorized signatories of the Parties, this amendment letter has been executed the day and year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written.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and on behalf of the Bank</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Ahmed Al Attas</w:t>
            </w:r>
          </w:p>
        </w:tc>
        <w:tc>
          <w:tcPr>
            <w:tcW w:w="100" w:type="dxa"/>
            <w:vAlign w:val="bottom"/>
          </w:tcPr>
          <w:p>
            <w:pPr>
              <w:spacing w:after="0"/>
              <w:rPr>
                <w:sz w:val="20"/>
                <w:szCs w:val="20"/>
                <w:color w:val="auto"/>
              </w:rPr>
            </w:pP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Tristan Kermadec</w:t>
            </w:r>
          </w:p>
        </w:tc>
      </w:tr>
      <w:tr>
        <w:trPr>
          <w:trHeight w:val="214"/>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Ahmed Al Attas</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Tristan Kermadec</w:t>
            </w:r>
          </w:p>
        </w:tc>
      </w:tr>
      <w:tr>
        <w:trPr>
          <w:trHeight w:val="216"/>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Head of Coverage - Public Sector, Multinationals and Non-Banking</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Relationship Manager - Public Sector, International Companies,</w:t>
            </w:r>
          </w:p>
        </w:tc>
      </w:tr>
      <w:tr>
        <w:trPr>
          <w:trHeight w:val="238"/>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Financial Institutions - Wholesale Banking</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Multinational &amp; NBFI - Wholesale Banking</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highlight w:val="lightGray"/>
        </w:rPr>
        <w:t>Lucid Limited Company</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Faisal Sultan</w:t>
            </w:r>
          </w:p>
        </w:tc>
      </w:tr>
      <w:tr>
        <w:trPr>
          <w:trHeight w:val="22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Signature Date:</w:t>
            </w:r>
          </w:p>
        </w:tc>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February 24, 2025</w:t>
            </w:r>
          </w:p>
        </w:tc>
      </w:tr>
      <w:tr>
        <w:trPr>
          <w:trHeight w:val="22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Faisal Sultan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831215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0"/>
        <w:spacing w:after="0"/>
        <w:tabs>
          <w:tab w:leader="none" w:pos="5200" w:val="left"/>
        </w:tabs>
        <w:rPr>
          <w:sz w:val="20"/>
          <w:szCs w:val="20"/>
          <w:color w:val="auto"/>
        </w:rPr>
      </w:pPr>
      <w:r>
        <w:rPr>
          <w:rFonts w:ascii="Times New Roman" w:cs="Times New Roman" w:eastAsia="Times New Roman" w:hAnsi="Times New Roman"/>
          <w:sz w:val="18"/>
          <w:szCs w:val="18"/>
          <w:color w:val="auto"/>
        </w:rPr>
        <w:t>Amend FLA</w:t>
      </w:r>
      <w:r>
        <w:rPr>
          <w:sz w:val="20"/>
          <w:szCs w:val="20"/>
          <w:color w:val="auto"/>
        </w:rPr>
        <w:tab/>
      </w:r>
      <w:r>
        <w:rPr>
          <w:rFonts w:ascii="Times New Roman" w:cs="Times New Roman" w:eastAsia="Times New Roman" w:hAnsi="Times New Roman"/>
          <w:sz w:val="17"/>
          <w:szCs w:val="17"/>
          <w:color w:val="auto"/>
        </w:rPr>
        <w:t>Page 4 of 4</w:t>
      </w:r>
    </w:p>
    <w:p>
      <w:pPr>
        <w:sectPr>
          <w:pgSz w:w="11900" w:h="16838" w:orient="portrait"/>
          <w:cols w:equalWidth="0" w:num="1">
            <w:col w:w="11240"/>
          </w:cols>
          <w:pgMar w:left="320" w:top="1440"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Peter Rawlinson</w:t>
      </w:r>
    </w:p>
    <w:p>
      <w:pPr>
        <w:spacing w:after="0" w:line="1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u w:val="single" w:color="auto"/>
          <w:color w:val="auto"/>
        </w:rPr>
        <w:t>Transition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Peter:</w:t>
      </w:r>
    </w:p>
    <w:p>
      <w:pPr>
        <w:spacing w:after="0" w:line="160" w:lineRule="exact"/>
        <w:rPr>
          <w:sz w:val="20"/>
          <w:szCs w:val="20"/>
          <w:color w:val="auto"/>
        </w:rPr>
      </w:pPr>
    </w:p>
    <w:p>
      <w:pPr>
        <w:jc w:val="both"/>
        <w:ind w:right="460" w:firstLine="648"/>
        <w:spacing w:after="0" w:line="258" w:lineRule="auto"/>
        <w:rPr>
          <w:sz w:val="20"/>
          <w:szCs w:val="20"/>
          <w:color w:val="auto"/>
        </w:rPr>
      </w:pPr>
      <w:r>
        <w:rPr>
          <w:rFonts w:ascii="Times New Roman" w:cs="Times New Roman" w:eastAsia="Times New Roman" w:hAnsi="Times New Roman"/>
          <w:sz w:val="22"/>
          <w:szCs w:val="22"/>
          <w:color w:val="auto"/>
        </w:rPr>
        <w:t>This Transition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between you and Lucid USA, Inc. (“</w:t>
      </w:r>
      <w:r>
        <w:rPr>
          <w:rFonts w:ascii="Times New Roman" w:cs="Times New Roman" w:eastAsia="Times New Roman" w:hAnsi="Times New Roman"/>
          <w:sz w:val="22"/>
          <w:szCs w:val="22"/>
          <w:b w:val="1"/>
          <w:bCs w:val="1"/>
          <w:i w:val="1"/>
          <w:iCs w:val="1"/>
          <w:color w:val="auto"/>
        </w:rPr>
        <w:t>Lucid</w:t>
      </w:r>
      <w:r>
        <w:rPr>
          <w:rFonts w:ascii="Times New Roman" w:cs="Times New Roman" w:eastAsia="Times New Roman" w:hAnsi="Times New Roman"/>
          <w:sz w:val="22"/>
          <w:szCs w:val="22"/>
          <w:color w:val="auto"/>
        </w:rPr>
        <w:t>” and, together with its affiliates and subsidiaries, collectively, the “</w:t>
      </w:r>
      <w:r>
        <w:rPr>
          <w:rFonts w:ascii="Times New Roman" w:cs="Times New Roman" w:eastAsia="Times New Roman" w:hAnsi="Times New Roman"/>
          <w:sz w:val="22"/>
          <w:szCs w:val="22"/>
          <w:b w:val="1"/>
          <w:bCs w:val="1"/>
          <w:i w:val="1"/>
          <w:iCs w:val="1"/>
          <w:color w:val="auto"/>
        </w:rPr>
        <w:t>Lucid Group</w:t>
      </w:r>
      <w:r>
        <w:rPr>
          <w:rFonts w:ascii="Times New Roman" w:cs="Times New Roman" w:eastAsia="Times New Roman" w:hAnsi="Times New Roman"/>
          <w:sz w:val="22"/>
          <w:szCs w:val="22"/>
          <w:color w:val="auto"/>
        </w:rPr>
        <w:t>”) as of the date signed below. This Agreement confirms the parties’ understanding and agreement regarding the mutually agreed-upon cessation of your employment with the Lucid Group in connection with your retirement.</w:t>
      </w:r>
    </w:p>
    <w:p>
      <w:pPr>
        <w:spacing w:after="0" w:line="174"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of Employment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440" w:firstLine="656"/>
        <w:spacing w:after="0" w:line="251" w:lineRule="auto"/>
        <w:tabs>
          <w:tab w:leader="none" w:pos="129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close of business on February 21, 2025, your employment and any other positions you hold with the Lucid Group (including, without limitation, your role as a member of the Board of Directors of Lucid Group, Inc.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xml:space="preserve">”) and all committee positions) will fully terminate;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in this Agreement shall prevent the Lucid Group from terminating your employment prior to February 21, 2025, for Cause (as defined in that certain Lucid Group, Inc. Executive Severance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(your last day of employment and as a member of the Board, the “</w:t>
      </w:r>
      <w:r>
        <w:rPr>
          <w:rFonts w:ascii="Times New Roman" w:cs="Times New Roman" w:eastAsia="Times New Roman" w:hAnsi="Times New Roman"/>
          <w:sz w:val="22"/>
          <w:szCs w:val="22"/>
          <w:b w:val="1"/>
          <w:bCs w:val="1"/>
          <w:i w:val="1"/>
          <w:iCs w:val="1"/>
          <w:color w:val="auto"/>
        </w:rPr>
        <w:t>Separation Date</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right="440" w:firstLine="656"/>
        <w:spacing w:after="0" w:line="250" w:lineRule="auto"/>
        <w:tabs>
          <w:tab w:leader="none" w:pos="129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Separation Date, (i) you will continue to be paid at your current base salary rate, less applicable withholding and deductions, and (ii) you will remain eligible to vest in any outstanding equity awards under the Lucid Group, Inc., Second Amended and Restated 2021 Stock Incentive Plan, the Atieva, Inc. 2021 Stock Incentive Plan, and the 2014 Share Plan of Atieva, Inc, if applicable, subject to the terms and conditions of each such plan or arrangement, to the extent such terms and conditions are not superseded or modified by the terms of this Agreement. Further, all covenants and obligations arising under your Confidential Information and Invention Assignment Agreement, as amended by this Agreement (as amended, the “</w:t>
      </w:r>
      <w:r>
        <w:rPr>
          <w:rFonts w:ascii="Times New Roman" w:cs="Times New Roman" w:eastAsia="Times New Roman" w:hAnsi="Times New Roman"/>
          <w:sz w:val="22"/>
          <w:szCs w:val="22"/>
          <w:b w:val="1"/>
          <w:bCs w:val="1"/>
          <w:i w:val="1"/>
          <w:iCs w:val="1"/>
          <w:color w:val="auto"/>
        </w:rPr>
        <w:t>CIIAA</w:t>
      </w:r>
      <w:r>
        <w:rPr>
          <w:rFonts w:ascii="Times New Roman" w:cs="Times New Roman" w:eastAsia="Times New Roman" w:hAnsi="Times New Roman"/>
          <w:sz w:val="22"/>
          <w:szCs w:val="22"/>
          <w:color w:val="auto"/>
        </w:rPr>
        <w:t>”), and all employment policies continue in effect during your employment and following the cessation for your employment in accordance with their terms. You agree to comply with all such covenants, obligations and employment policies.</w:t>
      </w:r>
    </w:p>
    <w:p>
      <w:pPr>
        <w:spacing w:after="0" w:line="179" w:lineRule="exact"/>
        <w:rPr>
          <w:rFonts w:ascii="Times New Roman" w:cs="Times New Roman" w:eastAsia="Times New Roman" w:hAnsi="Times New Roman"/>
          <w:sz w:val="22"/>
          <w:szCs w:val="22"/>
          <w:color w:val="auto"/>
        </w:rPr>
      </w:pPr>
    </w:p>
    <w:p>
      <w:pPr>
        <w:jc w:val="both"/>
        <w:ind w:right="460" w:firstLine="656"/>
        <w:spacing w:after="0" w:line="257" w:lineRule="auto"/>
        <w:tabs>
          <w:tab w:leader="none" w:pos="129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that the terms and conditions of this Agreement and the cessation of your employment shall not constitute grounds for a Qualifying Termination under the terms of the Plan and that you shall not be entitled to the benefits set forth in the Plan and your Plan Participation Agreement (the “</w:t>
      </w:r>
      <w:r>
        <w:rPr>
          <w:rFonts w:ascii="Times New Roman" w:cs="Times New Roman" w:eastAsia="Times New Roman" w:hAnsi="Times New Roman"/>
          <w:sz w:val="22"/>
          <w:szCs w:val="22"/>
          <w:b w:val="1"/>
          <w:bCs w:val="1"/>
          <w:i w:val="1"/>
          <w:iCs w:val="1"/>
          <w:color w:val="auto"/>
        </w:rPr>
        <w:t>Participation Agreement</w:t>
      </w:r>
      <w:r>
        <w:rPr>
          <w:rFonts w:ascii="Times New Roman" w:cs="Times New Roman" w:eastAsia="Times New Roman" w:hAnsi="Times New Roman"/>
          <w:sz w:val="22"/>
          <w:szCs w:val="22"/>
          <w:color w:val="auto"/>
        </w:rPr>
        <w:t>”).</w:t>
      </w:r>
    </w:p>
    <w:p>
      <w:pPr>
        <w:sectPr>
          <w:pgSz w:w="11900" w:h="16838" w:orient="portrait"/>
          <w:cols w:equalWidth="0" w:num="1">
            <w:col w:w="11040"/>
          </w:cols>
          <w:pgMar w:left="320" w:top="1408" w:right="539" w:bottom="1440" w:gutter="0" w:footer="0" w:header="0"/>
        </w:sectPr>
      </w:pPr>
    </w:p>
    <w:bookmarkStart w:id="114" w:name="page115"/>
    <w:bookmarkEnd w:id="114"/>
    <w:p>
      <w:pPr>
        <w:jc w:val="both"/>
        <w:ind w:left="-656" w:firstLine="656"/>
        <w:spacing w:after="0" w:line="252" w:lineRule="auto"/>
        <w:tabs>
          <w:tab w:leader="none" w:pos="6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Post-Employment Consulting Services</w:t>
      </w:r>
      <w:r>
        <w:rPr>
          <w:rFonts w:ascii="Times New Roman" w:cs="Times New Roman" w:eastAsia="Times New Roman" w:hAnsi="Times New Roman"/>
          <w:sz w:val="22"/>
          <w:szCs w:val="22"/>
          <w:color w:val="auto"/>
        </w:rPr>
        <w:t>. Provided that your employment is not terminated by Lucid for Cause, by you for any reason or due to your death or disability, in each case, prior to February 21, 2025, Lucid agrees to engage you as a consultant, with the title of “</w:t>
      </w:r>
      <w:r>
        <w:rPr>
          <w:rFonts w:ascii="Times New Roman" w:cs="Times New Roman" w:eastAsia="Times New Roman" w:hAnsi="Times New Roman"/>
          <w:sz w:val="22"/>
          <w:szCs w:val="22"/>
          <w:b w:val="1"/>
          <w:bCs w:val="1"/>
          <w:i w:val="1"/>
          <w:iCs w:val="1"/>
          <w:color w:val="auto"/>
        </w:rPr>
        <w:t>Strategic Technical Advisor to the Chairman</w:t>
      </w:r>
      <w:r>
        <w:rPr>
          <w:rFonts w:ascii="Times New Roman" w:cs="Times New Roman" w:eastAsia="Times New Roman" w:hAnsi="Times New Roman"/>
          <w:sz w:val="22"/>
          <w:szCs w:val="22"/>
          <w:color w:val="auto"/>
        </w:rPr>
        <w:t xml:space="preserve">,” in accordance with and subject to the terms set forth in the Consulting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Consulting Agreement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656" w:firstLine="656"/>
        <w:spacing w:after="0" w:line="247" w:lineRule="auto"/>
        <w:tabs>
          <w:tab w:leader="none" w:pos="63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promises contained herein and for other good and valuable consideration, including the eligibility to receive the benefits set forth in the Consulting Agreement, the receipt and sufficiency of which is hereby acknowledged, you hereby generally and completely release Lucid, and its affiliated, related, parent, and subsidiary entities, and its and their current and former directors, officers, employees, shareholders (including any affiliates, employees, directors, officers or other shareholders of the Lucid Group’s shareholders), partners, agents, attorneys, predecessors, successors, insurers, affiliates, and assigns (collectively, “</w:t>
      </w:r>
      <w:r>
        <w:rPr>
          <w:rFonts w:ascii="Times New Roman" w:cs="Times New Roman" w:eastAsia="Times New Roman" w:hAnsi="Times New Roman"/>
          <w:sz w:val="22"/>
          <w:szCs w:val="22"/>
          <w:b w:val="1"/>
          <w:bCs w:val="1"/>
          <w:i w:val="1"/>
          <w:iCs w:val="1"/>
          <w:color w:val="auto"/>
        </w:rPr>
        <w:t>Released Parties</w:t>
      </w:r>
      <w:r>
        <w:rPr>
          <w:rFonts w:ascii="Times New Roman" w:cs="Times New Roman" w:eastAsia="Times New Roman" w:hAnsi="Times New Roman"/>
          <w:sz w:val="22"/>
          <w:szCs w:val="22"/>
          <w:color w:val="auto"/>
        </w:rPr>
        <w:t>”) from any and all claims, causes of action, demands, liabilities, obligations, judgments, rights, fees, damages, debts, and expenses (inclusive of attorneys’ fees) of whatever kind or nature, whether known or unknown, that arise out of or are in any way related to events, acts, conduct, or omissions occurring prior to or on the date you sign this Agreement (collectively, “</w:t>
      </w:r>
      <w:r>
        <w:rPr>
          <w:rFonts w:ascii="Times New Roman" w:cs="Times New Roman" w:eastAsia="Times New Roman" w:hAnsi="Times New Roman"/>
          <w:sz w:val="22"/>
          <w:szCs w:val="22"/>
          <w:b w:val="1"/>
          <w:bCs w:val="1"/>
          <w:i w:val="1"/>
          <w:iCs w:val="1"/>
          <w:color w:val="auto"/>
        </w:rPr>
        <w:t>Released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For purposes of this Agreement, “affiliate” shall have the meaning set forth in Rule 405 of the rules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regulations promulgated under the Securities Act of 1933, as amended.</w:t>
      </w:r>
    </w:p>
    <w:p>
      <w:pPr>
        <w:spacing w:after="0" w:line="200" w:lineRule="exact"/>
        <w:rPr>
          <w:rFonts w:ascii="Times New Roman" w:cs="Times New Roman" w:eastAsia="Times New Roman" w:hAnsi="Times New Roman"/>
          <w:sz w:val="22"/>
          <w:szCs w:val="22"/>
          <w:color w:val="auto"/>
        </w:rPr>
      </w:pPr>
    </w:p>
    <w:p>
      <w:pPr>
        <w:jc w:val="both"/>
        <w:ind w:left="-656" w:firstLine="656"/>
        <w:spacing w:after="0" w:line="259" w:lineRule="auto"/>
        <w:tabs>
          <w:tab w:leader="none" w:pos="635"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Released Claims include, but are not limited to: (i) all claims arising out of or in any way related to your employment with Lucid and/or its affiliates (including claims of Constructive Termination), or the termination of that employment; (ii) all claims related to disputed or paid compensation or benefits from Lucid or its affiliates, including salary, bonuses, commissions, vacation, expense reimbursements, severance pay, fringe benefits, stock, stock options, or any other ownership, equity, or profits interests in Lucid or its affiliates; (iii) all claims for breach of contract, wrongful termination, and breach of the implied covenant of good faith and fair dealing, as well claims or rights arising under or relating to the Plan or Participation Agreement; (iv) all tort claims, including claims for fraud, defamation, emotional distress, and discharge in violation of public policy; and (v) all federal, state, and local statutory claims, including claims for discrimination, harassment, retaliation, attorneys’ fees, or other claims arising under any and all laws, regulations, orders, or ordinances, including, but not limited to, the Civil Rights Act of 1964, the Americans with Disabilities Act of 1990, the Family and Medical Leave Act, the California Fair Employment and Housing Act, the California Labor Code (including, but not limited to, the Private Attorneys General Act (“</w:t>
      </w:r>
      <w:r>
        <w:rPr>
          <w:rFonts w:ascii="Times New Roman" w:cs="Times New Roman" w:eastAsia="Times New Roman" w:hAnsi="Times New Roman"/>
          <w:sz w:val="21"/>
          <w:szCs w:val="21"/>
          <w:b w:val="1"/>
          <w:bCs w:val="1"/>
          <w:i w:val="1"/>
          <w:iCs w:val="1"/>
          <w:color w:val="auto"/>
        </w:rPr>
        <w:t>PAGA</w:t>
      </w:r>
      <w:r>
        <w:rPr>
          <w:rFonts w:ascii="Times New Roman" w:cs="Times New Roman" w:eastAsia="Times New Roman" w:hAnsi="Times New Roman"/>
          <w:sz w:val="21"/>
          <w:szCs w:val="21"/>
          <w:color w:val="auto"/>
        </w:rPr>
        <w:t>”)), the Ralph Civil Rights Act, the Tom Bane Civil Rights Act, the Unruh Civil Rights Act, the California Business and Professions Code, the California Equal Pay Law, the California Whistleblower Protection Laws, the California Family Rights Act, or the California Civil Code, all as amended from time to time and including their respective implementing regulations.</w:t>
      </w:r>
    </w:p>
    <w:p>
      <w:pPr>
        <w:spacing w:after="0" w:line="168" w:lineRule="exact"/>
        <w:rPr>
          <w:rFonts w:ascii="Times New Roman" w:cs="Times New Roman" w:eastAsia="Times New Roman" w:hAnsi="Times New Roman"/>
          <w:sz w:val="21"/>
          <w:szCs w:val="21"/>
          <w:color w:val="auto"/>
        </w:rPr>
      </w:pPr>
    </w:p>
    <w:p>
      <w:pPr>
        <w:jc w:val="both"/>
        <w:ind w:left="-656" w:right="20" w:firstLine="656"/>
        <w:spacing w:after="0" w:line="257" w:lineRule="auto"/>
        <w:tabs>
          <w:tab w:leader="none" w:pos="63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further agree that you will not initiate a PAGA lawsuit against Lucid or any of the Released Parties related to your employment or any other action, event, or incident that occurred prior to the Effective Date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684"/>
        <w:spacing w:after="0"/>
        <w:rPr>
          <w:sz w:val="20"/>
          <w:szCs w:val="20"/>
          <w:color w:val="auto"/>
        </w:rPr>
      </w:pPr>
      <w:r>
        <w:rPr>
          <w:rFonts w:ascii="Times New Roman" w:cs="Times New Roman" w:eastAsia="Times New Roman" w:hAnsi="Times New Roman"/>
          <w:sz w:val="22"/>
          <w:szCs w:val="22"/>
          <w:color w:val="auto"/>
        </w:rPr>
        <w:t>Page 2</w:t>
      </w:r>
    </w:p>
    <w:p>
      <w:pPr>
        <w:sectPr>
          <w:pgSz w:w="11900" w:h="16838" w:orient="portrait"/>
          <w:cols w:equalWidth="0" w:num="1">
            <w:col w:w="9944"/>
          </w:cols>
          <w:pgMar w:left="976" w:top="1408" w:right="979" w:bottom="1440" w:gutter="0" w:footer="0" w:header="0"/>
        </w:sectPr>
      </w:pPr>
    </w:p>
    <w:bookmarkStart w:id="115" w:name="page116"/>
    <w:bookmarkEnd w:id="115"/>
    <w:p>
      <w:pPr>
        <w:jc w:val="both"/>
        <w:ind w:firstLine="656"/>
        <w:spacing w:after="0" w:line="244" w:lineRule="auto"/>
        <w:tabs>
          <w:tab w:leader="none" w:pos="129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THAT THIS RELEASE INCLUDES A RELEASE OF ALL KNOWN AND UNKNOWN CLAIMS. In giving the release herein, which includes claims which may be unknown to you at present, you acknowledge that you have read and understand Section 1542 of the California Civil Code, which reads as follows:</w:t>
      </w:r>
    </w:p>
    <w:p>
      <w:pPr>
        <w:spacing w:after="0" w:line="183" w:lineRule="exact"/>
        <w:rPr>
          <w:sz w:val="20"/>
          <w:szCs w:val="20"/>
          <w:color w:val="auto"/>
        </w:rPr>
      </w:pPr>
    </w:p>
    <w:p>
      <w:pPr>
        <w:jc w:val="both"/>
        <w:ind w:left="1960" w:right="1300"/>
        <w:spacing w:after="0" w:line="258"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8" w:lineRule="exact"/>
        <w:rPr>
          <w:sz w:val="20"/>
          <w:szCs w:val="20"/>
          <w:color w:val="auto"/>
        </w:rPr>
      </w:pPr>
    </w:p>
    <w:p>
      <w:pPr>
        <w:ind w:right="660" w:firstLine="648"/>
        <w:spacing w:after="0" w:line="258" w:lineRule="auto"/>
        <w:rPr>
          <w:sz w:val="20"/>
          <w:szCs w:val="20"/>
          <w:color w:val="auto"/>
        </w:rPr>
      </w:pPr>
      <w:r>
        <w:rPr>
          <w:rFonts w:ascii="Times New Roman" w:cs="Times New Roman" w:eastAsia="Times New Roman" w:hAnsi="Times New Roman"/>
          <w:sz w:val="22"/>
          <w:szCs w:val="22"/>
          <w:color w:val="auto"/>
        </w:rPr>
        <w:t>You hereby expressly waive and relinquish all rights and benefits under that section and any law of any other jurisdiction of similar effect with respect to your release of any unknown or unsuspected claims herein.</w:t>
      </w:r>
    </w:p>
    <w:p>
      <w:pPr>
        <w:spacing w:after="0" w:line="179" w:lineRule="exact"/>
        <w:rPr>
          <w:sz w:val="20"/>
          <w:szCs w:val="20"/>
          <w:color w:val="auto"/>
        </w:rPr>
      </w:pPr>
    </w:p>
    <w:p>
      <w:pPr>
        <w:jc w:val="both"/>
        <w:ind w:right="640" w:firstLine="656"/>
        <w:spacing w:after="0" w:line="248" w:lineRule="auto"/>
        <w:tabs>
          <w:tab w:leader="none" w:pos="129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following are not included in the Released Claims (“</w:t>
      </w:r>
      <w:r>
        <w:rPr>
          <w:rFonts w:ascii="Times New Roman" w:cs="Times New Roman" w:eastAsia="Times New Roman" w:hAnsi="Times New Roman"/>
          <w:sz w:val="22"/>
          <w:szCs w:val="22"/>
          <w:b w:val="1"/>
          <w:bCs w:val="1"/>
          <w:i w:val="1"/>
          <w:iCs w:val="1"/>
          <w:color w:val="auto"/>
        </w:rPr>
        <w:t>Excluded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(i) any rights or claims for indemnification you may have pursuant to California Labor Code §2802 or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written indemnification agreement with Lucid to which you are a party, or under applicable law or Lucid’s applicable insurance policies or organizational documents (or any predecessor thereto); (ii) any rights which are not waivable as a matter of law, including, without limitation, your right to file a charge or claim with the Securities and Exchange Commission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the Equal Employment Opportunity Commission (“</w:t>
      </w:r>
      <w:r>
        <w:rPr>
          <w:rFonts w:ascii="Times New Roman" w:cs="Times New Roman" w:eastAsia="Times New Roman" w:hAnsi="Times New Roman"/>
          <w:sz w:val="22"/>
          <w:szCs w:val="22"/>
          <w:b w:val="1"/>
          <w:bCs w:val="1"/>
          <w:i w:val="1"/>
          <w:iCs w:val="1"/>
          <w:color w:val="auto"/>
        </w:rPr>
        <w:t>EEOC</w:t>
      </w:r>
      <w:r>
        <w:rPr>
          <w:rFonts w:ascii="Times New Roman" w:cs="Times New Roman" w:eastAsia="Times New Roman" w:hAnsi="Times New Roman"/>
          <w:sz w:val="22"/>
          <w:szCs w:val="22"/>
          <w:color w:val="auto"/>
        </w:rPr>
        <w:t>”) or any other Government Agency (as defined below), participate in any investigation conducted by such Government Agency or seek or receive a SEC whistleblower award as provided under Section 21F of the Securities Exchange Act of 1934 or any other whistleblower award; (iii) any rights you have to file or pursue a claim for workers’ compensation or unemployment insurance; (iv) any benefit entitlements vested as of the Separation Date, pursuant to the written terms of any applicable benefit plan sponsored by Lucid; and (v) any claims for breach of this Agreement. You hereby represent and warrant that, other than the Excluded Claims, you are not aware of any claims you have or might have against any of the Released Parties that are not included in the Released Claims.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w:t>
      </w:r>
    </w:p>
    <w:p>
      <w:pPr>
        <w:sectPr>
          <w:pgSz w:w="11900" w:h="16838" w:orient="portrait"/>
          <w:cols w:equalWidth="0" w:num="1">
            <w:col w:w="11240"/>
          </w:cols>
          <w:pgMar w:left="320" w:top="1395" w:right="339" w:bottom="1440" w:gutter="0" w:footer="0" w:header="0"/>
        </w:sectPr>
      </w:pPr>
    </w:p>
    <w:bookmarkStart w:id="116" w:name="page117"/>
    <w:bookmarkEnd w:id="116"/>
    <w:p>
      <w:pPr>
        <w:spacing w:after="0" w:line="104" w:lineRule="exact"/>
        <w:rPr>
          <w:sz w:val="20"/>
          <w:szCs w:val="20"/>
          <w:color w:val="auto"/>
        </w:rPr>
      </w:pPr>
    </w:p>
    <w:p>
      <w:pPr>
        <w:jc w:val="both"/>
        <w:ind w:left="-656" w:firstLine="656"/>
        <w:spacing w:after="0" w:line="259" w:lineRule="auto"/>
        <w:tabs>
          <w:tab w:leader="none" w:pos="64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YOU AND LUCID AGREE THAT ANY AND ALL DISPUTES ARISING OUT OF YOUR EMPLOYMENT OR SERVICE OR THE TERMINATION THEREOF, AND THE TERMS OF THIS AGREEMENT OR THE AGREEMENTS INCORPORATED HEREIN BY REFERENCE, ITS OR THEIR INTERPRETATION, AND ANY OF THE MATTERS HEREIN RELEASED, SHALL BE SUBJECT TO ARBITRATION IN DELAWARE, BEFORE THE JUDICIAL ARBITRATION &amp; MEDIATION SERVICES (“</w:t>
      </w:r>
      <w:r>
        <w:rPr>
          <w:rFonts w:ascii="Times New Roman" w:cs="Times New Roman" w:eastAsia="Times New Roman" w:hAnsi="Times New Roman"/>
          <w:sz w:val="21"/>
          <w:szCs w:val="21"/>
          <w:b w:val="1"/>
          <w:bCs w:val="1"/>
          <w:i w:val="1"/>
          <w:iCs w:val="1"/>
          <w:color w:val="auto"/>
        </w:rPr>
        <w:t>JAMS</w:t>
      </w:r>
      <w:r>
        <w:rPr>
          <w:rFonts w:ascii="Times New Roman" w:cs="Times New Roman" w:eastAsia="Times New Roman" w:hAnsi="Times New Roman"/>
          <w:sz w:val="21"/>
          <w:szCs w:val="21"/>
          <w:color w:val="auto"/>
        </w:rPr>
        <w:t>”), PURSUANT TO ITS EMPLOYMENT ARBITRATION RULES (“</w:t>
      </w:r>
      <w:r>
        <w:rPr>
          <w:rFonts w:ascii="Times New Roman" w:cs="Times New Roman" w:eastAsia="Times New Roman" w:hAnsi="Times New Roman"/>
          <w:sz w:val="21"/>
          <w:szCs w:val="21"/>
          <w:b w:val="1"/>
          <w:bCs w:val="1"/>
          <w:i w:val="1"/>
          <w:iCs w:val="1"/>
          <w:color w:val="auto"/>
        </w:rPr>
        <w:t>JAMS RULES</w:t>
      </w:r>
      <w:r>
        <w:rPr>
          <w:rFonts w:ascii="Times New Roman" w:cs="Times New Roman" w:eastAsia="Times New Roman" w:hAnsi="Times New Roman"/>
          <w:sz w:val="21"/>
          <w:szCs w:val="21"/>
          <w:color w:val="auto"/>
        </w:rPr>
        <w:t xml:space="preserve">”). THE ARBITRATOR MAY GRANT INJUNCTIONS AND OTHER RELIEF IN SUCH DISPUTES. THE ARBITRATOR SHALL ADMINISTER AND CONDUCT ANY ARBITRATION IN ACCORDANCE WITH THE FEDERAL ARBITRATION ACT. THE DECISION OF THE ARBITRATOR SHALL BE FINAL, CONCLUSIVE, AND BINDING ON THE PARTIES TO THE ARBITRATION. THE PARTIES AGREE THAT THE PREVAILING PARTY IN ANY ARBITRATION SHALL BE ENTITLED TO INJUNCTIVE RELIEF IN ANY COURT OF COMPETENT JURISDICTION TO ENFORCE THE ARBITRATION AWARD. EACH PARTY SHALL SEPARATELY PAY FOR ITS RESPECTIVE COUNSEL FEES AND EXPENSES, THE ARBITRATOR SHALL AWARD ATTORNEYS’ FEES AND COSTS TO THE PREVAILING PARTY, EXCEPT AS PROHIBITED BY LAW. </w:t>
      </w:r>
      <w:r>
        <w:rPr>
          <w:rFonts w:ascii="Times New Roman" w:cs="Times New Roman" w:eastAsia="Times New Roman" w:hAnsi="Times New Roman"/>
          <w:sz w:val="21"/>
          <w:szCs w:val="21"/>
          <w:b w:val="1"/>
          <w:bCs w:val="1"/>
          <w:color w:val="auto"/>
        </w:rPr>
        <w:t>THE PARTIES HEREBY AGREE TO WAIVE THEIR RIGHT TO HAVE ANY DISPUTE BETWEEN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THEM RESOLVED IN A COURT OF LAW BY A JUDGE OR JURY. </w:t>
      </w:r>
      <w:r>
        <w:rPr>
          <w:rFonts w:ascii="Times New Roman" w:cs="Times New Roman" w:eastAsia="Times New Roman" w:hAnsi="Times New Roman"/>
          <w:sz w:val="21"/>
          <w:szCs w:val="21"/>
          <w:color w:val="auto"/>
        </w:rPr>
        <w:t>NOTWITHSTANDING THE FOREGOING,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SECTION WILL NOT PREVENT EITHER PARTY FROM SEEKING PRELIMINARY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SHALL GOVERN.</w:t>
      </w:r>
    </w:p>
    <w:p>
      <w:pPr>
        <w:spacing w:after="0" w:line="200" w:lineRule="exact"/>
        <w:rPr>
          <w:rFonts w:ascii="Times New Roman" w:cs="Times New Roman" w:eastAsia="Times New Roman" w:hAnsi="Times New Roman"/>
          <w:sz w:val="21"/>
          <w:szCs w:val="21"/>
          <w:color w:val="auto"/>
        </w:rPr>
      </w:pPr>
    </w:p>
    <w:p>
      <w:pPr>
        <w:spacing w:after="0" w:line="226" w:lineRule="exact"/>
        <w:rPr>
          <w:rFonts w:ascii="Times New Roman" w:cs="Times New Roman" w:eastAsia="Times New Roman" w:hAnsi="Times New Roman"/>
          <w:sz w:val="21"/>
          <w:szCs w:val="21"/>
          <w:color w:val="auto"/>
        </w:rPr>
      </w:pPr>
    </w:p>
    <w:p>
      <w:pPr>
        <w:jc w:val="both"/>
        <w:ind w:left="-656" w:firstLine="656"/>
        <w:spacing w:after="0" w:line="247" w:lineRule="auto"/>
        <w:tabs>
          <w:tab w:leader="none" w:pos="6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Consulting Agreement and the annex attached thereto, the CIIAA, and your Notice of Restricted Stock Unit Grant and Restricted Stock Unit Award Agreement with the Lucid Group, sets forth the entire agreement and understanding of the parties hereto with respect to the matters covered hereby and supersedes and replaces any express or implied prior agreement with respect to the terms of your employment and the termination thereof which you may have had with Lucid or any of its affiliates.</w:t>
      </w:r>
    </w:p>
    <w:p>
      <w:pPr>
        <w:spacing w:after="0" w:line="200" w:lineRule="exact"/>
        <w:rPr>
          <w:sz w:val="20"/>
          <w:szCs w:val="20"/>
          <w:color w:val="auto"/>
        </w:rPr>
      </w:pPr>
    </w:p>
    <w:p>
      <w:pPr>
        <w:spacing w:after="0" w:line="280" w:lineRule="exact"/>
        <w:rPr>
          <w:sz w:val="20"/>
          <w:szCs w:val="20"/>
          <w:color w:val="auto"/>
        </w:rPr>
      </w:pPr>
    </w:p>
    <w:p>
      <w:pPr>
        <w:ind w:left="4684"/>
        <w:spacing w:after="0"/>
        <w:rPr>
          <w:sz w:val="20"/>
          <w:szCs w:val="20"/>
          <w:color w:val="auto"/>
        </w:rPr>
      </w:pPr>
      <w:r>
        <w:rPr>
          <w:rFonts w:ascii="Times New Roman" w:cs="Times New Roman" w:eastAsia="Times New Roman" w:hAnsi="Times New Roman"/>
          <w:sz w:val="22"/>
          <w:szCs w:val="22"/>
          <w:color w:val="auto"/>
        </w:rPr>
        <w:t>Page 4</w:t>
      </w:r>
    </w:p>
    <w:p>
      <w:pPr>
        <w:sectPr>
          <w:pgSz w:w="11900" w:h="16838" w:orient="portrait"/>
          <w:cols w:equalWidth="0" w:num="1">
            <w:col w:w="9944"/>
          </w:cols>
          <w:pgMar w:left="976" w:top="1440" w:right="979" w:bottom="1440" w:gutter="0" w:footer="0" w:header="0"/>
        </w:sectPr>
      </w:pPr>
    </w:p>
    <w:bookmarkStart w:id="117" w:name="page118"/>
    <w:bookmarkEnd w:id="117"/>
    <w:p>
      <w:pPr>
        <w:spacing w:after="0" w:line="90" w:lineRule="exact"/>
        <w:rPr>
          <w:sz w:val="20"/>
          <w:szCs w:val="20"/>
          <w:color w:val="auto"/>
        </w:rPr>
      </w:pPr>
    </w:p>
    <w:p>
      <w:pPr>
        <w:jc w:val="both"/>
        <w:ind w:left="-656" w:firstLine="656"/>
        <w:spacing w:after="0" w:line="248" w:lineRule="auto"/>
        <w:tabs>
          <w:tab w:leader="none" w:pos="6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xml:space="preserve"> To the extent permitted by law, you agree to cooperate fully with the Company and its affiliates in connection with its actual or contemplated defense, prosecution, or investigation of any claims or demands by or against third parties, or other matters arising from events, acts, or failures to act that occurred during the period of your employment by or service with the Company or its affiliates, but excluding any claims or demands brought by or on behalf of you against the Company or its affiliates. Such cooperation includes, without limitation, making yourself available to the Company or its affiliates upon reasonable notice, without subpoena, to provide complete, truthful and accurate information in witness interviews, depositions, and trial testimony, executing accurate and truthful documents including declarations, and taking such other acts as may be reasonably requested by the Company and/or its counsel to effectuate the foregoing. The Company will reimburse you for reasonable out-of-pocket expenses you incur in connection with any such cooperation (excluding foregone wages, salary, or other compensation) and will make reasonable efforts to accommodate your scheduling needs.</w:t>
      </w:r>
    </w:p>
    <w:p>
      <w:pPr>
        <w:spacing w:after="0" w:line="188" w:lineRule="exact"/>
        <w:rPr>
          <w:rFonts w:ascii="Times New Roman" w:cs="Times New Roman" w:eastAsia="Times New Roman" w:hAnsi="Times New Roman"/>
          <w:sz w:val="22"/>
          <w:szCs w:val="22"/>
          <w:color w:val="auto"/>
        </w:rPr>
      </w:pPr>
    </w:p>
    <w:p>
      <w:pPr>
        <w:jc w:val="both"/>
        <w:ind w:left="-656" w:firstLine="656"/>
        <w:spacing w:after="0" w:line="256" w:lineRule="auto"/>
        <w:tabs>
          <w:tab w:leader="none" w:pos="6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Modification or Waiver</w:t>
      </w:r>
      <w:r>
        <w:rPr>
          <w:rFonts w:ascii="Times New Roman" w:cs="Times New Roman" w:eastAsia="Times New Roman" w:hAnsi="Times New Roman"/>
          <w:sz w:val="22"/>
          <w:szCs w:val="22"/>
          <w:color w:val="auto"/>
        </w:rPr>
        <w:t>. The terms of this Agreement may not be modified, except in writing signed by both parties or their authorized representatives. Additionally, no waiver of any breach of any term or provision of this Agreement shall be construed to be, nor shall be, a waiver of any other breach of this Agreement and no waiver of any breach of this Agreement shall be binding unless in writing and signed by the party waiving the breach.</w:t>
      </w:r>
    </w:p>
    <w:p>
      <w:pPr>
        <w:spacing w:after="0" w:line="176" w:lineRule="exact"/>
        <w:rPr>
          <w:rFonts w:ascii="Times New Roman" w:cs="Times New Roman" w:eastAsia="Times New Roman" w:hAnsi="Times New Roman"/>
          <w:sz w:val="22"/>
          <w:szCs w:val="22"/>
          <w:color w:val="auto"/>
        </w:rPr>
      </w:pPr>
    </w:p>
    <w:p>
      <w:pPr>
        <w:jc w:val="both"/>
        <w:ind w:left="-656" w:firstLine="656"/>
        <w:spacing w:after="0" w:line="272" w:lineRule="auto"/>
        <w:tabs>
          <w:tab w:leader="none" w:pos="64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Non-Admission of Liability or Wrongdoing</w:t>
      </w:r>
      <w:r>
        <w:rPr>
          <w:rFonts w:ascii="Times New Roman" w:cs="Times New Roman" w:eastAsia="Times New Roman" w:hAnsi="Times New Roman"/>
          <w:sz w:val="21"/>
          <w:szCs w:val="21"/>
          <w:color w:val="auto"/>
        </w:rPr>
        <w:t>. Neither this Agreement nor anything contained herein shall be admissible in any proceeding as evidence of or an admission by Lucid or any of the Released Parties of any wrongdoing or violation of any law or regulation or of any liability whatsoever to you or any other person. Notwithstanding the foregoing, this Agreement may be introduced into a proceeding solely for the purpose of enforcing this Agreement.</w:t>
      </w:r>
    </w:p>
    <w:p>
      <w:pPr>
        <w:spacing w:after="0" w:line="160" w:lineRule="exact"/>
        <w:rPr>
          <w:rFonts w:ascii="Times New Roman" w:cs="Times New Roman" w:eastAsia="Times New Roman" w:hAnsi="Times New Roman"/>
          <w:sz w:val="21"/>
          <w:szCs w:val="21"/>
          <w:color w:val="auto"/>
        </w:rPr>
      </w:pPr>
    </w:p>
    <w:p>
      <w:pPr>
        <w:jc w:val="both"/>
        <w:ind w:left="-656" w:firstLine="656"/>
        <w:spacing w:after="0" w:line="251" w:lineRule="auto"/>
        <w:tabs>
          <w:tab w:leader="none" w:pos="6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Other Necessary Acts</w:t>
      </w:r>
      <w:r>
        <w:rPr>
          <w:rFonts w:ascii="Times New Roman" w:cs="Times New Roman" w:eastAsia="Times New Roman" w:hAnsi="Times New Roman"/>
          <w:sz w:val="22"/>
          <w:szCs w:val="22"/>
          <w:color w:val="auto"/>
        </w:rPr>
        <w:t>. You agree to execute any additional documents or perform any other acts necessary to carry out the terms of this Agreement, including (a) resigning from any and all officer, director and committee positions with the Lucid Group, and from any other roles or positions as may be requested by Lucid, in each case, consistent with the terms of this Agreement or as otherwise agreed upon by you and Lucid, (b) signing any such documents as reasonably requested by Lucid to effect such resignation(s) and (c) not representing yourself as being an officer, director, executive or authorized agent of the Lucid Group following the Separation Date.</w:t>
      </w:r>
    </w:p>
    <w:p>
      <w:pPr>
        <w:spacing w:after="0" w:line="200" w:lineRule="exact"/>
        <w:rPr>
          <w:sz w:val="20"/>
          <w:szCs w:val="20"/>
          <w:color w:val="auto"/>
        </w:rPr>
      </w:pPr>
    </w:p>
    <w:p>
      <w:pPr>
        <w:spacing w:after="0" w:line="278" w:lineRule="exact"/>
        <w:rPr>
          <w:sz w:val="20"/>
          <w:szCs w:val="20"/>
          <w:color w:val="auto"/>
        </w:rPr>
      </w:pPr>
    </w:p>
    <w:p>
      <w:pPr>
        <w:ind w:left="4684"/>
        <w:spacing w:after="0"/>
        <w:rPr>
          <w:sz w:val="20"/>
          <w:szCs w:val="20"/>
          <w:color w:val="auto"/>
        </w:rPr>
      </w:pPr>
      <w:r>
        <w:rPr>
          <w:rFonts w:ascii="Times New Roman" w:cs="Times New Roman" w:eastAsia="Times New Roman" w:hAnsi="Times New Roman"/>
          <w:sz w:val="22"/>
          <w:szCs w:val="22"/>
          <w:color w:val="auto"/>
        </w:rPr>
        <w:t>Page 5</w:t>
      </w:r>
    </w:p>
    <w:p>
      <w:pPr>
        <w:sectPr>
          <w:pgSz w:w="11900" w:h="16838" w:orient="portrait"/>
          <w:cols w:equalWidth="0" w:num="1">
            <w:col w:w="9944"/>
          </w:cols>
          <w:pgMar w:left="976" w:top="1440" w:right="979" w:bottom="1440" w:gutter="0" w:footer="0" w:header="0"/>
        </w:sectPr>
      </w:pPr>
    </w:p>
    <w:bookmarkStart w:id="118" w:name="page119"/>
    <w:bookmarkEnd w:id="118"/>
    <w:p>
      <w:pPr>
        <w:spacing w:after="0" w:line="104" w:lineRule="exact"/>
        <w:rPr>
          <w:sz w:val="20"/>
          <w:szCs w:val="20"/>
          <w:color w:val="auto"/>
        </w:rPr>
      </w:pPr>
    </w:p>
    <w:p>
      <w:pPr>
        <w:jc w:val="both"/>
        <w:ind w:left="-656" w:firstLine="656"/>
        <w:spacing w:after="0" w:line="246" w:lineRule="auto"/>
        <w:tabs>
          <w:tab w:leader="none" w:pos="6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Company Property; Continued Compliance with Litigation Holds</w:t>
      </w:r>
      <w:r>
        <w:rPr>
          <w:rFonts w:ascii="Times New Roman" w:cs="Times New Roman" w:eastAsia="Times New Roman" w:hAnsi="Times New Roman"/>
          <w:sz w:val="22"/>
          <w:szCs w:val="22"/>
          <w:color w:val="auto"/>
        </w:rPr>
        <w:t>. On or prior to the Separation Date, you shall conduct a diligent search and return to Lucid all Lucid Group documents (and all copies thereof) and other Lucid Group property that you have identified to be in your possession, custody or control, and you shall provide Lucid with any passcodes or other means necessary to access any returned devices. Following the Separation Date, you shall continue to search for and cooperate in good faith with Lucid to return all such documents (and all copies thereof) and other Lucid Group property in your possession, custody or control that you did not return on or prior to the Separation Date. In addition, if you have used any personally owned electronic devices, computer, server, email system, or any other electronic messaging system (including, but not limited to SMS, MMS, iMessage, WhatsApp, Snapchat, Signal, Telegram, WeChat, and Wickr) to receive, store, review, prepare or transmit any work-related communications (including, but not limited to, any and all communications you had with Lucid Group employees related to Lucid Group), documents, notes, designs, presentations, or other work product or any confidential or proprietary data, materials, or information of the Lucid Group (“</w:t>
      </w:r>
      <w:r>
        <w:rPr>
          <w:rFonts w:ascii="Times New Roman" w:cs="Times New Roman" w:eastAsia="Times New Roman" w:hAnsi="Times New Roman"/>
          <w:sz w:val="22"/>
          <w:szCs w:val="22"/>
          <w:b w:val="1"/>
          <w:bCs w:val="1"/>
          <w:i w:val="1"/>
          <w:iCs w:val="1"/>
          <w:color w:val="auto"/>
        </w:rPr>
        <w:t>Company Information</w:t>
      </w:r>
      <w:r>
        <w:rPr>
          <w:rFonts w:ascii="Times New Roman" w:cs="Times New Roman" w:eastAsia="Times New Roman" w:hAnsi="Times New Roman"/>
          <w:sz w:val="22"/>
          <w:szCs w:val="22"/>
          <w:color w:val="auto"/>
        </w:rPr>
        <w:t>”), you agree (solely upon Lucid’s prior written request) to provide Lucid with a log detailing the location and contents of such Company Information and/or a copy of such information in a format requested by Lucid Group, in each case, as soon as reasonably practicable following such request. You also agree to continue complying with all requirements not to delete, destroy or alter documents and all other material requirements under each and every litigation hold and notice to preserve documents to which you are subject, and will fully cooperate with Lucid in connection with taking measures to preserve documents and/or returning all Lucid Group property, including, without limitation, the Company Information in your personal devices or storage systems. Your timely compliance with the provisions of this Section 11 is a precondition to your receipt of the Fees as defined in the Consulting Agreement. To the extent that Lucid becomes aware that you failed to comply with the provisions of this paragraph after the payment of the Fees, the failure to return such Company Information shall be deemed a material breach of this Agreement (including the Consulting Agreement) and Lucid shall have the right to clawback the full value of the Fees that have been paid to you.</w:t>
      </w:r>
    </w:p>
    <w:p>
      <w:pPr>
        <w:spacing w:after="0" w:line="219" w:lineRule="exact"/>
        <w:rPr>
          <w:rFonts w:ascii="Times New Roman" w:cs="Times New Roman" w:eastAsia="Times New Roman" w:hAnsi="Times New Roman"/>
          <w:sz w:val="22"/>
          <w:szCs w:val="22"/>
          <w:color w:val="auto"/>
        </w:rPr>
      </w:pPr>
    </w:p>
    <w:p>
      <w:pPr>
        <w:ind w:left="624" w:hanging="624"/>
        <w:spacing w:after="0"/>
        <w:tabs>
          <w:tab w:leader="none" w:pos="62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Opportunity to Review</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56" w:firstLine="656"/>
        <w:spacing w:after="0" w:line="258" w:lineRule="auto"/>
        <w:tabs>
          <w:tab w:leader="none" w:pos="63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seven (7) days during which to consider the provisions of this Agreement, although you may sign and return it sooner. This Agreement shall become effective upon the date that you sign it.</w:t>
      </w:r>
    </w:p>
    <w:p>
      <w:pPr>
        <w:spacing w:after="0" w:line="185" w:lineRule="exact"/>
        <w:rPr>
          <w:rFonts w:ascii="Times New Roman" w:cs="Times New Roman" w:eastAsia="Times New Roman" w:hAnsi="Times New Roman"/>
          <w:sz w:val="22"/>
          <w:szCs w:val="22"/>
          <w:color w:val="auto"/>
        </w:rPr>
      </w:pPr>
    </w:p>
    <w:p>
      <w:pPr>
        <w:jc w:val="both"/>
        <w:ind w:left="-656" w:firstLine="656"/>
        <w:spacing w:after="0" w:line="251" w:lineRule="auto"/>
        <w:tabs>
          <w:tab w:leader="none" w:pos="63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the right to consult with an attorney of your choice concerning the terms and conditions of this Agreement. By signing this Agreement, you represent and affirm that you have had an opportunity to consult with and be represented by counsel of your choosing in the review of this Agreement, and if you chose not to consult with an attorney, such decision was a voluntary one. You further represent and affirm that you have carefully read this Agreement and fully understand its terms and their effect, and that you are knowingly and voluntarily entering into this Agreement with the intention of being legally bound thereby.</w:t>
      </w:r>
    </w:p>
    <w:p>
      <w:pPr>
        <w:spacing w:after="0" w:line="168" w:lineRule="exact"/>
        <w:rPr>
          <w:sz w:val="20"/>
          <w:szCs w:val="20"/>
          <w:color w:val="auto"/>
        </w:rPr>
      </w:pPr>
    </w:p>
    <w:p>
      <w:pPr>
        <w:ind w:left="-656" w:right="20" w:firstLine="656"/>
        <w:spacing w:after="0" w:line="258" w:lineRule="auto"/>
        <w:tabs>
          <w:tab w:leader="none" w:pos="6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shall be binding upon and inure to the benefit of each party and each party’s respective heirs, representatives, executors, administrators, successors, and assigns.</w:t>
      </w:r>
    </w:p>
    <w:p>
      <w:pPr>
        <w:spacing w:after="0" w:line="200" w:lineRule="exact"/>
        <w:rPr>
          <w:sz w:val="20"/>
          <w:szCs w:val="20"/>
          <w:color w:val="auto"/>
        </w:rPr>
      </w:pPr>
    </w:p>
    <w:p>
      <w:pPr>
        <w:spacing w:after="0" w:line="269" w:lineRule="exact"/>
        <w:rPr>
          <w:sz w:val="20"/>
          <w:szCs w:val="20"/>
          <w:color w:val="auto"/>
        </w:rPr>
      </w:pPr>
    </w:p>
    <w:p>
      <w:pPr>
        <w:ind w:left="4684"/>
        <w:spacing w:after="0"/>
        <w:rPr>
          <w:sz w:val="20"/>
          <w:szCs w:val="20"/>
          <w:color w:val="auto"/>
        </w:rPr>
      </w:pPr>
      <w:r>
        <w:rPr>
          <w:rFonts w:ascii="Times New Roman" w:cs="Times New Roman" w:eastAsia="Times New Roman" w:hAnsi="Times New Roman"/>
          <w:sz w:val="22"/>
          <w:szCs w:val="22"/>
          <w:color w:val="auto"/>
        </w:rPr>
        <w:t>Page 6</w:t>
      </w:r>
    </w:p>
    <w:p>
      <w:pPr>
        <w:sectPr>
          <w:pgSz w:w="11900" w:h="16838" w:orient="portrait"/>
          <w:cols w:equalWidth="0" w:num="1">
            <w:col w:w="9944"/>
          </w:cols>
          <w:pgMar w:left="976" w:top="1440" w:right="979" w:bottom="1440" w:gutter="0" w:footer="0" w:header="0"/>
        </w:sectPr>
      </w:pPr>
    </w:p>
    <w:bookmarkStart w:id="119" w:name="page120"/>
    <w:bookmarkEnd w:id="119"/>
    <w:p>
      <w:pPr>
        <w:spacing w:after="0" w:line="90" w:lineRule="exact"/>
        <w:rPr>
          <w:sz w:val="20"/>
          <w:szCs w:val="20"/>
          <w:color w:val="auto"/>
        </w:rPr>
      </w:pPr>
    </w:p>
    <w:p>
      <w:pPr>
        <w:jc w:val="both"/>
        <w:ind w:left="-656" w:firstLine="656"/>
        <w:spacing w:after="0" w:line="250" w:lineRule="auto"/>
        <w:tabs>
          <w:tab w:leader="none" w:pos="6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and each counterpart when executed shall have the force and effect of a signed original. Photographic copies of such signed counterparts may be used in lieu of the originals for any purpose.</w:t>
      </w:r>
    </w:p>
    <w:p>
      <w:pPr>
        <w:spacing w:after="0" w:line="167" w:lineRule="exact"/>
        <w:rPr>
          <w:rFonts w:ascii="Times New Roman" w:cs="Times New Roman" w:eastAsia="Times New Roman" w:hAnsi="Times New Roman"/>
          <w:sz w:val="22"/>
          <w:szCs w:val="22"/>
          <w:color w:val="auto"/>
        </w:rPr>
      </w:pPr>
    </w:p>
    <w:p>
      <w:pPr>
        <w:ind w:left="-656" w:firstLine="656"/>
        <w:spacing w:after="0" w:line="271" w:lineRule="auto"/>
        <w:tabs>
          <w:tab w:leader="none" w:pos="6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in this Agreement are inserted for convenience of reference only and are not intended to be a part of or to affect the meaning or interpretation of this Agreement.</w:t>
      </w:r>
    </w:p>
    <w:p>
      <w:pPr>
        <w:spacing w:after="0" w:line="144" w:lineRule="exact"/>
        <w:rPr>
          <w:rFonts w:ascii="Times New Roman" w:cs="Times New Roman" w:eastAsia="Times New Roman" w:hAnsi="Times New Roman"/>
          <w:sz w:val="22"/>
          <w:szCs w:val="22"/>
          <w:color w:val="auto"/>
        </w:rPr>
      </w:pPr>
    </w:p>
    <w:p>
      <w:pPr>
        <w:ind w:left="-656" w:right="20" w:firstLine="656"/>
        <w:spacing w:after="0" w:line="271" w:lineRule="auto"/>
        <w:tabs>
          <w:tab w:leader="none" w:pos="6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language of all parts of this Agreement shall in all cases be construed as a whole according to its fair meaning and not strictly for or against any of the parties.</w:t>
      </w:r>
    </w:p>
    <w:p>
      <w:pPr>
        <w:spacing w:after="0" w:line="157" w:lineRule="exact"/>
        <w:rPr>
          <w:rFonts w:ascii="Times New Roman" w:cs="Times New Roman" w:eastAsia="Times New Roman" w:hAnsi="Times New Roman"/>
          <w:sz w:val="22"/>
          <w:szCs w:val="22"/>
          <w:color w:val="auto"/>
        </w:rPr>
      </w:pPr>
    </w:p>
    <w:p>
      <w:pPr>
        <w:jc w:val="both"/>
        <w:ind w:left="-656" w:firstLine="656"/>
        <w:spacing w:after="0" w:line="249" w:lineRule="auto"/>
        <w:tabs>
          <w:tab w:leader="none" w:pos="6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Venue</w:t>
      </w:r>
      <w:r>
        <w:rPr>
          <w:rFonts w:ascii="Times New Roman" w:cs="Times New Roman" w:eastAsia="Times New Roman" w:hAnsi="Times New Roman"/>
          <w:sz w:val="22"/>
          <w:szCs w:val="22"/>
          <w:color w:val="auto"/>
        </w:rPr>
        <w:t xml:space="preserve">. This Agreement is made and entered into in the State of Delaware and shall in all respects be interpreted, enforced, and governed under the laws of the State of Delaware, except for the arbitration provision to which federal law applies, without giving effect to Delaware conflicts of laws provisions. Without limiting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hereof, each of the parties hereto irrevocably consents to the exclusive jurisdiction of the Chancery Court of the State of Delaware in Wilmington, Delaware or the federal courts of the United States located in the State of Delaware, to the extent that the Chancery Court of the State of Delaware cannot exercise jurisdiction over any such matter, in connection with any matter based upon or arising out of this Agreement or the agreements incorporated herein by reference. Pursuant to Section 925(e) of the California Labor Code, you (a) specifically intend to waive any objection to application of Delaware law or to jurisdiction and venue outside of California; and (b) represent that you have been individually represented by William (Bill) Herochik, Esq. in negotiating the terms of this Agreement and the agreements incorporated by reference herein, including, but not limited to, those terms concerning remedies, governing law, jurisdiction, and venue.</w:t>
      </w:r>
    </w:p>
    <w:p>
      <w:pPr>
        <w:spacing w:after="0" w:line="200" w:lineRule="exact"/>
        <w:rPr>
          <w:sz w:val="20"/>
          <w:szCs w:val="20"/>
          <w:color w:val="auto"/>
        </w:rPr>
      </w:pPr>
    </w:p>
    <w:p>
      <w:pPr>
        <w:spacing w:after="0" w:line="268" w:lineRule="exact"/>
        <w:rPr>
          <w:sz w:val="20"/>
          <w:szCs w:val="20"/>
          <w:color w:val="auto"/>
        </w:rPr>
      </w:pPr>
    </w:p>
    <w:p>
      <w:pPr>
        <w:ind w:left="4684"/>
        <w:spacing w:after="0"/>
        <w:rPr>
          <w:sz w:val="20"/>
          <w:szCs w:val="20"/>
          <w:color w:val="auto"/>
        </w:rPr>
      </w:pPr>
      <w:r>
        <w:rPr>
          <w:rFonts w:ascii="Times New Roman" w:cs="Times New Roman" w:eastAsia="Times New Roman" w:hAnsi="Times New Roman"/>
          <w:sz w:val="22"/>
          <w:szCs w:val="22"/>
          <w:color w:val="auto"/>
        </w:rPr>
        <w:t>Page 7</w:t>
      </w:r>
    </w:p>
    <w:p>
      <w:pPr>
        <w:sectPr>
          <w:pgSz w:w="11900" w:h="16838" w:orient="portrait"/>
          <w:cols w:equalWidth="0" w:num="1">
            <w:col w:w="9944"/>
          </w:cols>
          <w:pgMar w:left="976" w:top="1440" w:right="979" w:bottom="1440" w:gutter="0" w:footer="0" w:header="0"/>
        </w:sectPr>
      </w:pPr>
    </w:p>
    <w:bookmarkStart w:id="120" w:name="page121"/>
    <w:bookmarkEnd w:id="120"/>
    <w:p>
      <w:pPr>
        <w:spacing w:after="0" w:line="104" w:lineRule="exact"/>
        <w:rPr>
          <w:sz w:val="20"/>
          <w:szCs w:val="20"/>
          <w:color w:val="auto"/>
        </w:rPr>
      </w:pPr>
    </w:p>
    <w:p>
      <w:pPr>
        <w:jc w:val="both"/>
        <w:ind w:left="-656" w:firstLine="656"/>
        <w:spacing w:after="0" w:line="259" w:lineRule="auto"/>
        <w:tabs>
          <w:tab w:leader="none" w:pos="6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The parties intend for the payments and benefits under this Agreement and its accompanying exhibits (“</w:t>
      </w:r>
      <w:r>
        <w:rPr>
          <w:rFonts w:ascii="Times New Roman" w:cs="Times New Roman" w:eastAsia="Times New Roman" w:hAnsi="Times New Roman"/>
          <w:sz w:val="21"/>
          <w:szCs w:val="21"/>
          <w:b w:val="1"/>
          <w:bCs w:val="1"/>
          <w:i w:val="1"/>
          <w:iCs w:val="1"/>
          <w:color w:val="auto"/>
        </w:rPr>
        <w:t>Arrangements</w:t>
      </w:r>
      <w:r>
        <w:rPr>
          <w:rFonts w:ascii="Times New Roman" w:cs="Times New Roman" w:eastAsia="Times New Roman" w:hAnsi="Times New Roman"/>
          <w:sz w:val="21"/>
          <w:szCs w:val="21"/>
          <w:color w:val="auto"/>
        </w:rPr>
        <w:t>”) to be exempt from Section 409A of the Internal Revenue Code (“</w:t>
      </w:r>
      <w:r>
        <w:rPr>
          <w:rFonts w:ascii="Times New Roman" w:cs="Times New Roman" w:eastAsia="Times New Roman" w:hAnsi="Times New Roman"/>
          <w:sz w:val="21"/>
          <w:szCs w:val="21"/>
          <w:b w:val="1"/>
          <w:bCs w:val="1"/>
          <w:i w:val="1"/>
          <w:iCs w:val="1"/>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409A</w:t>
      </w:r>
      <w:r>
        <w:rPr>
          <w:rFonts w:ascii="Times New Roman" w:cs="Times New Roman" w:eastAsia="Times New Roman" w:hAnsi="Times New Roman"/>
          <w:sz w:val="21"/>
          <w:szCs w:val="21"/>
          <w:color w:val="auto"/>
        </w:rPr>
        <w:t>”) or, if not so exempt, to be paid or provided in a manner which complies with the requirements of such section,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intend that these Arrangements shall be construed and administered in accordance with such intention. If any payments or benefits due to you hereunder would cause the application of an accelerated or additional tax under Section 409A, such payments or benefits shall be restructured in a manner which does not cause such an accelerated or additional tax. For purposes of the limitations on nonqualified deferred compensation under Section 409A, each payment of compensation under the Arrangements shall be treated as a separate payment of compensation.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 pursuant to the Arrangements during the six-month period immediately following your separation from service shall instead be paid on the first business day after the date that is six months following your termination date (or death, if earlier). To the extent that reimbursements or other in-kind benefits under the Arrangements constitute nonqualified deferred compensation for purposes of Section 409A, (i) all expenses or other reimbursements hereunder shall be made on or prior to the last day of the taxable year following the taxable year in which such expenses were incurred by you, (ii) any right to reimbursement or in-kind benefits shall not be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w:t>
      </w:r>
    </w:p>
    <w:p>
      <w:pPr>
        <w:spacing w:after="0" w:line="196" w:lineRule="exact"/>
        <w:rPr>
          <w:rFonts w:ascii="Times New Roman" w:cs="Times New Roman" w:eastAsia="Times New Roman" w:hAnsi="Times New Roman"/>
          <w:sz w:val="21"/>
          <w:szCs w:val="21"/>
          <w:color w:val="auto"/>
        </w:rPr>
      </w:pPr>
    </w:p>
    <w:p>
      <w:pPr>
        <w:jc w:val="both"/>
        <w:ind w:left="-656" w:firstLine="656"/>
        <w:spacing w:after="0" w:line="250" w:lineRule="auto"/>
        <w:tabs>
          <w:tab w:leader="none" w:pos="6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Signature/Transmission</w:t>
      </w:r>
      <w:r>
        <w:rPr>
          <w:rFonts w:ascii="Times New Roman" w:cs="Times New Roman" w:eastAsia="Times New Roman" w:hAnsi="Times New Roman"/>
          <w:sz w:val="22"/>
          <w:szCs w:val="22"/>
          <w:color w:val="auto"/>
        </w:rPr>
        <w:t>. You acknowledge and agree that this Agreement may be executed by electronic signature, including, but not limited to, signature by DocuSign or similar service, which shall have the same legal validity and enforceability as a manually executed signature or use of a paper-based recordkeeping system to the fullest extent permitted by applicable law. You hereby waive any objection to the contrary. You understand and agree that without limitation, “electronic signature” shall include electronically scanned and transmitted versions of a signature, including, but not limited to, PDF versions. The parties further agree that signatures may be delivered by facsimile or electronically and each such signature will be deemed an original.</w:t>
      </w:r>
    </w:p>
    <w:p>
      <w:pPr>
        <w:spacing w:after="0" w:line="176" w:lineRule="exact"/>
        <w:rPr>
          <w:sz w:val="20"/>
          <w:szCs w:val="20"/>
          <w:color w:val="auto"/>
        </w:rPr>
      </w:pPr>
    </w:p>
    <w:p>
      <w:pPr>
        <w:ind w:left="1924"/>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to follow.]</w:t>
      </w:r>
    </w:p>
    <w:p>
      <w:pPr>
        <w:spacing w:after="0" w:line="200" w:lineRule="exact"/>
        <w:rPr>
          <w:sz w:val="20"/>
          <w:szCs w:val="20"/>
          <w:color w:val="auto"/>
        </w:rPr>
      </w:pPr>
    </w:p>
    <w:p>
      <w:pPr>
        <w:spacing w:after="0" w:line="321" w:lineRule="exact"/>
        <w:rPr>
          <w:sz w:val="20"/>
          <w:szCs w:val="20"/>
          <w:color w:val="auto"/>
        </w:rPr>
      </w:pPr>
    </w:p>
    <w:p>
      <w:pPr>
        <w:ind w:left="4684"/>
        <w:spacing w:after="0"/>
        <w:rPr>
          <w:sz w:val="20"/>
          <w:szCs w:val="20"/>
          <w:color w:val="auto"/>
        </w:rPr>
      </w:pPr>
      <w:r>
        <w:rPr>
          <w:rFonts w:ascii="Times New Roman" w:cs="Times New Roman" w:eastAsia="Times New Roman" w:hAnsi="Times New Roman"/>
          <w:sz w:val="22"/>
          <w:szCs w:val="22"/>
          <w:color w:val="auto"/>
        </w:rPr>
        <w:t>Page 8</w:t>
      </w:r>
    </w:p>
    <w:p>
      <w:pPr>
        <w:sectPr>
          <w:pgSz w:w="11900" w:h="16838" w:orient="portrait"/>
          <w:cols w:equalWidth="0" w:num="1">
            <w:col w:w="9944"/>
          </w:cols>
          <w:pgMar w:left="976" w:top="1440" w:right="979" w:bottom="1440" w:gutter="0" w:footer="0" w:header="0"/>
        </w:sectPr>
      </w:pPr>
    </w:p>
    <w:bookmarkStart w:id="121" w:name="page122"/>
    <w:bookmarkEnd w:id="121"/>
    <w:p>
      <w:pPr>
        <w:ind w:left="660"/>
        <w:spacing w:after="0"/>
        <w:rPr>
          <w:sz w:val="20"/>
          <w:szCs w:val="20"/>
          <w:color w:val="auto"/>
        </w:rPr>
      </w:pPr>
      <w:r>
        <w:rPr>
          <w:rFonts w:ascii="Times New Roman" w:cs="Times New Roman" w:eastAsia="Times New Roman" w:hAnsi="Times New Roman"/>
          <w:sz w:val="21"/>
          <w:szCs w:val="21"/>
          <w:color w:val="auto"/>
        </w:rPr>
        <w:t>If the above is acceptable to you, please sign and date this Agreement in the spaces provided below and return it to Lucid.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LUCID</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Gale Halsey</w:t>
            </w:r>
          </w:p>
        </w:tc>
        <w:tc>
          <w:tcPr>
            <w:tcW w:w="20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Date: 2/21/2025</w:t>
            </w:r>
          </w:p>
        </w:tc>
      </w:tr>
      <w:tr>
        <w:trPr>
          <w:trHeight w:val="277"/>
        </w:trPr>
        <w:tc>
          <w:tcPr>
            <w:tcW w:w="520" w:type="dxa"/>
            <w:vAlign w:val="bottom"/>
          </w:tcPr>
          <w:p>
            <w:pPr>
              <w:spacing w:after="0"/>
              <w:rPr>
                <w:sz w:val="24"/>
                <w:szCs w:val="24"/>
                <w:color w:val="auto"/>
              </w:rPr>
            </w:pPr>
          </w:p>
        </w:tc>
        <w:tc>
          <w:tcPr>
            <w:tcW w:w="2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Gale Halsey</w:t>
            </w:r>
          </w:p>
        </w:tc>
        <w:tc>
          <w:tcPr>
            <w:tcW w:w="74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850"/>
        </w:trPr>
        <w:tc>
          <w:tcPr>
            <w:tcW w:w="29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ACCEPTED AND AGREED TO</w:t>
            </w: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68"/>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 Peter Rawlinson</w:t>
            </w:r>
          </w:p>
        </w:tc>
        <w:tc>
          <w:tcPr>
            <w:tcW w:w="20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Date: 2/20/2025</w:t>
            </w:r>
          </w:p>
        </w:tc>
      </w:tr>
      <w:tr>
        <w:trPr>
          <w:trHeight w:val="277"/>
        </w:trPr>
        <w:tc>
          <w:tcPr>
            <w:tcW w:w="520" w:type="dxa"/>
            <w:vAlign w:val="bottom"/>
          </w:tcPr>
          <w:p>
            <w:pPr>
              <w:spacing w:after="0"/>
              <w:rPr>
                <w:sz w:val="24"/>
                <w:szCs w:val="24"/>
                <w:color w:val="auto"/>
              </w:rPr>
            </w:pPr>
          </w:p>
        </w:tc>
        <w:tc>
          <w:tcPr>
            <w:tcW w:w="2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Peter Rawlinson</w:t>
            </w:r>
          </w:p>
        </w:tc>
        <w:tc>
          <w:tcPr>
            <w:tcW w:w="74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i w:val="1"/>
          <w:iCs w:val="1"/>
          <w:color w:val="auto"/>
        </w:rPr>
        <w:t>[Signature Page to Transition Agreement]</w:t>
      </w:r>
    </w:p>
    <w:p>
      <w:pPr>
        <w:sectPr>
          <w:pgSz w:w="11900" w:h="16838" w:orient="portrait"/>
          <w:cols w:equalWidth="0" w:num="1">
            <w:col w:w="11180"/>
          </w:cols>
          <w:pgMar w:left="320" w:top="1327" w:right="399" w:bottom="1440" w:gutter="0" w:footer="0" w:header="0"/>
        </w:sectPr>
      </w:pPr>
    </w:p>
    <w:bookmarkStart w:id="122" w:name="page123"/>
    <w:bookmarkEnd w:id="122"/>
    <w:p>
      <w:pPr>
        <w:jc w:val="center"/>
        <w:ind w:right="-3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u w:val="single" w:color="auto"/>
          <w:color w:val="auto"/>
        </w:rPr>
        <w:t>CONSULTING AGREEMENT</w:t>
      </w:r>
    </w:p>
    <w:p>
      <w:pPr>
        <w:spacing w:after="0" w:line="1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This Consulting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effective as of February 21, 2025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is entered into by and between Lucid USA,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located at 7373 Gateway Boulevard, Newark, California, 94560, and Peter Rawlinson (“</w:t>
      </w:r>
      <w:r>
        <w:rPr>
          <w:rFonts w:ascii="Times New Roman" w:cs="Times New Roman" w:eastAsia="Times New Roman" w:hAnsi="Times New Roman"/>
          <w:sz w:val="22"/>
          <w:szCs w:val="22"/>
          <w:b w:val="1"/>
          <w:bCs w:val="1"/>
          <w:i w:val="1"/>
          <w:iCs w:val="1"/>
          <w:color w:val="auto"/>
        </w:rPr>
        <w:t>Consultant</w:t>
      </w:r>
      <w:r>
        <w:rPr>
          <w:rFonts w:ascii="Times New Roman" w:cs="Times New Roman" w:eastAsia="Times New Roman" w:hAnsi="Times New Roman"/>
          <w:sz w:val="22"/>
          <w:szCs w:val="22"/>
          <w:color w:val="auto"/>
        </w:rPr>
        <w:t>”). Capitalized terms used but not otherwise defined herein shall have the meaning ascribed to such terms in the Transition Agreement, dated February 21, 2025, by and between Consultant and the Company (the “</w:t>
      </w:r>
      <w:r>
        <w:rPr>
          <w:rFonts w:ascii="Times New Roman" w:cs="Times New Roman" w:eastAsia="Times New Roman" w:hAnsi="Times New Roman"/>
          <w:sz w:val="22"/>
          <w:szCs w:val="22"/>
          <w:b w:val="1"/>
          <w:bCs w:val="1"/>
          <w:i w:val="1"/>
          <w:iCs w:val="1"/>
          <w:color w:val="auto"/>
        </w:rPr>
        <w:t>Transition Agreement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Consultant was formerly employed by Company through the Separation Date;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207" w:lineRule="exact"/>
        <w:rPr>
          <w:sz w:val="20"/>
          <w:szCs w:val="20"/>
          <w:color w:val="auto"/>
        </w:rPr>
      </w:pPr>
    </w:p>
    <w:p>
      <w:pPr>
        <w:ind w:left="660" w:right="500"/>
        <w:spacing w:after="0" w:line="271" w:lineRule="auto"/>
        <w:rPr>
          <w:sz w:val="20"/>
          <w:szCs w:val="20"/>
          <w:color w:val="auto"/>
        </w:rPr>
      </w:pPr>
      <w:r>
        <w:rPr>
          <w:rFonts w:ascii="Times New Roman" w:cs="Times New Roman" w:eastAsia="Times New Roman" w:hAnsi="Times New Roman"/>
          <w:sz w:val="22"/>
          <w:szCs w:val="22"/>
          <w:color w:val="auto"/>
        </w:rPr>
        <w:t>WHEREAS, Company wishes to engage Consultant as an independent contractor to provide certain advising and consulting services as set forth herein.</w:t>
      </w:r>
    </w:p>
    <w:p>
      <w:pPr>
        <w:spacing w:after="0" w:line="144"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NOW THEREFORE, in consideration of the foregoing and for other good and valuable consideration, the receipt and sufficiency of which are hereby acknowledged, accepted and agreed to, the Company and Consultant hereby agree as follows:</w:t>
      </w:r>
    </w:p>
    <w:p>
      <w:pPr>
        <w:spacing w:after="0" w:line="122" w:lineRule="exact"/>
        <w:rPr>
          <w:sz w:val="20"/>
          <w:szCs w:val="20"/>
          <w:color w:val="auto"/>
        </w:rPr>
      </w:pPr>
    </w:p>
    <w:p>
      <w:pPr>
        <w:jc w:val="both"/>
        <w:ind w:firstLine="656"/>
        <w:spacing w:after="0" w:line="250" w:lineRule="auto"/>
        <w:tabs>
          <w:tab w:leader="none" w:pos="12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This Agreement is for a term commencing on the Effective Date and continuing for twenty-four (24) months;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of this Agreement may be extended by the mutual written agreement of Consultant and the Company or terminated earlier in accordance with Section 4 of this Agreement (as applicable, the “</w:t>
      </w:r>
      <w:r>
        <w:rPr>
          <w:rFonts w:ascii="Times New Roman" w:cs="Times New Roman" w:eastAsia="Times New Roman" w:hAnsi="Times New Roman"/>
          <w:sz w:val="22"/>
          <w:szCs w:val="22"/>
          <w:b w:val="1"/>
          <w:bCs w:val="1"/>
          <w:i w:val="1"/>
          <w:iCs w:val="1"/>
          <w:color w:val="auto"/>
        </w:rPr>
        <w:t>Consulting Term</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AND SERVICES</w:t>
      </w:r>
      <w:r>
        <w:rPr>
          <w:rFonts w:ascii="Times New Roman" w:cs="Times New Roman" w:eastAsia="Times New Roman" w:hAnsi="Times New Roman"/>
          <w:sz w:val="22"/>
          <w:szCs w:val="22"/>
          <w:color w:val="auto"/>
        </w:rPr>
        <w:t>. Consultant will devote the time, effort and resources necessary to provide technical advice to the Chairman of the Board to the extent and solely to the extent requested by the Chairman, to assist the Chairman of the Board and/or the Board with such matters as are reasonably requested by the Chairman of the Board, and/or to appear on behalf of the Company at events as reasonably requested by the Chairman of the Board (the “</w:t>
      </w:r>
      <w:r>
        <w:rPr>
          <w:rFonts w:ascii="Times New Roman" w:cs="Times New Roman" w:eastAsia="Times New Roman" w:hAnsi="Times New Roman"/>
          <w:sz w:val="22"/>
          <w:szCs w:val="22"/>
          <w:b w:val="1"/>
          <w:bCs w:val="1"/>
          <w:i w:val="1"/>
          <w:iCs w:val="1"/>
          <w:color w:val="auto"/>
        </w:rPr>
        <w:t>Services</w:t>
      </w:r>
      <w:r>
        <w:rPr>
          <w:rFonts w:ascii="Times New Roman" w:cs="Times New Roman" w:eastAsia="Times New Roman" w:hAnsi="Times New Roman"/>
          <w:sz w:val="22"/>
          <w:szCs w:val="22"/>
          <w:color w:val="auto"/>
        </w:rPr>
        <w:t>”). At the request and direction of the Board, Consultant shall provide the Services on either an in-person basis at the Company’s office in Newark, California, at other locations for Company meetings, or remotely.</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953"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 the Company, by entering into this Agreement, is not committing to Consultant for a minimum number of consulting hours under the Agreement, but that the Services shall be provided on an as needed and requested basis and arranged at mutually agreeable times. The parties reasonably expect that the performance of the Services shall not require Consultant to provide more than twenty percent (20%) of the average level of services rendered by Consultant to the Company, its subsidiaries and its affiliates during the thirty (36) month period immediately preceding the Separation Date.</w:t>
      </w: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0920"/>
          </w:cols>
          <w:pgMar w:left="320" w:top="1418" w:right="659" w:bottom="1440" w:gutter="0" w:footer="0" w:header="0"/>
        </w:sectPr>
      </w:pPr>
    </w:p>
    <w:bookmarkStart w:id="123" w:name="page124"/>
    <w:bookmarkEnd w:id="123"/>
    <w:p>
      <w:pPr>
        <w:spacing w:after="0" w:line="104" w:lineRule="exact"/>
        <w:rPr>
          <w:sz w:val="20"/>
          <w:szCs w:val="20"/>
          <w:color w:val="auto"/>
        </w:rPr>
      </w:pPr>
    </w:p>
    <w:p>
      <w:pPr>
        <w:ind w:left="1900" w:hanging="636"/>
        <w:spacing w:after="0"/>
        <w:tabs>
          <w:tab w:leader="none" w:pos="190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represents, warrants and covenants to the Company as follows:</w:t>
      </w:r>
    </w:p>
    <w:p>
      <w:pPr>
        <w:spacing w:after="0" w:line="219" w:lineRule="exact"/>
        <w:rPr>
          <w:rFonts w:ascii="Times New Roman" w:cs="Times New Roman" w:eastAsia="Times New Roman" w:hAnsi="Times New Roman"/>
          <w:sz w:val="22"/>
          <w:szCs w:val="22"/>
          <w:color w:val="auto"/>
        </w:rPr>
      </w:pPr>
    </w:p>
    <w:p>
      <w:pPr>
        <w:ind w:left="620" w:hanging="4"/>
        <w:spacing w:after="0" w:line="247" w:lineRule="auto"/>
        <w:tabs>
          <w:tab w:leader="none" w:pos="87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Consultant is under no contractual or other restriction or obligation which are inconsistent with the execution of this Agreement, or which will interfere with the performance of Consultant’s duties hereunder, nor does Consultant have any obligation of confidentiality to any third party within the scope of the Services; (ii) that the execution and performance of this Agreement will not violate any policies or procedures of any academic institution or entity (public or private) with which Consultant is involved or associated and that Consultant has received all of the necessary written permission(s) to enter into this Agreement; (iii) Consultant is not bound by any contractual or other restrictions or obligations which would prevent the assignment to the Company of all inventions and developments created by Consultant pursuant to this Agreement, and all related intellectual property; (iv) if, after the Effective Date, Consultant becomes bound by any contractual or other restriction or obligation which are inconsistent with the performance of Consultant’s duties hereunder and the Company’s ownership of all inventions and developments created by Consultant pursuant to this Agreement, and all related intellectual property, Consultant shall notify the Company immediately and suspend performance of Services until otherwise requested by the Company; (v) that in providing the Services to the Company, Consultant will not use any resources belonging to any other corporation, company, or other institution (public, private, profit or non-profit), including, but not limited to, funds, utilities, facilities, supplies, computers, employees, services and laboratories or engage the services or otherwise employ any individual not approved in advance by the Company; and (vi) that Consultant will not use Company systems and devices provided by the Company for any purpose other than to perform the Services.</w:t>
      </w:r>
    </w:p>
    <w:p>
      <w:pPr>
        <w:spacing w:after="0" w:line="204" w:lineRule="exact"/>
        <w:rPr>
          <w:sz w:val="20"/>
          <w:szCs w:val="20"/>
          <w:color w:val="auto"/>
        </w:rPr>
      </w:pPr>
    </w:p>
    <w:p>
      <w:pPr>
        <w:ind w:left="1260" w:hanging="644"/>
        <w:spacing w:after="0"/>
        <w:tabs>
          <w:tab w:leader="none" w:pos="12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FOR SERVICES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40" w:right="280" w:firstLine="656"/>
        <w:spacing w:after="0" w:line="250" w:lineRule="auto"/>
        <w:tabs>
          <w:tab w:leader="none" w:pos="125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Consultant (i) renders all Services required under this Agreement and is not in breach or default hereof, (ii) continues to comply with Consultant’s obligations under the CIIAA, and (iii) timely executes, delivers, and does not revoke the release of claims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attached as Annex I hereto within five (5) days following (but not before) the end of the Consulting Term, the Company will provide, and you will be entitled to, the following consideration (Sections 3(a)(i) through 3(a)(vii), collectively, the “</w:t>
      </w:r>
      <w:r>
        <w:rPr>
          <w:rFonts w:ascii="Times New Roman" w:cs="Times New Roman" w:eastAsia="Times New Roman" w:hAnsi="Times New Roman"/>
          <w:sz w:val="22"/>
          <w:szCs w:val="22"/>
          <w:b w:val="1"/>
          <w:bCs w:val="1"/>
          <w:i w:val="1"/>
          <w:iCs w:val="1"/>
          <w:color w:val="auto"/>
        </w:rPr>
        <w:t>Fee</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1920" w:right="300" w:hanging="656"/>
        <w:spacing w:after="0" w:line="262" w:lineRule="auto"/>
        <w:tabs>
          <w:tab w:leader="none" w:pos="1912"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Monthly Payment</w:t>
      </w:r>
      <w:r>
        <w:rPr>
          <w:rFonts w:ascii="Times New Roman" w:cs="Times New Roman" w:eastAsia="Times New Roman" w:hAnsi="Times New Roman"/>
          <w:sz w:val="22"/>
          <w:szCs w:val="22"/>
          <w:color w:val="auto"/>
        </w:rPr>
        <w:t>: the Company shall pay Consultant on a monthly basis at a rate of $120,000.00 per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month for services rendered;</w:t>
      </w:r>
    </w:p>
    <w:p>
      <w:pPr>
        <w:spacing w:after="0" w:line="163" w:lineRule="exact"/>
        <w:rPr>
          <w:rFonts w:ascii="Times New Roman" w:cs="Times New Roman" w:eastAsia="Times New Roman" w:hAnsi="Times New Roman"/>
          <w:sz w:val="22"/>
          <w:szCs w:val="22"/>
          <w:color w:val="auto"/>
        </w:rPr>
      </w:pPr>
    </w:p>
    <w:p>
      <w:pPr>
        <w:jc w:val="both"/>
        <w:ind w:left="1920" w:right="280" w:hanging="656"/>
        <w:spacing w:after="0" w:line="252" w:lineRule="auto"/>
        <w:tabs>
          <w:tab w:leader="none" w:pos="1919"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Vehicle</w:t>
      </w:r>
      <w:r>
        <w:rPr>
          <w:rFonts w:ascii="Times New Roman" w:cs="Times New Roman" w:eastAsia="Times New Roman" w:hAnsi="Times New Roman"/>
          <w:sz w:val="22"/>
          <w:szCs w:val="22"/>
          <w:color w:val="auto"/>
        </w:rPr>
        <w:t>: the Consultant shall be provided a Lucid Air Sapphire plus a tax gross-up payment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taxes related to the receipt of the car as soon as such model becomes available from the factory in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160"/>
          </w:cols>
          <w:pgMar w:left="360" w:top="1440" w:right="379" w:bottom="1440" w:gutter="0" w:footer="0" w:header="0"/>
        </w:sectPr>
      </w:pPr>
    </w:p>
    <w:bookmarkStart w:id="124" w:name="page125"/>
    <w:bookmarkEnd w:id="124"/>
    <w:p>
      <w:pPr>
        <w:spacing w:after="0" w:line="100" w:lineRule="exact"/>
        <w:rPr>
          <w:sz w:val="20"/>
          <w:szCs w:val="20"/>
          <w:color w:val="auto"/>
        </w:rPr>
      </w:pPr>
    </w:p>
    <w:p>
      <w:pPr>
        <w:jc w:val="both"/>
        <w:ind w:left="840" w:hanging="656"/>
        <w:spacing w:after="0" w:line="260" w:lineRule="auto"/>
        <w:tabs>
          <w:tab w:leader="none" w:pos="831"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COBRA Payments</w:t>
      </w:r>
      <w:r>
        <w:rPr>
          <w:rFonts w:ascii="Times New Roman" w:cs="Times New Roman" w:eastAsia="Times New Roman" w:hAnsi="Times New Roman"/>
          <w:sz w:val="21"/>
          <w:szCs w:val="21"/>
          <w:color w:val="auto"/>
        </w:rPr>
        <w:t>: Subject to Consultant’s timely election of continuation coverage under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Consolidated Omnibus Budget Reconciliation Act of 1985, as amended (“</w:t>
      </w:r>
      <w:r>
        <w:rPr>
          <w:rFonts w:ascii="Times New Roman" w:cs="Times New Roman" w:eastAsia="Times New Roman" w:hAnsi="Times New Roman"/>
          <w:sz w:val="21"/>
          <w:szCs w:val="21"/>
          <w:b w:val="1"/>
          <w:bCs w:val="1"/>
          <w:i w:val="1"/>
          <w:iCs w:val="1"/>
          <w:color w:val="auto"/>
        </w:rPr>
        <w:t>COBRA</w:t>
      </w:r>
      <w:r>
        <w:rPr>
          <w:rFonts w:ascii="Times New Roman" w:cs="Times New Roman" w:eastAsia="Times New Roman" w:hAnsi="Times New Roman"/>
          <w:sz w:val="21"/>
          <w:szCs w:val="21"/>
          <w:color w:val="auto"/>
        </w:rPr>
        <w:t xml:space="preserve">”), and as applicable CalCOBRA, the Lucid Group will pay Consultant’s monthly COBRA premium during the Consulting Term;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Consultant is eligible and remains eligible for COBRA coverage; provided,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Lucid Group may modify the continuation coverage contemplated by this Section 3(a)</w:t>
      </w:r>
    </w:p>
    <w:p>
      <w:pPr>
        <w:spacing w:after="0" w:line="2" w:lineRule="exact"/>
        <w:rPr>
          <w:rFonts w:ascii="Times New Roman" w:cs="Times New Roman" w:eastAsia="Times New Roman" w:hAnsi="Times New Roman"/>
          <w:sz w:val="21"/>
          <w:szCs w:val="21"/>
          <w:color w:val="auto"/>
        </w:rPr>
      </w:pPr>
    </w:p>
    <w:p>
      <w:pPr>
        <w:jc w:val="both"/>
        <w:ind w:left="840" w:hanging="8"/>
        <w:spacing w:after="0" w:line="262" w:lineRule="auto"/>
        <w:tabs>
          <w:tab w:leader="none" w:pos="1170"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reasonably necessary to avoid the imposition of any excise taxes on the Lucid Group for failure to comply with the nondiscrimination requirements of the Patient Protection and Affordable Care Act of 2010, as amended, and/or the Health Care and Education Reconciliation Act of 2010, as amended (to the extent applicable);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Lucid Group’s obligation to pay the COBRA premium shall cease if Consultant obtains new employment that offers health-related benefits.</w:t>
      </w:r>
    </w:p>
    <w:p>
      <w:pPr>
        <w:spacing w:after="0" w:line="165" w:lineRule="exact"/>
        <w:rPr>
          <w:rFonts w:ascii="Times New Roman" w:cs="Times New Roman" w:eastAsia="Times New Roman" w:hAnsi="Times New Roman"/>
          <w:sz w:val="21"/>
          <w:szCs w:val="21"/>
          <w:color w:val="auto"/>
        </w:rPr>
      </w:pPr>
    </w:p>
    <w:p>
      <w:pPr>
        <w:jc w:val="both"/>
        <w:ind w:left="840" w:hanging="656"/>
        <w:spacing w:after="0" w:line="252" w:lineRule="auto"/>
        <w:tabs>
          <w:tab w:leader="none" w:pos="81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Preparation</w:t>
      </w:r>
      <w:r>
        <w:rPr>
          <w:rFonts w:ascii="Times New Roman" w:cs="Times New Roman" w:eastAsia="Times New Roman" w:hAnsi="Times New Roman"/>
          <w:sz w:val="22"/>
          <w:szCs w:val="22"/>
          <w:color w:val="auto"/>
        </w:rPr>
        <w:t>: In each calendar year of 2025 and 2026, the Company shall pay Consultant an annual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 of up to $10,000 for the cost of obtaining tax preparation services or tax-related advice, plus an additional true-up payment equal to the amount of personal income tax that Consultant is required to pay in connection with such one-time payment, which amounts shall be payable no later than thirty (30) days following Consultant’s written request for reimbursement and submission of corresponding documentation substantiating such costs;</w:t>
      </w:r>
    </w:p>
    <w:p>
      <w:pPr>
        <w:spacing w:after="0" w:line="174" w:lineRule="exact"/>
        <w:rPr>
          <w:rFonts w:ascii="Times New Roman" w:cs="Times New Roman" w:eastAsia="Times New Roman" w:hAnsi="Times New Roman"/>
          <w:sz w:val="22"/>
          <w:szCs w:val="22"/>
          <w:color w:val="auto"/>
        </w:rPr>
      </w:pPr>
    </w:p>
    <w:p>
      <w:pPr>
        <w:jc w:val="both"/>
        <w:ind w:left="840" w:hanging="656"/>
        <w:spacing w:after="0" w:line="249" w:lineRule="auto"/>
        <w:tabs>
          <w:tab w:leader="none" w:pos="82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Unvested Performance-Based RSUs</w:t>
      </w:r>
      <w:r>
        <w:rPr>
          <w:rFonts w:ascii="Times New Roman" w:cs="Times New Roman" w:eastAsia="Times New Roman" w:hAnsi="Times New Roman"/>
          <w:sz w:val="22"/>
          <w:szCs w:val="22"/>
          <w:color w:val="auto"/>
        </w:rPr>
        <w:t>: As set forth in Consultant’s Notice of Restricted Stock Unit Grant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Restricted Stock Unit Award Agreement with the Company (collectively, the “</w:t>
      </w:r>
      <w:r>
        <w:rPr>
          <w:rFonts w:ascii="Times New Roman" w:cs="Times New Roman" w:eastAsia="Times New Roman" w:hAnsi="Times New Roman"/>
          <w:sz w:val="22"/>
          <w:szCs w:val="22"/>
          <w:b w:val="1"/>
          <w:bCs w:val="1"/>
          <w:i w:val="1"/>
          <w:iCs w:val="1"/>
          <w:color w:val="auto"/>
        </w:rPr>
        <w:t>RSU Agreement</w:t>
      </w:r>
      <w:r>
        <w:rPr>
          <w:rFonts w:ascii="Times New Roman" w:cs="Times New Roman" w:eastAsia="Times New Roman" w:hAnsi="Times New Roman"/>
          <w:sz w:val="22"/>
          <w:szCs w:val="22"/>
          <w:color w:val="auto"/>
        </w:rPr>
        <w:t>”), any performance- based RSUs that have not yet vested as of the end of the Consulting Term will remain outstanding and will vest to the extent that the applicable Six- Month Market Capitalization Target (as defined in the RSU Agreement) has been met as of the earlier of (i) the date that is six (6) months following the end of the Consulting Term or (ii) the end of the Performance Period (as defined in the RSU Agreement) (the “</w:t>
      </w:r>
      <w:r>
        <w:rPr>
          <w:rFonts w:ascii="Times New Roman" w:cs="Times New Roman" w:eastAsia="Times New Roman" w:hAnsi="Times New Roman"/>
          <w:sz w:val="22"/>
          <w:szCs w:val="22"/>
          <w:b w:val="1"/>
          <w:bCs w:val="1"/>
          <w:i w:val="1"/>
          <w:iCs w:val="1"/>
          <w:color w:val="auto"/>
        </w:rPr>
        <w:t>Performance-Based RSUs</w:t>
      </w:r>
      <w:r>
        <w:rPr>
          <w:rFonts w:ascii="Times New Roman" w:cs="Times New Roman" w:eastAsia="Times New Roman" w:hAnsi="Times New Roman"/>
          <w:sz w:val="22"/>
          <w:szCs w:val="22"/>
          <w:color w:val="auto"/>
        </w:rPr>
        <w:t>”). Any such Performance-Based RSUs that have not satisfied the Performance- Based Requirement (as defined in the RSU Agreement) as of the applicable Certification Date (as defined in the RSU Agreement) shall be immediately cancelled and forfeited for no consideration.</w:t>
      </w:r>
    </w:p>
    <w:p>
      <w:pPr>
        <w:spacing w:after="0" w:line="183" w:lineRule="exact"/>
        <w:rPr>
          <w:rFonts w:ascii="Times New Roman" w:cs="Times New Roman" w:eastAsia="Times New Roman" w:hAnsi="Times New Roman"/>
          <w:sz w:val="22"/>
          <w:szCs w:val="22"/>
          <w:color w:val="auto"/>
        </w:rPr>
      </w:pPr>
    </w:p>
    <w:p>
      <w:pPr>
        <w:jc w:val="both"/>
        <w:ind w:left="840" w:right="20" w:hanging="656"/>
        <w:spacing w:after="0" w:line="265" w:lineRule="auto"/>
        <w:tabs>
          <w:tab w:leader="none" w:pos="83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Unvested Time-Based RSUs</w:t>
      </w:r>
      <w:r>
        <w:rPr>
          <w:rFonts w:ascii="Times New Roman" w:cs="Times New Roman" w:eastAsia="Times New Roman" w:hAnsi="Times New Roman"/>
          <w:sz w:val="22"/>
          <w:szCs w:val="22"/>
          <w:color w:val="auto"/>
        </w:rPr>
        <w:t>. Subject to Consultant’s continued Services to the Company during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Consulting Term, Consultant will continue to vest in the time-based restricted stock units provided for the in the RSU Agreement (“</w:t>
      </w:r>
      <w:r>
        <w:rPr>
          <w:rFonts w:ascii="Times New Roman" w:cs="Times New Roman" w:eastAsia="Times New Roman" w:hAnsi="Times New Roman"/>
          <w:sz w:val="22"/>
          <w:szCs w:val="22"/>
          <w:b w:val="1"/>
          <w:bCs w:val="1"/>
          <w:i w:val="1"/>
          <w:iCs w:val="1"/>
          <w:color w:val="auto"/>
        </w:rPr>
        <w:t>Time-Based RSUs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9800"/>
          </w:cols>
          <w:pgMar w:left="1440" w:top="1440" w:right="659" w:bottom="1440" w:gutter="0" w:footer="0" w:header="0"/>
        </w:sectPr>
      </w:pPr>
    </w:p>
    <w:bookmarkStart w:id="125" w:name="page126"/>
    <w:bookmarkEnd w:id="125"/>
    <w:p>
      <w:pPr>
        <w:spacing w:after="0" w:line="100" w:lineRule="exact"/>
        <w:rPr>
          <w:sz w:val="20"/>
          <w:szCs w:val="20"/>
          <w:color w:val="auto"/>
        </w:rPr>
      </w:pPr>
    </w:p>
    <w:p>
      <w:pPr>
        <w:jc w:val="both"/>
        <w:ind w:left="1300" w:hanging="656"/>
        <w:spacing w:after="0" w:line="256" w:lineRule="auto"/>
        <w:tabs>
          <w:tab w:leader="none" w:pos="129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Consultant RSU Grant</w:t>
      </w:r>
      <w:r>
        <w:rPr>
          <w:rFonts w:ascii="Times New Roman" w:cs="Times New Roman" w:eastAsia="Times New Roman" w:hAnsi="Times New Roman"/>
          <w:sz w:val="22"/>
          <w:szCs w:val="22"/>
          <w:color w:val="auto"/>
        </w:rPr>
        <w:t>. Effective as of the Effective Date, Consultant will receive a supplemental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Lucid Group, Inc. RSU grant for that number of Lucid Group, Inc. shares having an aggregate grant date fair value of</w:t>
      </w:r>
    </w:p>
    <w:p>
      <w:pPr>
        <w:spacing w:after="0" w:line="1" w:lineRule="exact"/>
        <w:rPr>
          <w:rFonts w:ascii="Times New Roman" w:cs="Times New Roman" w:eastAsia="Times New Roman" w:hAnsi="Times New Roman"/>
          <w:sz w:val="22"/>
          <w:szCs w:val="22"/>
          <w:color w:val="auto"/>
        </w:rPr>
      </w:pPr>
    </w:p>
    <w:p>
      <w:pPr>
        <w:jc w:val="both"/>
        <w:ind w:left="130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$2,000,000 (as determined by the Company in good faith based on the volume weighted average trading price of Lucid Group, Inc. shares for the 30 days preceding the grant date) that settles in shares of Lucid Group, Inc. (the “</w:t>
      </w:r>
      <w:r>
        <w:rPr>
          <w:rFonts w:ascii="Times New Roman" w:cs="Times New Roman" w:eastAsia="Times New Roman" w:hAnsi="Times New Roman"/>
          <w:sz w:val="22"/>
          <w:szCs w:val="22"/>
          <w:b w:val="1"/>
          <w:bCs w:val="1"/>
          <w:i w:val="1"/>
          <w:iCs w:val="1"/>
          <w:color w:val="auto"/>
        </w:rPr>
        <w:t>Consultant RSU Grant</w:t>
      </w:r>
      <w:r>
        <w:rPr>
          <w:rFonts w:ascii="Times New Roman" w:cs="Times New Roman" w:eastAsia="Times New Roman" w:hAnsi="Times New Roman"/>
          <w:sz w:val="22"/>
          <w:szCs w:val="22"/>
          <w:color w:val="auto"/>
        </w:rPr>
        <w:t>”). Subject to Consultant’s continued service with the Company, the Consultant RSU Grant will vest in equal installments over the following schedule: (i) February 21, 2026, (ii) August 21, 2026, and (iii) February 21, 2027.</w:t>
      </w:r>
    </w:p>
    <w:p>
      <w:pPr>
        <w:spacing w:after="0" w:line="168" w:lineRule="exact"/>
        <w:rPr>
          <w:rFonts w:ascii="Times New Roman" w:cs="Times New Roman" w:eastAsia="Times New Roman" w:hAnsi="Times New Roman"/>
          <w:sz w:val="22"/>
          <w:szCs w:val="22"/>
          <w:color w:val="auto"/>
        </w:rPr>
      </w:pPr>
    </w:p>
    <w:p>
      <w:pPr>
        <w:jc w:val="both"/>
        <w:ind w:left="1300" w:hanging="656"/>
        <w:spacing w:after="0" w:line="252" w:lineRule="auto"/>
        <w:tabs>
          <w:tab w:leader="none" w:pos="129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Forfeiture</w:t>
      </w:r>
      <w:r>
        <w:rPr>
          <w:rFonts w:ascii="Times New Roman" w:cs="Times New Roman" w:eastAsia="Times New Roman" w:hAnsi="Times New Roman"/>
          <w:sz w:val="22"/>
          <w:szCs w:val="22"/>
          <w:color w:val="auto"/>
        </w:rPr>
        <w:t>. For the avoidance of doubt, except with respect to the Time- Based RSUs and Performance-Based RSUs, on the Separation Date, all unvested and outstanding equity awards shall be cancelled and forfeited for no consideration.</w:t>
      </w:r>
    </w:p>
    <w:p>
      <w:pPr>
        <w:spacing w:after="0" w:line="179" w:lineRule="exact"/>
        <w:rPr>
          <w:sz w:val="20"/>
          <w:szCs w:val="20"/>
          <w:color w:val="auto"/>
        </w:rPr>
      </w:pPr>
    </w:p>
    <w:p>
      <w:pPr>
        <w:jc w:val="both"/>
        <w:ind w:firstLine="644"/>
        <w:spacing w:after="0" w:line="250" w:lineRule="auto"/>
        <w:tabs>
          <w:tab w:leader="none" w:pos="129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reimburse Consultant for any reasonable and pre- approved business expenses incurred with respect to the Services in accordance with the Company’s expense reimbursement policies. Consultant shall provide copies of receipts and other appropriate documentation in support of any Company approved out-of-pocket expenses incurred by Consultant in the course of providing the Services. Consultant shall invoice the Company monthly for Services rendered during the Consulting Term and for any approved business expenses.</w:t>
      </w:r>
    </w:p>
    <w:p>
      <w:pPr>
        <w:spacing w:after="0" w:line="180" w:lineRule="exact"/>
        <w:rPr>
          <w:rFonts w:ascii="Times New Roman" w:cs="Times New Roman" w:eastAsia="Times New Roman" w:hAnsi="Times New Roman"/>
          <w:sz w:val="22"/>
          <w:szCs w:val="22"/>
          <w:color w:val="auto"/>
        </w:rPr>
      </w:pPr>
    </w:p>
    <w:p>
      <w:pPr>
        <w:jc w:val="both"/>
        <w:ind w:firstLine="644"/>
        <w:spacing w:after="0" w:line="248" w:lineRule="auto"/>
        <w:tabs>
          <w:tab w:leader="none" w:pos="129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Consultant agrees that all Services hereunder will be rendered by Consultant as an independent contractor and that this Agreement does not create an employer- employee relationship between Consultant and Company. </w:t>
      </w:r>
      <w:r>
        <w:rPr>
          <w:rFonts w:ascii="Times New Roman" w:cs="Times New Roman" w:eastAsia="Times New Roman" w:hAnsi="Times New Roman"/>
          <w:sz w:val="22"/>
          <w:szCs w:val="22"/>
          <w:b w:val="1"/>
          <w:bCs w:val="1"/>
          <w:color w:val="auto"/>
        </w:rPr>
        <w:t>Consultant shall have no right to receive any employee benefits from Company and Company has no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responsibility to make deductions for, or to pay, such benefits including but not limited to health and accident insurance, retirement benefits, sick leave and/or vacation, benefits, health, welfare and pension costs, withholdings for income taxes, employment insurance premiums, workers’ compensation premiums, payroll taxes, disability insurance premiums or any other similar charges with respect to the payment for the Services. Consultant shall be solely responsible for paying all required federal, state and local income and other applicable taxes in connection with the Advisory Services Fee and agrees to indemnify, defend and hold Company harmless from and against any claim or demand if any such taxes are not timely paid. </w:t>
      </w:r>
      <w:r>
        <w:rPr>
          <w:rFonts w:ascii="Times New Roman" w:cs="Times New Roman" w:eastAsia="Times New Roman" w:hAnsi="Times New Roman"/>
          <w:sz w:val="22"/>
          <w:szCs w:val="22"/>
          <w:color w:val="auto"/>
        </w:rPr>
        <w:t>This obligation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Consultant will survive the termination of this Agreement. Consultant is responsible for maintaining appropriate liability and statutory workers’ compensation insurance coverage. This Agreement does not, under any circumstances, constitute a joint venture, partnership or any other type of fiduciary relationship. Consultant has no authority (and shall not hold it/him/herself out as having authority) to bind Company or any of its affiliates, and Consultant shall not make any agreements or representations on Company’s or any of its affiliates’ behalf.</w:t>
      </w:r>
    </w:p>
    <w:p>
      <w:pPr>
        <w:spacing w:after="0" w:line="200" w:lineRule="exact"/>
        <w:rPr>
          <w:sz w:val="20"/>
          <w:szCs w:val="20"/>
          <w:color w:val="auto"/>
        </w:rPr>
      </w:pPr>
    </w:p>
    <w:p>
      <w:pPr>
        <w:spacing w:after="0" w:line="26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0260"/>
          </w:cols>
          <w:pgMar w:left="980" w:top="1440" w:right="659" w:bottom="1440" w:gutter="0" w:footer="0" w:header="0"/>
        </w:sectPr>
      </w:pPr>
    </w:p>
    <w:bookmarkStart w:id="126" w:name="page127"/>
    <w:bookmarkEnd w:id="126"/>
    <w:p>
      <w:pPr>
        <w:spacing w:after="0" w:line="104" w:lineRule="exact"/>
        <w:rPr>
          <w:sz w:val="20"/>
          <w:szCs w:val="20"/>
          <w:color w:val="auto"/>
        </w:rPr>
      </w:pPr>
    </w:p>
    <w:p>
      <w:pPr>
        <w:jc w:val="both"/>
        <w:ind w:left="-320" w:firstLine="656"/>
        <w:spacing w:after="0" w:line="253" w:lineRule="auto"/>
        <w:tabs>
          <w:tab w:leader="none" w:pos="97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EARLY TERMINATION OF THE TERM</w:t>
      </w:r>
      <w:r>
        <w:rPr>
          <w:rFonts w:ascii="Times New Roman" w:cs="Times New Roman" w:eastAsia="Times New Roman" w:hAnsi="Times New Roman"/>
          <w:sz w:val="22"/>
          <w:szCs w:val="22"/>
          <w:color w:val="auto"/>
        </w:rPr>
        <w:t>. Notwithstanding the provisions of Section 1 hereof, this Agreement and the Consulting Term may be terminated by the Company or Consultant, if the other party is in breach of any of his or its obligations under this Agreement, the Release or the Transition Agreement and fails to remedy such breach (if curable) within ten (10) days of receipt of a written notice by the other party which specifies the breach. In the event of termination for uncured material breach by Consultant, Company shall have no further obligations to Consultant hereunder.</w:t>
      </w:r>
    </w:p>
    <w:p>
      <w:pPr>
        <w:spacing w:after="0" w:line="178" w:lineRule="exact"/>
        <w:rPr>
          <w:rFonts w:ascii="Times New Roman" w:cs="Times New Roman" w:eastAsia="Times New Roman" w:hAnsi="Times New Roman"/>
          <w:sz w:val="22"/>
          <w:szCs w:val="22"/>
          <w:color w:val="auto"/>
        </w:rPr>
      </w:pPr>
    </w:p>
    <w:p>
      <w:pPr>
        <w:jc w:val="both"/>
        <w:ind w:left="-320" w:firstLine="656"/>
        <w:spacing w:after="0" w:line="253" w:lineRule="auto"/>
        <w:tabs>
          <w:tab w:leader="none" w:pos="97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DIRECTION AND CONTROL</w:t>
      </w:r>
      <w:r>
        <w:rPr>
          <w:rFonts w:ascii="Times New Roman" w:cs="Times New Roman" w:eastAsia="Times New Roman" w:hAnsi="Times New Roman"/>
          <w:sz w:val="22"/>
          <w:szCs w:val="22"/>
          <w:color w:val="auto"/>
        </w:rPr>
        <w:t>. Consultant will be solely responsible for determining the means and methods of performing the Services within the overall standards and policies established by Company. Consultant shall devote adequate time and attention in order to provide the Services. Consultant is under no obligation to provide the Services for any particular number of hours a day, or for any particular number of days a week. Except as expressly set out herein to the contrary, Consultant will provide all necessary tools and equipment necessary to perform of the Services.</w:t>
      </w:r>
    </w:p>
    <w:p>
      <w:pPr>
        <w:spacing w:after="0" w:line="151" w:lineRule="exact"/>
        <w:rPr>
          <w:rFonts w:ascii="Times New Roman" w:cs="Times New Roman" w:eastAsia="Times New Roman" w:hAnsi="Times New Roman"/>
          <w:sz w:val="22"/>
          <w:szCs w:val="22"/>
          <w:color w:val="auto"/>
        </w:rPr>
      </w:pPr>
    </w:p>
    <w:p>
      <w:pPr>
        <w:ind w:left="980" w:hanging="644"/>
        <w:spacing w:after="0"/>
        <w:tabs>
          <w:tab w:leader="none" w:pos="9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RESTRICTED ACTIVITIES.</w:t>
      </w:r>
    </w:p>
    <w:p>
      <w:pPr>
        <w:spacing w:after="0" w:line="206" w:lineRule="exact"/>
        <w:rPr>
          <w:sz w:val="20"/>
          <w:szCs w:val="20"/>
          <w:color w:val="auto"/>
        </w:rPr>
      </w:pPr>
    </w:p>
    <w:p>
      <w:pPr>
        <w:jc w:val="both"/>
        <w:ind w:left="-320" w:firstLine="656"/>
        <w:spacing w:after="0" w:line="247" w:lineRule="auto"/>
        <w:tabs>
          <w:tab w:leader="none" w:pos="97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Acknowledgements</w:t>
      </w:r>
      <w:r>
        <w:rPr>
          <w:rFonts w:ascii="Times New Roman" w:cs="Times New Roman" w:eastAsia="Times New Roman" w:hAnsi="Times New Roman"/>
          <w:sz w:val="22"/>
          <w:szCs w:val="22"/>
          <w:color w:val="auto"/>
        </w:rPr>
        <w:t xml:space="preserve">. Consultant acknowledges that prior to the Separation Date and in the course of providing the Services, Consultant has and will become familiar with and have access to the Company’s and its affiliates’ trade secrets and other confidential and proprietary information concerning the Company and its affiliates, that Consultant has developed and will continue to develop customer, supplier and vendor contacts and goodwill, and that Consultant’s services are of special, unique and extraordinary value to the Company and its affiliates. Therefore, the Company and Consultant mutually agree that it is in the interest of both parties for Consultant to enter into the restrictive covenants set forth in this Section 6 to, among other things, protect the legitimate business interests of the Company and those of its affiliates, and that such restrictions and covenants contained in this Section 6 are reasonable in geographical and temporal scope and in all other respects given the nature of the parties’ prior relationship and the performance of the Services and the nature of the Company’s and its affiliates’ businesses and that such restrictions and covenants do not and will not unduly impair Consultant’s ability to earn a living. Consultant further acknowledges and agrees that (i) the Company would not have entered into this Agreement but for the restrictive covenants of Consultant set forth in this Section 6, and (ii) such restrictive covenants have been made by Consultant in order to induce the Company to enter into this Agreement. The restrictive covenant obligations set forth in this Section 6 are in addition to any other written agreements covering such subjects that the Company may have with Consultant (including, without limitation, the CIIAA), and are not meant to and do not excuse any additional obligations that Consultant may have under such agreements or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restrictive covenant obligations that are more favorable to the Company or any of its affiliates shall govern to the extent required by applicable law.</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0600"/>
          </w:cols>
          <w:pgMar w:left="640" w:top="1440" w:right="659" w:bottom="1440" w:gutter="0" w:footer="0" w:header="0"/>
        </w:sectPr>
      </w:pPr>
    </w:p>
    <w:bookmarkStart w:id="127" w:name="page128"/>
    <w:bookmarkEnd w:id="127"/>
    <w:p>
      <w:pPr>
        <w:spacing w:after="0" w:line="104" w:lineRule="exact"/>
        <w:rPr>
          <w:sz w:val="20"/>
          <w:szCs w:val="20"/>
          <w:color w:val="auto"/>
        </w:rPr>
      </w:pPr>
    </w:p>
    <w:p>
      <w:pPr>
        <w:jc w:val="both"/>
        <w:ind w:left="-8" w:firstLine="656"/>
        <w:spacing w:after="0" w:line="259" w:lineRule="auto"/>
        <w:tabs>
          <w:tab w:leader="none" w:pos="1283"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Non-Compete</w:t>
      </w:r>
      <w:r>
        <w:rPr>
          <w:rFonts w:ascii="Times New Roman" w:cs="Times New Roman" w:eastAsia="Times New Roman" w:hAnsi="Times New Roman"/>
          <w:sz w:val="21"/>
          <w:szCs w:val="21"/>
          <w:color w:val="auto"/>
        </w:rPr>
        <w:t>. Consultant agrees that, during the Consulting Term and for 12 months thereafter, the Consultant shall not, directly or indirectly, with or without compensation, on his own behalf or on behalf of any person, entity or business, engage or prepare to engage in a Competing Business, or own, operate, manage, control, invest in, be employed or engaged by, or otherwise provide advice or services to, in each case in a position that requires more than the exercise of his general knowledge and skill, any person, entity or business that engages or participates in, or is planning to engage or participate in, a Competing Business, in each case, (i) in the United States, (ii) the Kingdom of Saudi Arabia, or (iii) in any other city, county, parish, municipality, state, country, province, territory, or other political subdivision in the world in which the Company or any of its affiliates (A) has customers, (B) marketed or sold its products or services or (C) operated or transacted its business as of or any time in the one-year period immediately preceding the Effective Date. “</w:t>
      </w:r>
      <w:r>
        <w:rPr>
          <w:rFonts w:ascii="Times New Roman" w:cs="Times New Roman" w:eastAsia="Times New Roman" w:hAnsi="Times New Roman"/>
          <w:sz w:val="21"/>
          <w:szCs w:val="21"/>
          <w:b w:val="1"/>
          <w:bCs w:val="1"/>
          <w:i w:val="1"/>
          <w:iCs w:val="1"/>
          <w:color w:val="auto"/>
        </w:rPr>
        <w:t>Competing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Business</w:t>
      </w:r>
      <w:r>
        <w:rPr>
          <w:rFonts w:ascii="Times New Roman" w:cs="Times New Roman" w:eastAsia="Times New Roman" w:hAnsi="Times New Roman"/>
          <w:sz w:val="21"/>
          <w:szCs w:val="21"/>
          <w:color w:val="auto"/>
        </w:rPr>
        <w:t>” shall mean any person, entity or business that (x) engages, in whole or in part, in the development, creation,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manufacturing, design, engineering, marketing, distribution, supply, sale or delivery of electric vehicles, electric vehicle powertrain or battery systems or software or hardware for vehicles, (y) is or is planning to become an electric vehicle manufacturer or original equipment manufacturer (OEM) for electric vehicles, or (z) otherwise develops, creates, manufactures, designs, engineers, markets, distributes, supplies, sells or delivers products or services that are substantially similar to and compete with the products and services of the Company or its affiliates. In the event that Consultant receives an offer to provide services or activities that would otherwise be in breach of this covenant, Consultant may provide information regarding such opportunity to the Company and request a written waiver, which the Company will consider in good faith.</w:t>
      </w:r>
    </w:p>
    <w:p>
      <w:pPr>
        <w:spacing w:after="0" w:line="200" w:lineRule="exact"/>
        <w:rPr>
          <w:rFonts w:ascii="Times New Roman" w:cs="Times New Roman" w:eastAsia="Times New Roman" w:hAnsi="Times New Roman"/>
          <w:sz w:val="21"/>
          <w:szCs w:val="21"/>
          <w:color w:val="auto"/>
        </w:rPr>
      </w:pPr>
    </w:p>
    <w:p>
      <w:pPr>
        <w:jc w:val="both"/>
        <w:ind w:left="-8" w:firstLine="656"/>
        <w:spacing w:after="0" w:line="250" w:lineRule="auto"/>
        <w:tabs>
          <w:tab w:leader="none" w:pos="1285"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Non-Solicit</w:t>
      </w:r>
      <w:r>
        <w:rPr>
          <w:rFonts w:ascii="Times New Roman" w:cs="Times New Roman" w:eastAsia="Times New Roman" w:hAnsi="Times New Roman"/>
          <w:sz w:val="22"/>
          <w:szCs w:val="22"/>
          <w:color w:val="auto"/>
        </w:rPr>
        <w:t>. Consultant agrees that during the Consulting Term and for the one-year period immediately following the end of the Consulting Term, Consultant shall not, directly or indirectly (including by assisting or aiding any third party),</w:t>
      </w:r>
    </w:p>
    <w:p>
      <w:pPr>
        <w:spacing w:after="0" w:line="2" w:lineRule="exact"/>
        <w:rPr>
          <w:rFonts w:ascii="Times New Roman" w:cs="Times New Roman" w:eastAsia="Times New Roman" w:hAnsi="Times New Roman"/>
          <w:sz w:val="22"/>
          <w:szCs w:val="22"/>
          <w:color w:val="auto"/>
        </w:rPr>
      </w:pPr>
    </w:p>
    <w:p>
      <w:pPr>
        <w:jc w:val="both"/>
        <w:ind w:left="-8" w:firstLine="8"/>
        <w:spacing w:after="0" w:line="246" w:lineRule="auto"/>
        <w:tabs>
          <w:tab w:leader="none" w:pos="257"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recruit or induce any employee of the Company or its affiliates to terminate their employment or engagement with the Company or its affiliates or (ii) either individually or as owner, agent, employee, director, consultant or otherwise, employ, engage, offer employment or an engagement to, or otherwise interfere with the employment relationship between the Company or its affiliates and, any person who at the time of such action is, or who during the six (6)-month period preceding such action was, an employee of the Company or its affiliates with whom Consultant had material contact prior to the Separation Date or during the Consulting Term or whose skills are of special, unique and extraordinary value to the Company or its affiliates.</w:t>
      </w:r>
    </w:p>
    <w:p>
      <w:pPr>
        <w:spacing w:after="0" w:line="200" w:lineRule="exact"/>
        <w:rPr>
          <w:sz w:val="20"/>
          <w:szCs w:val="20"/>
          <w:color w:val="auto"/>
        </w:rPr>
      </w:pPr>
    </w:p>
    <w:p>
      <w:pPr>
        <w:spacing w:after="0" w:line="283"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0912"/>
          </w:cols>
          <w:pgMar w:left="328" w:top="1440" w:right="659" w:bottom="1440" w:gutter="0" w:footer="0" w:header="0"/>
        </w:sectPr>
      </w:pPr>
    </w:p>
    <w:bookmarkStart w:id="128" w:name="page129"/>
    <w:bookmarkEnd w:id="128"/>
    <w:p>
      <w:pPr>
        <w:spacing w:after="0" w:line="104" w:lineRule="exact"/>
        <w:rPr>
          <w:sz w:val="20"/>
          <w:szCs w:val="20"/>
          <w:color w:val="auto"/>
        </w:rPr>
      </w:pPr>
    </w:p>
    <w:p>
      <w:pPr>
        <w:jc w:val="both"/>
        <w:ind w:left="-320" w:firstLine="656"/>
        <w:spacing w:after="0" w:line="247" w:lineRule="auto"/>
        <w:tabs>
          <w:tab w:leader="none" w:pos="97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 Of Interest</w:t>
      </w:r>
      <w:r>
        <w:rPr>
          <w:rFonts w:ascii="Times New Roman" w:cs="Times New Roman" w:eastAsia="Times New Roman" w:hAnsi="Times New Roman"/>
          <w:sz w:val="22"/>
          <w:szCs w:val="22"/>
          <w:color w:val="auto"/>
        </w:rPr>
        <w:t>. Consultant represents and warrants that Consultant has no agreements, relationships or commitments to any other person or entity that would conflict with this Agreement, Consultant’s obligations under this Agreement, or Consultant’s ability to perform the Services. Consultant agrees that he will not enter into any agreement, relationship or commitment during the Consulting Term that presents or is likely to present a conflict of interest or that may otherwise conflict or interfere with Consultant’s obligations hereunder, in each case, as determined by the Company. If the Company determines, in its discretion, that any agreement, relationship or commitment between Consultant and any other person or entity presents an actual or potential conflict of interest or otherwise interferes with Consultant’s obligations hereunder, the Company shall notify Consultant in writing of such conflict and Consultant shall have ten (10) days in which to resolve such matter to the Company’s satisfaction. For clarity, Consultant acknowledges and agrees that any actual or likely conflict of interest or interference with Consultant’s obligations hereunder shall constitute a breach of this Agreement, and the Consulting Term and the Company’s obligations hereunder shall cease on the eleventh (11th) day following the date that the Company provides written notice to Consultant, unless such conflict has been resolved by Consultant to the Company’s satisfaction prior to such time. Consultant agrees to promptly disclose in writing to the Company any new employment or engagement to perform services that Consultant accepts during the Consulting Term, including the identity of the person or entity by whom or which Consultant will become employed or engaged, the title, duties, responsibilities and/or services to be provided, and the start date. The Company may notify such person or entity that the Consultant is bound by the terms set forth in this Agreement and the CIIAA and, at the Company’s election, furnish such individual or entity with a copy or summary of such agreements.</w:t>
      </w:r>
    </w:p>
    <w:p>
      <w:pPr>
        <w:spacing w:after="0" w:line="200" w:lineRule="exact"/>
        <w:rPr>
          <w:rFonts w:ascii="Times New Roman" w:cs="Times New Roman" w:eastAsia="Times New Roman" w:hAnsi="Times New Roman"/>
          <w:sz w:val="22"/>
          <w:szCs w:val="22"/>
          <w:color w:val="auto"/>
        </w:rPr>
      </w:pPr>
    </w:p>
    <w:p>
      <w:pPr>
        <w:jc w:val="both"/>
        <w:ind w:left="-320" w:firstLine="656"/>
        <w:spacing w:after="0" w:line="249" w:lineRule="auto"/>
        <w:tabs>
          <w:tab w:leader="none" w:pos="973"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Consultant acknowledges his continuing obligations under, and reaffirms his commitment to comply in all respects with, all existing and future Company policies, procedures, rules and regulations, including, but not limited to, all confidential information, assignment of inventions, non-competition, non-solicitation, and other covenants, and restrictions and obligations under the CIIAA, that survives the termination of Consultant’s engagement with Company or that otherwise apply to Consultant during or after the Consulting Term. Consultant further acknowledges and agrees that the confidentiality, intellectual property ownership and assignment, return of Company property and similar covenants and obligations in such agreements, as well as the limitations and protected conduct provisions of the Transition Agreement and the Release,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during the period in which Consultant is engaged to provide the Services.</w:t>
      </w:r>
    </w:p>
    <w:p>
      <w:pPr>
        <w:spacing w:after="0" w:line="181" w:lineRule="exact"/>
        <w:rPr>
          <w:rFonts w:ascii="Times New Roman" w:cs="Times New Roman" w:eastAsia="Times New Roman" w:hAnsi="Times New Roman"/>
          <w:sz w:val="22"/>
          <w:szCs w:val="22"/>
          <w:color w:val="auto"/>
        </w:rPr>
      </w:pPr>
    </w:p>
    <w:p>
      <w:pPr>
        <w:jc w:val="both"/>
        <w:ind w:left="-320" w:firstLine="656"/>
        <w:spacing w:after="0" w:line="250" w:lineRule="auto"/>
        <w:tabs>
          <w:tab w:leader="none" w:pos="97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 the time, scope, geographic area and other provisions of this Section 6 have been specifically negotiated by sophisticated commercial parties and agree that they consider the restrictions and covenants contained in this Section 6 to be reasonable and necessary for the protection of the interests of the Company and its affiliates, but if any such restriction or covenant shall be held by any court of or arbitrator of competent jurisdiction to be void but would be valid if modified, deleted in part or reduced in application, such restriction or covenant shall apply in such jurisdiction with such deletion or modification as may be necessary to make it valid and enforceable. The restrictions and covenants contained in each paragraph of this Section 6 shall be construed as separate and individual restrictions and covenants and shall each be capable of being reduced in application or severed without prejudice to the other restrictions and covenants or to the remaining provisions of this Agreement.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0600"/>
          </w:cols>
          <w:pgMar w:left="640" w:top="1440" w:right="659" w:bottom="1440" w:gutter="0" w:footer="0" w:header="0"/>
        </w:sectPr>
      </w:pPr>
    </w:p>
    <w:bookmarkStart w:id="129" w:name="page130"/>
    <w:bookmarkEnd w:id="129"/>
    <w:p>
      <w:pPr>
        <w:spacing w:after="0" w:line="117" w:lineRule="exact"/>
        <w:rPr>
          <w:sz w:val="20"/>
          <w:szCs w:val="20"/>
          <w:color w:val="auto"/>
        </w:rPr>
      </w:pPr>
    </w:p>
    <w:p>
      <w:pPr>
        <w:ind w:left="980" w:hanging="644"/>
        <w:spacing w:after="0"/>
        <w:tabs>
          <w:tab w:leader="none" w:pos="9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DISCLOSURES</w:t>
      </w:r>
    </w:p>
    <w:p>
      <w:pPr>
        <w:spacing w:after="0" w:line="206" w:lineRule="exact"/>
        <w:rPr>
          <w:sz w:val="20"/>
          <w:szCs w:val="20"/>
          <w:color w:val="auto"/>
        </w:rPr>
      </w:pPr>
    </w:p>
    <w:p>
      <w:pPr>
        <w:jc w:val="both"/>
        <w:ind w:left="-320" w:firstLine="656"/>
        <w:spacing w:after="0" w:line="263" w:lineRule="auto"/>
        <w:tabs>
          <w:tab w:leader="none" w:pos="973"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or any other agreement between Consultant and the Company or any of its affiliates, including the CIIAA, nothing herein or otherwise limits your ability to communicate directly with and provide information, including documents, not otherwise protected from disclosure by any applicable law or privilege, to the SEC, the EEOC or any other federal, state or local governmental agency or commission (“</w:t>
      </w:r>
      <w:r>
        <w:rPr>
          <w:rFonts w:ascii="Times New Roman" w:cs="Times New Roman" w:eastAsia="Times New Roman" w:hAnsi="Times New Roman"/>
          <w:sz w:val="21"/>
          <w:szCs w:val="21"/>
          <w:b w:val="1"/>
          <w:bCs w:val="1"/>
          <w:i w:val="1"/>
          <w:iCs w:val="1"/>
          <w:color w:val="auto"/>
        </w:rPr>
        <w:t>Government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Agency</w:t>
      </w:r>
      <w:r>
        <w:rPr>
          <w:rFonts w:ascii="Times New Roman" w:cs="Times New Roman" w:eastAsia="Times New Roman" w:hAnsi="Times New Roman"/>
          <w:sz w:val="21"/>
          <w:szCs w:val="21"/>
          <w:color w:val="auto"/>
        </w:rPr>
        <w:t>”) or self-regulatory organization regarding possible legal violations, in each case, without disclosure to the Company.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Company may not retaliate against you for any of these activities, and nothing in this Agreement or otherwise requires you to waive any monetary award or other payment that you might become entitled to from the SEC or (except as provided in Section 7(b)) any other Government Agency or self-regulatory organization. Moreover, nothing in this Agreement or otherwise requires you to notify the Company that you are going to make a report or disclosure to law enforcement.</w:t>
      </w:r>
    </w:p>
    <w:p>
      <w:pPr>
        <w:spacing w:after="0" w:line="169" w:lineRule="exact"/>
        <w:rPr>
          <w:rFonts w:ascii="Times New Roman" w:cs="Times New Roman" w:eastAsia="Times New Roman" w:hAnsi="Times New Roman"/>
          <w:sz w:val="21"/>
          <w:szCs w:val="21"/>
          <w:color w:val="auto"/>
        </w:rPr>
      </w:pPr>
    </w:p>
    <w:p>
      <w:pPr>
        <w:jc w:val="both"/>
        <w:ind w:left="-320" w:firstLine="656"/>
        <w:spacing w:after="0" w:line="256" w:lineRule="auto"/>
        <w:tabs>
          <w:tab w:leader="none" w:pos="97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 nothing in this Agreement precludes you from filing a charge of discrimination or unfair labor practice with the EEOC or a like charge or complaint with a state or local fair employment or labor Government Agency. However, you may not receive a monetary award or any other form of personal relief from the Company or any other Released Party in connection with any such charge or complaint that you have filed or is filed on your behalf.</w:t>
      </w:r>
    </w:p>
    <w:p>
      <w:pPr>
        <w:spacing w:after="0" w:line="162" w:lineRule="exact"/>
        <w:rPr>
          <w:rFonts w:ascii="Times New Roman" w:cs="Times New Roman" w:eastAsia="Times New Roman" w:hAnsi="Times New Roman"/>
          <w:sz w:val="22"/>
          <w:szCs w:val="22"/>
          <w:color w:val="auto"/>
        </w:rPr>
      </w:pPr>
    </w:p>
    <w:p>
      <w:pPr>
        <w:jc w:val="both"/>
        <w:ind w:left="-320" w:firstLine="656"/>
        <w:spacing w:after="0" w:line="243" w:lineRule="auto"/>
        <w:tabs>
          <w:tab w:leader="none" w:pos="97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waives your right to voluntarily communicate with an attorney retained by you or testify in an administrative, legislative, or judicial proceeding when you have been required or requested to attend the proceeding pursuant to a court order, subpoena, or written request from an administrative agency or the legislature. Nothing in this Agreement prevents you from discussing or disclosing information about unlawful acts in the workplace, such as harassment or discrimination or any other conduct that you have reason to believe is unlawful.</w:t>
      </w:r>
    </w:p>
    <w:p>
      <w:pPr>
        <w:spacing w:after="0" w:line="184" w:lineRule="exact"/>
        <w:rPr>
          <w:rFonts w:ascii="Times New Roman" w:cs="Times New Roman" w:eastAsia="Times New Roman" w:hAnsi="Times New Roman"/>
          <w:sz w:val="22"/>
          <w:szCs w:val="22"/>
          <w:color w:val="auto"/>
        </w:rPr>
      </w:pPr>
    </w:p>
    <w:p>
      <w:pPr>
        <w:ind w:left="980" w:hanging="644"/>
        <w:spacing w:after="0"/>
        <w:tabs>
          <w:tab w:leader="none" w:pos="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protections set forth in this Section 7 constitute the “</w:t>
      </w:r>
      <w:r>
        <w:rPr>
          <w:rFonts w:ascii="Times New Roman" w:cs="Times New Roman" w:eastAsia="Times New Roman" w:hAnsi="Times New Roman"/>
          <w:sz w:val="22"/>
          <w:szCs w:val="22"/>
          <w:b w:val="1"/>
          <w:bCs w:val="1"/>
          <w:i w:val="1"/>
          <w:iCs w:val="1"/>
          <w:color w:val="auto"/>
        </w:rPr>
        <w:t>Permitted Disclosures</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jc w:val="both"/>
        <w:ind w:left="-320" w:firstLine="656"/>
        <w:spacing w:after="0" w:line="248" w:lineRule="auto"/>
        <w:tabs>
          <w:tab w:leader="none" w:pos="97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Subject to the Permitted Disclosures, you agree that you shall not, from the date of this Agreement or at any time thereafter (the “</w:t>
      </w:r>
      <w:r>
        <w:rPr>
          <w:rFonts w:ascii="Times New Roman" w:cs="Times New Roman" w:eastAsia="Times New Roman" w:hAnsi="Times New Roman"/>
          <w:sz w:val="22"/>
          <w:szCs w:val="22"/>
          <w:b w:val="1"/>
          <w:bCs w:val="1"/>
          <w:i w:val="1"/>
          <w:iCs w:val="1"/>
          <w:color w:val="auto"/>
        </w:rPr>
        <w:t>Non-Disparagement Period</w:t>
      </w:r>
      <w:r>
        <w:rPr>
          <w:rFonts w:ascii="Times New Roman" w:cs="Times New Roman" w:eastAsia="Times New Roman" w:hAnsi="Times New Roman"/>
          <w:sz w:val="22"/>
          <w:szCs w:val="22"/>
          <w:color w:val="auto"/>
        </w:rPr>
        <w:t xml:space="preserve">”), make any public or private remark, comment or statement, written or oral, including, but not limited to, in an interview or conversations with any journalist, reporter or analyst or in any post, comment, video, or audio recording on social media or any other website or application (including, but not limited to, Facebook, X, Instagram, SnapChat, Glass Door, LinkedIn, Yelp, YouTube, or Reddit), or cause or encourage others to make any remark, comment or statement, that defames, disparages, or in any way criticizes the Company or any of its affiliates, or any of its or their officers, directors, employees, shareholders, parents, subsidiaries, affiliates or agents in any manner likely to be harmful to them or their business, products, services, operations, business reputation or personal reputation;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you may respond accurately and fully to any question, inquiry or request for information to the extent required by legal process. In addition, nothing in this paragraph or this Agreement is intended to prohibit or restrain you in any manner from making disclosures that are protected under the whistleblower provisions of federal law or regulation or under other applicable law or regulation.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A-8</w:t>
      </w:r>
    </w:p>
    <w:p>
      <w:pPr>
        <w:sectPr>
          <w:pgSz w:w="11900" w:h="16838" w:orient="portrait"/>
          <w:cols w:equalWidth="0" w:num="1">
            <w:col w:w="10600"/>
          </w:cols>
          <w:pgMar w:left="640" w:top="1440" w:right="659" w:bottom="1440" w:gutter="0" w:footer="0" w:header="0"/>
        </w:sectPr>
      </w:pPr>
    </w:p>
    <w:bookmarkStart w:id="130" w:name="page131"/>
    <w:bookmarkEnd w:id="130"/>
    <w:p>
      <w:pPr>
        <w:spacing w:after="0" w:line="117" w:lineRule="exact"/>
        <w:rPr>
          <w:sz w:val="20"/>
          <w:szCs w:val="20"/>
          <w:color w:val="auto"/>
        </w:rPr>
      </w:pPr>
    </w:p>
    <w:p>
      <w:pPr>
        <w:ind w:left="980" w:hanging="644"/>
        <w:spacing w:after="0"/>
        <w:tabs>
          <w:tab w:leader="none" w:pos="9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20" w:firstLine="656"/>
        <w:spacing w:after="0" w:line="256" w:lineRule="auto"/>
        <w:tabs>
          <w:tab w:leader="none" w:pos="97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Severability</w:t>
      </w:r>
      <w:r>
        <w:rPr>
          <w:rFonts w:ascii="Times New Roman" w:cs="Times New Roman" w:eastAsia="Times New Roman" w:hAnsi="Times New Roman"/>
          <w:sz w:val="22"/>
          <w:szCs w:val="22"/>
          <w:color w:val="auto"/>
        </w:rPr>
        <w:t>. Sections 6 through 8 of this Agreement shall survive the termination hereof as well as any other provision that expressly survives the termination hereof and shall remain in full force and effect in accordance with their terms. The invalidity, in whole or in part, of any provision of this Agreement shall not affect the validity or enforceability of any of its other provisions.</w:t>
      </w:r>
    </w:p>
    <w:p>
      <w:pPr>
        <w:spacing w:after="0" w:line="176" w:lineRule="exact"/>
        <w:rPr>
          <w:rFonts w:ascii="Times New Roman" w:cs="Times New Roman" w:eastAsia="Times New Roman" w:hAnsi="Times New Roman"/>
          <w:sz w:val="22"/>
          <w:szCs w:val="22"/>
          <w:color w:val="auto"/>
        </w:rPr>
      </w:pPr>
    </w:p>
    <w:p>
      <w:pPr>
        <w:jc w:val="both"/>
        <w:ind w:left="-320" w:firstLine="656"/>
        <w:spacing w:after="0" w:line="252" w:lineRule="auto"/>
        <w:tabs>
          <w:tab w:leader="none" w:pos="97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Transition Agreement, the Release and the CIIAA,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and any prior agreement of the parties hereto in respect of the subject matter contained herein is hereby terminated. No agreements or representations, oral or otherwise, expressed or implied, with respect to the subject matter hereof have been made by either party that are not set forth expressly in this Agreement.</w:t>
      </w:r>
    </w:p>
    <w:p>
      <w:pPr>
        <w:spacing w:after="0" w:line="165" w:lineRule="exact"/>
        <w:rPr>
          <w:rFonts w:ascii="Times New Roman" w:cs="Times New Roman" w:eastAsia="Times New Roman" w:hAnsi="Times New Roman"/>
          <w:sz w:val="22"/>
          <w:szCs w:val="22"/>
          <w:color w:val="auto"/>
        </w:rPr>
      </w:pPr>
    </w:p>
    <w:p>
      <w:pPr>
        <w:jc w:val="both"/>
        <w:ind w:left="-320" w:firstLine="656"/>
        <w:spacing w:after="0" w:line="253" w:lineRule="auto"/>
        <w:tabs>
          <w:tab w:leader="none" w:pos="97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Consultant represents, warrants and agrees that (i) Consultant is under no obligation or disability, created by law or otherwise, which would in any manner or to any extent prevent or restrict Consultant from entering into this Agreement and fully performing the Services, and (ii) Consultant is engaged in an independently established trade, occupation, profession or business. The terms of this Section shall survive the expiration or termination of this agreement.</w:t>
      </w:r>
    </w:p>
    <w:p>
      <w:pPr>
        <w:spacing w:after="0" w:line="178" w:lineRule="exact"/>
        <w:rPr>
          <w:rFonts w:ascii="Times New Roman" w:cs="Times New Roman" w:eastAsia="Times New Roman" w:hAnsi="Times New Roman"/>
          <w:sz w:val="22"/>
          <w:szCs w:val="22"/>
          <w:color w:val="auto"/>
        </w:rPr>
      </w:pPr>
    </w:p>
    <w:p>
      <w:pPr>
        <w:jc w:val="both"/>
        <w:ind w:left="-320" w:firstLine="656"/>
        <w:spacing w:after="0" w:line="250" w:lineRule="auto"/>
        <w:tabs>
          <w:tab w:leader="none" w:pos="97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Consultant agrees to indemnify Company, its associated, affiliated and related entities, parent, successors, assigns, licensees and each of their shareholders, members, managers, officers, directors, employees and agents, and hold them harmless from and against any and all claims, liability, judgments, losses, damages, costs and expenses, including penalties, interest and reasonable outside attorney’s fees and costs in the defense and disposition of such matters relating thereto and arising out of, resulting from (i) bodily injury, death of any person or damage to real or tangible, personal property resulting from Consultant’s acts or omissions; or (ii) Consultant’s breach or an alleged breached of any representation, warranty, or obligation under this Agreement.</w:t>
      </w:r>
    </w:p>
    <w:p>
      <w:pPr>
        <w:spacing w:after="0" w:line="180" w:lineRule="exact"/>
        <w:rPr>
          <w:rFonts w:ascii="Times New Roman" w:cs="Times New Roman" w:eastAsia="Times New Roman" w:hAnsi="Times New Roman"/>
          <w:sz w:val="22"/>
          <w:szCs w:val="22"/>
          <w:color w:val="auto"/>
        </w:rPr>
      </w:pPr>
    </w:p>
    <w:p>
      <w:pPr>
        <w:jc w:val="both"/>
        <w:ind w:left="-320" w:firstLine="656"/>
        <w:spacing w:after="0" w:line="265" w:lineRule="auto"/>
        <w:tabs>
          <w:tab w:leader="none" w:pos="973"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In the event of a breach or threatened breach by Consultant of Section 6 of this Agreement, Consultant hereby consents and agrees that Company shall be entitled to seek, in addition to other available remedies, a temporary or permanent injunction or other equitable relief against such breach or threatened breach from any arbitrator or court of competent jurisdiction, as applicable, without the necessity of showing any actual damages or that monetary damages would not afford an adequate remedy, and without the necessity of posting any bond of other security. The aforementioned equitable relief shall be in addition to, not in lieu of, legal remedies, monetary damages or other available forms of relief.</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A-9</w:t>
      </w:r>
    </w:p>
    <w:p>
      <w:pPr>
        <w:sectPr>
          <w:pgSz w:w="11900" w:h="16838" w:orient="portrait"/>
          <w:cols w:equalWidth="0" w:num="1">
            <w:col w:w="10600"/>
          </w:cols>
          <w:pgMar w:left="640" w:top="1440" w:right="659" w:bottom="1440" w:gutter="0" w:footer="0" w:header="0"/>
        </w:sectPr>
      </w:pPr>
    </w:p>
    <w:bookmarkStart w:id="131" w:name="page132"/>
    <w:bookmarkEnd w:id="131"/>
    <w:p>
      <w:pPr>
        <w:spacing w:after="0" w:line="104" w:lineRule="exact"/>
        <w:rPr>
          <w:sz w:val="20"/>
          <w:szCs w:val="20"/>
          <w:color w:val="auto"/>
        </w:rPr>
      </w:pPr>
    </w:p>
    <w:p>
      <w:pPr>
        <w:jc w:val="both"/>
        <w:ind w:left="-656" w:firstLine="656"/>
        <w:spacing w:after="0" w:line="250" w:lineRule="auto"/>
        <w:tabs>
          <w:tab w:leader="none" w:pos="6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Miscellaneous</w:t>
      </w:r>
      <w:r>
        <w:rPr>
          <w:rFonts w:ascii="Times New Roman" w:cs="Times New Roman" w:eastAsia="Times New Roman" w:hAnsi="Times New Roman"/>
          <w:sz w:val="22"/>
          <w:szCs w:val="22"/>
          <w:color w:val="auto"/>
        </w:rPr>
        <w:t xml:space="preserve">. The provisions of Sections 4, 6 and 13 through 18 of the Transition Agreement are hereby incorporated by reference,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Agreement shall in all respects be interpreted, enforced, and governed under the laws of the State of Delaware, except for the arbitration provision to which federal law applies, without giving effect to Delaware conflicts of laws provisions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Consultant shall be permitted to assign this Agreement and Consultant’s rights and privileges hereunder to a single member limited liability company in which Consultant is the sole member (“</w:t>
      </w:r>
      <w:r>
        <w:rPr>
          <w:rFonts w:ascii="Times New Roman" w:cs="Times New Roman" w:eastAsia="Times New Roman" w:hAnsi="Times New Roman"/>
          <w:sz w:val="22"/>
          <w:szCs w:val="22"/>
          <w:b w:val="1"/>
          <w:bCs w:val="1"/>
          <w:i w:val="1"/>
          <w:iCs w:val="1"/>
          <w:color w:val="auto"/>
        </w:rPr>
        <w:t>Consultant’s LLC</w:t>
      </w:r>
      <w:r>
        <w:rPr>
          <w:rFonts w:ascii="Times New Roman" w:cs="Times New Roman" w:eastAsia="Times New Roman" w:hAnsi="Times New Roman"/>
          <w:sz w:val="22"/>
          <w:szCs w:val="22"/>
          <w:color w:val="auto"/>
        </w:rPr>
        <w:t xml:space="preserve">”) upon prior written notice to and consent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Consultant and Consultant’s LLC shall remain bound the covenants and obligations set forth in the Transition Agreement, CIIAA, the Release, and </w:t>
      </w:r>
      <w:r>
        <w:rPr>
          <w:rFonts w:ascii="Times New Roman" w:cs="Times New Roman" w:eastAsia="Times New Roman" w:hAnsi="Times New Roman"/>
          <w:sz w:val="22"/>
          <w:szCs w:val="22"/>
          <w:u w:val="single" w:color="auto"/>
          <w:color w:val="auto"/>
        </w:rPr>
        <w:t>Sections 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of this Agreement.</w:t>
      </w:r>
    </w:p>
    <w:p>
      <w:pPr>
        <w:spacing w:after="0" w:line="186" w:lineRule="exact"/>
        <w:rPr>
          <w:rFonts w:ascii="Times New Roman" w:cs="Times New Roman" w:eastAsia="Times New Roman" w:hAnsi="Times New Roman"/>
          <w:sz w:val="22"/>
          <w:szCs w:val="22"/>
          <w:color w:val="auto"/>
        </w:rPr>
      </w:pPr>
    </w:p>
    <w:p>
      <w:pPr>
        <w:ind w:left="458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474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A-10</w:t>
      </w:r>
    </w:p>
    <w:p>
      <w:pPr>
        <w:sectPr>
          <w:pgSz w:w="11900" w:h="16838" w:orient="portrait"/>
          <w:cols w:equalWidth="0" w:num="1">
            <w:col w:w="10264"/>
          </w:cols>
          <w:pgMar w:left="976" w:top="1440" w:right="659" w:bottom="1440" w:gutter="0" w:footer="0" w:header="0"/>
        </w:sectPr>
      </w:pPr>
    </w:p>
    <w:bookmarkStart w:id="132" w:name="page133"/>
    <w:bookmarkEnd w:id="132"/>
    <w:p>
      <w:pPr>
        <w:spacing w:after="0" w:line="3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to be effective as of the date first written above.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ACCEPTED AND AGREED:</w:t>
            </w:r>
          </w:p>
        </w:tc>
        <w:tc>
          <w:tcPr>
            <w:tcW w:w="2240" w:type="dxa"/>
            <w:vAlign w:val="bottom"/>
          </w:tcPr>
          <w:p>
            <w:pPr>
              <w:spacing w:after="0"/>
              <w:rPr>
                <w:sz w:val="24"/>
                <w:szCs w:val="24"/>
                <w:color w:val="auto"/>
              </w:rPr>
            </w:pPr>
          </w:p>
        </w:tc>
      </w:tr>
      <w:tr>
        <w:trPr>
          <w:trHeight w:val="50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 Peter Rawlinson</w:t>
            </w:r>
          </w:p>
        </w:tc>
        <w:tc>
          <w:tcPr>
            <w:tcW w:w="2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02/20/2025</w:t>
            </w:r>
          </w:p>
        </w:tc>
      </w:tr>
      <w:tr>
        <w:trPr>
          <w:trHeight w:val="277"/>
        </w:trPr>
        <w:tc>
          <w:tcPr>
            <w:tcW w:w="3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Peter Rawlinson</w:t>
            </w:r>
          </w:p>
        </w:tc>
        <w:tc>
          <w:tcPr>
            <w:tcW w:w="1540" w:type="dxa"/>
            <w:vAlign w:val="bottom"/>
          </w:tcPr>
          <w:p>
            <w:pPr>
              <w:spacing w:after="0"/>
              <w:rPr>
                <w:sz w:val="24"/>
                <w:szCs w:val="24"/>
                <w:color w:val="auto"/>
              </w:rPr>
            </w:pPr>
          </w:p>
        </w:tc>
        <w:tc>
          <w:tcPr>
            <w:tcW w:w="2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Date</w:t>
            </w:r>
          </w:p>
        </w:tc>
      </w:tr>
      <w:tr>
        <w:trPr>
          <w:trHeight w:val="523"/>
        </w:trPr>
        <w:tc>
          <w:tcPr>
            <w:tcW w:w="53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ON BEHALF OF</w:t>
            </w:r>
          </w:p>
        </w:tc>
        <w:tc>
          <w:tcPr>
            <w:tcW w:w="2240" w:type="dxa"/>
            <w:vAlign w:val="bottom"/>
          </w:tcPr>
          <w:p>
            <w:pPr>
              <w:spacing w:after="0"/>
              <w:rPr>
                <w:sz w:val="24"/>
                <w:szCs w:val="24"/>
                <w:color w:val="auto"/>
              </w:rPr>
            </w:pPr>
          </w:p>
        </w:tc>
      </w:tr>
      <w:tr>
        <w:trPr>
          <w:trHeight w:val="286"/>
        </w:trPr>
        <w:tc>
          <w:tcPr>
            <w:tcW w:w="53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LUCID USA, INC.</w:t>
            </w:r>
          </w:p>
        </w:tc>
        <w:tc>
          <w:tcPr>
            <w:tcW w:w="2240" w:type="dxa"/>
            <w:vAlign w:val="bottom"/>
          </w:tcPr>
          <w:p>
            <w:pPr>
              <w:spacing w:after="0"/>
              <w:rPr>
                <w:sz w:val="24"/>
                <w:szCs w:val="24"/>
                <w:color w:val="auto"/>
              </w:rPr>
            </w:pPr>
          </w:p>
        </w:tc>
      </w:tr>
      <w:tr>
        <w:trPr>
          <w:trHeight w:val="568"/>
        </w:trPr>
        <w:tc>
          <w:tcPr>
            <w:tcW w:w="53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 Gale Halsey</w:t>
            </w:r>
          </w:p>
        </w:tc>
        <w:tc>
          <w:tcPr>
            <w:tcW w:w="2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02/21/2025</w:t>
            </w:r>
          </w:p>
        </w:tc>
      </w:tr>
      <w:tr>
        <w:trPr>
          <w:trHeight w:val="303"/>
        </w:trPr>
        <w:tc>
          <w:tcPr>
            <w:tcW w:w="3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Name: Gale Halsey</w:t>
            </w:r>
          </w:p>
        </w:tc>
        <w:tc>
          <w:tcPr>
            <w:tcW w:w="1540" w:type="dxa"/>
            <w:vAlign w:val="bottom"/>
          </w:tcPr>
          <w:p>
            <w:pPr>
              <w:spacing w:after="0"/>
              <w:rPr>
                <w:sz w:val="24"/>
                <w:szCs w:val="24"/>
                <w:color w:val="auto"/>
              </w:rPr>
            </w:pPr>
          </w:p>
        </w:tc>
        <w:tc>
          <w:tcPr>
            <w:tcW w:w="2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Date</w:t>
            </w:r>
          </w:p>
        </w:tc>
      </w:tr>
      <w:tr>
        <w:trPr>
          <w:trHeight w:val="28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 Sr. Vice President, People</w:t>
            </w:r>
          </w:p>
        </w:tc>
        <w:tc>
          <w:tcPr>
            <w:tcW w:w="2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i w:val="1"/>
          <w:iCs w:val="1"/>
          <w:color w:val="auto"/>
        </w:rPr>
        <w:t>[Signature Page to Consulting Agreement]</w:t>
      </w:r>
    </w:p>
    <w:p>
      <w:pPr>
        <w:sectPr>
          <w:pgSz w:w="11900" w:h="16838" w:orient="portrait"/>
          <w:cols w:equalWidth="0" w:num="1">
            <w:col w:w="10800"/>
          </w:cols>
          <w:pgMar w:left="320" w:top="1440" w:right="779" w:bottom="1440" w:gutter="0" w:footer="0" w:header="0"/>
        </w:sectPr>
      </w:pPr>
    </w:p>
    <w:bookmarkStart w:id="133" w:name="page134"/>
    <w:bookmarkEnd w:id="133"/>
    <w:p>
      <w:pPr>
        <w:spacing w:after="0" w:line="3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u w:val="single" w:color="auto"/>
          <w:color w:val="auto"/>
        </w:rPr>
        <w:t>ANNEX I</w:t>
      </w: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u w:val="single" w:color="auto"/>
          <w:color w:val="auto"/>
        </w:rPr>
        <w:t>RELEASE OF CLAIMS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2027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Peter Rawlinson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LINE 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LINE 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Peter:</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You signed a Consulting Agreement with Lucid USA.,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in which you agreed to sign and not revoke this Release of Claims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to be eligible for the Fees described in the Consulting Agreement. Capitalized terms used but not otherwise defined herein shall have the meaning ascribed to such terms in the Consulting Agreement, dated [DATE], 2025, by and between you and the Company (the “</w:t>
      </w:r>
      <w:r>
        <w:rPr>
          <w:rFonts w:ascii="Times New Roman" w:cs="Times New Roman" w:eastAsia="Times New Roman" w:hAnsi="Times New Roman"/>
          <w:sz w:val="22"/>
          <w:szCs w:val="22"/>
          <w:b w:val="1"/>
          <w:bCs w:val="1"/>
          <w:i w:val="1"/>
          <w:iCs w:val="1"/>
          <w:color w:val="auto"/>
        </w:rPr>
        <w:t>Consulting Agreement</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jc w:val="both"/>
        <w:ind w:right="20" w:firstLine="656"/>
        <w:spacing w:after="0" w:line="257" w:lineRule="auto"/>
        <w:tabs>
          <w:tab w:leader="none" w:pos="129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As set forth in your Consulting Agreement, if you timely sign and deliver, and do not revoke, this Release, you will be eligible to receive the Fees described in your Consulting Agreement, subject to the terms and conditions set forth therein.</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General Release</w:t>
      </w:r>
      <w:r>
        <w:rPr>
          <w:rFonts w:ascii="Times New Roman" w:cs="Times New Roman" w:eastAsia="Times New Roman" w:hAnsi="Times New Roman"/>
          <w:sz w:val="22"/>
          <w:szCs w:val="22"/>
          <w:color w:val="auto"/>
        </w:rPr>
        <w:t>. Subject to the Permitted Disclosures, you hereby generally and completely release the Company, and its affiliated, related, parent, and subsidiary entities, and its and their current and former directors, officers, employees, shareholders (including any affiliates, employees, directors, officers or other shareholders of the shareholders), partners, agents, attorneys, predecessors, successors, insurers, affiliates, and assigns (collectively, “</w:t>
      </w:r>
      <w:r>
        <w:rPr>
          <w:rFonts w:ascii="Times New Roman" w:cs="Times New Roman" w:eastAsia="Times New Roman" w:hAnsi="Times New Roman"/>
          <w:sz w:val="22"/>
          <w:szCs w:val="22"/>
          <w:b w:val="1"/>
          <w:bCs w:val="1"/>
          <w:i w:val="1"/>
          <w:iCs w:val="1"/>
          <w:color w:val="auto"/>
        </w:rPr>
        <w:t>Released Parties</w:t>
      </w:r>
      <w:r>
        <w:rPr>
          <w:rFonts w:ascii="Times New Roman" w:cs="Times New Roman" w:eastAsia="Times New Roman" w:hAnsi="Times New Roman"/>
          <w:sz w:val="22"/>
          <w:szCs w:val="22"/>
          <w:color w:val="auto"/>
        </w:rPr>
        <w:t>”) from any and all claims, causes of action, demands, liabilities, obligations, judgments, rights, fees, damages, debts, and expenses (inclusive of attorneys’ fees) of whatever kind or nature, whether known or unknown, that arise out of or are in any way related to events, acts, conduct, or omissions occurring prior to or on the date you sign this Release (collectively, “</w:t>
      </w:r>
      <w:r>
        <w:rPr>
          <w:rFonts w:ascii="Times New Roman" w:cs="Times New Roman" w:eastAsia="Times New Roman" w:hAnsi="Times New Roman"/>
          <w:sz w:val="22"/>
          <w:szCs w:val="22"/>
          <w:b w:val="1"/>
          <w:bCs w:val="1"/>
          <w:i w:val="1"/>
          <w:iCs w:val="1"/>
          <w:color w:val="auto"/>
        </w:rPr>
        <w:t>Released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For purposes of this Release, “affiliate” shall have the meaning set forth in Rule 405 of the rules and regulations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promulgated under the Securities Act of 1933, as amended.</w:t>
      </w:r>
    </w:p>
    <w:p>
      <w:pPr>
        <w:spacing w:after="0" w:line="2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Annex I-1</w:t>
      </w:r>
    </w:p>
    <w:p>
      <w:pPr>
        <w:sectPr>
          <w:pgSz w:w="11900" w:h="16838" w:orient="portrait"/>
          <w:cols w:equalWidth="0" w:num="1">
            <w:col w:w="10920"/>
          </w:cols>
          <w:pgMar w:left="320" w:top="1440" w:right="659" w:bottom="1440" w:gutter="0" w:footer="0" w:header="0"/>
        </w:sectPr>
      </w:pPr>
    </w:p>
    <w:bookmarkStart w:id="134" w:name="page135"/>
    <w:bookmarkEnd w:id="134"/>
    <w:p>
      <w:pPr>
        <w:spacing w:after="0" w:line="200" w:lineRule="exact"/>
        <w:rPr>
          <w:sz w:val="20"/>
          <w:szCs w:val="20"/>
          <w:color w:val="auto"/>
        </w:rPr>
      </w:pPr>
    </w:p>
    <w:p>
      <w:pPr>
        <w:spacing w:after="0" w:line="36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Scope of Release</w:t>
      </w:r>
      <w:r>
        <w:rPr>
          <w:rFonts w:ascii="Times New Roman" w:cs="Times New Roman" w:eastAsia="Times New Roman" w:hAnsi="Times New Roman"/>
          <w:sz w:val="22"/>
          <w:szCs w:val="22"/>
          <w:color w:val="auto"/>
        </w:rPr>
        <w:t>. The Released Claims include, but are not limited to: (i) all claims arising out of or in any way related to your employment or service with the Company and/or its affiliates, or the termination of that employment or service; (ii) all claims related to disputed or paid compensation or benefits from the Company or its affiliates, including salary, bonuses, commissions, vacation, expense reimbursements, severance pay, fringe benefits, stock, stock options, or any other ownership, equity, or profits interests in the Company or its affiliates;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any and all laws, regulations, orders, or ordinances, including, but not limited to, the Civil Rights Act of 1964, the Americans with Disabilities Act of 1990, the Family and Medical Leave Act, the Age Discrimination in Employment Act of 1967 (as amended by the Older Workers Benefit Protection Act) (“</w:t>
      </w:r>
      <w:r>
        <w:rPr>
          <w:rFonts w:ascii="Times New Roman" w:cs="Times New Roman" w:eastAsia="Times New Roman" w:hAnsi="Times New Roman"/>
          <w:sz w:val="22"/>
          <w:szCs w:val="22"/>
          <w:b w:val="1"/>
          <w:bCs w:val="1"/>
          <w:i w:val="1"/>
          <w:iCs w:val="1"/>
          <w:color w:val="auto"/>
        </w:rPr>
        <w:t>ADEA</w:t>
      </w:r>
      <w:r>
        <w:rPr>
          <w:rFonts w:ascii="Times New Roman" w:cs="Times New Roman" w:eastAsia="Times New Roman" w:hAnsi="Times New Roman"/>
          <w:sz w:val="22"/>
          <w:szCs w:val="22"/>
          <w:color w:val="auto"/>
        </w:rPr>
        <w:t>”), the California Fair Employment and Housing Act, the California Labor Code (including, but not limited to, the Private Attorneys General Act (“</w:t>
      </w:r>
      <w:r>
        <w:rPr>
          <w:rFonts w:ascii="Times New Roman" w:cs="Times New Roman" w:eastAsia="Times New Roman" w:hAnsi="Times New Roman"/>
          <w:sz w:val="22"/>
          <w:szCs w:val="22"/>
          <w:b w:val="1"/>
          <w:bCs w:val="1"/>
          <w:i w:val="1"/>
          <w:iCs w:val="1"/>
          <w:color w:val="auto"/>
        </w:rPr>
        <w:t>PAGA</w:t>
      </w:r>
      <w:r>
        <w:rPr>
          <w:rFonts w:ascii="Times New Roman" w:cs="Times New Roman" w:eastAsia="Times New Roman" w:hAnsi="Times New Roman"/>
          <w:sz w:val="22"/>
          <w:szCs w:val="22"/>
          <w:color w:val="auto"/>
        </w:rPr>
        <w:t>”)), the Ralph Civil Rights Act, the Tom Bane Civil Rights Act, the Unruh Civil Rights Act, the California Business and Professions Code, the California Equal Pay Law, the California Whistleblower Protection Laws, the California Family Rights Act, the California Pregnancy Disability Leave Law, or the California Civil Code, all as amended from time to time and including their respective implementing regulations.</w:t>
      </w:r>
    </w:p>
    <w:p>
      <w:pPr>
        <w:spacing w:after="0" w:line="181"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2.3 You further agree that you will not initiate a PAGA lawsuit against the Company or any of the Released Parties related to your employment or any other action, event, or incident that occurred prior to the Effective Date (as defined below).</w:t>
      </w:r>
    </w:p>
    <w:p>
      <w:pPr>
        <w:spacing w:after="0" w:line="12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Section 1542 Waiver</w:t>
      </w:r>
      <w:r>
        <w:rPr>
          <w:rFonts w:ascii="Times New Roman" w:cs="Times New Roman" w:eastAsia="Times New Roman" w:hAnsi="Times New Roman"/>
          <w:sz w:val="22"/>
          <w:szCs w:val="22"/>
          <w:color w:val="auto"/>
        </w:rPr>
        <w:t>. YOU UNDERSTAND THAT THIS RELEASE INCLUDES A RELEASE OF ALL KNOWN AND UNKNOWN CLAIMS. In giving the release herein, which includes claims which may be unknown to you at present, you acknowledge that you have read and understand Section 1542 of the California Civil Code, which reads as follows:</w:t>
      </w:r>
    </w:p>
    <w:p>
      <w:pPr>
        <w:spacing w:after="0" w:line="182" w:lineRule="exact"/>
        <w:rPr>
          <w:sz w:val="20"/>
          <w:szCs w:val="20"/>
          <w:color w:val="auto"/>
        </w:rPr>
      </w:pPr>
    </w:p>
    <w:p>
      <w:pPr>
        <w:jc w:val="both"/>
        <w:ind w:left="1960" w:right="640"/>
        <w:spacing w:after="0" w:line="258"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You hereby expressly waive and relinquish all rights and benefits under that section and any law of any other jurisdiction of similar effect with respect to your release of any unknown or unsuspected claims herein.</w:t>
      </w:r>
    </w:p>
    <w:p>
      <w:pPr>
        <w:spacing w:after="0" w:line="3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Annex I-2</w:t>
      </w:r>
    </w:p>
    <w:p>
      <w:pPr>
        <w:sectPr>
          <w:pgSz w:w="11900" w:h="16838" w:orient="portrait"/>
          <w:cols w:equalWidth="0" w:num="1">
            <w:col w:w="10920"/>
          </w:cols>
          <w:pgMar w:left="320" w:top="1440" w:right="659" w:bottom="1440" w:gutter="0" w:footer="0" w:header="0"/>
        </w:sectPr>
      </w:pPr>
    </w:p>
    <w:bookmarkStart w:id="135" w:name="page136"/>
    <w:bookmarkEnd w:id="135"/>
    <w:p>
      <w:pPr>
        <w:spacing w:after="0" w:line="10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Excluded Claims</w:t>
      </w:r>
      <w:r>
        <w:rPr>
          <w:rFonts w:ascii="Times New Roman" w:cs="Times New Roman" w:eastAsia="Times New Roman" w:hAnsi="Times New Roman"/>
          <w:sz w:val="22"/>
          <w:szCs w:val="22"/>
          <w:color w:val="auto"/>
        </w:rPr>
        <w:t>. Notwithstanding the foregoing, the following are not included in the Released Claims (“</w:t>
      </w:r>
      <w:r>
        <w:rPr>
          <w:rFonts w:ascii="Times New Roman" w:cs="Times New Roman" w:eastAsia="Times New Roman" w:hAnsi="Times New Roman"/>
          <w:sz w:val="22"/>
          <w:szCs w:val="22"/>
          <w:b w:val="1"/>
          <w:bCs w:val="1"/>
          <w:i w:val="1"/>
          <w:iCs w:val="1"/>
          <w:color w:val="auto"/>
        </w:rPr>
        <w:t>Excluded Claims</w:t>
      </w:r>
      <w:r>
        <w:rPr>
          <w:rFonts w:ascii="Times New Roman" w:cs="Times New Roman" w:eastAsia="Times New Roman" w:hAnsi="Times New Roman"/>
          <w:sz w:val="22"/>
          <w:szCs w:val="22"/>
          <w:color w:val="auto"/>
        </w:rPr>
        <w:t>”): (i) any of the Permitted Disclosures; (ii) any rights or claims for indemnification you may have pursuant to California Labor Code §2802 or any written indemnification agreement with the Company to which you are a party, or under applicable law or the Company’s applicable insurance policies or organizational documents (or any predecessor thereto); (iii) any rights which are not waivable as a matter of law, including, without limitation, your right to file a charge or claim with the Securities and Exchange Commission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the Equal Employment Opportunity Commission (“</w:t>
      </w:r>
      <w:r>
        <w:rPr>
          <w:rFonts w:ascii="Times New Roman" w:cs="Times New Roman" w:eastAsia="Times New Roman" w:hAnsi="Times New Roman"/>
          <w:sz w:val="22"/>
          <w:szCs w:val="22"/>
          <w:b w:val="1"/>
          <w:bCs w:val="1"/>
          <w:i w:val="1"/>
          <w:iCs w:val="1"/>
          <w:color w:val="auto"/>
        </w:rPr>
        <w:t>EEOC</w:t>
      </w:r>
      <w:r>
        <w:rPr>
          <w:rFonts w:ascii="Times New Roman" w:cs="Times New Roman" w:eastAsia="Times New Roman" w:hAnsi="Times New Roman"/>
          <w:sz w:val="22"/>
          <w:szCs w:val="22"/>
          <w:color w:val="auto"/>
        </w:rPr>
        <w:t>”) or any other Government Agency (as defined below), participate in any investigation conducted by such Government Agency or seek or receive a SEC whistleblower award as provided under Section 21F of the Securities Exchange Act of 1934 or any other whistleblower award; (iv) any rights you have to file or pursue a claim for workers’ compensation or unemployment insurance; (v) any benefit entitlements vested as of the Separation Date, pursuant to the written terms of any applicable benefit plan sponsored by the Company; and (vi) any claims for breach of this Release. You hereby represent and warrant that, other than the Excluded Claims, you are not aware of any claims you have or might have against any of the Released Parties that are not included in the Released Claims.</w:t>
      </w:r>
    </w:p>
    <w:p>
      <w:pPr>
        <w:spacing w:after="0" w:line="179" w:lineRule="exact"/>
        <w:rPr>
          <w:sz w:val="20"/>
          <w:szCs w:val="20"/>
          <w:color w:val="auto"/>
        </w:rPr>
      </w:pPr>
    </w:p>
    <w:p>
      <w:pPr>
        <w:jc w:val="both"/>
        <w:ind w:firstLine="656"/>
        <w:spacing w:after="0" w:line="250"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 Not To Sue</w:t>
      </w:r>
      <w:r>
        <w:rPr>
          <w:rFonts w:ascii="Times New Roman" w:cs="Times New Roman" w:eastAsia="Times New Roman" w:hAnsi="Times New Roman"/>
          <w:sz w:val="22"/>
          <w:szCs w:val="22"/>
          <w:color w:val="auto"/>
        </w:rPr>
        <w:t>. A “covenant not to sue” is a legal term which means you promise not to file a lawsuit in court. It is different from the release of claims covered above in this Release. Besides waiving and releasing the claims set forth above, you further agree that you do not have any private civil action against the Company or its affiliates pending in your name and, subject to the Permitted Disclosures, do not intend to bring any private civil action on your own behalf against the Company or its affiliates. If you sue the Company or its affiliates in violation of this covenant, you shall be liable to the Company for its reasonable attorneys’ fees and other costs incurred in defending against such an action. Notwithstanding this covenant not to sue, you may bring a claim against the Company or its affiliates if the claim is excluded from the releases herein.</w:t>
      </w:r>
    </w:p>
    <w:p>
      <w:pPr>
        <w:spacing w:after="0" w:line="17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Subject to the Permitted Disclosures, you acknowledge and reaffirm your continuing obligations under your CIIAA, including your obligations not to use or disclose any confidential or proprietary information of the Company.</w:t>
      </w:r>
    </w:p>
    <w:p>
      <w:pPr>
        <w:spacing w:after="0" w:line="181"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Voluntary Adverse Action</w:t>
      </w:r>
      <w:r>
        <w:rPr>
          <w:rFonts w:ascii="Times New Roman" w:cs="Times New Roman" w:eastAsia="Times New Roman" w:hAnsi="Times New Roman"/>
          <w:sz w:val="22"/>
          <w:szCs w:val="22"/>
          <w:color w:val="auto"/>
        </w:rPr>
        <w:t xml:space="preserve">. Subject to the Permitted Disclosures, you agree that you will not voluntarily provide assistance, information, or advice, directly or indirectly (including through agents or attorneys), to any person or entity in connection with any proposed or pending litigation, arbitration, administrative claim, cause of action, or other formal proceeding of any kind brought against the Company, its parent or subsidiary entities, affiliates, officers, directors, employees, or agents, nor shall you induce or encourage any person or entity to bring any such claims;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you must respond accurately and truthfully to any question, inquiry, or request for information to the extent required by legal process (e.g., a valid subpoena or other similar compulsion of law) or as part of a government investigation.</w:t>
      </w:r>
    </w:p>
    <w:p>
      <w:pPr>
        <w:spacing w:after="0" w:line="2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Annex I-3</w:t>
      </w:r>
    </w:p>
    <w:p>
      <w:pPr>
        <w:sectPr>
          <w:pgSz w:w="11900" w:h="16838" w:orient="portrait"/>
          <w:cols w:equalWidth="0" w:num="1">
            <w:col w:w="10920"/>
          </w:cols>
          <w:pgMar w:left="320" w:top="1440" w:right="659" w:bottom="1440" w:gutter="0" w:footer="0" w:header="0"/>
        </w:sectPr>
      </w:pPr>
    </w:p>
    <w:bookmarkStart w:id="136" w:name="page137"/>
    <w:bookmarkEnd w:id="136"/>
    <w:p>
      <w:pPr>
        <w:spacing w:after="0" w:line="103" w:lineRule="exact"/>
        <w:rPr>
          <w:sz w:val="20"/>
          <w:szCs w:val="20"/>
          <w:color w:val="auto"/>
        </w:rPr>
      </w:pPr>
    </w:p>
    <w:p>
      <w:pPr>
        <w:jc w:val="both"/>
        <w:ind w:left="-656" w:firstLine="656"/>
        <w:spacing w:after="0" w:line="248" w:lineRule="auto"/>
        <w:tabs>
          <w:tab w:leader="none" w:pos="6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Subject to the Permitted Disclosures, you agree to cooperate fully with the Company and its affiliates in connection with its actual or contemplated defense, prosecution, or investigation of any claims or demands by or against third parties, or other matters arising from events, acts, or failures to act that occurred during the period of your employment by or service with the Company or its affiliates, but excluding any claims or demands brought by or on behalf of you against the Company or its affiliates. Such cooperation includes, without limitation, making yourself available to the Company or its affiliates upon reasonable notice, without subpoena, to provide complete, truthful and accurate information in witness interviews, depositions, and trial testimony, executing accurate and truthful documents including declarations, and taking such other acts as may be reasonably requested by the Company and/or its counsel to effectuate the foregoing. The Company will reimburse you for reasonable out-of-pocket expenses you incur in connection with any such cooperation (excluding foregone wages, salary, or other compensation) and will make reasonable efforts to accommodate your scheduling needs.</w:t>
      </w:r>
    </w:p>
    <w:p>
      <w:pPr>
        <w:spacing w:after="0" w:line="175" w:lineRule="exact"/>
        <w:rPr>
          <w:rFonts w:ascii="Times New Roman" w:cs="Times New Roman" w:eastAsia="Times New Roman" w:hAnsi="Times New Roman"/>
          <w:sz w:val="22"/>
          <w:szCs w:val="22"/>
          <w:color w:val="auto"/>
        </w:rPr>
      </w:pPr>
    </w:p>
    <w:p>
      <w:pPr>
        <w:jc w:val="both"/>
        <w:ind w:left="-656" w:firstLine="656"/>
        <w:spacing w:after="0" w:line="250" w:lineRule="auto"/>
        <w:tabs>
          <w:tab w:leader="none" w:pos="6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Admissions</w:t>
      </w:r>
      <w:r>
        <w:rPr>
          <w:rFonts w:ascii="Times New Roman" w:cs="Times New Roman" w:eastAsia="Times New Roman" w:hAnsi="Times New Roman"/>
          <w:sz w:val="22"/>
          <w:szCs w:val="22"/>
          <w:color w:val="auto"/>
        </w:rPr>
        <w:t>. You understand and agree that the promises and payments in consideration of this Release shall not be construed to be an admission of any liability or obligation by the Company to you or to any other person, and that the Company makes no such admission.</w:t>
      </w:r>
    </w:p>
    <w:p>
      <w:pPr>
        <w:spacing w:after="0" w:line="181" w:lineRule="exact"/>
        <w:rPr>
          <w:rFonts w:ascii="Times New Roman" w:cs="Times New Roman" w:eastAsia="Times New Roman" w:hAnsi="Times New Roman"/>
          <w:sz w:val="22"/>
          <w:szCs w:val="22"/>
          <w:color w:val="auto"/>
        </w:rPr>
      </w:pPr>
    </w:p>
    <w:p>
      <w:pPr>
        <w:jc w:val="both"/>
        <w:ind w:left="-656" w:firstLine="656"/>
        <w:spacing w:after="0" w:line="259" w:lineRule="auto"/>
        <w:tabs>
          <w:tab w:leader="none" w:pos="64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YOU AND THE COMPANY AGREE THAT ANY AND ALL DISPUTES ARISING OUT OF YOUR EMPLOYMENT OR SERVICE OR THE TERMINATION THEREOF, THE TERMS OF THIS RELEASE, ITS INTERPRETATION, AND ANY OF THE MATTERS HEREIN RELEASED, SHALL BE SUBJECT TO ARBITRATION IN DELAWARE, BEFORE JUDICIAL ARBITRATION &amp; MEDIATION SERVICES (“</w:t>
      </w:r>
      <w:r>
        <w:rPr>
          <w:rFonts w:ascii="Times New Roman" w:cs="Times New Roman" w:eastAsia="Times New Roman" w:hAnsi="Times New Roman"/>
          <w:sz w:val="21"/>
          <w:szCs w:val="21"/>
          <w:u w:val="single" w:color="auto"/>
          <w:color w:val="auto"/>
        </w:rPr>
        <w:t>JAMS</w:t>
      </w:r>
      <w:r>
        <w:rPr>
          <w:rFonts w:ascii="Times New Roman" w:cs="Times New Roman" w:eastAsia="Times New Roman" w:hAnsi="Times New Roman"/>
          <w:sz w:val="21"/>
          <w:szCs w:val="21"/>
          <w:color w:val="auto"/>
        </w:rPr>
        <w:t>”), PURSUANT TO ITS EMPLOYMENT ARBITRATION RULES &amp; PROCEDURES (“</w:t>
      </w:r>
      <w:r>
        <w:rPr>
          <w:rFonts w:ascii="Times New Roman" w:cs="Times New Roman" w:eastAsia="Times New Roman" w:hAnsi="Times New Roman"/>
          <w:sz w:val="21"/>
          <w:szCs w:val="21"/>
          <w:b w:val="1"/>
          <w:bCs w:val="1"/>
          <w:i w:val="1"/>
          <w:iCs w:val="1"/>
          <w:color w:val="auto"/>
        </w:rPr>
        <w:t>JAMS RULES</w:t>
      </w:r>
      <w:r>
        <w:rPr>
          <w:rFonts w:ascii="Times New Roman" w:cs="Times New Roman" w:eastAsia="Times New Roman" w:hAnsi="Times New Roman"/>
          <w:sz w:val="21"/>
          <w:szCs w:val="21"/>
          <w:color w:val="auto"/>
        </w:rPr>
        <w:t xml:space="preserve">”). THE ARBITRATOR MAY GRANT INJUNCTIONS AND OTHER RELIEF IN SUCH DISPUTES. THE ARBITRATOR SHALL ADMINISTER AND CONDUCT ANY ARBITRATION IN ACCORDANCE WITH THE FEDERAL ARBITRATION ACT. THE DECISION OF THE ARBITRATOR SHALL BE FINAL, CONCLUSIVE, AND BINDING ON THE PARTIES TO THE ARBITRATION. THE PARTIES AGREE THAT THE PREVAILING PARTY IN ANY ARBITRATION SHALL BE ENTITLED TO INJUNCTIVE RELIEF IN ANY COURT OF COMPETENT JURISDICTION TO ENFORCE THE ARBITRATION AWARD. EACH PARTY SHALL SEPARATELY PAY FOR ITS RESPECTIVE COUNSEL FEES AND EXPENSES, THE ARBITRATOR SHALL AWARD ATTORNEYS’ FEES AND COSTS TO THE PREVAILING PARTY, EXCEPT AS PROHIBITED BY LAW. </w:t>
      </w:r>
      <w:r>
        <w:rPr>
          <w:rFonts w:ascii="Times New Roman" w:cs="Times New Roman" w:eastAsia="Times New Roman" w:hAnsi="Times New Roman"/>
          <w:sz w:val="21"/>
          <w:szCs w:val="21"/>
          <w:b w:val="1"/>
          <w:bCs w:val="1"/>
          <w:color w:val="auto"/>
        </w:rPr>
        <w:t>THE PARTIES HEREBY AGREE TO WAIVE THEIR RIGHT TO HAVE ANY DISPUTE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BETWEEN THEM RESOLVED IN A COURT OF LAW BY A JUDGE OR JURY. </w:t>
      </w:r>
      <w:r>
        <w:rPr>
          <w:rFonts w:ascii="Times New Roman" w:cs="Times New Roman" w:eastAsia="Times New Roman" w:hAnsi="Times New Roman"/>
          <w:sz w:val="21"/>
          <w:szCs w:val="21"/>
          <w:color w:val="auto"/>
        </w:rPr>
        <w:t>NOTWITHSTANDING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FOREGOING, THIS SECTION WILL NOT PREVENT EITHER PARTY FROM SEEKING PRELIMINARY INJUNCTIVE RELIEF (OR ANY OTHER PROVISIONAL REMEDY) FROM ANY COURT HAVING JURISDICTION OVER THE PARTIES AND THE SUBJECT MATTER OF THEIR DISPUTE RELATING TO THIS RELEASE AND THE AGREEMENTS INCORPORATED HEREIN BY REFERENCE. SHOULD ANY PART OF THE ARBITRATION AGREEMENT CONTAINED IN THIS PARAGRAPH CONFLICT WITH ANY OTHER ARBITRATION AGREEMENT</w:t>
      </w:r>
    </w:p>
    <w:p>
      <w:pPr>
        <w:ind w:left="4424" w:right="540" w:hanging="5080"/>
        <w:spacing w:after="0" w:line="180" w:lineRule="auto"/>
        <w:rPr>
          <w:sz w:val="20"/>
          <w:szCs w:val="20"/>
          <w:color w:val="auto"/>
        </w:rPr>
      </w:pPr>
      <w:r>
        <w:rPr>
          <w:rFonts w:ascii="Times New Roman" w:cs="Times New Roman" w:eastAsia="Times New Roman" w:hAnsi="Times New Roman"/>
          <w:sz w:val="22"/>
          <w:szCs w:val="22"/>
          <w:color w:val="auto"/>
        </w:rPr>
        <w:t>BETWEEN THE PARTIES, THE PARTIES AGREE THAT THIS ARBITRATION AGREEMENT SHALL GOVERN. Annex I-4</w:t>
      </w:r>
    </w:p>
    <w:p>
      <w:pPr>
        <w:sectPr>
          <w:pgSz w:w="11900" w:h="16838" w:orient="portrait"/>
          <w:cols w:equalWidth="0" w:num="1">
            <w:col w:w="10264"/>
          </w:cols>
          <w:pgMar w:left="976" w:top="1440" w:right="659" w:bottom="1440" w:gutter="0" w:footer="0" w:header="0"/>
        </w:sectPr>
      </w:pPr>
    </w:p>
    <w:bookmarkStart w:id="137" w:name="page138"/>
    <w:bookmarkEnd w:id="137"/>
    <w:p>
      <w:pPr>
        <w:spacing w:after="0" w:line="103" w:lineRule="exact"/>
        <w:rPr>
          <w:sz w:val="20"/>
          <w:szCs w:val="20"/>
          <w:color w:val="auto"/>
        </w:rPr>
      </w:pPr>
    </w:p>
    <w:p>
      <w:pPr>
        <w:jc w:val="both"/>
        <w:ind w:firstLine="656"/>
        <w:spacing w:after="0" w:line="261" w:lineRule="auto"/>
        <w:tabs>
          <w:tab w:leader="none" w:pos="129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Consequences</w:t>
      </w:r>
      <w:r>
        <w:rPr>
          <w:rFonts w:ascii="Times New Roman" w:cs="Times New Roman" w:eastAsia="Times New Roman" w:hAnsi="Times New Roman"/>
          <w:sz w:val="21"/>
          <w:szCs w:val="21"/>
          <w:color w:val="auto"/>
        </w:rPr>
        <w:t>. The Company makes no representations or warranties with respect to the tax consequences of the payments and any other consideration provided to you or made on your behalf under the terms of this Release. The Company will withhold the appropriate federal, state and local taxes and other withholding, as determined by the Company, from any Fees and any other amounts paid under this Release. You agree and understand that you are responsible for payment, if any, of local, state, and/or federal taxes on the payments and any other consideration provided hereunder by the Company and any penalties or assessments thereon. You further agree to indemnify and hold the Company and its affiliates harmless from any claims, demands, deficiencies, penalties, interest, assessments, executions, judgments, or recoveries by any Government Agency against the Company or its affiliates for any amounts claimed due on account of (i) your failure to pay or delayed payment of federal or state taxes, or (ii) damages sustained by the Company or its affiliates by reason of any such claims, including attorneys’ fees and costs. The parties agree that the provisions of the Plan, including Section 7(c) thereof, will be applicable to any and all deferred compensation, as referenced in Section 409A, under this Release.</w:t>
      </w:r>
    </w:p>
    <w:p>
      <w:pPr>
        <w:spacing w:after="0" w:line="175" w:lineRule="exact"/>
        <w:rPr>
          <w:rFonts w:ascii="Times New Roman" w:cs="Times New Roman" w:eastAsia="Times New Roman" w:hAnsi="Times New Roman"/>
          <w:sz w:val="21"/>
          <w:szCs w:val="21"/>
          <w:color w:val="auto"/>
        </w:rPr>
      </w:pPr>
    </w:p>
    <w:p>
      <w:pPr>
        <w:jc w:val="both"/>
        <w:ind w:firstLine="656"/>
        <w:spacing w:after="0" w:line="260" w:lineRule="auto"/>
        <w:tabs>
          <w:tab w:leader="none" w:pos="129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acknowledge and agree that you were presented this Release in conjunction with your agreement to the Consulting Agreement and you have had at least twenty-one (21) days during which to consider the provisions of this Release, although you may sign and return it sooner (but no earlier than the end of the Consulting Term). You agree that any changes to this Release, whether material or immaterial, do not restart the running of the twenty-one (21) day period. You have the right to revoke this Release at any time within the seven (7) day period following the date on which you signed it, by giving written notice to Brian Tomkiel no later than the close of business on the seventh (7th) following the date on which you signed this Release. Subject to you not revoking this Release within the revocation period, this Release shall not become effective or enforceable until the eighth (8th) day following your signing it (the “</w:t>
      </w:r>
      <w:r>
        <w:rPr>
          <w:rFonts w:ascii="Times New Roman" w:cs="Times New Roman" w:eastAsia="Times New Roman" w:hAnsi="Times New Roman"/>
          <w:sz w:val="21"/>
          <w:szCs w:val="21"/>
          <w:b w:val="1"/>
          <w:bCs w:val="1"/>
          <w:i w:val="1"/>
          <w:iCs w:val="1"/>
          <w:color w:val="auto"/>
        </w:rPr>
        <w:t>Release Effective Date</w:t>
      </w:r>
      <w:r>
        <w:rPr>
          <w:rFonts w:ascii="Times New Roman" w:cs="Times New Roman" w:eastAsia="Times New Roman" w:hAnsi="Times New Roman"/>
          <w:sz w:val="21"/>
          <w:szCs w:val="21"/>
          <w:color w:val="auto"/>
        </w:rPr>
        <w:t>”). You have the right to consult with an attorney of your choice concerning the terms and conditions of this Agreement. By signing this Release, you represent and affirm that you have had an opportunity to consult with and be represented by counsel of your choosing in the review of this Release, and if you chose not to consult with an attorney, such decision was a voluntary one. You further represent and affirm that you have carefully read this Release and fully understand its terms and their effect, and that you are knowingly and voluntarily entering into this Release with the intention of being legally bound thereby.</w:t>
      </w:r>
    </w:p>
    <w:p>
      <w:pPr>
        <w:spacing w:after="0" w:line="190" w:lineRule="exact"/>
        <w:rPr>
          <w:rFonts w:ascii="Times New Roman" w:cs="Times New Roman" w:eastAsia="Times New Roman" w:hAnsi="Times New Roman"/>
          <w:sz w:val="21"/>
          <w:szCs w:val="21"/>
          <w:color w:val="auto"/>
        </w:rPr>
      </w:pPr>
    </w:p>
    <w:p>
      <w:pPr>
        <w:ind w:left="1280" w:hanging="624"/>
        <w:spacing w:after="0"/>
        <w:tabs>
          <w:tab w:leader="none" w:pos="12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No Other Compensation or Benefits</w:t>
      </w:r>
      <w:r>
        <w:rPr>
          <w:rFonts w:ascii="Times New Roman" w:cs="Times New Roman" w:eastAsia="Times New Roman" w:hAnsi="Times New Roman"/>
          <w:sz w:val="22"/>
          <w:szCs w:val="22"/>
          <w:color w:val="auto"/>
        </w:rPr>
        <w:t>. You acknowledge that, except as expressly provided in this Release, you did not earn by the date of this Release and will not receive from the Company or its affiliates any additional compensation (e.g., salary, commissions, bonuses or equity), severance or benefits after the Separation Date, with the exception of the compensation and benefits provided pursuant to and subject to the terms of this Consulting Agreement.</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In the event that either you or the Company brings an action to enforce or effect any rights under this Release, the prevailing party shall be entitled to recover its costs and expenses, including the costs of mediation, arbitration, litigation, court fees, and reasonable attorneys’ fees incurred in connection with such an action.</w:t>
      </w:r>
    </w:p>
    <w:p>
      <w:pPr>
        <w:spacing w:after="0" w:line="2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Annex I-5</w:t>
      </w:r>
    </w:p>
    <w:p>
      <w:pPr>
        <w:sectPr>
          <w:pgSz w:w="11900" w:h="16838" w:orient="portrait"/>
          <w:cols w:equalWidth="0" w:num="1">
            <w:col w:w="10920"/>
          </w:cols>
          <w:pgMar w:left="320" w:top="1440" w:right="659" w:bottom="1440" w:gutter="0" w:footer="0" w:header="0"/>
        </w:sectPr>
      </w:pPr>
    </w:p>
    <w:bookmarkStart w:id="138" w:name="page139"/>
    <w:bookmarkEnd w:id="138"/>
    <w:p>
      <w:pPr>
        <w:spacing w:after="0" w:line="1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You hereby represent that you have been paid all compensation owed and for all hours worked, have received all the leave and leave benefits and protections for which you are eligible pursuant to the federal Family and Medical Leave Act, any applicable law or Company policy, and have not suffered any on-the-job injury for which you have not already filed a workers’ compensation claim.</w:t>
      </w:r>
    </w:p>
    <w:p>
      <w:pPr>
        <w:spacing w:after="0" w:line="1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Final and Binding</w:t>
      </w:r>
      <w:r>
        <w:rPr>
          <w:rFonts w:ascii="Times New Roman" w:cs="Times New Roman" w:eastAsia="Times New Roman" w:hAnsi="Times New Roman"/>
          <w:sz w:val="22"/>
          <w:szCs w:val="22"/>
          <w:color w:val="auto"/>
        </w:rPr>
        <w:t>. This Release is binding on the Parties and their heirs, administrators, representatives, executors, successors, and assigns, and will benefit the Parties and their heirs, administrators, representatives, executors, successors, and assigns.</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Plain Meaning</w:t>
      </w:r>
      <w:r>
        <w:rPr>
          <w:rFonts w:ascii="Times New Roman" w:cs="Times New Roman" w:eastAsia="Times New Roman" w:hAnsi="Times New Roman"/>
          <w:sz w:val="22"/>
          <w:szCs w:val="22"/>
          <w:color w:val="auto"/>
        </w:rPr>
        <w:t>. This Release will be interpreted according to its plain meaning, and not strictly for or against you or the Company.</w:t>
      </w:r>
    </w:p>
    <w:p>
      <w:pPr>
        <w:spacing w:after="0" w:line="144"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Your or the Company’s failure to insist on performance of any terms in this Release, or failure to prosecute a breach of this Release, will not be considered a waiver of those terms and conditions, and this Release will remain in full force and effect.</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No Oral Modification</w:t>
      </w:r>
      <w:r>
        <w:rPr>
          <w:rFonts w:ascii="Times New Roman" w:cs="Times New Roman" w:eastAsia="Times New Roman" w:hAnsi="Times New Roman"/>
          <w:sz w:val="22"/>
          <w:szCs w:val="22"/>
          <w:color w:val="auto"/>
        </w:rPr>
        <w:t>. Any change or additional obligation assumed in connection with this Release will be effective only if it is in writing and signed by both Parties or their authorized representatives. Nothing in this Release may be changed, altered, modified, or waived except in a writing that is signed by both of the Parties. This Release, together with the CIIAA, and the RSU Agreement sets forth the entire agreement and understanding of the parties hereto with respect to the matters covered hereby and supersedes and replaces any express or implied prior agreement with respect to the terms of your employment and the termination thereof which you may have had with the Company or any of its affiliates (including, without limitation, the Plan and the Participation Agreement), and except as specifically set forth in this Release, you shall not have any further rights under the Plan or the Participation Agreement.</w:t>
      </w:r>
    </w:p>
    <w:p>
      <w:pPr>
        <w:spacing w:after="0" w:line="16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u w:val="single" w:color="auto"/>
          <w:color w:val="auto"/>
        </w:rPr>
        <w:t>Legal Costs</w:t>
      </w:r>
      <w:r>
        <w:rPr>
          <w:rFonts w:ascii="Times New Roman" w:cs="Times New Roman" w:eastAsia="Times New Roman" w:hAnsi="Times New Roman"/>
          <w:sz w:val="22"/>
          <w:szCs w:val="22"/>
          <w:color w:val="auto"/>
        </w:rPr>
        <w:t>. The Parties are each responsible for their own attorneys’ fees and any other costs that the Parties may incur in connection with this Release, including review of this Release.</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11.9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Release is declared by a court with jurisdiction or an arbitrator to be illegal, unenforceable or void, that part shall be modified, and the rest enforced. If a court (or an arbitrator) finds any such part incapable of being modified, it shall be severed and the rest of this Release enforced.</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11.10 </w:t>
      </w:r>
      <w:r>
        <w:rPr>
          <w:rFonts w:ascii="Times New Roman" w:cs="Times New Roman" w:eastAsia="Times New Roman" w:hAnsi="Times New Roman"/>
          <w:sz w:val="22"/>
          <w:szCs w:val="22"/>
          <w:u w:val="single" w:color="auto"/>
          <w:color w:val="auto"/>
        </w:rPr>
        <w:t>Electronic Signature/Transmission</w:t>
      </w:r>
      <w:r>
        <w:rPr>
          <w:rFonts w:ascii="Times New Roman" w:cs="Times New Roman" w:eastAsia="Times New Roman" w:hAnsi="Times New Roman"/>
          <w:sz w:val="22"/>
          <w:szCs w:val="22"/>
          <w:color w:val="auto"/>
        </w:rPr>
        <w:t>. You acknowledge and agree that this Release may be executed by electronic signature, including, but not limited to, signature by DocuSign or similar service, which shall have the same legal validity and enforceability as a manually executed signature or use of a paper-based recordkeeping system to the fullest extent permitted by applicable law. You hereby waive any objection to the contrary. You understand and agree that without limitation, “electronic signature” shall include electronically scanned and transmitted versions of a signature, including, but not limited to, PDF versions. The Parties further agree that signatures may be delivered by facsimile or electronically and each such signature will be deemed an original.</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11.11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Release may be signed in counterparts, and each counterpart will have the same effect as an original.</w:t>
      </w:r>
    </w:p>
    <w:p>
      <w:pPr>
        <w:spacing w:after="0" w:line="2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Annex I-6</w:t>
      </w:r>
    </w:p>
    <w:p>
      <w:pPr>
        <w:sectPr>
          <w:pgSz w:w="11900" w:h="16838" w:orient="portrait"/>
          <w:cols w:equalWidth="0" w:num="1">
            <w:col w:w="10920"/>
          </w:cols>
          <w:pgMar w:left="320" w:top="1440" w:right="659" w:bottom="1440" w:gutter="0" w:footer="0" w:header="0"/>
        </w:sectPr>
      </w:pPr>
    </w:p>
    <w:bookmarkStart w:id="139" w:name="page140"/>
    <w:bookmarkEnd w:id="139"/>
    <w:p>
      <w:pPr>
        <w:spacing w:after="0" w:line="103" w:lineRule="exact"/>
        <w:rPr>
          <w:sz w:val="20"/>
          <w:szCs w:val="20"/>
          <w:color w:val="auto"/>
        </w:rPr>
      </w:pPr>
    </w:p>
    <w:p>
      <w:pPr>
        <w:jc w:val="both"/>
        <w:ind w:firstLine="656"/>
        <w:spacing w:after="0" w:line="249" w:lineRule="auto"/>
        <w:tabs>
          <w:tab w:leader="none" w:pos="129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Venue</w:t>
      </w:r>
      <w:r>
        <w:rPr>
          <w:rFonts w:ascii="Times New Roman" w:cs="Times New Roman" w:eastAsia="Times New Roman" w:hAnsi="Times New Roman"/>
          <w:sz w:val="22"/>
          <w:szCs w:val="22"/>
          <w:color w:val="auto"/>
        </w:rPr>
        <w:t xml:space="preserve">. This Release shall be construed and enforced in accordance with the laws of the State of Delaware without regard to conflicts of law principles. Without limiting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the Transition Agreement, each of the parties hereto irrevocably consents to the exclusive jurisdiction of the Chancery Court of the State of Delaware in Wilmington, Delaware or the federal courts of the United States located in the State of Delaware, to the extent that the Chancery Court of the State of Delaware cannot exercise jurisdiction over any such matter, in connection with any matter based upon or arising out of this Agreement or the agreements incorporated herein by reference. Pursuant to Section 925(e) of the California Labor Code, you (a) specifically intend to waive any objection to application of Delaware law or to jurisdiction and venue outside of California; and (b) represent that you have been individually represented by William (Bill) Herochik, Esq. in negotiating the terms of this Release and the agreements incorporated by reference herein, including, but not limited to, those terms concerning remedies, governing law, jurisdiction, and venue.</w:t>
      </w:r>
    </w:p>
    <w:p>
      <w:pPr>
        <w:spacing w:after="0" w:line="18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Representations</w:t>
      </w:r>
      <w:r>
        <w:rPr>
          <w:rFonts w:ascii="Times New Roman" w:cs="Times New Roman" w:eastAsia="Times New Roman" w:hAnsi="Times New Roman"/>
          <w:sz w:val="22"/>
          <w:szCs w:val="22"/>
          <w:color w:val="auto"/>
        </w:rPr>
        <w:t>. You acknowledge and represent that: (a) you are not relying upon any statements, understandings, representations, expectations, or agreements other than those expressly set forth in your Consulting Agreement and this Release; (b) you have made your own investigation of the facts and you are relying solely upon your own knowledge; (c) you have read and understand the terms and effect of this Release; and (e) you are knowingly and voluntarily agreeing to all of the terms set forth in this Release and to be bound by this Release. You and the Company stipulate that the Company, in entering into this Release, is relying on these representations and warranties, all of which survive the execution of this Release.</w:t>
      </w:r>
    </w:p>
    <w:p>
      <w:pPr>
        <w:spacing w:after="0" w:line="16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you agree to the terms of this Release, please sign below and return to the Company no earlier than the end of the Consulting Term and no later than five (5) business days following the end of the Consulting Term. Following the Release Effective Date, this Release will become our binding agreement.</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Annex I-7</w:t>
      </w:r>
    </w:p>
    <w:p>
      <w:pPr>
        <w:sectPr>
          <w:pgSz w:w="11900" w:h="16838" w:orient="portrait"/>
          <w:cols w:equalWidth="0" w:num="1">
            <w:col w:w="10920"/>
          </w:cols>
          <w:pgMar w:left="320" w:top="1440" w:right="659" w:bottom="1440" w:gutter="0" w:footer="0" w:header="0"/>
        </w:sectPr>
      </w:pPr>
    </w:p>
    <w:bookmarkStart w:id="140" w:name="page141"/>
    <w:bookmarkEnd w:id="140"/>
    <w:p>
      <w:pPr>
        <w:ind w:right="200"/>
        <w:spacing w:after="0" w:line="262" w:lineRule="auto"/>
        <w:rPr>
          <w:sz w:val="20"/>
          <w:szCs w:val="20"/>
          <w:color w:val="auto"/>
        </w:rPr>
      </w:pPr>
      <w:r>
        <w:rPr>
          <w:rFonts w:ascii="Times New Roman" w:cs="Times New Roman" w:eastAsia="Times New Roman" w:hAnsi="Times New Roman"/>
          <w:sz w:val="22"/>
          <w:szCs w:val="22"/>
          <w:b w:val="1"/>
          <w:bCs w:val="1"/>
          <w:color w:val="auto"/>
        </w:rPr>
        <w:t>PLEASE READ CAREFULLY. THIS AGREEMENT INCLUDES A RELEASE OF ALL KNOWN AND UNKNOWN CLAIMS.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and signed as of the date last signed below.</w:t>
      </w:r>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283"/>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By:</w:t>
            </w:r>
          </w:p>
        </w:tc>
        <w:tc>
          <w:tcPr>
            <w:tcW w:w="27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By:</w:t>
            </w:r>
          </w:p>
        </w:tc>
        <w:tc>
          <w:tcPr>
            <w:tcW w:w="2800" w:type="dxa"/>
            <w:vAlign w:val="bottom"/>
            <w:tcBorders>
              <w:bottom w:val="single" w:sz="8" w:color="auto"/>
            </w:tcBorders>
          </w:tcPr>
          <w:p>
            <w:pPr>
              <w:spacing w:after="0"/>
              <w:rPr>
                <w:sz w:val="24"/>
                <w:szCs w:val="24"/>
                <w:color w:val="auto"/>
              </w:rPr>
            </w:pPr>
          </w:p>
        </w:tc>
      </w:tr>
      <w:tr>
        <w:trPr>
          <w:trHeight w:val="278"/>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Peter Rawlinson</w:t>
            </w:r>
          </w:p>
        </w:tc>
        <w:tc>
          <w:tcPr>
            <w:tcW w:w="27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22"/>
                <w:szCs w:val="22"/>
                <w:i w:val="1"/>
                <w:iCs w:val="1"/>
                <w:color w:val="auto"/>
              </w:rPr>
              <w:t>(Date)</w:t>
            </w:r>
          </w:p>
        </w:tc>
        <w:tc>
          <w:tcPr>
            <w:tcW w:w="280" w:type="dxa"/>
            <w:vAlign w:val="bottom"/>
          </w:tcPr>
          <w:p>
            <w:pPr>
              <w:spacing w:after="0"/>
              <w:rPr>
                <w:sz w:val="24"/>
                <w:szCs w:val="24"/>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Lucid USA, Inc.</w:t>
            </w:r>
          </w:p>
        </w:tc>
        <w:tc>
          <w:tcPr>
            <w:tcW w:w="28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22"/>
                <w:szCs w:val="22"/>
                <w:i w:val="1"/>
                <w:iCs w:val="1"/>
                <w:color w:val="auto"/>
              </w:rPr>
              <w:t>(Date)</w:t>
            </w:r>
          </w:p>
        </w:tc>
      </w:tr>
      <w:tr>
        <w:trPr>
          <w:trHeight w:val="250"/>
        </w:trPr>
        <w:tc>
          <w:tcPr>
            <w:tcW w:w="260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Annex I-8</w:t>
      </w:r>
    </w:p>
    <w:p>
      <w:pPr>
        <w:sectPr>
          <w:pgSz w:w="11900" w:h="16838" w:orient="portrait"/>
          <w:cols w:equalWidth="0" w:num="1">
            <w:col w:w="11140"/>
          </w:cols>
          <w:pgMar w:left="320" w:top="1390" w:right="4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color w:val="auto"/>
        </w:rPr>
        <w:t>EXHIBIT 10.3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21, 2025</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 Winterhoff</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Interim CEO Role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Marc,</w:t>
      </w:r>
    </w:p>
    <w:p>
      <w:pPr>
        <w:spacing w:after="0" w:line="140"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2"/>
          <w:szCs w:val="22"/>
          <w:color w:val="auto"/>
        </w:rPr>
        <w:t>On behalf of the Board of Directors (the “</w:t>
      </w:r>
      <w:r>
        <w:rPr>
          <w:rFonts w:ascii="Times New Roman" w:cs="Times New Roman" w:eastAsia="Times New Roman" w:hAnsi="Times New Roman"/>
          <w:sz w:val="22"/>
          <w:szCs w:val="22"/>
          <w:i w:val="1"/>
          <w:iCs w:val="1"/>
          <w:color w:val="auto"/>
        </w:rPr>
        <w:t>Board</w:t>
      </w:r>
      <w:r>
        <w:rPr>
          <w:rFonts w:ascii="Times New Roman" w:cs="Times New Roman" w:eastAsia="Times New Roman" w:hAnsi="Times New Roman"/>
          <w:sz w:val="22"/>
          <w:szCs w:val="22"/>
          <w:color w:val="auto"/>
        </w:rPr>
        <w:t>”) of Lucid Group, Inc. (“</w:t>
      </w:r>
      <w:r>
        <w:rPr>
          <w:rFonts w:ascii="Times New Roman" w:cs="Times New Roman" w:eastAsia="Times New Roman" w:hAnsi="Times New Roman"/>
          <w:sz w:val="22"/>
          <w:szCs w:val="22"/>
          <w:i w:val="1"/>
          <w:iCs w:val="1"/>
          <w:color w:val="auto"/>
        </w:rPr>
        <w:t>Lucid</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I am happy to let you know that the Board requests that you step into the role of Interim Chief Executive Officer of the Company, effective close of business today.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Upon your acceptance of this interim role, your employment package will change in the following ways:</w:t>
      </w:r>
    </w:p>
    <w:p>
      <w:pPr>
        <w:spacing w:after="0" w:line="139"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stipend: You will receive $20,000/month for each month or partial month that you serve in this role</w:t>
      </w:r>
    </w:p>
    <w:p>
      <w:pPr>
        <w:spacing w:after="0" w:line="30" w:lineRule="exact"/>
        <w:rPr>
          <w:rFonts w:ascii="Times New Roman" w:cs="Times New Roman" w:eastAsia="Times New Roman" w:hAnsi="Times New Roman"/>
          <w:sz w:val="22"/>
          <w:szCs w:val="22"/>
          <w:color w:val="auto"/>
        </w:rPr>
      </w:pPr>
    </w:p>
    <w:p>
      <w:pPr>
        <w:ind w:left="660" w:right="220" w:hanging="328"/>
        <w:spacing w:after="0" w:line="247" w:lineRule="auto"/>
        <w:tabs>
          <w:tab w:leader="none" w:pos="65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RSU award: You will receive a Restricted Stock Award of $4,000,000, granted today. This RSU award will be converted to shares using today’s 30-day volume weighted average stock price of LCID and will vest quarterly over the next 16 quarters on Company Vesting Dates (March 5, June 5, September 5, December 5), with the first such vest occurring on March 5, 2025. This RSU award will fully accelerate in the event of certain types of employment termination under the terms of Lucid’s Executive Severance Program. You will receive your RSU award documentation with other important details under a separate cover.</w:t>
      </w:r>
    </w:p>
    <w:p>
      <w:pPr>
        <w:spacing w:after="0" w:line="3" w:lineRule="exact"/>
        <w:rPr>
          <w:rFonts w:ascii="Times New Roman" w:cs="Times New Roman" w:eastAsia="Times New Roman" w:hAnsi="Times New Roman"/>
          <w:sz w:val="22"/>
          <w:szCs w:val="22"/>
          <w:color w:val="auto"/>
        </w:rPr>
      </w:pPr>
    </w:p>
    <w:p>
      <w:pPr>
        <w:ind w:left="660" w:right="220" w:hanging="328"/>
        <w:spacing w:after="0" w:line="251" w:lineRule="auto"/>
        <w:tabs>
          <w:tab w:leader="none" w:pos="65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Severance Commitment: Your eligibility under Lucid’s Executive Severance Program for 9 months’ base pay and 9 months’ benefits under certain types of employment termination will increase to 12 months’ base pay and 12 months’ benefits.</w:t>
      </w:r>
    </w:p>
    <w:p>
      <w:pPr>
        <w:spacing w:after="0" w:line="1" w:lineRule="exact"/>
        <w:rPr>
          <w:rFonts w:ascii="Times New Roman" w:cs="Times New Roman" w:eastAsia="Times New Roman" w:hAnsi="Times New Roman"/>
          <w:sz w:val="22"/>
          <w:szCs w:val="22"/>
          <w:color w:val="auto"/>
        </w:rPr>
      </w:pPr>
    </w:p>
    <w:p>
      <w:pPr>
        <w:ind w:left="660" w:right="560" w:hanging="328"/>
        <w:spacing w:after="0" w:line="257" w:lineRule="auto"/>
        <w:tabs>
          <w:tab w:leader="none" w:pos="65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Home and personal security: An evaluation of your home and your travel &amp; local movements will be evaluated by a third-party security firm; as warranted, you will receive Lucid’s support to install or otherwise address security enhancements.</w:t>
      </w:r>
    </w:p>
    <w:p>
      <w:pPr>
        <w:spacing w:after="0" w:line="10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2"/>
          <w:szCs w:val="22"/>
          <w:color w:val="auto"/>
        </w:rPr>
        <w:t>Unless superseded by the above, your compensation and benefits and all other terms and conditions of your employment, including all other terms in your offer letter dated November 7, 2023 and those set forth in your Confidential Information and Invention Assignment Agreement, will remain in place. In addition, you will remain eligible for the Company’s annual employee equity refresh in Spring 2025.</w:t>
      </w:r>
    </w:p>
    <w:p>
      <w:pPr>
        <w:spacing w:after="0" w:line="112"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22"/>
          <w:szCs w:val="22"/>
          <w:color w:val="auto"/>
        </w:rPr>
        <w:t>You acknowledge and agree that upon the time you cease to serve as the Interim CEO, the return to your Chief Operating Officer role will not constitute Constructive Termination under the terms of Lucid’s Executive Severance Program.</w:t>
      </w:r>
    </w:p>
    <w:p>
      <w:pPr>
        <w:spacing w:after="0" w:line="104"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22"/>
          <w:szCs w:val="22"/>
          <w:color w:val="auto"/>
        </w:rPr>
        <w:t>Thank you for your support of Lucid at this time. The Board has expressed great confidence in your ability to serve in this enhanced role for Lucid. I feel the same.</w:t>
      </w:r>
    </w:p>
    <w:p>
      <w:pPr>
        <w:sectPr>
          <w:pgSz w:w="11900" w:h="16838" w:orient="portrait"/>
          <w:cols w:equalWidth="0" w:num="1">
            <w:col w:w="11240"/>
          </w:cols>
          <w:pgMar w:left="320" w:top="594" w:right="339" w:bottom="1440" w:gutter="0" w:footer="0" w:header="0"/>
        </w:sectPr>
      </w:pPr>
    </w:p>
    <w:bookmarkStart w:id="142" w:name="page143"/>
    <w:bookmarkEnd w:id="142"/>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Gale Halsey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0801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Gale Halsey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Senior Vice President, People and EHS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Marc Winterhoff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0801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 Winterhoff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Operating Officer</w:t>
      </w:r>
    </w:p>
    <w:p>
      <w:pPr>
        <w:sectPr>
          <w:pgSz w:w="11900" w:h="16838" w:orient="portrait"/>
          <w:cols w:equalWidth="0" w:num="1">
            <w:col w:w="10139"/>
          </w:cols>
          <w:pgMar w:left="320" w:top="1440" w:right="1440"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Winterhoff, certify that:</w:t>
      </w:r>
    </w:p>
    <w:p>
      <w:pPr>
        <w:spacing w:after="0" w:line="117"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Lucid Group,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Winterhoff</w:t>
            </w:r>
          </w:p>
        </w:tc>
      </w:tr>
      <w:tr>
        <w:trPr>
          <w:trHeight w:val="218"/>
        </w:trPr>
        <w:tc>
          <w:tcPr>
            <w:tcW w:w="5960" w:type="dxa"/>
            <w:vAlign w:val="bottom"/>
          </w:tcPr>
          <w:p>
            <w:pPr>
              <w:spacing w:after="0"/>
              <w:rPr>
                <w:sz w:val="18"/>
                <w:szCs w:val="18"/>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 Winterhoff</w:t>
            </w:r>
          </w:p>
        </w:tc>
      </w:tr>
      <w:tr>
        <w:trPr>
          <w:trHeight w:val="230"/>
        </w:trPr>
        <w:tc>
          <w:tcPr>
            <w:tcW w:w="596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34"/>
        </w:trPr>
        <w:tc>
          <w:tcPr>
            <w:tcW w:w="596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35"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Taoufiq Boussaid, certify that:</w:t>
      </w:r>
    </w:p>
    <w:p>
      <w:pPr>
        <w:spacing w:after="0" w:line="117"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Lucid Group,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Taoufiq Boussaid</w:t>
            </w:r>
          </w:p>
        </w:tc>
      </w:tr>
      <w:tr>
        <w:trPr>
          <w:trHeight w:val="218"/>
        </w:trPr>
        <w:tc>
          <w:tcPr>
            <w:tcW w:w="59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Taoufiq Boussaid</w:t>
            </w:r>
          </w:p>
        </w:tc>
      </w:tr>
      <w:tr>
        <w:trPr>
          <w:trHeight w:val="229"/>
        </w:trPr>
        <w:tc>
          <w:tcPr>
            <w:tcW w:w="596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96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035"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 (FURNISHED HEREWITH)</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 Marc Winterhoff, Interim Chief Executive Officer of Lucid Group, Inc. (the “Company”), certify, as of the date hereof and solely for purposes of and pursuant to 18 U.S.C. Section 1350 as adopted pursuant to Section 906 of the Sarbanes-Oxley Act of 2002, that, to my knowledge:</w:t>
      </w:r>
    </w:p>
    <w:p>
      <w:pPr>
        <w:spacing w:after="0" w:line="54" w:lineRule="exact"/>
        <w:rPr>
          <w:sz w:val="20"/>
          <w:szCs w:val="20"/>
          <w:color w:val="auto"/>
        </w:rPr>
      </w:pPr>
    </w:p>
    <w:p>
      <w:pPr>
        <w:ind w:left="820" w:hanging="326"/>
        <w:spacing w:after="0" w:line="282" w:lineRule="auto"/>
        <w:tabs>
          <w:tab w:leader="none" w:pos="81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2025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Winterhoff</w:t>
            </w:r>
          </w:p>
        </w:tc>
      </w:tr>
      <w:tr>
        <w:trPr>
          <w:trHeight w:val="218"/>
        </w:trPr>
        <w:tc>
          <w:tcPr>
            <w:tcW w:w="5960" w:type="dxa"/>
            <w:vAlign w:val="bottom"/>
          </w:tcPr>
          <w:p>
            <w:pPr>
              <w:spacing w:after="0"/>
              <w:rPr>
                <w:sz w:val="18"/>
                <w:szCs w:val="18"/>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 Winterhoff</w:t>
            </w:r>
          </w:p>
        </w:tc>
      </w:tr>
      <w:tr>
        <w:trPr>
          <w:trHeight w:val="229"/>
        </w:trPr>
        <w:tc>
          <w:tcPr>
            <w:tcW w:w="596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34"/>
        </w:trPr>
        <w:tc>
          <w:tcPr>
            <w:tcW w:w="596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35"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 (FURNISHED HEREWITH)</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 Taoufiq Boussaid, Chief Financial Officer of Lucid Group, Inc. (the “Company”), certify, as of the date hereof and solely for purposes of and pursuant to 18 U.S.C. Section 1350 as adopted pursuant to Section 906 of the Sarbanes-Oxley Act of 2002, that, to my knowledge:</w:t>
      </w:r>
    </w:p>
    <w:p>
      <w:pPr>
        <w:spacing w:after="0" w:line="54" w:lineRule="exact"/>
        <w:rPr>
          <w:sz w:val="20"/>
          <w:szCs w:val="20"/>
          <w:color w:val="auto"/>
        </w:rPr>
      </w:pPr>
    </w:p>
    <w:p>
      <w:pPr>
        <w:ind w:left="820" w:hanging="326"/>
        <w:spacing w:after="0" w:line="282" w:lineRule="auto"/>
        <w:tabs>
          <w:tab w:leader="none" w:pos="81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2025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Taoufiq Boussaid</w:t>
            </w:r>
          </w:p>
        </w:tc>
      </w:tr>
      <w:tr>
        <w:trPr>
          <w:trHeight w:val="218"/>
        </w:trPr>
        <w:tc>
          <w:tcPr>
            <w:tcW w:w="59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Taoufiq Boussaid</w:t>
            </w:r>
          </w:p>
        </w:tc>
      </w:tr>
      <w:tr>
        <w:trPr>
          <w:trHeight w:val="229"/>
        </w:trPr>
        <w:tc>
          <w:tcPr>
            <w:tcW w:w="596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96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D4ED43B"/>
    <w:multiLevelType w:val="hybridMultilevel"/>
    <w:lvl w:ilvl="0">
      <w:lvlJc w:val="left"/>
      <w:lvlText w:val="x"/>
      <w:numFmt w:val="bullet"/>
      <w:start w:val="1"/>
    </w:lvl>
  </w:abstractNum>
  <w:abstractNum w:abstractNumId="1">
    <w:nsid w:val="725A06FB"/>
    <w:multiLevelType w:val="hybridMultilevel"/>
    <w:lvl w:ilvl="0">
      <w:lvlJc w:val="left"/>
      <w:lvlText w:val="o"/>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1)"/>
      <w:numFmt w:val="decimal"/>
      <w:start w:val="1"/>
    </w:lvl>
  </w:abstractNum>
  <w:abstractNum w:abstractNumId="5">
    <w:nsid w:val="4B588F54"/>
    <w:multiLevelType w:val="hybridMultilevel"/>
    <w:lvl w:ilvl="0">
      <w:lvlJc w:val="left"/>
      <w:lvlText w:val="(%1)"/>
      <w:numFmt w:val="decimal"/>
      <w:start w:val="1"/>
    </w:lvl>
  </w:abstractNum>
  <w:abstractNum w:abstractNumId="6">
    <w:nsid w:val="542289EC"/>
    <w:multiLevelType w:val="hybridMultilevel"/>
    <w:lvl w:ilvl="0">
      <w:lvlJc w:val="left"/>
      <w:lvlText w:val="(%1)"/>
      <w:numFmt w:val="decimal"/>
      <w:start w:val="1"/>
    </w:lvl>
  </w:abstractNum>
  <w:abstractNum w:abstractNumId="7">
    <w:nsid w:val="6DE91B18"/>
    <w:multiLevelType w:val="hybridMultilevel"/>
    <w:lvl w:ilvl="0">
      <w:lvlJc w:val="left"/>
      <w:lvlText w:val="(%1)"/>
      <w:numFmt w:val="decimal"/>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1)"/>
      <w:numFmt w:val="decimal"/>
      <w:start w:val="1"/>
    </w:lvl>
  </w:abstractNum>
  <w:abstractNum w:abstractNumId="10">
    <w:nsid w:val="32FFF902"/>
    <w:multiLevelType w:val="hybridMultilevel"/>
    <w:lvl w:ilvl="0">
      <w:lvlJc w:val="left"/>
      <w:lvlText w:val="(%1)"/>
      <w:numFmt w:val="decimal"/>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1)"/>
      <w:numFmt w:val="lowerRoman"/>
      <w:start w:val="2"/>
    </w:lvl>
  </w:abstractNum>
  <w:abstractNum w:abstractNumId="14">
    <w:nsid w:val="3DC240FB"/>
    <w:multiLevelType w:val="hybridMultilevel"/>
    <w:lvl w:ilvl="0">
      <w:lvlJc w:val="left"/>
      <w:lvlText w:val="(%1)"/>
      <w:numFmt w:val="decimal"/>
      <w:start w:val="1"/>
    </w:lvl>
  </w:abstractNum>
  <w:abstractNum w:abstractNumId="15">
    <w:nsid w:val="1BA026FA"/>
    <w:multiLevelType w:val="hybridMultilevel"/>
    <w:lvl w:ilvl="0">
      <w:lvlJc w:val="left"/>
      <w:lvlText w:val="(%1)"/>
      <w:numFmt w:val="decimal"/>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1)"/>
      <w:numFmt w:val="decimal"/>
      <w:start w:val="1"/>
    </w:lvl>
  </w:abstractNum>
  <w:abstractNum w:abstractNumId="40">
    <w:nsid w:val="579BE4F1"/>
    <w:multiLevelType w:val="hybridMultilevel"/>
    <w:lvl w:ilvl="0">
      <w:lvlJc w:val="left"/>
      <w:lvlText w:val="(%1)"/>
      <w:numFmt w:val="decimal"/>
      <w:start w:val="2"/>
    </w:lvl>
  </w:abstractNum>
  <w:abstractNum w:abstractNumId="41">
    <w:nsid w:val="310C50B3"/>
    <w:multiLevelType w:val="hybridMultilevel"/>
    <w:lvl w:ilvl="0">
      <w:lvlJc w:val="left"/>
      <w:lvlText w:val="(%1)"/>
      <w:numFmt w:val="upperLetter"/>
      <w:start w:val="3"/>
    </w:lvl>
  </w:abstractNum>
  <w:abstractNum w:abstractNumId="42">
    <w:nsid w:val="5FF87E05"/>
    <w:multiLevelType w:val="hybridMultilevel"/>
    <w:lvl w:ilvl="0">
      <w:lvlJc w:val="left"/>
      <w:lvlText w:val="(%1)"/>
      <w:numFmt w:val="lowerRoman"/>
      <w:start w:val="3"/>
    </w:lvl>
  </w:abstractNum>
  <w:abstractNum w:abstractNumId="43">
    <w:nsid w:val="2F305DEF"/>
    <w:multiLevelType w:val="hybridMultilevel"/>
    <w:lvl w:ilvl="0">
      <w:lvlJc w:val="left"/>
      <w:lvlText w:val="(%1)"/>
      <w:numFmt w:val="lowerLetter"/>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1)"/>
      <w:numFmt w:val="lowerLetter"/>
      <w:start w:val="1"/>
    </w:lvl>
  </w:abstractNum>
  <w:abstractNum w:abstractNumId="46">
    <w:nsid w:val="4AD084E9"/>
    <w:multiLevelType w:val="hybridMultilevel"/>
    <w:lvl w:ilvl="0">
      <w:lvlJc w:val="left"/>
      <w:lvlText w:val="%1."/>
      <w:numFmt w:val="decimal"/>
      <w:start w:val="2"/>
    </w:lvl>
  </w:abstractNum>
  <w:abstractNum w:abstractNumId="47">
    <w:nsid w:val="1F48EAA1"/>
    <w:multiLevelType w:val="hybridMultilevel"/>
    <w:lvl w:ilvl="0">
      <w:lvlJc w:val="left"/>
      <w:lvlText w:val="(%1)"/>
      <w:numFmt w:val="lowerLetter"/>
      <w:start w:val="1"/>
    </w:lvl>
  </w:abstractNum>
  <w:abstractNum w:abstractNumId="48">
    <w:nsid w:val="1381823A"/>
    <w:multiLevelType w:val="hybridMultilevel"/>
    <w:lvl w:ilvl="0">
      <w:lvlJc w:val="left"/>
      <w:lvlText w:val="(%1)"/>
      <w:numFmt w:val="lowerLetter"/>
      <w:start w:val="4"/>
    </w:lvl>
  </w:abstractNum>
  <w:abstractNum w:abstractNumId="49">
    <w:nsid w:val="5DB70AE5"/>
    <w:multiLevelType w:val="hybridMultilevel"/>
    <w:lvl w:ilvl="0">
      <w:lvlJc w:val="left"/>
      <w:lvlText w:val="(%1)"/>
      <w:numFmt w:val="lowerLetter"/>
      <w:start w:val="5"/>
    </w:lvl>
  </w:abstractNum>
  <w:abstractNum w:abstractNumId="50">
    <w:nsid w:val="100F8FCA"/>
    <w:multiLevelType w:val="hybridMultilevel"/>
    <w:lvl w:ilvl="0">
      <w:lvlJc w:val="left"/>
      <w:lvlText w:val="%1."/>
      <w:numFmt w:val="decimal"/>
      <w:start w:val="4"/>
    </w:lvl>
  </w:abstractNum>
  <w:abstractNum w:abstractNumId="51">
    <w:nsid w:val="6590700B"/>
    <w:multiLevelType w:val="hybridMultilevel"/>
    <w:lvl w:ilvl="0">
      <w:lvlJc w:val="left"/>
      <w:lvlText w:val="%1."/>
      <w:numFmt w:val="decimal"/>
      <w:start w:val="6"/>
    </w:lvl>
  </w:abstractNum>
  <w:abstractNum w:abstractNumId="52">
    <w:nsid w:val="15014ACB"/>
    <w:multiLevelType w:val="hybridMultilevel"/>
    <w:lvl w:ilvl="0">
      <w:lvlJc w:val="left"/>
      <w:lvlText w:val="%1."/>
      <w:numFmt w:val="decimal"/>
      <w:start w:val="10"/>
    </w:lvl>
  </w:abstractNum>
  <w:abstractNum w:abstractNumId="53">
    <w:nsid w:val="5F5E7FD0"/>
    <w:multiLevelType w:val="hybridMultilevel"/>
    <w:lvl w:ilvl="0">
      <w:lvlJc w:val="left"/>
      <w:lvlText w:val="(%1)"/>
      <w:numFmt w:val="lowerLetter"/>
      <w:start w:val="1"/>
    </w:lvl>
  </w:abstractNum>
  <w:abstractNum w:abstractNumId="54">
    <w:nsid w:val="98A3148"/>
    <w:multiLevelType w:val="hybridMultilevel"/>
    <w:lvl w:ilvl="0">
      <w:lvlJc w:val="left"/>
      <w:lvlText w:val="%1."/>
      <w:numFmt w:val="decimal"/>
      <w:start w:val="12"/>
    </w:lvl>
  </w:abstractNum>
  <w:abstractNum w:abstractNumId="55">
    <w:nsid w:val="799D0247"/>
    <w:multiLevelType w:val="hybridMultilevel"/>
    <w:lvl w:ilvl="0">
      <w:lvlJc w:val="left"/>
      <w:lvlText w:val="%1."/>
      <w:numFmt w:val="decimal"/>
      <w:start w:val="13"/>
    </w:lvl>
  </w:abstractNum>
  <w:abstractNum w:abstractNumId="56">
    <w:nsid w:val="6B94764"/>
    <w:multiLevelType w:val="hybridMultilevel"/>
    <w:lvl w:ilvl="0">
      <w:lvlJc w:val="left"/>
      <w:lvlText w:val="%1."/>
      <w:numFmt w:val="decimal"/>
      <w:start w:val="17"/>
    </w:lvl>
  </w:abstractNum>
  <w:abstractNum w:abstractNumId="57">
    <w:nsid w:val="42C296BD"/>
    <w:multiLevelType w:val="hybridMultilevel"/>
    <w:lvl w:ilvl="0">
      <w:lvlJc w:val="left"/>
      <w:lvlText w:val="%1."/>
      <w:numFmt w:val="decimal"/>
      <w:start w:val="1"/>
    </w:lvl>
    <w:lvl w:ilvl="1">
      <w:lvlJc w:val="left"/>
      <w:lvlText w:val="(%2)"/>
      <w:numFmt w:val="lowerLetter"/>
      <w:start w:val="1"/>
    </w:lvl>
  </w:abstractNum>
  <w:abstractNum w:abstractNumId="58">
    <w:nsid w:val="168E121F"/>
    <w:multiLevelType w:val="hybridMultilevel"/>
    <w:lvl w:ilvl="0">
      <w:lvlJc w:val="left"/>
      <w:lvlText w:val="%1"/>
      <w:numFmt w:val="lowerLetter"/>
      <w:start w:val="1"/>
    </w:lvl>
    <w:lvl w:ilvl="1">
      <w:lvlJc w:val="left"/>
      <w:lvlText w:val="(%2)"/>
      <w:numFmt w:val="lowerLetter"/>
      <w:start w:val="2"/>
    </w:lvl>
  </w:abstractNum>
  <w:abstractNum w:abstractNumId="59">
    <w:nsid w:val="1EBA5D23"/>
    <w:multiLevelType w:val="hybridMultilevel"/>
    <w:lvl w:ilvl="0">
      <w:lvlJc w:val="left"/>
      <w:lvlText w:val="(%1)"/>
      <w:numFmt w:val="lowerLetter"/>
      <w:start w:val="9"/>
    </w:lvl>
    <w:lvl w:ilvl="1">
      <w:lvlJc w:val="left"/>
      <w:lvlText w:val="%2"/>
      <w:numFmt w:val="lowerLetter"/>
      <w:start w:val="1"/>
    </w:lvl>
  </w:abstractNum>
  <w:abstractNum w:abstractNumId="60">
    <w:nsid w:val="661E3F1E"/>
    <w:multiLevelType w:val="hybridMultilevel"/>
    <w:lvl w:ilvl="0">
      <w:lvlJc w:val="left"/>
      <w:lvlText w:val="%1."/>
      <w:numFmt w:val="decimal"/>
      <w:start w:val="3"/>
    </w:lvl>
  </w:abstractNum>
  <w:abstractNum w:abstractNumId="61">
    <w:nsid w:val="5DC79EA8"/>
    <w:multiLevelType w:val="hybridMultilevel"/>
    <w:lvl w:ilvl="0">
      <w:lvlJc w:val="left"/>
      <w:lvlText w:val="(%1)"/>
      <w:numFmt w:val="lowerLetter"/>
      <w:start w:val="1"/>
    </w:lvl>
    <w:lvl w:ilvl="1">
      <w:lvlJc w:val="left"/>
      <w:lvlText w:val="%2."/>
      <w:numFmt w:val="lowerRoman"/>
      <w:start w:val="1"/>
    </w:lvl>
  </w:abstractNum>
  <w:abstractNum w:abstractNumId="62">
    <w:nsid w:val="540A471C"/>
    <w:multiLevelType w:val="hybridMultilevel"/>
    <w:lvl w:ilvl="0">
      <w:lvlJc w:val="left"/>
      <w:lvlText w:val="%1."/>
      <w:numFmt w:val="lowerRoman"/>
      <w:start w:val="3"/>
    </w:lvl>
    <w:lvl w:ilvl="1">
      <w:lvlJc w:val="left"/>
      <w:lvlText w:val="(%2)"/>
      <w:numFmt w:val="lowerRoman"/>
      <w:start w:val="2"/>
    </w:lvl>
  </w:abstractNum>
  <w:abstractNum w:abstractNumId="63">
    <w:nsid w:val="7BD3EE7B"/>
    <w:multiLevelType w:val="hybridMultilevel"/>
    <w:lvl w:ilvl="0">
      <w:lvlJc w:val="left"/>
      <w:lvlText w:val="%1."/>
      <w:numFmt w:val="lowerRoman"/>
      <w:start w:val="7"/>
    </w:lvl>
  </w:abstractNum>
  <w:abstractNum w:abstractNumId="64">
    <w:nsid w:val="51D9C564"/>
    <w:multiLevelType w:val="hybridMultilevel"/>
    <w:lvl w:ilvl="0">
      <w:lvlJc w:val="left"/>
      <w:lvlText w:val="(%1)"/>
      <w:numFmt w:val="lowerLetter"/>
      <w:start w:val="2"/>
    </w:lvl>
  </w:abstractNum>
  <w:abstractNum w:abstractNumId="65">
    <w:nsid w:val="613EFDC5"/>
    <w:multiLevelType w:val="hybridMultilevel"/>
    <w:lvl w:ilvl="0">
      <w:lvlJc w:val="left"/>
      <w:lvlText w:val="%1."/>
      <w:numFmt w:val="decimal"/>
      <w:start w:val="4"/>
    </w:lvl>
  </w:abstractNum>
  <w:abstractNum w:abstractNumId="66">
    <w:nsid w:val="BF72B14"/>
    <w:multiLevelType w:val="hybridMultilevel"/>
    <w:lvl w:ilvl="0">
      <w:lvlJc w:val="left"/>
      <w:lvlText w:val="(%1)"/>
      <w:numFmt w:val="lowerLetter"/>
      <w:start w:val="1"/>
    </w:lvl>
  </w:abstractNum>
  <w:abstractNum w:abstractNumId="67">
    <w:nsid w:val="11447B73"/>
    <w:multiLevelType w:val="hybridMultilevel"/>
    <w:lvl w:ilvl="0">
      <w:lvlJc w:val="left"/>
      <w:lvlText w:val="%1"/>
      <w:numFmt w:val="lowerLetter"/>
      <w:start w:val="1"/>
    </w:lvl>
    <w:lvl w:ilvl="1">
      <w:lvlJc w:val="left"/>
      <w:lvlText w:val="(%2)"/>
      <w:numFmt w:val="lowerLetter"/>
      <w:start w:val="2"/>
    </w:lvl>
  </w:abstractNum>
  <w:abstractNum w:abstractNumId="68">
    <w:nsid w:val="42963E5A"/>
    <w:multiLevelType w:val="hybridMultilevel"/>
    <w:lvl w:ilvl="0">
      <w:lvlJc w:val="left"/>
      <w:lvlText w:val="(%1)"/>
      <w:numFmt w:val="lowerLetter"/>
      <w:start w:val="9"/>
    </w:lvl>
    <w:lvl w:ilvl="1">
      <w:lvlJc w:val="left"/>
      <w:lvlText w:val="%2"/>
      <w:numFmt w:val="lowerLetter"/>
      <w:start w:val="1"/>
    </w:lvl>
  </w:abstractNum>
  <w:abstractNum w:abstractNumId="69">
    <w:nsid w:val="A0382C5"/>
    <w:multiLevelType w:val="hybridMultilevel"/>
    <w:lvl w:ilvl="0">
      <w:lvlJc w:val="left"/>
      <w:lvlText w:val="(%1)"/>
      <w:numFmt w:val="lowerLetter"/>
      <w:start w:val="4"/>
    </w:lvl>
  </w:abstractNum>
  <w:abstractNum w:abstractNumId="70">
    <w:nsid w:val="8F2B15E"/>
    <w:multiLevelType w:val="hybridMultilevel"/>
    <w:lvl w:ilvl="0">
      <w:lvlJc w:val="left"/>
      <w:lvlText w:val="%1."/>
      <w:numFmt w:val="decimal"/>
      <w:start w:val="7"/>
    </w:lvl>
  </w:abstractNum>
  <w:abstractNum w:abstractNumId="71">
    <w:nsid w:val="1A32234B"/>
    <w:multiLevelType w:val="hybridMultilevel"/>
    <w:lvl w:ilvl="0">
      <w:lvlJc w:val="left"/>
      <w:lvlText w:val="(%1)"/>
      <w:numFmt w:val="lowerLetter"/>
      <w:start w:val="1"/>
    </w:lvl>
  </w:abstractNum>
  <w:abstractNum w:abstractNumId="72">
    <w:nsid w:val="3B0FD379"/>
    <w:multiLevelType w:val="hybridMultilevel"/>
    <w:lvl w:ilvl="0">
      <w:lvlJc w:val="left"/>
      <w:lvlText w:val="%1."/>
      <w:numFmt w:val="decimal"/>
      <w:start w:val="8"/>
    </w:lvl>
  </w:abstractNum>
  <w:abstractNum w:abstractNumId="73">
    <w:nsid w:val="68EB2F63"/>
    <w:multiLevelType w:val="hybridMultilevel"/>
    <w:lvl w:ilvl="0">
      <w:lvlJc w:val="left"/>
      <w:lvlText w:val="%1."/>
      <w:numFmt w:val="decimal"/>
      <w:start w:val="9"/>
    </w:lvl>
  </w:abstractNum>
  <w:abstractNum w:abstractNumId="74">
    <w:nsid w:val="4962813B"/>
    <w:multiLevelType w:val="hybridMultilevel"/>
    <w:lvl w:ilvl="0">
      <w:lvlJc w:val="left"/>
      <w:lvlText w:val="(%1)"/>
      <w:numFmt w:val="lowerLetter"/>
      <w:start w:val="1"/>
    </w:lvl>
  </w:abstractNum>
  <w:abstractNum w:abstractNumId="75">
    <w:nsid w:val="60B6DF70"/>
    <w:multiLevelType w:val="hybridMultilevel"/>
    <w:lvl w:ilvl="0">
      <w:lvlJc w:val="left"/>
      <w:lvlText w:val="(%1)"/>
      <w:numFmt w:val="lowerLetter"/>
      <w:start w:val="6"/>
    </w:lvl>
    <w:lvl w:ilvl="1">
      <w:lvlJc w:val="left"/>
      <w:lvlText w:val="*"/>
      <w:numFmt w:val="bullet"/>
      <w:start w:val="1"/>
    </w:lvl>
  </w:abstractNum>
  <w:abstractNum w:abstractNumId="76">
    <w:nsid w:val="6A5EE64"/>
    <w:multiLevelType w:val="hybridMultilevel"/>
    <w:lvl w:ilvl="0">
      <w:lvlJc w:val="left"/>
      <w:lvlText w:val="%1."/>
      <w:numFmt w:val="decimal"/>
      <w:start w:val="1"/>
    </w:lvl>
  </w:abstractNum>
  <w:abstractNum w:abstractNumId="77">
    <w:nsid w:val="14330624"/>
    <w:multiLevelType w:val="hybridMultilevel"/>
    <w:lvl w:ilvl="0">
      <w:lvlJc w:val="left"/>
      <w:lvlText w:val="%1."/>
      <w:numFmt w:val="decimal"/>
      <w:start w:val="3"/>
    </w:lvl>
  </w:abstractNum>
  <w:abstractNum w:abstractNumId="78">
    <w:nsid w:val="7FFFCA11"/>
    <w:multiLevelType w:val="hybridMultilevel"/>
    <w:lvl w:ilvl="0">
      <w:lvlJc w:val="left"/>
      <w:lvlText w:val="%1."/>
      <w:numFmt w:val="decimal"/>
      <w:start w:val="6"/>
    </w:lvl>
  </w:abstractNum>
  <w:abstractNum w:abstractNumId="79">
    <w:nsid w:val="1A27709E"/>
    <w:multiLevelType w:val="hybridMultilevel"/>
    <w:lvl w:ilvl="0">
      <w:lvlJc w:val="left"/>
      <w:lvlText w:val="%1."/>
      <w:numFmt w:val="decimal"/>
      <w:start w:val="9"/>
    </w:lvl>
  </w:abstractNum>
  <w:abstractNum w:abstractNumId="80">
    <w:nsid w:val="71EA1109"/>
    <w:multiLevelType w:val="hybridMultilevel"/>
    <w:lvl w:ilvl="0">
      <w:lvlJc w:val="left"/>
      <w:lvlText w:val="%1."/>
      <w:numFmt w:val="decimal"/>
      <w:start w:val="12"/>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lowerLetter"/>
      <w:start w:val="1"/>
    </w:lvl>
  </w:abstractNum>
  <w:abstractNum w:abstractNumId="85">
    <w:nsid w:val="94211F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2025-05-06T15:29:29Z</dcterms:created>
  <dcterms:modified xsi:type="dcterms:W3CDTF">2025-05-06T15:29:29Z</dcterms:modified>
</cp:coreProperties>
</file>